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02-l0-00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02-m0-00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Tobacco Products Control Act 2006</w:t>
      </w:r>
    </w:p>
    <w:p>
      <w:pPr>
        <w:pStyle w:val="NameofActReg"/>
        <w:spacing w:after="720"/>
      </w:pPr>
      <w:r>
        <w:t>Tobacco Products Control Regulations 2006</w:t>
      </w:r>
    </w:p>
    <w:p>
      <w:pPr>
        <w:pStyle w:val="Heading2"/>
        <w:pageBreakBefore w:val="0"/>
        <w:spacing w:before="240"/>
      </w:pPr>
      <w:bookmarkStart w:id="1" w:name="_Toc450221233"/>
      <w:bookmarkStart w:id="2" w:name="_Toc450294969"/>
      <w:bookmarkStart w:id="3" w:name="_Toc455401164"/>
      <w:bookmarkStart w:id="4" w:name="_Toc473036221"/>
      <w:bookmarkStart w:id="5" w:name="_Toc473036370"/>
      <w:bookmarkStart w:id="6" w:name="_Toc473106857"/>
      <w:bookmarkStart w:id="7" w:name="_Toc471974552"/>
      <w:bookmarkStart w:id="8" w:name="_Toc472005902"/>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473106858"/>
      <w:bookmarkStart w:id="11" w:name="_Toc472005903"/>
      <w:r>
        <w:rPr>
          <w:rStyle w:val="CharSectno"/>
        </w:rPr>
        <w:t>1</w:t>
      </w:r>
      <w:r>
        <w:t>.</w:t>
      </w:r>
      <w:r>
        <w:tab/>
        <w:t>Citation</w:t>
      </w:r>
      <w:bookmarkEnd w:id="10"/>
      <w:bookmarkEnd w:id="11"/>
    </w:p>
    <w:p>
      <w:pPr>
        <w:pStyle w:val="Subsection"/>
      </w:pPr>
      <w:r>
        <w:tab/>
      </w:r>
      <w:r>
        <w:tab/>
      </w:r>
      <w:bookmarkStart w:id="12" w:name="Start_Cursor"/>
      <w:bookmarkEnd w:id="12"/>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13" w:name="_Toc473106859"/>
      <w:bookmarkStart w:id="14" w:name="_Toc472005904"/>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These regulations come into operation on 31 July 2006.</w:t>
      </w:r>
    </w:p>
    <w:p>
      <w:pPr>
        <w:pStyle w:val="Heading5"/>
      </w:pPr>
      <w:bookmarkStart w:id="15" w:name="_Toc473106860"/>
      <w:bookmarkStart w:id="16" w:name="_Toc472005905"/>
      <w:r>
        <w:rPr>
          <w:rStyle w:val="CharSectno"/>
        </w:rPr>
        <w:t>3</w:t>
      </w:r>
      <w:r>
        <w:t>.</w:t>
      </w:r>
      <w:r>
        <w:tab/>
        <w:t>Terms used</w:t>
      </w:r>
      <w:bookmarkEnd w:id="15"/>
      <w:bookmarkEnd w:id="16"/>
    </w:p>
    <w:p>
      <w:pPr>
        <w:pStyle w:val="Subsection"/>
      </w:pPr>
      <w:r>
        <w:tab/>
      </w:r>
      <w:r>
        <w:tab/>
        <w:t xml:space="preserve">In these regulations — </w:t>
      </w:r>
    </w:p>
    <w:p>
      <w:pPr>
        <w:pStyle w:val="Defstart"/>
      </w:pPr>
      <w:r>
        <w:tab/>
      </w:r>
      <w:r>
        <w:rPr>
          <w:rStyle w:val="CharDefText"/>
        </w:rPr>
        <w:t>BNR Act</w:t>
      </w:r>
      <w:r>
        <w:t xml:space="preserve"> means the </w:t>
      </w:r>
      <w:r>
        <w:rPr>
          <w:i/>
        </w:rPr>
        <w:t>Business Names Registration Act 2011</w:t>
      </w:r>
      <w:r>
        <w:t xml:space="preserve"> (Commonwealth);</w:t>
      </w:r>
    </w:p>
    <w:p>
      <w:pPr>
        <w:pStyle w:val="Defstart"/>
      </w:pPr>
      <w:r>
        <w:tab/>
      </w:r>
      <w:r>
        <w:rPr>
          <w:rStyle w:val="CharDefText"/>
        </w:rPr>
        <w:t>Business Names Register</w:t>
      </w:r>
      <w:r>
        <w:t xml:space="preserve"> means the Business Names Register established and maintained under the BNR Act section 22;</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 27 Nov 2012 p. 5734.]</w:t>
      </w:r>
    </w:p>
    <w:p>
      <w:pPr>
        <w:pStyle w:val="Ednotepart"/>
      </w:pPr>
      <w:r>
        <w:t>[Part 2 (r. 4-6) deleted in Gazette 28 Feb 2007 p. 644.]</w:t>
      </w:r>
    </w:p>
    <w:p>
      <w:pPr>
        <w:pStyle w:val="Heading2"/>
      </w:pPr>
      <w:bookmarkStart w:id="17" w:name="_Toc450221237"/>
      <w:bookmarkStart w:id="18" w:name="_Toc450294973"/>
      <w:bookmarkStart w:id="19" w:name="_Toc455401168"/>
      <w:bookmarkStart w:id="20" w:name="_Toc473036225"/>
      <w:bookmarkStart w:id="21" w:name="_Toc473036374"/>
      <w:bookmarkStart w:id="22" w:name="_Toc473106861"/>
      <w:bookmarkStart w:id="23" w:name="_Toc471974556"/>
      <w:bookmarkStart w:id="24" w:name="_Toc472005906"/>
      <w:r>
        <w:rPr>
          <w:rStyle w:val="CharPartNo"/>
        </w:rPr>
        <w:t>Part 3</w:t>
      </w:r>
      <w:r>
        <w:t> — </w:t>
      </w:r>
      <w:r>
        <w:rPr>
          <w:rStyle w:val="CharPartText"/>
        </w:rPr>
        <w:t>Smoking in enclosed public places</w:t>
      </w:r>
      <w:bookmarkEnd w:id="17"/>
      <w:bookmarkEnd w:id="18"/>
      <w:bookmarkEnd w:id="19"/>
      <w:bookmarkEnd w:id="20"/>
      <w:bookmarkEnd w:id="21"/>
      <w:bookmarkEnd w:id="22"/>
      <w:bookmarkEnd w:id="23"/>
      <w:bookmarkEnd w:id="24"/>
    </w:p>
    <w:p>
      <w:pPr>
        <w:pStyle w:val="Heading3"/>
      </w:pPr>
      <w:bookmarkStart w:id="25" w:name="_Toc450221238"/>
      <w:bookmarkStart w:id="26" w:name="_Toc450294974"/>
      <w:bookmarkStart w:id="27" w:name="_Toc455401169"/>
      <w:bookmarkStart w:id="28" w:name="_Toc473036226"/>
      <w:bookmarkStart w:id="29" w:name="_Toc473036375"/>
      <w:bookmarkStart w:id="30" w:name="_Toc473106862"/>
      <w:bookmarkStart w:id="31" w:name="_Toc471974557"/>
      <w:bookmarkStart w:id="32" w:name="_Toc472005907"/>
      <w:r>
        <w:rPr>
          <w:rStyle w:val="CharDivNo"/>
        </w:rPr>
        <w:t>Division 1</w:t>
      </w:r>
      <w:r>
        <w:t> — </w:t>
      </w:r>
      <w:r>
        <w:rPr>
          <w:rStyle w:val="CharDivText"/>
        </w:rPr>
        <w:t>Preliminary</w:t>
      </w:r>
      <w:bookmarkEnd w:id="25"/>
      <w:bookmarkEnd w:id="26"/>
      <w:bookmarkEnd w:id="27"/>
      <w:bookmarkEnd w:id="28"/>
      <w:bookmarkEnd w:id="29"/>
      <w:bookmarkEnd w:id="30"/>
      <w:bookmarkEnd w:id="31"/>
      <w:bookmarkEnd w:id="32"/>
    </w:p>
    <w:p>
      <w:pPr>
        <w:pStyle w:val="Heading5"/>
      </w:pPr>
      <w:bookmarkStart w:id="33" w:name="_Toc473106863"/>
      <w:bookmarkStart w:id="34" w:name="_Toc472005908"/>
      <w:r>
        <w:rPr>
          <w:rStyle w:val="CharSectno"/>
        </w:rPr>
        <w:t>7</w:t>
      </w:r>
      <w:r>
        <w:t>.</w:t>
      </w:r>
      <w:r>
        <w:tab/>
        <w:t>Terms used</w:t>
      </w:r>
      <w:bookmarkEnd w:id="33"/>
      <w:bookmarkEnd w:id="34"/>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35" w:name="_Toc473106864"/>
      <w:bookmarkStart w:id="36" w:name="_Toc472005909"/>
      <w:r>
        <w:rPr>
          <w:rStyle w:val="CharSectno"/>
        </w:rPr>
        <w:t>8</w:t>
      </w:r>
      <w:r>
        <w:t>.</w:t>
      </w:r>
      <w:r>
        <w:tab/>
        <w:t>Enclosed public places</w:t>
      </w:r>
      <w:bookmarkEnd w:id="35"/>
      <w:bookmarkEnd w:id="36"/>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37" w:name="_Toc473106865"/>
      <w:bookmarkStart w:id="38" w:name="_Toc472005910"/>
      <w:r>
        <w:rPr>
          <w:rStyle w:val="CharSectno"/>
        </w:rPr>
        <w:t>9</w:t>
      </w:r>
      <w:r>
        <w:t>.</w:t>
      </w:r>
      <w:r>
        <w:tab/>
        <w:t>Notional vertical surface area</w:t>
      </w:r>
      <w:bookmarkEnd w:id="37"/>
      <w:bookmarkEnd w:id="38"/>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39" w:name="_Toc450221242"/>
      <w:bookmarkStart w:id="40" w:name="_Toc450294978"/>
      <w:bookmarkStart w:id="41" w:name="_Toc455401173"/>
      <w:bookmarkStart w:id="42" w:name="_Toc473036230"/>
      <w:bookmarkStart w:id="43" w:name="_Toc473036379"/>
      <w:bookmarkStart w:id="44" w:name="_Toc473106866"/>
      <w:bookmarkStart w:id="45" w:name="_Toc471974561"/>
      <w:bookmarkStart w:id="46" w:name="_Toc472005911"/>
      <w:r>
        <w:rPr>
          <w:rStyle w:val="CharDivNo"/>
        </w:rPr>
        <w:t>Division 2</w:t>
      </w:r>
      <w:r>
        <w:t> — </w:t>
      </w:r>
      <w:r>
        <w:rPr>
          <w:rStyle w:val="CharDivText"/>
        </w:rPr>
        <w:t>Offences</w:t>
      </w:r>
      <w:bookmarkEnd w:id="39"/>
      <w:bookmarkEnd w:id="40"/>
      <w:bookmarkEnd w:id="41"/>
      <w:bookmarkEnd w:id="42"/>
      <w:bookmarkEnd w:id="43"/>
      <w:bookmarkEnd w:id="44"/>
      <w:bookmarkEnd w:id="45"/>
      <w:bookmarkEnd w:id="46"/>
    </w:p>
    <w:p>
      <w:pPr>
        <w:pStyle w:val="Heading5"/>
      </w:pPr>
      <w:bookmarkStart w:id="47" w:name="_Toc473106867"/>
      <w:bookmarkStart w:id="48" w:name="_Toc472005912"/>
      <w:r>
        <w:rPr>
          <w:rStyle w:val="CharSectno"/>
        </w:rPr>
        <w:t>10</w:t>
      </w:r>
      <w:r>
        <w:t>.</w:t>
      </w:r>
      <w:r>
        <w:tab/>
        <w:t>Prohibition on smoking in enclosed public places</w:t>
      </w:r>
      <w:bookmarkEnd w:id="47"/>
      <w:bookmarkEnd w:id="48"/>
    </w:p>
    <w:p>
      <w:pPr>
        <w:pStyle w:val="Subsection"/>
      </w:pPr>
      <w:r>
        <w:tab/>
        <w:t>(1)</w:t>
      </w:r>
      <w:r>
        <w:tab/>
        <w:t>A person must not smoke in an enclosed public place.</w:t>
      </w:r>
    </w:p>
    <w:p>
      <w:pPr>
        <w:pStyle w:val="Penstart"/>
      </w:pPr>
      <w:r>
        <w:tab/>
        <w:t>Penalty: a fine of $2 000.</w:t>
      </w:r>
    </w:p>
    <w:p>
      <w:pPr>
        <w:pStyle w:val="Subsection"/>
      </w:pPr>
      <w:r>
        <w:tab/>
        <w:t>(2)</w:t>
      </w:r>
      <w:r>
        <w:tab/>
        <w:t xml:space="preserve">Subregulation (1) does not apply to the International Room at the premises at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that are the subject of a casino gaming licence granted under the </w:t>
      </w:r>
      <w:r>
        <w:rPr>
          <w:i/>
        </w:rPr>
        <w:t>Casino Control Act 1984</w:t>
      </w:r>
      <w:r>
        <w:rPr>
          <w:iCs/>
        </w:rPr>
        <w:t>, if the International Room has adequate ventilation.</w:t>
      </w:r>
    </w:p>
    <w:p>
      <w:pPr>
        <w:pStyle w:val="Subsection"/>
      </w:pPr>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49" w:name="_Toc473106868"/>
      <w:bookmarkStart w:id="50" w:name="_Toc472005913"/>
      <w:r>
        <w:rPr>
          <w:rStyle w:val="CharSectno"/>
        </w:rPr>
        <w:t>11</w:t>
      </w:r>
      <w:r>
        <w:t>.</w:t>
      </w:r>
      <w:r>
        <w:tab/>
        <w:t>Offence by occupier</w:t>
      </w:r>
      <w:bookmarkEnd w:id="49"/>
      <w:bookmarkEnd w:id="50"/>
    </w:p>
    <w:p>
      <w:pPr>
        <w:pStyle w:val="Subsection"/>
        <w:keepNext/>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51" w:name="_Toc473106869"/>
      <w:bookmarkStart w:id="52" w:name="_Toc472005914"/>
      <w:r>
        <w:rPr>
          <w:rStyle w:val="CharSectno"/>
        </w:rPr>
        <w:t>12</w:t>
      </w:r>
      <w:r>
        <w:t>.</w:t>
      </w:r>
      <w:r>
        <w:tab/>
        <w:t>Display of no smoking signs in entrances to liquor licensed premises</w:t>
      </w:r>
      <w:bookmarkEnd w:id="51"/>
      <w:bookmarkEnd w:id="52"/>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keepNext/>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53" w:name="_Toc473106870"/>
      <w:bookmarkStart w:id="54" w:name="_Toc472005915"/>
      <w:r>
        <w:rPr>
          <w:rStyle w:val="CharSectno"/>
        </w:rPr>
        <w:t>13</w:t>
      </w:r>
      <w:r>
        <w:t>.</w:t>
      </w:r>
      <w:r>
        <w:tab/>
        <w:t>Duty to prevent smoke entering enclosed public places</w:t>
      </w:r>
      <w:bookmarkEnd w:id="53"/>
      <w:bookmarkEnd w:id="54"/>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55" w:name="_Toc450221247"/>
      <w:bookmarkStart w:id="56" w:name="_Toc450294983"/>
      <w:bookmarkStart w:id="57" w:name="_Toc455401178"/>
      <w:bookmarkStart w:id="58" w:name="_Toc473036235"/>
      <w:bookmarkStart w:id="59" w:name="_Toc473036384"/>
      <w:bookmarkStart w:id="60" w:name="_Toc473106871"/>
      <w:bookmarkStart w:id="61" w:name="_Toc471974566"/>
      <w:bookmarkStart w:id="62" w:name="_Toc472005916"/>
      <w:r>
        <w:rPr>
          <w:rStyle w:val="CharDivNo"/>
        </w:rPr>
        <w:t>Division 3</w:t>
      </w:r>
      <w:r>
        <w:t> — </w:t>
      </w:r>
      <w:r>
        <w:rPr>
          <w:rStyle w:val="CharDivText"/>
        </w:rPr>
        <w:t>Investigators</w:t>
      </w:r>
      <w:bookmarkEnd w:id="55"/>
      <w:bookmarkEnd w:id="56"/>
      <w:bookmarkEnd w:id="57"/>
      <w:bookmarkEnd w:id="58"/>
      <w:bookmarkEnd w:id="59"/>
      <w:bookmarkEnd w:id="60"/>
      <w:bookmarkEnd w:id="61"/>
      <w:bookmarkEnd w:id="62"/>
    </w:p>
    <w:p>
      <w:pPr>
        <w:pStyle w:val="Heading5"/>
      </w:pPr>
      <w:bookmarkStart w:id="63" w:name="_Toc473106872"/>
      <w:bookmarkStart w:id="64" w:name="_Toc472005917"/>
      <w:r>
        <w:rPr>
          <w:rStyle w:val="CharSectno"/>
        </w:rPr>
        <w:t>14</w:t>
      </w:r>
      <w:r>
        <w:t>.</w:t>
      </w:r>
      <w:r>
        <w:tab/>
        <w:t>Investigators to notify occupiers before taking action under Part 3</w:t>
      </w:r>
      <w:bookmarkEnd w:id="63"/>
      <w:bookmarkEnd w:id="64"/>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65" w:name="_Toc473106873"/>
      <w:bookmarkStart w:id="66" w:name="_Toc472005918"/>
      <w:r>
        <w:rPr>
          <w:rStyle w:val="CharSectno"/>
        </w:rPr>
        <w:t>15</w:t>
      </w:r>
      <w:r>
        <w:t>.</w:t>
      </w:r>
      <w:r>
        <w:tab/>
        <w:t>Directions by investigators</w:t>
      </w:r>
      <w:bookmarkEnd w:id="65"/>
      <w:bookmarkEnd w:id="66"/>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67" w:name="_Toc450221250"/>
      <w:bookmarkStart w:id="68" w:name="_Toc450294986"/>
      <w:bookmarkStart w:id="69" w:name="_Toc455401181"/>
      <w:bookmarkStart w:id="70" w:name="_Toc473036238"/>
      <w:bookmarkStart w:id="71" w:name="_Toc473036387"/>
      <w:bookmarkStart w:id="72" w:name="_Toc473106874"/>
      <w:bookmarkStart w:id="73" w:name="_Toc471974569"/>
      <w:bookmarkStart w:id="74" w:name="_Toc472005919"/>
      <w:r>
        <w:rPr>
          <w:rStyle w:val="CharPartNo"/>
        </w:rPr>
        <w:t>Part 4A</w:t>
      </w:r>
      <w:r>
        <w:rPr>
          <w:b w:val="0"/>
        </w:rPr>
        <w:t> — </w:t>
      </w:r>
      <w:r>
        <w:rPr>
          <w:rStyle w:val="CharPartText"/>
        </w:rPr>
        <w:t>Smoking in outdoor public places</w:t>
      </w:r>
      <w:bookmarkEnd w:id="67"/>
      <w:bookmarkEnd w:id="68"/>
      <w:bookmarkEnd w:id="69"/>
      <w:bookmarkEnd w:id="70"/>
      <w:bookmarkEnd w:id="71"/>
      <w:bookmarkEnd w:id="72"/>
      <w:bookmarkEnd w:id="73"/>
      <w:bookmarkEnd w:id="74"/>
    </w:p>
    <w:p>
      <w:pPr>
        <w:pStyle w:val="Footnoteheading"/>
      </w:pPr>
      <w:r>
        <w:tab/>
        <w:t>[Heading inserted in Gazette 10 Sep 2010 p. 4379.]</w:t>
      </w:r>
    </w:p>
    <w:p>
      <w:pPr>
        <w:pStyle w:val="Heading3"/>
      </w:pPr>
      <w:bookmarkStart w:id="75" w:name="_Toc450221251"/>
      <w:bookmarkStart w:id="76" w:name="_Toc450294987"/>
      <w:bookmarkStart w:id="77" w:name="_Toc455401182"/>
      <w:bookmarkStart w:id="78" w:name="_Toc473036239"/>
      <w:bookmarkStart w:id="79" w:name="_Toc473036388"/>
      <w:bookmarkStart w:id="80" w:name="_Toc473106875"/>
      <w:bookmarkStart w:id="81" w:name="_Toc471974570"/>
      <w:bookmarkStart w:id="82" w:name="_Toc472005920"/>
      <w:r>
        <w:rPr>
          <w:rStyle w:val="CharDivNo"/>
        </w:rPr>
        <w:t>Division 1</w:t>
      </w:r>
      <w:r>
        <w:t> — </w:t>
      </w:r>
      <w:r>
        <w:rPr>
          <w:rStyle w:val="CharDivText"/>
        </w:rPr>
        <w:t>Outdoor eating areas</w:t>
      </w:r>
      <w:bookmarkEnd w:id="75"/>
      <w:bookmarkEnd w:id="76"/>
      <w:bookmarkEnd w:id="77"/>
      <w:bookmarkEnd w:id="78"/>
      <w:bookmarkEnd w:id="79"/>
      <w:bookmarkEnd w:id="80"/>
      <w:bookmarkEnd w:id="81"/>
      <w:bookmarkEnd w:id="82"/>
    </w:p>
    <w:p>
      <w:pPr>
        <w:pStyle w:val="Footnoteheading"/>
      </w:pPr>
      <w:r>
        <w:tab/>
        <w:t>[Heading inserted in Gazette 10 Sep 2010 p. 4379.]</w:t>
      </w:r>
    </w:p>
    <w:p>
      <w:pPr>
        <w:pStyle w:val="Heading5"/>
      </w:pPr>
      <w:bookmarkStart w:id="83" w:name="_Toc473106876"/>
      <w:bookmarkStart w:id="84" w:name="_Toc472005921"/>
      <w:r>
        <w:rPr>
          <w:rStyle w:val="CharSectno"/>
        </w:rPr>
        <w:t>16A</w:t>
      </w:r>
      <w:r>
        <w:t>.</w:t>
      </w:r>
      <w:r>
        <w:tab/>
        <w:t>Term used: non</w:t>
      </w:r>
      <w:r>
        <w:noBreakHyphen/>
        <w:t>smoking zone</w:t>
      </w:r>
      <w:bookmarkEnd w:id="83"/>
      <w:bookmarkEnd w:id="84"/>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85" w:name="_Toc473106877"/>
      <w:bookmarkStart w:id="86" w:name="_Toc472005922"/>
      <w:r>
        <w:rPr>
          <w:rStyle w:val="CharSectno"/>
        </w:rPr>
        <w:t>16B</w:t>
      </w:r>
      <w:r>
        <w:t>.</w:t>
      </w:r>
      <w:r>
        <w:tab/>
        <w:t>Display of no smoking signs in non</w:t>
      </w:r>
      <w:r>
        <w:noBreakHyphen/>
        <w:t>smoking zones</w:t>
      </w:r>
      <w:bookmarkEnd w:id="85"/>
      <w:bookmarkEnd w:id="86"/>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r>
        <w:tab/>
        <w:t>[Regulation 16B inserted in Gazette 10 Sep 2010 p. 4379-80.]</w:t>
      </w:r>
    </w:p>
    <w:p>
      <w:pPr>
        <w:pStyle w:val="Heading5"/>
      </w:pPr>
      <w:bookmarkStart w:id="87" w:name="_Toc473106878"/>
      <w:bookmarkStart w:id="88" w:name="_Toc472005923"/>
      <w:r>
        <w:rPr>
          <w:rStyle w:val="CharSectno"/>
        </w:rPr>
        <w:t>16C</w:t>
      </w:r>
      <w:r>
        <w:t>.</w:t>
      </w:r>
      <w:r>
        <w:tab/>
        <w:t>Investigators to notify occupiers before taking action under Div. 1</w:t>
      </w:r>
      <w:bookmarkEnd w:id="87"/>
      <w:bookmarkEnd w:id="88"/>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r>
        <w:tab/>
        <w:t>[Regulation 16C inserted in Gazette 10 Sep 2010 p. 4380-1.]</w:t>
      </w:r>
    </w:p>
    <w:p>
      <w:pPr>
        <w:pStyle w:val="Heading3"/>
      </w:pPr>
      <w:bookmarkStart w:id="89" w:name="_Toc450221255"/>
      <w:bookmarkStart w:id="90" w:name="_Toc450294991"/>
      <w:bookmarkStart w:id="91" w:name="_Toc455401186"/>
      <w:bookmarkStart w:id="92" w:name="_Toc473036243"/>
      <w:bookmarkStart w:id="93" w:name="_Toc473036392"/>
      <w:bookmarkStart w:id="94" w:name="_Toc473106879"/>
      <w:bookmarkStart w:id="95" w:name="_Toc471974574"/>
      <w:bookmarkStart w:id="96" w:name="_Toc472005924"/>
      <w:r>
        <w:rPr>
          <w:rStyle w:val="CharDivNo"/>
        </w:rPr>
        <w:t>Division 2</w:t>
      </w:r>
      <w:r>
        <w:t xml:space="preserve"> — </w:t>
      </w:r>
      <w:r>
        <w:rPr>
          <w:rStyle w:val="CharDivText"/>
        </w:rPr>
        <w:t>Miscellaneous</w:t>
      </w:r>
      <w:bookmarkEnd w:id="89"/>
      <w:bookmarkEnd w:id="90"/>
      <w:bookmarkEnd w:id="91"/>
      <w:bookmarkEnd w:id="92"/>
      <w:bookmarkEnd w:id="93"/>
      <w:bookmarkEnd w:id="94"/>
      <w:bookmarkEnd w:id="95"/>
      <w:bookmarkEnd w:id="96"/>
    </w:p>
    <w:p>
      <w:pPr>
        <w:pStyle w:val="Footnoteheading"/>
        <w:spacing w:before="80"/>
      </w:pPr>
      <w:r>
        <w:tab/>
        <w:t>[Heading inserted in Gazette 10 Sep 2010 p. 4381.]</w:t>
      </w:r>
    </w:p>
    <w:p>
      <w:pPr>
        <w:pStyle w:val="Heading5"/>
      </w:pPr>
      <w:bookmarkStart w:id="97" w:name="_Toc473106880"/>
      <w:bookmarkStart w:id="98" w:name="_Toc472005925"/>
      <w:r>
        <w:rPr>
          <w:rStyle w:val="CharSectno"/>
        </w:rPr>
        <w:t>16D</w:t>
      </w:r>
      <w:r>
        <w:t>.</w:t>
      </w:r>
      <w:r>
        <w:tab/>
        <w:t>Directions by investigators</w:t>
      </w:r>
      <w:bookmarkEnd w:id="97"/>
      <w:bookmarkEnd w:id="98"/>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Ednotepart"/>
      </w:pPr>
      <w:r>
        <w:t>[Part 4 (r. 16) deleted in Gazette 26 Jul 2016 p. 3150.] </w:t>
      </w:r>
    </w:p>
    <w:p>
      <w:pPr>
        <w:pStyle w:val="Heading2"/>
      </w:pPr>
      <w:bookmarkStart w:id="99" w:name="_Toc450221259"/>
      <w:bookmarkStart w:id="100" w:name="_Toc450294995"/>
      <w:bookmarkStart w:id="101" w:name="_Toc455401190"/>
      <w:bookmarkStart w:id="102" w:name="_Toc473036245"/>
      <w:bookmarkStart w:id="103" w:name="_Toc473036394"/>
      <w:bookmarkStart w:id="104" w:name="_Toc473106881"/>
      <w:bookmarkStart w:id="105" w:name="_Toc471974576"/>
      <w:bookmarkStart w:id="106" w:name="_Toc472005926"/>
      <w:r>
        <w:rPr>
          <w:rStyle w:val="CharPartNo"/>
        </w:rPr>
        <w:t>Part 5</w:t>
      </w:r>
      <w:r>
        <w:rPr>
          <w:b w:val="0"/>
        </w:rPr>
        <w:t> </w:t>
      </w:r>
      <w:r>
        <w:t>—</w:t>
      </w:r>
      <w:r>
        <w:rPr>
          <w:b w:val="0"/>
        </w:rPr>
        <w:t> </w:t>
      </w:r>
      <w:r>
        <w:rPr>
          <w:rStyle w:val="CharPartText"/>
        </w:rPr>
        <w:t>Licensing</w:t>
      </w:r>
      <w:bookmarkEnd w:id="99"/>
      <w:bookmarkEnd w:id="100"/>
      <w:bookmarkEnd w:id="101"/>
      <w:bookmarkEnd w:id="102"/>
      <w:bookmarkEnd w:id="103"/>
      <w:bookmarkEnd w:id="104"/>
      <w:bookmarkEnd w:id="105"/>
      <w:bookmarkEnd w:id="106"/>
    </w:p>
    <w:p>
      <w:pPr>
        <w:pStyle w:val="Footnoteheading"/>
      </w:pPr>
      <w:r>
        <w:tab/>
        <w:t>[Heading inserted in Gazette 28 Feb 2007 p. 644.]</w:t>
      </w:r>
    </w:p>
    <w:p>
      <w:pPr>
        <w:pStyle w:val="Heading3"/>
      </w:pPr>
      <w:bookmarkStart w:id="107" w:name="_Toc450221260"/>
      <w:bookmarkStart w:id="108" w:name="_Toc450294996"/>
      <w:bookmarkStart w:id="109" w:name="_Toc455401191"/>
      <w:bookmarkStart w:id="110" w:name="_Toc473036246"/>
      <w:bookmarkStart w:id="111" w:name="_Toc473036395"/>
      <w:bookmarkStart w:id="112" w:name="_Toc473106882"/>
      <w:bookmarkStart w:id="113" w:name="_Toc471974577"/>
      <w:bookmarkStart w:id="114" w:name="_Toc472005927"/>
      <w:r>
        <w:rPr>
          <w:rStyle w:val="CharDivNo"/>
        </w:rPr>
        <w:t>Division 1</w:t>
      </w:r>
      <w:r>
        <w:t> — </w:t>
      </w:r>
      <w:r>
        <w:rPr>
          <w:rStyle w:val="CharDivText"/>
        </w:rPr>
        <w:t>Licensing procedures</w:t>
      </w:r>
      <w:bookmarkEnd w:id="107"/>
      <w:bookmarkEnd w:id="108"/>
      <w:bookmarkEnd w:id="109"/>
      <w:bookmarkEnd w:id="110"/>
      <w:bookmarkEnd w:id="111"/>
      <w:bookmarkEnd w:id="112"/>
      <w:bookmarkEnd w:id="113"/>
      <w:bookmarkEnd w:id="114"/>
    </w:p>
    <w:p>
      <w:pPr>
        <w:pStyle w:val="Footnoteheading"/>
      </w:pPr>
      <w:r>
        <w:tab/>
        <w:t>[Heading inserted in Gazette 28 Feb 2007 p. 644.]</w:t>
      </w:r>
    </w:p>
    <w:p>
      <w:pPr>
        <w:pStyle w:val="Heading5"/>
      </w:pPr>
      <w:bookmarkStart w:id="115" w:name="_Toc473106883"/>
      <w:bookmarkStart w:id="116" w:name="_Toc472005928"/>
      <w:r>
        <w:rPr>
          <w:rStyle w:val="CharSectno"/>
        </w:rPr>
        <w:t>17</w:t>
      </w:r>
      <w:r>
        <w:t>.</w:t>
      </w:r>
      <w:r>
        <w:tab/>
        <w:t>Application for licence — proof of individual’s identity</w:t>
      </w:r>
      <w:bookmarkEnd w:id="115"/>
      <w:bookmarkEnd w:id="116"/>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pPr>
      <w:r>
        <w:tab/>
        <w:t>(a)</w:t>
      </w:r>
      <w:r>
        <w:tab/>
        <w:t>the applicant’s birth certificate; or</w:t>
      </w:r>
    </w:p>
    <w:p>
      <w:pPr>
        <w:pStyle w:val="Indenta"/>
      </w:pPr>
      <w:r>
        <w:tab/>
        <w:t>(b)</w:t>
      </w:r>
      <w:r>
        <w:tab/>
        <w:t>the applicant’s passport if the passport is either current or has not been expired for more than 24 months; or</w:t>
      </w:r>
    </w:p>
    <w:p>
      <w:pPr>
        <w:pStyle w:val="Indenta"/>
      </w:pPr>
      <w:r>
        <w:tab/>
        <w:t>(c)</w:t>
      </w:r>
      <w:r>
        <w:tab/>
        <w:t>the applicant’s motor driver’s licence; or</w:t>
      </w:r>
    </w:p>
    <w:p>
      <w:pPr>
        <w:pStyle w:val="Indenta"/>
        <w:rPr>
          <w:snapToGrid w:val="0"/>
        </w:rPr>
      </w:pPr>
      <w:r>
        <w:tab/>
        <w:t>(d)</w:t>
      </w:r>
      <w:r>
        <w:tab/>
      </w:r>
      <w:r>
        <w:rPr>
          <w:snapToGrid w:val="0"/>
        </w:rPr>
        <w:t>a certificate of the applicant’s Australian citizenship; or</w:t>
      </w:r>
    </w:p>
    <w:p>
      <w:pPr>
        <w:pStyle w:val="Indenta"/>
        <w:rPr>
          <w:snapToGrid w:val="0"/>
        </w:rPr>
      </w:pPr>
      <w:r>
        <w:rPr>
          <w:snapToGrid w:val="0"/>
        </w:rPr>
        <w:tab/>
        <w:t>(e)</w:t>
      </w:r>
      <w:r>
        <w:rPr>
          <w:snapToGrid w:val="0"/>
        </w:rPr>
        <w:tab/>
        <w:t>a document establishing the discharge of the applicant from any of the Australian defence forces; or</w:t>
      </w:r>
    </w:p>
    <w:p>
      <w:pPr>
        <w:pStyle w:val="Indenta"/>
        <w:rPr>
          <w:snapToGrid w:val="0"/>
        </w:rPr>
      </w:pPr>
      <w:r>
        <w:rPr>
          <w:snapToGrid w:val="0"/>
        </w:rPr>
        <w:tab/>
        <w:t>(f)</w:t>
      </w:r>
      <w:r>
        <w:rPr>
          <w:snapToGrid w:val="0"/>
        </w:rPr>
        <w:tab/>
        <w:t>a document establishing the applicant’s appointment as a Justice of the Peace; or</w:t>
      </w:r>
    </w:p>
    <w:p>
      <w:pPr>
        <w:pStyle w:val="Indenta"/>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rPr>
          <w:snapToGrid w:val="0"/>
        </w:rPr>
      </w:pPr>
      <w:r>
        <w:rPr>
          <w:snapToGrid w:val="0"/>
        </w:rPr>
        <w:tab/>
        <w:t>(h)</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ind w:left="890" w:hanging="890"/>
      </w:pPr>
      <w:r>
        <w:tab/>
        <w:t>[Regulation 17 inserted in Gazette 28 Feb 2007 p. 644-5.]</w:t>
      </w:r>
    </w:p>
    <w:p>
      <w:pPr>
        <w:pStyle w:val="Heading5"/>
        <w:keepNext w:val="0"/>
        <w:keepLines w:val="0"/>
        <w:pageBreakBefore/>
        <w:spacing w:before="0"/>
      </w:pPr>
      <w:bookmarkStart w:id="117" w:name="_Toc473106884"/>
      <w:bookmarkStart w:id="118" w:name="_Toc472005929"/>
      <w:r>
        <w:rPr>
          <w:rStyle w:val="CharSectno"/>
        </w:rPr>
        <w:t>18</w:t>
      </w:r>
      <w:r>
        <w:t>.</w:t>
      </w:r>
      <w:r>
        <w:tab/>
        <w:t>Application for licence — other evidence</w:t>
      </w:r>
      <w:bookmarkEnd w:id="117"/>
      <w:bookmarkEnd w:id="118"/>
    </w:p>
    <w:p>
      <w:pPr>
        <w:pStyle w:val="Subsection"/>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pPr>
      <w:r>
        <w:tab/>
        <w:t>(a)</w:t>
      </w:r>
      <w:r>
        <w:tab/>
        <w:t xml:space="preserve">written confirmation from one of the directors of the body corporate that the applicant is authorised by the body corporate to make the application; </w:t>
      </w:r>
    </w:p>
    <w:p>
      <w:pPr>
        <w:pStyle w:val="Indenta"/>
      </w:pPr>
      <w:r>
        <w:tab/>
        <w:t>(b)</w:t>
      </w:r>
      <w:r>
        <w:tab/>
        <w:t xml:space="preserve">an extract or other evidentiary document obtained under the Corporations Law as to the identity of each of the officers of the body corporate; </w:t>
      </w:r>
    </w:p>
    <w:p>
      <w:pPr>
        <w:pStyle w:val="Indenta"/>
      </w:pPr>
      <w:r>
        <w:tab/>
        <w:t>(c)</w:t>
      </w:r>
      <w:r>
        <w:tab/>
        <w:t>a copy of an entry in the Business Names Register, provided under the BNR Act section 60, as to the registration of the business name (if any) applicable to the business to be conducted by the body corporate at the premises that are the subject of the application;</w:t>
      </w:r>
    </w:p>
    <w:p>
      <w:pPr>
        <w:pStyle w:val="Indenta"/>
      </w:pPr>
      <w:r>
        <w:tab/>
        <w:t>(d)</w:t>
      </w:r>
      <w:r>
        <w:tab/>
        <w:t>a copy of an entry in the Business Names Register, provided under the BNR Act section 60, as to the person or persons in relation to whom the business name is registered.</w:t>
      </w:r>
    </w:p>
    <w:p>
      <w:pPr>
        <w:pStyle w:val="Subsection"/>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to be conducted by the partnership at the premises that are the subject of the application; </w:t>
      </w:r>
    </w:p>
    <w:p>
      <w:pPr>
        <w:pStyle w:val="Indenta"/>
      </w:pPr>
      <w:r>
        <w:tab/>
        <w:t>(c)</w:t>
      </w:r>
      <w:r>
        <w:tab/>
        <w:t>a copy of an entry in the Business Names Register, provided under the BNR Act section 60, as to the person or persons in relation to whom the business name is registered.</w:t>
      </w:r>
    </w:p>
    <w:p>
      <w:pPr>
        <w:pStyle w:val="Footnotesection"/>
        <w:ind w:left="890" w:hanging="890"/>
      </w:pPr>
      <w:r>
        <w:tab/>
        <w:t>[Regulation 18 inserted in Gazette 28 Feb 2007 p. 645-6; amended in Gazette 27 Nov 2012 p. 5734.]</w:t>
      </w:r>
    </w:p>
    <w:p>
      <w:pPr>
        <w:pStyle w:val="Heading5"/>
      </w:pPr>
      <w:bookmarkStart w:id="119" w:name="_Toc473106885"/>
      <w:bookmarkStart w:id="120" w:name="_Toc472005930"/>
      <w:r>
        <w:rPr>
          <w:rStyle w:val="CharSectno"/>
        </w:rPr>
        <w:t>19</w:t>
      </w:r>
      <w:r>
        <w:t>.</w:t>
      </w:r>
      <w:r>
        <w:tab/>
        <w:t>Application for renewal of licence</w:t>
      </w:r>
      <w:bookmarkEnd w:id="119"/>
      <w:bookmarkEnd w:id="120"/>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copy of an entry in the Business Names Register, provided under the BNR Act section 60,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copy of an entry in the Business Names Register, provided under the BNR Act section 60,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ind w:left="890" w:hanging="890"/>
      </w:pPr>
      <w:r>
        <w:tab/>
        <w:t>[Regulation 19 inserted in Gazette 28 Feb 2007 p. 646-7; amended in Gazette 27 Nov 2012 p. 5734.]</w:t>
      </w:r>
    </w:p>
    <w:p>
      <w:pPr>
        <w:pStyle w:val="Heading5"/>
      </w:pPr>
      <w:bookmarkStart w:id="121" w:name="_Toc473106886"/>
      <w:bookmarkStart w:id="122" w:name="_Toc472005931"/>
      <w:r>
        <w:rPr>
          <w:rStyle w:val="CharSectno"/>
        </w:rPr>
        <w:t>20</w:t>
      </w:r>
      <w:r>
        <w:t>.</w:t>
      </w:r>
      <w:r>
        <w:tab/>
        <w:t>Conditions of general application</w:t>
      </w:r>
      <w:bookmarkEnd w:id="121"/>
      <w:bookmarkEnd w:id="122"/>
    </w:p>
    <w:p>
      <w:pPr>
        <w:pStyle w:val="Subsection"/>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pPr>
      <w:r>
        <w:tab/>
        <w:t>(a)</w:t>
      </w:r>
      <w:r>
        <w:tab/>
        <w:t>is instructed not to sell a tobacco product or a smoking implement to a person who has not reached 18 years of age; and</w:t>
      </w:r>
    </w:p>
    <w:p>
      <w:pPr>
        <w:pStyle w:val="Indenta"/>
      </w:pPr>
      <w:r>
        <w:tab/>
        <w:t>(b)</w:t>
      </w:r>
      <w:r>
        <w:tab/>
        <w:t xml:space="preserve">is instructed not to sell a tobacco product or a smoking implement to a person unless the employee or agent — </w:t>
      </w:r>
    </w:p>
    <w:p>
      <w:pPr>
        <w:pStyle w:val="Indenti"/>
      </w:pPr>
      <w:r>
        <w:tab/>
        <w:t>(i)</w:t>
      </w:r>
      <w:r>
        <w:tab/>
        <w:t>sees a document mentioned in section 15(1) that satisfies the employee or agent that the person who is to take possession of the tobacco product or smoking implement has reached 18 years of age; or</w:t>
      </w:r>
    </w:p>
    <w:p>
      <w:pPr>
        <w:pStyle w:val="Indenti"/>
      </w:pPr>
      <w:r>
        <w:tab/>
        <w:t>(ii)</w:t>
      </w:r>
      <w:r>
        <w:tab/>
        <w:t>has no reason to believe that the person who is to take possession of the tobacco product or smoking implement has not reached 18 years of age;</w:t>
      </w:r>
    </w:p>
    <w:p>
      <w:pPr>
        <w:pStyle w:val="Indenta"/>
      </w:pPr>
      <w:r>
        <w:tab/>
      </w:r>
      <w:r>
        <w:tab/>
        <w:t>and</w:t>
      </w:r>
    </w:p>
    <w:p>
      <w:pPr>
        <w:pStyle w:val="Indenta"/>
      </w:pPr>
      <w:r>
        <w:tab/>
        <w:t>(c)</w:t>
      </w:r>
      <w:r>
        <w:tab/>
        <w:t>is informed of the provisions of the Act Part 2 Division 1; and</w:t>
      </w:r>
    </w:p>
    <w:p>
      <w:pPr>
        <w:pStyle w:val="Indenta"/>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123" w:name="_Toc473106887"/>
      <w:bookmarkStart w:id="124" w:name="_Toc472005932"/>
      <w:r>
        <w:rPr>
          <w:rStyle w:val="CharSectno"/>
        </w:rPr>
        <w:t>21</w:t>
      </w:r>
      <w:r>
        <w:t>.</w:t>
      </w:r>
      <w:r>
        <w:tab/>
        <w:t>Application to amend licence</w:t>
      </w:r>
      <w:bookmarkEnd w:id="123"/>
      <w:bookmarkEnd w:id="124"/>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copy of an entry in the Business Names Register, provided under the BNR Act section 60,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21 inserted in Gazette 28 Feb 2007 p. 649-50; amended in Gazette 27 Nov 2012 p. 5735.]</w:t>
      </w:r>
    </w:p>
    <w:p>
      <w:pPr>
        <w:pStyle w:val="Heading5"/>
      </w:pPr>
      <w:bookmarkStart w:id="125" w:name="_Toc473106888"/>
      <w:bookmarkStart w:id="126" w:name="_Toc472005933"/>
      <w:r>
        <w:rPr>
          <w:rStyle w:val="CharSectno"/>
        </w:rPr>
        <w:t>22</w:t>
      </w:r>
      <w:r>
        <w:t>.</w:t>
      </w:r>
      <w:r>
        <w:tab/>
        <w:t>Register of licences</w:t>
      </w:r>
      <w:bookmarkEnd w:id="125"/>
      <w:bookmarkEnd w:id="126"/>
    </w:p>
    <w:p>
      <w:pPr>
        <w:pStyle w:val="Subsection"/>
        <w:keepNext/>
      </w:pPr>
      <w:r>
        <w:tab/>
      </w:r>
      <w:r>
        <w:tab/>
        <w:t xml:space="preserve">Particulars of the offences under the Act for which the holder of the licence has been convicted are prescribed for the purposes of section 45(1)(g). </w:t>
      </w:r>
    </w:p>
    <w:p>
      <w:pPr>
        <w:pStyle w:val="Footnotesection"/>
        <w:ind w:left="890" w:hanging="890"/>
      </w:pPr>
      <w:r>
        <w:tab/>
        <w:t>[Regulation 22 inserted in Gazette 28 Feb 2007 p. 650.]</w:t>
      </w:r>
    </w:p>
    <w:p>
      <w:pPr>
        <w:pStyle w:val="Heading3"/>
        <w:pageBreakBefore/>
        <w:spacing w:before="0"/>
      </w:pPr>
      <w:bookmarkStart w:id="127" w:name="_Toc450221267"/>
      <w:bookmarkStart w:id="128" w:name="_Toc450295003"/>
      <w:bookmarkStart w:id="129" w:name="_Toc455401198"/>
      <w:bookmarkStart w:id="130" w:name="_Toc473036253"/>
      <w:bookmarkStart w:id="131" w:name="_Toc473036402"/>
      <w:bookmarkStart w:id="132" w:name="_Toc473106889"/>
      <w:bookmarkStart w:id="133" w:name="_Toc471974584"/>
      <w:bookmarkStart w:id="134" w:name="_Toc472005934"/>
      <w:r>
        <w:rPr>
          <w:rStyle w:val="CharDivNo"/>
        </w:rPr>
        <w:t>Division 2</w:t>
      </w:r>
      <w:r>
        <w:t> — </w:t>
      </w:r>
      <w:r>
        <w:rPr>
          <w:rStyle w:val="CharDivText"/>
        </w:rPr>
        <w:t>Further obligations of licence holders</w:t>
      </w:r>
      <w:bookmarkEnd w:id="127"/>
      <w:bookmarkEnd w:id="128"/>
      <w:bookmarkEnd w:id="129"/>
      <w:bookmarkEnd w:id="130"/>
      <w:bookmarkEnd w:id="131"/>
      <w:bookmarkEnd w:id="132"/>
      <w:bookmarkEnd w:id="133"/>
      <w:bookmarkEnd w:id="134"/>
    </w:p>
    <w:p>
      <w:pPr>
        <w:pStyle w:val="Footnoteheading"/>
      </w:pPr>
      <w:r>
        <w:tab/>
        <w:t>[Heading inserted in Gazette 28 Feb 2007 p. 650.]</w:t>
      </w:r>
    </w:p>
    <w:p>
      <w:pPr>
        <w:pStyle w:val="Heading5"/>
      </w:pPr>
      <w:bookmarkStart w:id="135" w:name="_Toc473106890"/>
      <w:bookmarkStart w:id="136" w:name="_Toc472005935"/>
      <w:r>
        <w:rPr>
          <w:rStyle w:val="CharSectno"/>
        </w:rPr>
        <w:t>23</w:t>
      </w:r>
      <w:r>
        <w:t>.</w:t>
      </w:r>
      <w:r>
        <w:tab/>
        <w:t>Licence details on invoices etc.</w:t>
      </w:r>
      <w:bookmarkEnd w:id="135"/>
      <w:bookmarkEnd w:id="136"/>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 xml:space="preserve">the tobacco product was supplied from outside </w:t>
      </w:r>
      <w:smartTag w:uri="urn:schemas-microsoft-com:office:smarttags" w:element="place">
        <w:smartTag w:uri="urn:schemas-microsoft-com:office:smarttags" w:element="State">
          <w:r>
            <w:t>Western Australia</w:t>
          </w:r>
        </w:smartTag>
      </w:smartTag>
      <w:r>
        <w:t>;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137" w:name="_Toc473106891"/>
      <w:bookmarkStart w:id="138" w:name="_Toc472005936"/>
      <w:r>
        <w:rPr>
          <w:rStyle w:val="CharSectno"/>
        </w:rPr>
        <w:t>24</w:t>
      </w:r>
      <w:r>
        <w:t>.</w:t>
      </w:r>
      <w:r>
        <w:tab/>
        <w:t>Records to be kept</w:t>
      </w:r>
      <w:bookmarkEnd w:id="137"/>
      <w:bookmarkEnd w:id="138"/>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139" w:name="_Toc450221270"/>
      <w:bookmarkStart w:id="140" w:name="_Toc450295006"/>
      <w:bookmarkStart w:id="141" w:name="_Toc455401201"/>
      <w:bookmarkStart w:id="142" w:name="_Toc473036256"/>
      <w:bookmarkStart w:id="143" w:name="_Toc473036405"/>
      <w:bookmarkStart w:id="144" w:name="_Toc473106892"/>
      <w:bookmarkStart w:id="145" w:name="_Toc471974587"/>
      <w:bookmarkStart w:id="146" w:name="_Toc472005937"/>
      <w:r>
        <w:rPr>
          <w:rStyle w:val="CharDivNo"/>
        </w:rPr>
        <w:t>Division 3</w:t>
      </w:r>
      <w:r>
        <w:t> — </w:t>
      </w:r>
      <w:r>
        <w:rPr>
          <w:rStyle w:val="CharDivText"/>
        </w:rPr>
        <w:t>Fees</w:t>
      </w:r>
      <w:bookmarkEnd w:id="139"/>
      <w:bookmarkEnd w:id="140"/>
      <w:bookmarkEnd w:id="141"/>
      <w:bookmarkEnd w:id="142"/>
      <w:bookmarkEnd w:id="143"/>
      <w:bookmarkEnd w:id="144"/>
      <w:bookmarkEnd w:id="145"/>
      <w:bookmarkEnd w:id="146"/>
    </w:p>
    <w:p>
      <w:pPr>
        <w:pStyle w:val="Footnoteheading"/>
      </w:pPr>
      <w:r>
        <w:tab/>
        <w:t>[Heading inserted in Gazette 28 Feb 2007 p. 651.]</w:t>
      </w:r>
    </w:p>
    <w:p>
      <w:pPr>
        <w:pStyle w:val="Heading5"/>
        <w:rPr>
          <w:snapToGrid w:val="0"/>
        </w:rPr>
      </w:pPr>
      <w:bookmarkStart w:id="147" w:name="_Toc473106893"/>
      <w:bookmarkStart w:id="148" w:name="_Toc472005938"/>
      <w:r>
        <w:rPr>
          <w:rStyle w:val="CharSectno"/>
        </w:rPr>
        <w:t>25</w:t>
      </w:r>
      <w:r>
        <w:rPr>
          <w:snapToGrid w:val="0"/>
        </w:rPr>
        <w:t>.</w:t>
      </w:r>
      <w:r>
        <w:rPr>
          <w:snapToGrid w:val="0"/>
        </w:rPr>
        <w:tab/>
        <w:t>Fees to be paid on application for issue of licence</w:t>
      </w:r>
      <w:bookmarkEnd w:id="147"/>
      <w:bookmarkEnd w:id="148"/>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r>
      <w:r>
        <w:t>$65.00</w:t>
      </w:r>
      <w:r>
        <w:rPr>
          <w:snapToGrid w:val="0"/>
        </w:rPr>
        <w:t xml:space="preserve"> for a retailer’s licence; and</w:t>
      </w:r>
    </w:p>
    <w:p>
      <w:pPr>
        <w:pStyle w:val="Indenta"/>
        <w:rPr>
          <w:snapToGrid w:val="0"/>
        </w:rPr>
      </w:pPr>
      <w:r>
        <w:tab/>
        <w:t>(b)</w:t>
      </w:r>
      <w:r>
        <w:tab/>
        <w:t>$65.00</w:t>
      </w:r>
      <w:r>
        <w:rPr>
          <w:snapToGrid w:val="0"/>
        </w:rPr>
        <w:t xml:space="preserve"> </w:t>
      </w:r>
      <w:r>
        <w:t xml:space="preserve">for </w:t>
      </w:r>
      <w:r>
        <w:rPr>
          <w:snapToGrid w:val="0"/>
        </w:rPr>
        <w:t>an indirect seller’s licence; and</w:t>
      </w:r>
    </w:p>
    <w:p>
      <w:pPr>
        <w:pStyle w:val="Indenta"/>
      </w:pPr>
      <w:r>
        <w:tab/>
        <w:t>(c)</w:t>
      </w:r>
      <w:r>
        <w:tab/>
        <w:t xml:space="preserve">$163.00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$190.00 </w:t>
      </w:r>
      <w:r>
        <w:rPr>
          <w:snapToGrid w:val="0"/>
        </w:rPr>
        <w:t>for a retailer’s licence; and</w:t>
      </w:r>
    </w:p>
    <w:p>
      <w:pPr>
        <w:pStyle w:val="Indenta"/>
        <w:rPr>
          <w:snapToGrid w:val="0"/>
        </w:rPr>
      </w:pPr>
      <w:r>
        <w:tab/>
        <w:t>(b)</w:t>
      </w:r>
      <w:r>
        <w:tab/>
        <w:t xml:space="preserve">$190.00 for </w:t>
      </w:r>
      <w:r>
        <w:rPr>
          <w:snapToGrid w:val="0"/>
        </w:rPr>
        <w:t>an indirect seller’s licence; and</w:t>
      </w:r>
    </w:p>
    <w:p>
      <w:pPr>
        <w:pStyle w:val="Indenta"/>
      </w:pPr>
      <w:r>
        <w:tab/>
        <w:t>(c)</w:t>
      </w:r>
      <w:r>
        <w:tab/>
        <w:t xml:space="preserve">$487.00 for </w:t>
      </w:r>
      <w:r>
        <w:rPr>
          <w:snapToGrid w:val="0"/>
        </w:rPr>
        <w:t>a wholesaler’s licence.</w:t>
      </w:r>
      <w:r>
        <w:t xml:space="preserve"> </w:t>
      </w:r>
    </w:p>
    <w:p>
      <w:pPr>
        <w:pStyle w:val="Footnotesection"/>
      </w:pPr>
      <w:r>
        <w:tab/>
        <w:t>[Regulation 25 inserted in Gazette 28 Feb 2007 p. 651; amended in Gazette 20 Aug 2010 p. 4069</w:t>
      </w:r>
      <w:r>
        <w:noBreakHyphen/>
        <w:t>70; 12 Dec 2014 p. 4715</w:t>
      </w:r>
      <w:r>
        <w:noBreakHyphen/>
        <w:t>16; 19 May 2015 p. 1758; 17 Jun 2016 p. 2105.]</w:t>
      </w:r>
    </w:p>
    <w:p>
      <w:pPr>
        <w:pStyle w:val="Heading5"/>
        <w:rPr>
          <w:snapToGrid w:val="0"/>
        </w:rPr>
      </w:pPr>
      <w:bookmarkStart w:id="149" w:name="_Toc473106894"/>
      <w:bookmarkStart w:id="150" w:name="_Toc472005939"/>
      <w:r>
        <w:rPr>
          <w:rStyle w:val="CharSectno"/>
        </w:rPr>
        <w:t>26</w:t>
      </w:r>
      <w:r>
        <w:rPr>
          <w:snapToGrid w:val="0"/>
        </w:rPr>
        <w:t>.</w:t>
      </w:r>
      <w:r>
        <w:rPr>
          <w:snapToGrid w:val="0"/>
        </w:rPr>
        <w:tab/>
        <w:t>Fees to be paid on application for renewal of licence</w:t>
      </w:r>
      <w:bookmarkEnd w:id="149"/>
      <w:bookmarkEnd w:id="150"/>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r>
      <w:r>
        <w:t>$220.00</w:t>
      </w:r>
      <w:r>
        <w:rPr>
          <w:snapToGrid w:val="0"/>
        </w:rPr>
        <w:t xml:space="preserve"> for a retailer’s licence; and</w:t>
      </w:r>
    </w:p>
    <w:p>
      <w:pPr>
        <w:pStyle w:val="Indenta"/>
        <w:rPr>
          <w:snapToGrid w:val="0"/>
        </w:rPr>
      </w:pPr>
      <w:r>
        <w:tab/>
        <w:t>(b)</w:t>
      </w:r>
      <w:r>
        <w:tab/>
        <w:t>$220.00</w:t>
      </w:r>
      <w:r>
        <w:rPr>
          <w:snapToGrid w:val="0"/>
        </w:rPr>
        <w:t xml:space="preserve"> </w:t>
      </w:r>
      <w:r>
        <w:t xml:space="preserve">for </w:t>
      </w:r>
      <w:r>
        <w:rPr>
          <w:snapToGrid w:val="0"/>
        </w:rPr>
        <w:t>an indirect seller’s licence; and</w:t>
      </w:r>
    </w:p>
    <w:p>
      <w:pPr>
        <w:pStyle w:val="Indenta"/>
      </w:pPr>
      <w:r>
        <w:tab/>
        <w:t>(c)</w:t>
      </w:r>
      <w:r>
        <w:tab/>
        <w:t xml:space="preserve">$550.00 for </w:t>
      </w:r>
      <w:r>
        <w:rPr>
          <w:snapToGrid w:val="0"/>
        </w:rPr>
        <w:t>a wholesaler’s licence.</w:t>
      </w:r>
      <w:r>
        <w:t xml:space="preserve"> </w:t>
      </w:r>
    </w:p>
    <w:p>
      <w:pPr>
        <w:pStyle w:val="Footnotesection"/>
      </w:pPr>
      <w:r>
        <w:tab/>
        <w:t>[Regulation 26 inserted in Gazette 28 Feb 2007 p. 652; amended in Gazette 20 Aug 2010 p. 4069</w:t>
      </w:r>
      <w:r>
        <w:noBreakHyphen/>
        <w:t>70; 12 Dec 2014 p. 4716; 19 May 2015 p. 1758; 17 Jun 2016 p. 2105.]</w:t>
      </w:r>
    </w:p>
    <w:p>
      <w:pPr>
        <w:pStyle w:val="Heading5"/>
        <w:rPr>
          <w:snapToGrid w:val="0"/>
        </w:rPr>
      </w:pPr>
      <w:bookmarkStart w:id="151" w:name="_Toc473106895"/>
      <w:bookmarkStart w:id="152" w:name="_Toc472005940"/>
      <w:r>
        <w:rPr>
          <w:rStyle w:val="CharSectno"/>
        </w:rPr>
        <w:t>27</w:t>
      </w:r>
      <w:r>
        <w:rPr>
          <w:snapToGrid w:val="0"/>
        </w:rPr>
        <w:t>.</w:t>
      </w:r>
      <w:r>
        <w:rPr>
          <w:snapToGrid w:val="0"/>
        </w:rPr>
        <w:tab/>
        <w:t>Fee to be paid on application for amendment of licence</w:t>
      </w:r>
      <w:bookmarkEnd w:id="151"/>
      <w:bookmarkEnd w:id="152"/>
    </w:p>
    <w:p>
      <w:pPr>
        <w:pStyle w:val="Subsection"/>
        <w:rPr>
          <w:snapToGrid w:val="0"/>
        </w:rPr>
      </w:pPr>
      <w:r>
        <w:rPr>
          <w:snapToGrid w:val="0"/>
        </w:rPr>
        <w:tab/>
      </w:r>
      <w:r>
        <w:rPr>
          <w:snapToGrid w:val="0"/>
        </w:rPr>
        <w:tab/>
        <w:t xml:space="preserve">The application fee to be paid for the purposes of section 44(2)(c)(ii) is </w:t>
      </w:r>
      <w:r>
        <w:t>$65.00</w:t>
      </w:r>
      <w:r>
        <w:rPr>
          <w:snapToGrid w:val="0"/>
        </w:rPr>
        <w:t>.</w:t>
      </w:r>
    </w:p>
    <w:p>
      <w:pPr>
        <w:pStyle w:val="Footnotesection"/>
      </w:pPr>
      <w:r>
        <w:tab/>
        <w:t>[Regulation 27 inserted in Gazette 28 Feb 2007 p. 652; amended in Gazette 20 Aug 2010 p. 4069</w:t>
      </w:r>
      <w:r>
        <w:noBreakHyphen/>
        <w:t>70; 12 Dec 2014 p. 4716; 19 May 2015 p. 1758; 17 Jun 2016 p. 2105.]</w:t>
      </w:r>
    </w:p>
    <w:p>
      <w:pPr>
        <w:pStyle w:val="Heading5"/>
        <w:rPr>
          <w:snapToGrid w:val="0"/>
        </w:rPr>
      </w:pPr>
      <w:bookmarkStart w:id="153" w:name="_Toc473106896"/>
      <w:bookmarkStart w:id="154" w:name="_Toc472005941"/>
      <w:r>
        <w:rPr>
          <w:rStyle w:val="CharSectno"/>
        </w:rPr>
        <w:t>28</w:t>
      </w:r>
      <w:r>
        <w:rPr>
          <w:snapToGrid w:val="0"/>
        </w:rPr>
        <w:t>.</w:t>
      </w:r>
      <w:r>
        <w:rPr>
          <w:snapToGrid w:val="0"/>
        </w:rPr>
        <w:tab/>
        <w:t>Fee to be paid for extract of registered particulars</w:t>
      </w:r>
      <w:bookmarkEnd w:id="153"/>
      <w:bookmarkEnd w:id="154"/>
    </w:p>
    <w:p>
      <w:pPr>
        <w:pStyle w:val="Subsection"/>
        <w:rPr>
          <w:snapToGrid w:val="0"/>
        </w:rPr>
      </w:pPr>
      <w:r>
        <w:rPr>
          <w:snapToGrid w:val="0"/>
        </w:rPr>
        <w:tab/>
      </w:r>
      <w:r>
        <w:rPr>
          <w:snapToGrid w:val="0"/>
        </w:rPr>
        <w:tab/>
        <w:t xml:space="preserve">The fee to be paid for the purposes of section 45(3) is </w:t>
      </w:r>
      <w:r>
        <w:t>$32.00</w:t>
      </w:r>
      <w:r>
        <w:rPr>
          <w:snapToGrid w:val="0"/>
        </w:rPr>
        <w:t>.</w:t>
      </w:r>
    </w:p>
    <w:p>
      <w:pPr>
        <w:pStyle w:val="Footnotesection"/>
      </w:pPr>
      <w:r>
        <w:tab/>
        <w:t>[Regulation 28 inserted in Gazette 28 Feb 2007 p. 652; amended in Gazette 20 Aug 2010 p. 4069</w:t>
      </w:r>
      <w:r>
        <w:noBreakHyphen/>
        <w:t>70; 12 Dec 2014 p. 4716; 19 May 2015 p. 1758; 17 Jun 2016 p. 2105.]</w:t>
      </w:r>
    </w:p>
    <w:p>
      <w:pPr>
        <w:pStyle w:val="Heading5"/>
        <w:rPr>
          <w:snapToGrid w:val="0"/>
        </w:rPr>
      </w:pPr>
      <w:bookmarkStart w:id="155" w:name="_Toc473106897"/>
      <w:bookmarkStart w:id="156" w:name="_Toc472005942"/>
      <w:r>
        <w:rPr>
          <w:rStyle w:val="CharSectno"/>
        </w:rPr>
        <w:t>29</w:t>
      </w:r>
      <w:r>
        <w:rPr>
          <w:snapToGrid w:val="0"/>
        </w:rPr>
        <w:t>.</w:t>
      </w:r>
      <w:r>
        <w:rPr>
          <w:snapToGrid w:val="0"/>
        </w:rPr>
        <w:tab/>
        <w:t>Fee to be paid for duplicate licence</w:t>
      </w:r>
      <w:bookmarkEnd w:id="155"/>
      <w:bookmarkEnd w:id="156"/>
    </w:p>
    <w:p>
      <w:pPr>
        <w:pStyle w:val="Subsection"/>
        <w:rPr>
          <w:snapToGrid w:val="0"/>
        </w:rPr>
      </w:pPr>
      <w:r>
        <w:rPr>
          <w:snapToGrid w:val="0"/>
        </w:rPr>
        <w:tab/>
      </w:r>
      <w:r>
        <w:rPr>
          <w:snapToGrid w:val="0"/>
        </w:rPr>
        <w:tab/>
        <w:t xml:space="preserve">The fee to be paid for the purposes of section 54(2) is </w:t>
      </w:r>
      <w:r>
        <w:t>$32.00</w:t>
      </w:r>
      <w:r>
        <w:rPr>
          <w:snapToGrid w:val="0"/>
        </w:rPr>
        <w:t>.</w:t>
      </w:r>
    </w:p>
    <w:p>
      <w:pPr>
        <w:pStyle w:val="Footnotesection"/>
      </w:pPr>
      <w:r>
        <w:tab/>
        <w:t>[Regulation 29 inserted in Gazette 28 Feb 2007 p. 652; amended in Gazette 20 Aug 2010 p. 4069</w:t>
      </w:r>
      <w:r>
        <w:noBreakHyphen/>
        <w:t>70; 12 Dec 2014 p. 4716; 19 May 2015 p. 1758; 17 Jun 2016 p. 2105.]</w:t>
      </w:r>
    </w:p>
    <w:p>
      <w:pPr>
        <w:pStyle w:val="Heading2"/>
      </w:pPr>
      <w:bookmarkStart w:id="157" w:name="_Toc450221276"/>
      <w:bookmarkStart w:id="158" w:name="_Toc450295012"/>
      <w:bookmarkStart w:id="159" w:name="_Toc455401207"/>
      <w:bookmarkStart w:id="160" w:name="_Toc473036262"/>
      <w:bookmarkStart w:id="161" w:name="_Toc473036411"/>
      <w:bookmarkStart w:id="162" w:name="_Toc473106898"/>
      <w:bookmarkStart w:id="163" w:name="_Toc471974593"/>
      <w:bookmarkStart w:id="164" w:name="_Toc472005943"/>
      <w:r>
        <w:rPr>
          <w:rStyle w:val="CharPartNo"/>
        </w:rPr>
        <w:t>Part 6</w:t>
      </w:r>
      <w:r>
        <w:rPr>
          <w:b w:val="0"/>
        </w:rPr>
        <w:t> </w:t>
      </w:r>
      <w:r>
        <w:t>—</w:t>
      </w:r>
      <w:r>
        <w:rPr>
          <w:b w:val="0"/>
        </w:rPr>
        <w:t>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157"/>
      <w:bookmarkEnd w:id="158"/>
      <w:bookmarkEnd w:id="159"/>
      <w:bookmarkEnd w:id="160"/>
      <w:bookmarkEnd w:id="161"/>
      <w:bookmarkEnd w:id="162"/>
      <w:bookmarkEnd w:id="163"/>
      <w:bookmarkEnd w:id="164"/>
    </w:p>
    <w:p>
      <w:pPr>
        <w:pStyle w:val="Footnoteheading"/>
      </w:pPr>
      <w:r>
        <w:tab/>
        <w:t>[Heading inserted in Gazette 28 Feb 2007 p. 653.]</w:t>
      </w:r>
    </w:p>
    <w:p>
      <w:pPr>
        <w:pStyle w:val="Heading3"/>
      </w:pPr>
      <w:bookmarkStart w:id="165" w:name="_Toc450221277"/>
      <w:bookmarkStart w:id="166" w:name="_Toc450295013"/>
      <w:bookmarkStart w:id="167" w:name="_Toc455401208"/>
      <w:bookmarkStart w:id="168" w:name="_Toc473036263"/>
      <w:bookmarkStart w:id="169" w:name="_Toc473036412"/>
      <w:bookmarkStart w:id="170" w:name="_Toc473106899"/>
      <w:bookmarkStart w:id="171" w:name="_Toc471974594"/>
      <w:bookmarkStart w:id="172" w:name="_Toc472005944"/>
      <w:r>
        <w:rPr>
          <w:rStyle w:val="CharDivNo"/>
        </w:rPr>
        <w:t>Division 1</w:t>
      </w:r>
      <w:r>
        <w:t> — </w:t>
      </w:r>
      <w:r>
        <w:rPr>
          <w:rStyle w:val="CharDivText"/>
        </w:rPr>
        <w:t>Terms used in this Part</w:t>
      </w:r>
      <w:bookmarkEnd w:id="165"/>
      <w:bookmarkEnd w:id="166"/>
      <w:bookmarkEnd w:id="167"/>
      <w:bookmarkEnd w:id="168"/>
      <w:bookmarkEnd w:id="169"/>
      <w:bookmarkEnd w:id="170"/>
      <w:bookmarkEnd w:id="171"/>
      <w:bookmarkEnd w:id="172"/>
    </w:p>
    <w:p>
      <w:pPr>
        <w:pStyle w:val="Footnoteheading"/>
      </w:pPr>
      <w:r>
        <w:tab/>
        <w:t>[Heading inserted in Gazette 28 Feb 2007 p. 653.]</w:t>
      </w:r>
    </w:p>
    <w:p>
      <w:pPr>
        <w:pStyle w:val="Heading5"/>
      </w:pPr>
      <w:bookmarkStart w:id="173" w:name="_Toc473106900"/>
      <w:bookmarkStart w:id="174" w:name="_Toc472005945"/>
      <w:r>
        <w:rPr>
          <w:rStyle w:val="CharSectno"/>
        </w:rPr>
        <w:t>30</w:t>
      </w:r>
      <w:r>
        <w:t>.</w:t>
      </w:r>
      <w:r>
        <w:tab/>
        <w:t>Terms used</w:t>
      </w:r>
      <w:bookmarkEnd w:id="173"/>
      <w:bookmarkEnd w:id="174"/>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pPr>
      <w:r>
        <w:tab/>
        <w:t>(a)</w:t>
      </w:r>
      <w:r>
        <w:tab/>
        <w:t xml:space="preserve">located at premises other than a duty free shop at an airport and — </w:t>
      </w:r>
    </w:p>
    <w:p>
      <w:pPr>
        <w:pStyle w:val="Defsubpara"/>
        <w:keepLines w:val="0"/>
      </w:pPr>
      <w:r>
        <w:tab/>
        <w:t>(i)</w:t>
      </w:r>
      <w:r>
        <w:tab/>
        <w:t>that stores and dispenses only tobacco products; and</w:t>
      </w:r>
    </w:p>
    <w:p>
      <w:pPr>
        <w:pStyle w:val="Defsubpara"/>
        <w:keepLines w:val="0"/>
      </w:pPr>
      <w:r>
        <w:tab/>
        <w:t>(ii)</w:t>
      </w:r>
      <w:r>
        <w:tab/>
        <w:t>that does not display tobacco products; and</w:t>
      </w:r>
    </w:p>
    <w:p>
      <w:pPr>
        <w:pStyle w:val="Defsubpara"/>
        <w:keepLines w:val="0"/>
      </w:pPr>
      <w:r>
        <w:tab/>
        <w:t>(iii)</w:t>
      </w:r>
      <w:r>
        <w:tab/>
        <w:t>that is operated by a retailer or an agent or employee of the retailer; and</w:t>
      </w:r>
    </w:p>
    <w:p>
      <w:pPr>
        <w:pStyle w:val="Defsubpara"/>
        <w:keepLines w:val="0"/>
      </w:pPr>
      <w:r>
        <w:tab/>
        <w:t>(iv)</w:t>
      </w:r>
      <w:r>
        <w:tab/>
        <w:t>that dispenses only single packets of cigarettes;</w:t>
      </w:r>
    </w:p>
    <w:p>
      <w:pPr>
        <w:pStyle w:val="Defpara"/>
      </w:pPr>
      <w:r>
        <w:tab/>
      </w:r>
      <w:r>
        <w:tab/>
        <w:t>or</w:t>
      </w:r>
    </w:p>
    <w:p>
      <w:pPr>
        <w:pStyle w:val="Defpara"/>
      </w:pPr>
      <w:r>
        <w:tab/>
        <w:t>(b)</w:t>
      </w:r>
      <w:r>
        <w:tab/>
        <w:t xml:space="preserve">located at a duty free shop at an airport and — </w:t>
      </w:r>
    </w:p>
    <w:p>
      <w:pPr>
        <w:pStyle w:val="Defsubpara"/>
        <w:keepLines w:val="0"/>
      </w:pPr>
      <w:r>
        <w:tab/>
        <w:t>(i)</w:t>
      </w:r>
      <w:r>
        <w:tab/>
        <w:t>that stores and dispenses only cartons of cigarettes; and</w:t>
      </w:r>
    </w:p>
    <w:p>
      <w:pPr>
        <w:pStyle w:val="Defsubpara"/>
        <w:keepLines w:val="0"/>
      </w:pPr>
      <w:r>
        <w:tab/>
        <w:t>(ii)</w:t>
      </w:r>
      <w:r>
        <w:tab/>
        <w:t>that does not display tobacco products; and</w:t>
      </w:r>
    </w:p>
    <w:p>
      <w:pPr>
        <w:pStyle w:val="Defsubpara"/>
        <w:keepLines w:val="0"/>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ind w:left="890" w:hanging="890"/>
      </w:pPr>
      <w:r>
        <w:tab/>
        <w:t>[Regulation 30 inserted in Gazette 28 Feb 2007 p. 653-4; amended in Gazette 10 Sep 2010 p. 4382-3.]</w:t>
      </w:r>
    </w:p>
    <w:p>
      <w:pPr>
        <w:pStyle w:val="Heading3"/>
      </w:pPr>
      <w:bookmarkStart w:id="175" w:name="_Toc450221279"/>
      <w:bookmarkStart w:id="176" w:name="_Toc450295015"/>
      <w:bookmarkStart w:id="177" w:name="_Toc455401210"/>
      <w:bookmarkStart w:id="178" w:name="_Toc473036265"/>
      <w:bookmarkStart w:id="179" w:name="_Toc473036414"/>
      <w:bookmarkStart w:id="180" w:name="_Toc473106901"/>
      <w:bookmarkStart w:id="181" w:name="_Toc471974596"/>
      <w:bookmarkStart w:id="182" w:name="_Toc472005946"/>
      <w:r>
        <w:rPr>
          <w:rStyle w:val="CharDivNo"/>
        </w:rPr>
        <w:t>Division 2</w:t>
      </w:r>
      <w:r>
        <w:t> — </w:t>
      </w:r>
      <w:r>
        <w:rPr>
          <w:rStyle w:val="CharDivText"/>
        </w:rPr>
        <w:t>Proof of age</w:t>
      </w:r>
      <w:bookmarkEnd w:id="175"/>
      <w:bookmarkEnd w:id="176"/>
      <w:bookmarkEnd w:id="177"/>
      <w:bookmarkEnd w:id="178"/>
      <w:bookmarkEnd w:id="179"/>
      <w:bookmarkEnd w:id="180"/>
      <w:bookmarkEnd w:id="181"/>
      <w:bookmarkEnd w:id="182"/>
    </w:p>
    <w:p>
      <w:pPr>
        <w:pStyle w:val="Footnoteheading"/>
      </w:pPr>
      <w:r>
        <w:tab/>
        <w:t>[Heading inserted in Gazette 28 Feb 2007 p. 654.]</w:t>
      </w:r>
    </w:p>
    <w:p>
      <w:pPr>
        <w:pStyle w:val="Heading5"/>
      </w:pPr>
      <w:bookmarkStart w:id="183" w:name="_Toc473106902"/>
      <w:bookmarkStart w:id="184" w:name="_Toc472005947"/>
      <w:r>
        <w:rPr>
          <w:rStyle w:val="CharSectno"/>
        </w:rPr>
        <w:t>31</w:t>
      </w:r>
      <w:r>
        <w:t>.</w:t>
      </w:r>
      <w:r>
        <w:tab/>
        <w:t>Proof of age</w:t>
      </w:r>
      <w:bookmarkEnd w:id="183"/>
      <w:bookmarkEnd w:id="184"/>
    </w:p>
    <w:p>
      <w:pPr>
        <w:pStyle w:val="Subsection"/>
      </w:pPr>
      <w:r>
        <w:tab/>
      </w:r>
      <w:r>
        <w:tab/>
        <w:t xml:space="preserve">For the purposes of section 15(1)(c), the following documents are prescribed — </w:t>
      </w:r>
    </w:p>
    <w:p>
      <w:pPr>
        <w:pStyle w:val="Indenta"/>
      </w:pPr>
      <w:r>
        <w:tab/>
        <w:t>(a)</w:t>
      </w:r>
      <w:r>
        <w:tab/>
        <w:t xml:space="preserve">a current photo card as defined in the </w:t>
      </w:r>
      <w:r>
        <w:rPr>
          <w:i/>
        </w:rPr>
        <w:t>Western Australian Photo Card Regulations 2014</w:t>
      </w:r>
      <w:r>
        <w:t xml:space="preserve"> regulation 3;</w:t>
      </w:r>
    </w:p>
    <w:p>
      <w:pPr>
        <w:pStyle w:val="Indenta"/>
      </w:pPr>
      <w:r>
        <w:tab/>
        <w:t>(b)</w:t>
      </w:r>
      <w:r>
        <w:tab/>
        <w:t xml:space="preserve">a proof of age card issued to a person under the </w:t>
      </w:r>
      <w:r>
        <w:rPr>
          <w:i/>
        </w:rPr>
        <w:t>Liquor Control Regulations 1989</w:t>
      </w:r>
      <w:r>
        <w:t xml:space="preserve"> regulation 18B.</w:t>
      </w:r>
    </w:p>
    <w:p>
      <w:pPr>
        <w:pStyle w:val="Footnotesection"/>
      </w:pPr>
      <w:r>
        <w:tab/>
        <w:t>[Regulation 31 inserted in Gazette 27 Jun 2014 p. 2331.]</w:t>
      </w:r>
    </w:p>
    <w:p>
      <w:pPr>
        <w:pStyle w:val="Heading3"/>
      </w:pPr>
      <w:bookmarkStart w:id="185" w:name="_Toc450221281"/>
      <w:bookmarkStart w:id="186" w:name="_Toc450295017"/>
      <w:bookmarkStart w:id="187" w:name="_Toc455401212"/>
      <w:bookmarkStart w:id="188" w:name="_Toc473036267"/>
      <w:bookmarkStart w:id="189" w:name="_Toc473036416"/>
      <w:bookmarkStart w:id="190" w:name="_Toc473106903"/>
      <w:bookmarkStart w:id="191" w:name="_Toc471974598"/>
      <w:bookmarkStart w:id="192" w:name="_Toc472005948"/>
      <w:r>
        <w:rPr>
          <w:rStyle w:val="CharDivNo"/>
        </w:rPr>
        <w:t>Division 3</w:t>
      </w:r>
      <w:r>
        <w:t> — </w:t>
      </w:r>
      <w:r>
        <w:rPr>
          <w:rStyle w:val="CharDivText"/>
        </w:rPr>
        <w:t>Labelling of tobacco products</w:t>
      </w:r>
      <w:bookmarkEnd w:id="185"/>
      <w:bookmarkEnd w:id="186"/>
      <w:bookmarkEnd w:id="187"/>
      <w:bookmarkEnd w:id="188"/>
      <w:bookmarkEnd w:id="189"/>
      <w:bookmarkEnd w:id="190"/>
      <w:bookmarkEnd w:id="191"/>
      <w:bookmarkEnd w:id="192"/>
    </w:p>
    <w:p>
      <w:pPr>
        <w:pStyle w:val="Footnoteheading"/>
        <w:keepNext/>
      </w:pPr>
      <w:r>
        <w:tab/>
        <w:t>[Heading inserted in Gazette 28 Feb 2007 p. 655.]</w:t>
      </w:r>
    </w:p>
    <w:p>
      <w:pPr>
        <w:pStyle w:val="Heading5"/>
      </w:pPr>
      <w:bookmarkStart w:id="193" w:name="_Toc473106904"/>
      <w:bookmarkStart w:id="194" w:name="_Toc472005949"/>
      <w:r>
        <w:rPr>
          <w:rStyle w:val="CharSectno"/>
        </w:rPr>
        <w:t>32</w:t>
      </w:r>
      <w:r>
        <w:t>.</w:t>
      </w:r>
      <w:r>
        <w:tab/>
        <w:t>Labelling of tobacco products</w:t>
      </w:r>
      <w:bookmarkEnd w:id="193"/>
      <w:bookmarkEnd w:id="194"/>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ind w:left="890" w:hanging="890"/>
      </w:pPr>
      <w:r>
        <w:tab/>
        <w:t>[Regulation 32 inserted in Gazette 28 Feb 2007 p. 655.]</w:t>
      </w:r>
    </w:p>
    <w:p>
      <w:pPr>
        <w:pStyle w:val="Heading3"/>
      </w:pPr>
      <w:bookmarkStart w:id="195" w:name="_Toc450221283"/>
      <w:bookmarkStart w:id="196" w:name="_Toc450295019"/>
      <w:bookmarkStart w:id="197" w:name="_Toc455401214"/>
      <w:bookmarkStart w:id="198" w:name="_Toc473036269"/>
      <w:bookmarkStart w:id="199" w:name="_Toc473036418"/>
      <w:bookmarkStart w:id="200" w:name="_Toc473106905"/>
      <w:bookmarkStart w:id="201" w:name="_Toc471974600"/>
      <w:bookmarkStart w:id="202" w:name="_Toc472005950"/>
      <w:r>
        <w:rPr>
          <w:rStyle w:val="CharDivNo"/>
        </w:rPr>
        <w:t>Division 4</w:t>
      </w:r>
      <w:r>
        <w:t> — </w:t>
      </w:r>
      <w:r>
        <w:rPr>
          <w:rStyle w:val="CharDivText"/>
        </w:rPr>
        <w:t>Location and display of tobacco products and smoking implements</w:t>
      </w:r>
      <w:bookmarkEnd w:id="195"/>
      <w:bookmarkEnd w:id="196"/>
      <w:bookmarkEnd w:id="197"/>
      <w:bookmarkEnd w:id="198"/>
      <w:bookmarkEnd w:id="199"/>
      <w:bookmarkEnd w:id="200"/>
      <w:bookmarkEnd w:id="201"/>
      <w:bookmarkEnd w:id="202"/>
    </w:p>
    <w:p>
      <w:pPr>
        <w:pStyle w:val="Footnoteheading"/>
      </w:pPr>
      <w:r>
        <w:tab/>
        <w:t>[Heading inserted in Gazette 10 Sep 2010 p. 4383.]</w:t>
      </w:r>
    </w:p>
    <w:p>
      <w:pPr>
        <w:pStyle w:val="Heading5"/>
      </w:pPr>
      <w:bookmarkStart w:id="203" w:name="_Toc473106906"/>
      <w:bookmarkStart w:id="204" w:name="_Toc472005951"/>
      <w:r>
        <w:rPr>
          <w:rStyle w:val="CharSectno"/>
        </w:rPr>
        <w:t>33</w:t>
      </w:r>
      <w:r>
        <w:t>.</w:t>
      </w:r>
      <w:r>
        <w:tab/>
        <w:t>Packages that cannot be displayed by specialist retailer</w:t>
      </w:r>
      <w:bookmarkEnd w:id="203"/>
      <w:bookmarkEnd w:id="204"/>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205" w:name="_Toc473106907"/>
      <w:bookmarkStart w:id="206" w:name="_Toc472005952"/>
      <w:r>
        <w:rPr>
          <w:rStyle w:val="CharSectno"/>
        </w:rPr>
        <w:t>34</w:t>
      </w:r>
      <w:r>
        <w:t>.</w:t>
      </w:r>
      <w:r>
        <w:tab/>
        <w:t>Location of tobacco products or smoking implements on retail premises</w:t>
      </w:r>
      <w:bookmarkEnd w:id="205"/>
      <w:bookmarkEnd w:id="206"/>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spacing w:before="120"/>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spacing w:before="60"/>
      </w:pPr>
      <w:r>
        <w:tab/>
        <w:t>(i)</w:t>
      </w:r>
      <w:r>
        <w:tab/>
        <w:t>behind (but not on) a counter across which customers are served on the seller’s side; or</w:t>
      </w:r>
    </w:p>
    <w:p>
      <w:pPr>
        <w:pStyle w:val="Indenti"/>
        <w:spacing w:before="60"/>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spacing w:before="60"/>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spacing w:before="120"/>
      </w:pPr>
      <w:r>
        <w:tab/>
        <w:t>(5)</w:t>
      </w:r>
      <w:r>
        <w:tab/>
        <w:t>A retailer must ensure that tobacco products and smoking implements kept on the retail premises —</w:t>
      </w:r>
    </w:p>
    <w:p>
      <w:pPr>
        <w:pStyle w:val="Indenta"/>
        <w:spacing w:before="60"/>
      </w:pPr>
      <w:r>
        <w:tab/>
        <w:t>(a)</w:t>
      </w:r>
      <w:r>
        <w:tab/>
        <w:t>are not located within 1 m of confectionery or products that are designed specifically for, or marketed specifically to, children; or</w:t>
      </w:r>
    </w:p>
    <w:p>
      <w:pPr>
        <w:pStyle w:val="Indenta"/>
        <w:spacing w:before="60"/>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spacing w:before="60"/>
      </w:pPr>
      <w:r>
        <w:tab/>
        <w:t>Penalty: a fine of $2 000.</w:t>
      </w:r>
    </w:p>
    <w:p>
      <w:pPr>
        <w:pStyle w:val="Footnotesection"/>
        <w:keepLines w:val="0"/>
        <w:spacing w:before="60"/>
        <w:ind w:left="890" w:hanging="890"/>
      </w:pPr>
      <w:r>
        <w:tab/>
        <w:t>[Regulation 34 inserted in Gazette 10 Sep 2010 p. 4384-6.]</w:t>
      </w:r>
    </w:p>
    <w:p>
      <w:pPr>
        <w:pStyle w:val="Heading5"/>
      </w:pPr>
      <w:bookmarkStart w:id="207" w:name="_Toc473106908"/>
      <w:bookmarkStart w:id="208" w:name="_Toc472005953"/>
      <w:r>
        <w:rPr>
          <w:rStyle w:val="CharSectno"/>
        </w:rPr>
        <w:t>35</w:t>
      </w:r>
      <w:r>
        <w:t>.</w:t>
      </w:r>
      <w:r>
        <w:tab/>
        <w:t>Surface area of displays in cigar cabinets</w:t>
      </w:r>
      <w:bookmarkEnd w:id="207"/>
      <w:bookmarkEnd w:id="208"/>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209" w:name="_Toc473106909"/>
      <w:bookmarkStart w:id="210" w:name="_Toc472005954"/>
      <w:r>
        <w:rPr>
          <w:rStyle w:val="CharSectno"/>
        </w:rPr>
        <w:t>36</w:t>
      </w:r>
      <w:r>
        <w:t>.</w:t>
      </w:r>
      <w:r>
        <w:tab/>
        <w:t>Type of tobacco products on retail premises and manner of storage</w:t>
      </w:r>
      <w:bookmarkEnd w:id="209"/>
      <w:bookmarkEnd w:id="210"/>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211" w:name="_Toc473106910"/>
      <w:bookmarkStart w:id="212" w:name="_Toc472005955"/>
      <w:r>
        <w:rPr>
          <w:rStyle w:val="CharSectno"/>
        </w:rPr>
        <w:t>37</w:t>
      </w:r>
      <w:r>
        <w:t>.</w:t>
      </w:r>
      <w:r>
        <w:tab/>
        <w:t>Display of tobacco products, smoking implements or product lines by specialist retailer</w:t>
      </w:r>
      <w:bookmarkEnd w:id="211"/>
      <w:bookmarkEnd w:id="212"/>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keepNext w:val="0"/>
        <w:pageBreakBefore/>
        <w:spacing w:before="0"/>
      </w:pPr>
      <w:bookmarkStart w:id="213" w:name="_Toc450221289"/>
      <w:bookmarkStart w:id="214" w:name="_Toc450295025"/>
      <w:bookmarkStart w:id="215" w:name="_Toc455401220"/>
      <w:bookmarkStart w:id="216" w:name="_Toc473036275"/>
      <w:bookmarkStart w:id="217" w:name="_Toc473036424"/>
      <w:bookmarkStart w:id="218" w:name="_Toc473106911"/>
      <w:bookmarkStart w:id="219" w:name="_Toc471974606"/>
      <w:bookmarkStart w:id="220" w:name="_Toc472005956"/>
      <w:r>
        <w:rPr>
          <w:rStyle w:val="CharDivNo"/>
        </w:rPr>
        <w:t>Division 5</w:t>
      </w:r>
      <w:r>
        <w:t> — </w:t>
      </w:r>
      <w:r>
        <w:rPr>
          <w:rStyle w:val="CharDivText"/>
        </w:rPr>
        <w:t>Information about availability, price of tobacco products or smoking implements</w:t>
      </w:r>
      <w:bookmarkEnd w:id="213"/>
      <w:bookmarkEnd w:id="214"/>
      <w:bookmarkEnd w:id="215"/>
      <w:bookmarkEnd w:id="216"/>
      <w:bookmarkEnd w:id="217"/>
      <w:bookmarkEnd w:id="218"/>
      <w:bookmarkEnd w:id="219"/>
      <w:bookmarkEnd w:id="220"/>
    </w:p>
    <w:p>
      <w:pPr>
        <w:pStyle w:val="Footnoteheading"/>
      </w:pPr>
      <w:r>
        <w:tab/>
        <w:t>[Heading inserted in Gazette 28 Feb 2007 p. 659; amended in Gazette 10 Sep 2010 p. 4388.]</w:t>
      </w:r>
    </w:p>
    <w:p>
      <w:pPr>
        <w:pStyle w:val="Heading5"/>
      </w:pPr>
      <w:bookmarkStart w:id="221" w:name="_Toc473106912"/>
      <w:bookmarkStart w:id="222" w:name="_Toc472005957"/>
      <w:r>
        <w:rPr>
          <w:rStyle w:val="CharSectno"/>
        </w:rPr>
        <w:t>39</w:t>
      </w:r>
      <w:r>
        <w:t>.</w:t>
      </w:r>
      <w:r>
        <w:tab/>
        <w:t>Information signs about availability or prices of tobacco products or smoking implements sold by retailers — location</w:t>
      </w:r>
      <w:bookmarkEnd w:id="221"/>
      <w:bookmarkEnd w:id="222"/>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223" w:name="_Toc473106913"/>
      <w:bookmarkStart w:id="224" w:name="_Toc472005958"/>
      <w:r>
        <w:rPr>
          <w:rStyle w:val="CharSectno"/>
        </w:rPr>
        <w:t>40</w:t>
      </w:r>
      <w:r>
        <w:t>.</w:t>
      </w:r>
      <w:r>
        <w:tab/>
        <w:t>Information signs about availability or prices of tobacco products or smoking implements sold by retailers — contents</w:t>
      </w:r>
      <w:bookmarkEnd w:id="223"/>
      <w:bookmarkEnd w:id="224"/>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keepNext w:val="0"/>
        <w:keepLines w:val="0"/>
        <w:pageBreakBefore/>
        <w:spacing w:before="0"/>
      </w:pPr>
      <w:bookmarkStart w:id="225" w:name="_Toc473106914"/>
      <w:bookmarkStart w:id="226" w:name="_Toc472005959"/>
      <w:r>
        <w:rPr>
          <w:rStyle w:val="CharSectno"/>
        </w:rPr>
        <w:t>41</w:t>
      </w:r>
      <w:r>
        <w:t>.</w:t>
      </w:r>
      <w:r>
        <w:tab/>
        <w:t>Information signs about availability or prices of tobacco products or smoking implements sold by retailers — specifications</w:t>
      </w:r>
      <w:bookmarkEnd w:id="225"/>
      <w:bookmarkEnd w:id="226"/>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227" w:name="_Toc473106915"/>
      <w:bookmarkStart w:id="228" w:name="_Toc472005960"/>
      <w:r>
        <w:rPr>
          <w:rStyle w:val="CharSectno"/>
        </w:rPr>
        <w:t>42</w:t>
      </w:r>
      <w:r>
        <w:t>.</w:t>
      </w:r>
      <w:r>
        <w:tab/>
        <w:t>Information signs about availability or prices of tobacco products sold by retailers — cigar cabinets</w:t>
      </w:r>
      <w:bookmarkEnd w:id="227"/>
      <w:bookmarkEnd w:id="228"/>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40(2)(a) and (b) and 41(c), (d), (e) and (f). </w:t>
      </w:r>
    </w:p>
    <w:p>
      <w:pPr>
        <w:pStyle w:val="Footnotesection"/>
      </w:pPr>
      <w:r>
        <w:tab/>
        <w:t>[Regulation 42 inserted in Gazette 28 Feb 2007 p. 661.]</w:t>
      </w:r>
    </w:p>
    <w:p>
      <w:pPr>
        <w:pStyle w:val="Heading5"/>
      </w:pPr>
      <w:bookmarkStart w:id="229" w:name="_Toc473106916"/>
      <w:bookmarkStart w:id="230" w:name="_Toc472005961"/>
      <w:r>
        <w:rPr>
          <w:rStyle w:val="CharSectno"/>
        </w:rPr>
        <w:t>43</w:t>
      </w:r>
      <w:r>
        <w:t>.</w:t>
      </w:r>
      <w:r>
        <w:tab/>
        <w:t>Price tickets for tobacco products sold by retailers — location and numbers</w:t>
      </w:r>
      <w:bookmarkEnd w:id="229"/>
      <w:bookmarkEnd w:id="230"/>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231" w:name="_Toc473106917"/>
      <w:bookmarkStart w:id="232" w:name="_Toc472005962"/>
      <w:r>
        <w:rPr>
          <w:rStyle w:val="CharSectno"/>
        </w:rPr>
        <w:t>44</w:t>
      </w:r>
      <w:r>
        <w:t>.</w:t>
      </w:r>
      <w:r>
        <w:tab/>
        <w:t>Price tickets for tobacco products sold by retailers — contents</w:t>
      </w:r>
      <w:bookmarkEnd w:id="231"/>
      <w:bookmarkEnd w:id="232"/>
    </w:p>
    <w:p>
      <w:pPr>
        <w:pStyle w:val="Subsection"/>
      </w:pPr>
      <w:r>
        <w:tab/>
      </w:r>
      <w:r>
        <w:tab/>
        <w:t xml:space="preserve">For the purposes of section 24(1) and (2) a price ticket may display information about any of the following — </w:t>
      </w:r>
    </w:p>
    <w:p>
      <w:pPr>
        <w:pStyle w:val="Indenta"/>
      </w:pPr>
      <w:r>
        <w:tab/>
        <w:t>(a)</w:t>
      </w:r>
      <w:r>
        <w:tab/>
        <w:t xml:space="preserve">the brand name, nicotine content, tar content or flavour of a tobacco product; </w:t>
      </w:r>
    </w:p>
    <w:p>
      <w:pPr>
        <w:pStyle w:val="Indenta"/>
      </w:pPr>
      <w:r>
        <w:tab/>
        <w:t>(b)</w:t>
      </w:r>
      <w:r>
        <w:tab/>
        <w:t>the number of items in a package containing a tobacco product;</w:t>
      </w:r>
    </w:p>
    <w:p>
      <w:pPr>
        <w:pStyle w:val="Indenta"/>
      </w:pPr>
      <w:r>
        <w:tab/>
        <w:t>(c)</w:t>
      </w:r>
      <w:r>
        <w:tab/>
        <w:t>the country of origin of a tobacco product;</w:t>
      </w:r>
    </w:p>
    <w:p>
      <w:pPr>
        <w:pStyle w:val="Indenta"/>
      </w:pPr>
      <w:r>
        <w:tab/>
        <w:t>(d)</w:t>
      </w:r>
      <w:r>
        <w:tab/>
        <w:t>the price of a tobacco product.</w:t>
      </w:r>
    </w:p>
    <w:p>
      <w:pPr>
        <w:pStyle w:val="Footnotesection"/>
        <w:ind w:left="890" w:hanging="890"/>
      </w:pPr>
      <w:r>
        <w:tab/>
        <w:t>[Regulation 44 inserted in Gazette 28 Feb 2007 p. 662.]</w:t>
      </w:r>
    </w:p>
    <w:p>
      <w:pPr>
        <w:pStyle w:val="Heading5"/>
      </w:pPr>
      <w:bookmarkStart w:id="233" w:name="_Toc473106918"/>
      <w:bookmarkStart w:id="234" w:name="_Toc472005963"/>
      <w:r>
        <w:rPr>
          <w:rStyle w:val="CharSectno"/>
        </w:rPr>
        <w:t>45</w:t>
      </w:r>
      <w:r>
        <w:t>.</w:t>
      </w:r>
      <w:r>
        <w:tab/>
        <w:t>Price tickets for tobacco products sold by retailers — specifications</w:t>
      </w:r>
      <w:bookmarkEnd w:id="233"/>
      <w:bookmarkEnd w:id="234"/>
    </w:p>
    <w:p>
      <w:pPr>
        <w:pStyle w:val="Subsection"/>
      </w:pPr>
      <w:r>
        <w:tab/>
      </w:r>
      <w:r>
        <w:tab/>
        <w:t xml:space="preserve">For the purposes of section 24(1) and (2) — </w:t>
      </w:r>
    </w:p>
    <w:p>
      <w:pPr>
        <w:pStyle w:val="Indenta"/>
      </w:pPr>
      <w:r>
        <w:tab/>
        <w:t>(a)</w:t>
      </w:r>
      <w:r>
        <w:tab/>
        <w:t>a price ticket must not exceed 35 cm</w:t>
      </w:r>
      <w:r>
        <w:rPr>
          <w:vertAlign w:val="superscript"/>
        </w:rPr>
        <w:t>2</w:t>
      </w:r>
      <w:r>
        <w:t xml:space="preserve"> in area; and</w:t>
      </w:r>
    </w:p>
    <w:p>
      <w:pPr>
        <w:pStyle w:val="Indenta"/>
      </w:pPr>
      <w:r>
        <w:tab/>
        <w:t>(b)</w:t>
      </w:r>
      <w:r>
        <w:tab/>
        <w:t xml:space="preserve">a price ticket must have — </w:t>
      </w:r>
    </w:p>
    <w:p>
      <w:pPr>
        <w:pStyle w:val="Indenti"/>
      </w:pPr>
      <w:r>
        <w:tab/>
        <w:t>(i)</w:t>
      </w:r>
      <w:r>
        <w:tab/>
        <w:t xml:space="preserve">a white background with black lettering; or </w:t>
      </w:r>
    </w:p>
    <w:p>
      <w:pPr>
        <w:pStyle w:val="Indenti"/>
      </w:pPr>
      <w:r>
        <w:tab/>
        <w:t>(ii)</w:t>
      </w:r>
      <w:r>
        <w:tab/>
        <w:t xml:space="preserve">a black background with white lettering; or </w:t>
      </w:r>
    </w:p>
    <w:p>
      <w:pPr>
        <w:pStyle w:val="Indenti"/>
      </w:pPr>
      <w:r>
        <w:tab/>
        <w:t>(iii)</w:t>
      </w:r>
      <w:r>
        <w:tab/>
        <w:t>the same colour lettering and the same colour background as the other price tickets displayed in the premises unless the price ticket is in electronic form on a vending machine;</w:t>
      </w:r>
    </w:p>
    <w:p>
      <w:pPr>
        <w:pStyle w:val="Indenta"/>
      </w:pPr>
      <w:r>
        <w:tab/>
      </w:r>
      <w:r>
        <w:tab/>
        <w:t>and</w:t>
      </w:r>
    </w:p>
    <w:p>
      <w:pPr>
        <w:pStyle w:val="Indenta"/>
      </w:pPr>
      <w:r>
        <w:tab/>
        <w:t>(c)</w:t>
      </w:r>
      <w:r>
        <w:tab/>
        <w:t>all price tickets for tobacco products at the premises must have the same colour lettering and the same colour background; and</w:t>
      </w:r>
    </w:p>
    <w:p>
      <w:pPr>
        <w:pStyle w:val="Indenta"/>
      </w:pPr>
      <w:r>
        <w:tab/>
        <w:t>(d)</w:t>
      </w:r>
      <w:r>
        <w:tab/>
        <w:t>a price ticket must not contain a fluorescent colour unless the price ticket is in electronic form on a vending machine; and</w:t>
      </w:r>
    </w:p>
    <w:p>
      <w:pPr>
        <w:pStyle w:val="Indenta"/>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 and</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235" w:name="_Toc473106919"/>
      <w:bookmarkStart w:id="236" w:name="_Toc472005964"/>
      <w:r>
        <w:rPr>
          <w:rStyle w:val="CharSectno"/>
        </w:rPr>
        <w:t>46</w:t>
      </w:r>
      <w:r>
        <w:t>.</w:t>
      </w:r>
      <w:r>
        <w:tab/>
        <w:t>Price lists for tobacco products or smoking implements sold by retailers</w:t>
      </w:r>
      <w:bookmarkEnd w:id="235"/>
      <w:bookmarkEnd w:id="236"/>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spacing w:before="180"/>
      </w:pPr>
      <w:bookmarkStart w:id="237" w:name="_Toc473106920"/>
      <w:bookmarkStart w:id="238" w:name="_Toc472005965"/>
      <w:r>
        <w:rPr>
          <w:rStyle w:val="CharSectno"/>
        </w:rPr>
        <w:t>47</w:t>
      </w:r>
      <w:r>
        <w:t>.</w:t>
      </w:r>
      <w:r>
        <w:tab/>
        <w:t>Facsimiles of tobacco products displayed on price list</w:t>
      </w:r>
      <w:bookmarkEnd w:id="237"/>
      <w:bookmarkEnd w:id="238"/>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spacing w:before="200"/>
      </w:pPr>
      <w:bookmarkStart w:id="239" w:name="_Toc450221299"/>
      <w:bookmarkStart w:id="240" w:name="_Toc450295035"/>
      <w:bookmarkStart w:id="241" w:name="_Toc455401230"/>
      <w:bookmarkStart w:id="242" w:name="_Toc473036285"/>
      <w:bookmarkStart w:id="243" w:name="_Toc473036434"/>
      <w:bookmarkStart w:id="244" w:name="_Toc473106921"/>
      <w:bookmarkStart w:id="245" w:name="_Toc471974616"/>
      <w:bookmarkStart w:id="246" w:name="_Toc472005966"/>
      <w:r>
        <w:rPr>
          <w:rStyle w:val="CharDivNo"/>
        </w:rPr>
        <w:t>Division 6</w:t>
      </w:r>
      <w:r>
        <w:t> — </w:t>
      </w:r>
      <w:r>
        <w:rPr>
          <w:rStyle w:val="CharDivText"/>
        </w:rPr>
        <w:t>Warnings</w:t>
      </w:r>
      <w:bookmarkEnd w:id="239"/>
      <w:bookmarkEnd w:id="240"/>
      <w:bookmarkEnd w:id="241"/>
      <w:bookmarkEnd w:id="242"/>
      <w:bookmarkEnd w:id="243"/>
      <w:bookmarkEnd w:id="244"/>
      <w:bookmarkEnd w:id="245"/>
      <w:bookmarkEnd w:id="246"/>
    </w:p>
    <w:p>
      <w:pPr>
        <w:pStyle w:val="Footnoteheading"/>
        <w:spacing w:before="100"/>
      </w:pPr>
      <w:r>
        <w:tab/>
        <w:t>[Heading inserted in Gazette 28 Feb 2007 p. 666.]</w:t>
      </w:r>
    </w:p>
    <w:p>
      <w:pPr>
        <w:pStyle w:val="Heading5"/>
        <w:spacing w:before="180"/>
      </w:pPr>
      <w:bookmarkStart w:id="247" w:name="_Toc473106922"/>
      <w:bookmarkStart w:id="248" w:name="_Toc472005967"/>
      <w:r>
        <w:rPr>
          <w:rStyle w:val="CharSectno"/>
        </w:rPr>
        <w:t>48</w:t>
      </w:r>
      <w:r>
        <w:t>.</w:t>
      </w:r>
      <w:r>
        <w:tab/>
        <w:t>Warning signs about purchase of tobacco products etc. to underage persons — location</w:t>
      </w:r>
      <w:bookmarkEnd w:id="247"/>
      <w:bookmarkEnd w:id="248"/>
    </w:p>
    <w:p>
      <w:pPr>
        <w:pStyle w:val="Subsection"/>
        <w:spacing w:before="120"/>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249" w:name="_Toc473106923"/>
      <w:bookmarkStart w:id="250" w:name="_Toc472005968"/>
      <w:r>
        <w:rPr>
          <w:rStyle w:val="CharSectno"/>
        </w:rPr>
        <w:t>49</w:t>
      </w:r>
      <w:r>
        <w:t>.</w:t>
      </w:r>
      <w:r>
        <w:tab/>
        <w:t>Warning signs about purchase of tobacco products etc. to underage persons — content and specifications</w:t>
      </w:r>
      <w:bookmarkEnd w:id="249"/>
      <w:bookmarkEnd w:id="250"/>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251" w:name="_Toc473106924"/>
      <w:bookmarkStart w:id="252" w:name="_Toc472005969"/>
      <w:r>
        <w:rPr>
          <w:rStyle w:val="CharSectno"/>
        </w:rPr>
        <w:t>50</w:t>
      </w:r>
      <w:r>
        <w:t>.</w:t>
      </w:r>
      <w:r>
        <w:tab/>
        <w:t>Health warning signs — location</w:t>
      </w:r>
      <w:bookmarkEnd w:id="251"/>
      <w:bookmarkEnd w:id="252"/>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253" w:name="_Toc473106925"/>
      <w:bookmarkStart w:id="254" w:name="_Toc472005970"/>
      <w:r>
        <w:rPr>
          <w:rStyle w:val="CharSectno"/>
        </w:rPr>
        <w:t>51</w:t>
      </w:r>
      <w:r>
        <w:t>.</w:t>
      </w:r>
      <w:r>
        <w:tab/>
        <w:t>Health warning signs — content and specifications</w:t>
      </w:r>
      <w:bookmarkEnd w:id="253"/>
      <w:bookmarkEnd w:id="254"/>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255" w:name="_Toc450221304"/>
      <w:bookmarkStart w:id="256" w:name="_Toc450295040"/>
      <w:bookmarkStart w:id="257" w:name="_Toc455401235"/>
      <w:bookmarkStart w:id="258" w:name="_Toc473036290"/>
      <w:bookmarkStart w:id="259" w:name="_Toc473036439"/>
      <w:bookmarkStart w:id="260" w:name="_Toc473106926"/>
      <w:bookmarkStart w:id="261" w:name="_Toc471974621"/>
      <w:bookmarkStart w:id="262" w:name="_Toc472005971"/>
      <w:r>
        <w:rPr>
          <w:rStyle w:val="CharDivNo"/>
        </w:rPr>
        <w:t>Division 7</w:t>
      </w:r>
      <w:r>
        <w:t> — </w:t>
      </w:r>
      <w:r>
        <w:rPr>
          <w:rStyle w:val="CharDivText"/>
        </w:rPr>
        <w:t>Information and advice</w:t>
      </w:r>
      <w:bookmarkEnd w:id="255"/>
      <w:bookmarkEnd w:id="256"/>
      <w:bookmarkEnd w:id="257"/>
      <w:bookmarkEnd w:id="258"/>
      <w:bookmarkEnd w:id="259"/>
      <w:bookmarkEnd w:id="260"/>
      <w:bookmarkEnd w:id="261"/>
      <w:bookmarkEnd w:id="262"/>
    </w:p>
    <w:p>
      <w:pPr>
        <w:pStyle w:val="Footnoteheading"/>
      </w:pPr>
      <w:r>
        <w:tab/>
        <w:t>[Heading inserted in Gazette 28 Feb 2007 p. 668.]</w:t>
      </w:r>
    </w:p>
    <w:p>
      <w:pPr>
        <w:pStyle w:val="Heading5"/>
      </w:pPr>
      <w:bookmarkStart w:id="263" w:name="_Toc473106927"/>
      <w:bookmarkStart w:id="264" w:name="_Toc472005972"/>
      <w:r>
        <w:rPr>
          <w:rStyle w:val="CharSectno"/>
        </w:rPr>
        <w:t>52</w:t>
      </w:r>
      <w:r>
        <w:t>.</w:t>
      </w:r>
      <w:r>
        <w:tab/>
        <w:t>Retailers providing purchasers of tobacco products with approved guides</w:t>
      </w:r>
      <w:bookmarkEnd w:id="263"/>
      <w:bookmarkEnd w:id="264"/>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265" w:name="_Toc473106928"/>
      <w:bookmarkStart w:id="266" w:name="_Toc472005973"/>
      <w:r>
        <w:rPr>
          <w:rStyle w:val="CharSectno"/>
        </w:rPr>
        <w:t>53</w:t>
      </w:r>
      <w:r>
        <w:t>.</w:t>
      </w:r>
      <w:r>
        <w:tab/>
        <w:t>Retailers making approved guides available to purchasers of tobacco products</w:t>
      </w:r>
      <w:bookmarkEnd w:id="265"/>
      <w:bookmarkEnd w:id="266"/>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267" w:name="_Toc473106929"/>
      <w:bookmarkStart w:id="268" w:name="_Toc472005974"/>
      <w:r>
        <w:rPr>
          <w:rStyle w:val="CharSectno"/>
        </w:rPr>
        <w:t>54</w:t>
      </w:r>
      <w:r>
        <w:t>.</w:t>
      </w:r>
      <w:r>
        <w:tab/>
        <w:t>Wholesalers providing retailers with approved guides</w:t>
      </w:r>
      <w:bookmarkEnd w:id="267"/>
      <w:bookmarkEnd w:id="268"/>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269" w:name="_Toc450221308"/>
      <w:bookmarkStart w:id="270" w:name="_Toc450295044"/>
      <w:bookmarkStart w:id="271" w:name="_Toc455401239"/>
      <w:bookmarkStart w:id="272" w:name="_Toc473036294"/>
      <w:bookmarkStart w:id="273" w:name="_Toc473036443"/>
      <w:bookmarkStart w:id="274" w:name="_Toc473106930"/>
      <w:bookmarkStart w:id="275" w:name="_Toc471974625"/>
      <w:bookmarkStart w:id="276" w:name="_Toc472005975"/>
      <w:r>
        <w:rPr>
          <w:rStyle w:val="CharDivNo"/>
        </w:rPr>
        <w:t>Division 8</w:t>
      </w:r>
      <w:r>
        <w:t> — </w:t>
      </w:r>
      <w:r>
        <w:rPr>
          <w:rStyle w:val="CharDivText"/>
        </w:rPr>
        <w:t>Vending machines</w:t>
      </w:r>
      <w:bookmarkEnd w:id="269"/>
      <w:bookmarkEnd w:id="270"/>
      <w:bookmarkEnd w:id="271"/>
      <w:bookmarkEnd w:id="272"/>
      <w:bookmarkEnd w:id="273"/>
      <w:bookmarkEnd w:id="274"/>
      <w:bookmarkEnd w:id="275"/>
      <w:bookmarkEnd w:id="276"/>
    </w:p>
    <w:p>
      <w:pPr>
        <w:pStyle w:val="Footnoteheading"/>
      </w:pPr>
      <w:r>
        <w:tab/>
        <w:t>[Heading inserted in Gazette 28 Feb 2007 p. 669.]</w:t>
      </w:r>
    </w:p>
    <w:p>
      <w:pPr>
        <w:pStyle w:val="Heading5"/>
      </w:pPr>
      <w:bookmarkStart w:id="277" w:name="_Toc473106931"/>
      <w:bookmarkStart w:id="278" w:name="_Toc472005976"/>
      <w:r>
        <w:rPr>
          <w:rStyle w:val="CharSectno"/>
        </w:rPr>
        <w:t>55</w:t>
      </w:r>
      <w:r>
        <w:t>.</w:t>
      </w:r>
      <w:r>
        <w:tab/>
        <w:t>Number of vending machines</w:t>
      </w:r>
      <w:bookmarkEnd w:id="277"/>
      <w:bookmarkEnd w:id="278"/>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279" w:name="_Toc473106932"/>
      <w:bookmarkStart w:id="280" w:name="_Toc472005977"/>
      <w:r>
        <w:rPr>
          <w:rStyle w:val="CharSectno"/>
        </w:rPr>
        <w:t>56</w:t>
      </w:r>
      <w:r>
        <w:t>.</w:t>
      </w:r>
      <w:r>
        <w:tab/>
        <w:t>Location of vending machines</w:t>
      </w:r>
      <w:bookmarkEnd w:id="279"/>
      <w:bookmarkEnd w:id="280"/>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281" w:name="_Toc450221311"/>
      <w:bookmarkStart w:id="282" w:name="_Toc450295047"/>
      <w:bookmarkStart w:id="283" w:name="_Toc455401242"/>
      <w:bookmarkStart w:id="284" w:name="_Toc473036297"/>
      <w:bookmarkStart w:id="285" w:name="_Toc473036446"/>
      <w:bookmarkStart w:id="286" w:name="_Toc473106933"/>
      <w:bookmarkStart w:id="287" w:name="_Toc471974628"/>
      <w:bookmarkStart w:id="288" w:name="_Toc472005978"/>
      <w:r>
        <w:rPr>
          <w:rStyle w:val="CharDivNo"/>
        </w:rPr>
        <w:t>Division 9</w:t>
      </w:r>
      <w:r>
        <w:t> — </w:t>
      </w:r>
      <w:r>
        <w:rPr>
          <w:rStyle w:val="CharDivText"/>
        </w:rPr>
        <w:t>Smokeless tobacco</w:t>
      </w:r>
      <w:bookmarkEnd w:id="281"/>
      <w:bookmarkEnd w:id="282"/>
      <w:bookmarkEnd w:id="283"/>
      <w:bookmarkEnd w:id="284"/>
      <w:bookmarkEnd w:id="285"/>
      <w:bookmarkEnd w:id="286"/>
      <w:bookmarkEnd w:id="287"/>
      <w:bookmarkEnd w:id="288"/>
    </w:p>
    <w:p>
      <w:pPr>
        <w:pStyle w:val="Footnoteheading"/>
      </w:pPr>
      <w:r>
        <w:tab/>
        <w:t>[Heading inserted in Gazette 28 Feb 2007 p. 670.]</w:t>
      </w:r>
    </w:p>
    <w:p>
      <w:pPr>
        <w:pStyle w:val="Heading5"/>
      </w:pPr>
      <w:bookmarkStart w:id="289" w:name="_Toc473106934"/>
      <w:bookmarkStart w:id="290" w:name="_Toc472005979"/>
      <w:r>
        <w:rPr>
          <w:rStyle w:val="CharSectno"/>
        </w:rPr>
        <w:t>57</w:t>
      </w:r>
      <w:r>
        <w:t>.</w:t>
      </w:r>
      <w:r>
        <w:tab/>
        <w:t>Smokeless tobacco</w:t>
      </w:r>
      <w:bookmarkEnd w:id="289"/>
      <w:bookmarkEnd w:id="290"/>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291" w:name="_Toc450221313"/>
      <w:bookmarkStart w:id="292" w:name="_Toc450295049"/>
      <w:bookmarkStart w:id="293" w:name="_Toc455401244"/>
      <w:bookmarkStart w:id="294" w:name="_Toc473036299"/>
      <w:bookmarkStart w:id="295" w:name="_Toc473036448"/>
      <w:bookmarkStart w:id="296" w:name="_Toc473106935"/>
      <w:bookmarkStart w:id="297" w:name="_Toc471974630"/>
      <w:bookmarkStart w:id="298" w:name="_Toc472005980"/>
      <w:r>
        <w:rPr>
          <w:rStyle w:val="CharPartNo"/>
        </w:rPr>
        <w:t>Part 7</w:t>
      </w:r>
      <w:r>
        <w:rPr>
          <w:rStyle w:val="CharDivNo"/>
        </w:rPr>
        <w:t> </w:t>
      </w:r>
      <w:r>
        <w:t>—</w:t>
      </w:r>
      <w:r>
        <w:rPr>
          <w:rStyle w:val="CharDivText"/>
        </w:rPr>
        <w:t> </w:t>
      </w:r>
      <w:r>
        <w:rPr>
          <w:rStyle w:val="CharPartText"/>
        </w:rPr>
        <w:t>Miscellaneous</w:t>
      </w:r>
      <w:bookmarkEnd w:id="291"/>
      <w:bookmarkEnd w:id="292"/>
      <w:bookmarkEnd w:id="293"/>
      <w:bookmarkEnd w:id="294"/>
      <w:bookmarkEnd w:id="295"/>
      <w:bookmarkEnd w:id="296"/>
      <w:bookmarkEnd w:id="297"/>
      <w:bookmarkEnd w:id="298"/>
    </w:p>
    <w:p>
      <w:pPr>
        <w:pStyle w:val="Footnoteheading"/>
      </w:pPr>
      <w:r>
        <w:tab/>
        <w:t>[Heading inserted in Gazette 28 Feb 2007 p. 671.]</w:t>
      </w:r>
    </w:p>
    <w:p>
      <w:pPr>
        <w:pStyle w:val="Heading5"/>
      </w:pPr>
      <w:bookmarkStart w:id="299" w:name="_Toc473106936"/>
      <w:bookmarkStart w:id="300" w:name="_Toc472005981"/>
      <w:r>
        <w:rPr>
          <w:rStyle w:val="CharSectno"/>
        </w:rPr>
        <w:t>58</w:t>
      </w:r>
      <w:r>
        <w:t>.</w:t>
      </w:r>
      <w:r>
        <w:tab/>
        <w:t>Confidentiality — exceptions</w:t>
      </w:r>
      <w:bookmarkEnd w:id="299"/>
      <w:bookmarkEnd w:id="300"/>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Ednotesubpara"/>
      </w:pPr>
      <w:r>
        <w:tab/>
        <w:t>[(ii)</w:t>
      </w:r>
      <w:r>
        <w:tab/>
        <w:t>deleted]</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pPr>
      <w:r>
        <w:tab/>
        <w:t>(ca)</w:t>
      </w:r>
      <w:r>
        <w:tab/>
        <w:t xml:space="preserve">assisting an officer of Customs as defined in the </w:t>
      </w:r>
      <w:r>
        <w:rPr>
          <w:i/>
        </w:rPr>
        <w:t>Customs Act 1901</w:t>
      </w:r>
      <w:r>
        <w:t xml:space="preserve"> (Commonwealth) section 4(1) 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pPr>
      <w:r>
        <w:tab/>
        <w:t>(i)</w:t>
      </w:r>
      <w:r>
        <w:tab/>
        <w:t xml:space="preserve">a Customs Act within the meaning of the </w:t>
      </w:r>
      <w:r>
        <w:rPr>
          <w:i/>
        </w:rPr>
        <w:t>Customs Act 1901</w:t>
      </w:r>
      <w:r>
        <w:t xml:space="preserve"> (Commonwealth); or</w:t>
      </w:r>
    </w:p>
    <w:p>
      <w:pPr>
        <w:pStyle w:val="Indenti"/>
      </w:pPr>
      <w:r>
        <w:tab/>
        <w:t>(ii)</w:t>
      </w:r>
      <w:r>
        <w:tab/>
        <w:t xml:space="preserve">an Excise Act within the meaning of the </w:t>
      </w:r>
      <w:r>
        <w:rPr>
          <w:i/>
        </w:rPr>
        <w:t>Excise Act 1901</w:t>
      </w:r>
      <w:r>
        <w:t xml:space="preserve"> (Commonwealth); or</w:t>
      </w:r>
    </w:p>
    <w:p>
      <w:pPr>
        <w:pStyle w:val="Indenti"/>
        <w:rPr>
          <w:snapToGrid w:val="0"/>
        </w:rPr>
      </w:pPr>
      <w:r>
        <w:tab/>
        <w:t>(iii)</w:t>
      </w:r>
      <w:r>
        <w:tab/>
        <w:t xml:space="preserve">a taxation law as defined in the </w:t>
      </w:r>
      <w:r>
        <w:rPr>
          <w:i/>
        </w:rPr>
        <w:t>Taxation Administration Act 1953</w:t>
      </w:r>
      <w:r>
        <w:t xml:space="preserve"> (Commonwealth) section 2(1),</w:t>
      </w:r>
    </w:p>
    <w:p>
      <w:pPr>
        <w:pStyle w:val="Indenta"/>
      </w:pPr>
      <w:r>
        <w:tab/>
      </w:r>
      <w:r>
        <w:tab/>
        <w:t>as that law applies to a tobacco product or conduct in relation to a tobacco product.</w:t>
      </w:r>
    </w:p>
    <w:p>
      <w:pPr>
        <w:pStyle w:val="Footnotesection"/>
      </w:pPr>
      <w:r>
        <w:tab/>
        <w:t>[Regulation 58 inserted in Gazette 28 Feb 2007 p. 671-2; amended in Gazette 25 Aug 2015 p. 3379</w:t>
      </w:r>
      <w:r>
        <w:noBreakHyphen/>
        <w:t>80.]</w:t>
      </w:r>
    </w:p>
    <w:p>
      <w:pPr>
        <w:pStyle w:val="Heading5"/>
      </w:pPr>
      <w:bookmarkStart w:id="301" w:name="_Toc473106937"/>
      <w:bookmarkStart w:id="302" w:name="_Toc472005982"/>
      <w:r>
        <w:rPr>
          <w:rStyle w:val="CharSectno"/>
        </w:rPr>
        <w:t>59</w:t>
      </w:r>
      <w:r>
        <w:t>.</w:t>
      </w:r>
      <w:r>
        <w:tab/>
        <w:t>Restricted investigators</w:t>
      </w:r>
      <w:bookmarkEnd w:id="301"/>
      <w:bookmarkEnd w:id="302"/>
    </w:p>
    <w:p>
      <w:pPr>
        <w:pStyle w:val="Subsection"/>
      </w:pPr>
      <w:r>
        <w:tab/>
      </w:r>
      <w:r>
        <w:tab/>
        <w:t xml:space="preserve">For the purposes of section 77 the following classes of persons are prescribed — </w:t>
      </w:r>
    </w:p>
    <w:p>
      <w:pPr>
        <w:pStyle w:val="Indenta"/>
        <w:rPr>
          <w:del w:id="303" w:author="Master Repository Process" w:date="2021-09-25T08:56:00Z"/>
        </w:rPr>
      </w:pPr>
      <w:del w:id="304" w:author="Master Repository Process" w:date="2021-09-25T08:56:00Z">
        <w:r>
          <w:tab/>
          <w:delText>(a)</w:delText>
        </w:r>
        <w:r>
          <w:tab/>
          <w:delText xml:space="preserve">Environmental Health Officers as defined in the </w:delText>
        </w:r>
        <w:r>
          <w:rPr>
            <w:i/>
            <w:iCs/>
          </w:rPr>
          <w:delText>Health Act 1911</w:delText>
        </w:r>
        <w:r>
          <w:delText xml:space="preserve"> section 3(1);</w:delText>
        </w:r>
      </w:del>
    </w:p>
    <w:p>
      <w:pPr>
        <w:pStyle w:val="Indenta"/>
        <w:rPr>
          <w:ins w:id="305" w:author="Master Repository Process" w:date="2021-09-25T08:56:00Z"/>
        </w:rPr>
      </w:pPr>
      <w:ins w:id="306" w:author="Master Repository Process" w:date="2021-09-25T08:56:00Z">
        <w:r>
          <w:tab/>
          <w:t>(a)</w:t>
        </w:r>
        <w:r>
          <w:tab/>
          <w:t>authorised officers;</w:t>
        </w:r>
      </w:ins>
    </w:p>
    <w:p>
      <w:pPr>
        <w:pStyle w:val="Indenta"/>
      </w:pPr>
      <w:r>
        <w:tab/>
        <w:t>(b)</w:t>
      </w:r>
      <w:r>
        <w:tab/>
        <w:t>persons employed or engaged by a local government to ensure compliance with State or local government legislation;</w:t>
      </w:r>
    </w:p>
    <w:p>
      <w:pPr>
        <w:pStyle w:val="Indenta"/>
      </w:pPr>
      <w:r>
        <w:tab/>
        <w:t>(c)</w:t>
      </w:r>
      <w:r>
        <w:tab/>
        <w:t xml:space="preserve">wardens as defined in the </w:t>
      </w:r>
      <w:r>
        <w:rPr>
          <w:i/>
        </w:rPr>
        <w:t>Road Traffic (Administration) Act 2008</w:t>
      </w:r>
      <w:r>
        <w:t xml:space="preserve"> section 4;</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 amended in Gazette 10 Feb 2015 p. 625</w:t>
      </w:r>
      <w:ins w:id="307" w:author="Master Repository Process" w:date="2021-09-25T08:56:00Z">
        <w:r>
          <w:t>; 10 Jan 2017 p. 308</w:t>
        </w:r>
      </w:ins>
      <w:r>
        <w:t>.]</w:t>
      </w:r>
    </w:p>
    <w:p>
      <w:pPr>
        <w:pStyle w:val="Heading5"/>
      </w:pPr>
      <w:bookmarkStart w:id="308" w:name="_Toc473106938"/>
      <w:bookmarkStart w:id="309" w:name="_Toc472005983"/>
      <w:r>
        <w:rPr>
          <w:rStyle w:val="CharSectno"/>
        </w:rPr>
        <w:t>60</w:t>
      </w:r>
      <w:r>
        <w:t>.</w:t>
      </w:r>
      <w:r>
        <w:tab/>
        <w:t>Prescribed offences and modified penalties</w:t>
      </w:r>
      <w:bookmarkEnd w:id="308"/>
      <w:bookmarkEnd w:id="309"/>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r>
        <w:tab/>
        <w:t>[Regulation 60 inserted in Gazette 10 Sep 2010 p. 4394.]</w:t>
      </w:r>
    </w:p>
    <w:p>
      <w:pPr>
        <w:pStyle w:val="Heading5"/>
      </w:pPr>
      <w:bookmarkStart w:id="310" w:name="_Toc473106939"/>
      <w:bookmarkStart w:id="311" w:name="_Toc472005984"/>
      <w:r>
        <w:rPr>
          <w:rStyle w:val="CharSectno"/>
        </w:rPr>
        <w:t>61</w:t>
      </w:r>
      <w:r>
        <w:t>.</w:t>
      </w:r>
      <w:r>
        <w:tab/>
        <w:t>Authorised officers and approved officers</w:t>
      </w:r>
      <w:bookmarkEnd w:id="310"/>
      <w:bookmarkEnd w:id="311"/>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r>
        <w:tab/>
        <w:t>[Regulation 61 inserted in Gazette 10 Sep 2010 p. 4394.]</w:t>
      </w:r>
    </w:p>
    <w:p>
      <w:pPr>
        <w:pStyle w:val="Heading5"/>
      </w:pPr>
      <w:bookmarkStart w:id="312" w:name="_Toc473106940"/>
      <w:bookmarkStart w:id="313" w:name="_Toc472005985"/>
      <w:r>
        <w:rPr>
          <w:rStyle w:val="CharSectno"/>
        </w:rPr>
        <w:t>62</w:t>
      </w:r>
      <w:r>
        <w:t>.</w:t>
      </w:r>
      <w:r>
        <w:tab/>
        <w:t>Forms</w:t>
      </w:r>
      <w:bookmarkEnd w:id="312"/>
      <w:bookmarkEnd w:id="313"/>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14" w:name="_Toc450221319"/>
      <w:bookmarkStart w:id="315" w:name="_Toc450295055"/>
      <w:bookmarkStart w:id="316" w:name="_Toc455401250"/>
      <w:bookmarkStart w:id="317" w:name="_Toc473036305"/>
      <w:bookmarkStart w:id="318" w:name="_Toc473036454"/>
      <w:bookmarkStart w:id="319" w:name="_Toc473106941"/>
      <w:bookmarkStart w:id="320" w:name="_Toc471974636"/>
      <w:bookmarkStart w:id="321" w:name="_Toc472005986"/>
      <w:r>
        <w:rPr>
          <w:rStyle w:val="CharSchNo"/>
        </w:rPr>
        <w:t>Schedule 1</w:t>
      </w:r>
      <w:r>
        <w:t> — </w:t>
      </w:r>
      <w:r>
        <w:rPr>
          <w:rStyle w:val="CharSchText"/>
        </w:rPr>
        <w:t>Warning signs about purchase of tobacco products</w:t>
      </w:r>
      <w:bookmarkEnd w:id="314"/>
      <w:bookmarkEnd w:id="315"/>
      <w:bookmarkEnd w:id="316"/>
      <w:bookmarkEnd w:id="317"/>
      <w:bookmarkEnd w:id="318"/>
      <w:bookmarkEnd w:id="319"/>
      <w:bookmarkEnd w:id="320"/>
      <w:bookmarkEnd w:id="321"/>
    </w:p>
    <w:p>
      <w:pPr>
        <w:pStyle w:val="yShoulderClause"/>
      </w:pPr>
      <w:r>
        <w:t>[r. 49(b)]</w:t>
      </w:r>
    </w:p>
    <w:p>
      <w:pPr>
        <w:pStyle w:val="yFootnoteheading"/>
        <w:spacing w:after="120"/>
      </w:pPr>
      <w:r>
        <w:tab/>
        <w:t>[Heading inserted in Gazette 28 Feb 2007 p. 673.]</w:t>
      </w:r>
    </w:p>
    <w:p>
      <w:pPr>
        <w:jc w:val="center"/>
      </w:pPr>
      <w:r>
        <w:rPr>
          <w:noProof/>
        </w:rPr>
        <w:drawing>
          <wp:inline distT="0" distB="0" distL="0" distR="0">
            <wp:extent cx="4349750" cy="3060700"/>
            <wp:effectExtent l="0" t="0" r="0" b="6350"/>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49750" cy="3060700"/>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322" w:name="_Toc450221320"/>
      <w:bookmarkStart w:id="323" w:name="_Toc450295056"/>
      <w:bookmarkStart w:id="324" w:name="_Toc455401251"/>
      <w:bookmarkStart w:id="325" w:name="_Toc473036306"/>
      <w:bookmarkStart w:id="326" w:name="_Toc473036455"/>
      <w:bookmarkStart w:id="327" w:name="_Toc473106942"/>
      <w:bookmarkStart w:id="328" w:name="_Toc471974637"/>
      <w:bookmarkStart w:id="329" w:name="_Toc472005987"/>
      <w:r>
        <w:rPr>
          <w:rStyle w:val="CharSchNo"/>
        </w:rPr>
        <w:t>Schedule 2</w:t>
      </w:r>
      <w:r>
        <w:t> — </w:t>
      </w:r>
      <w:r>
        <w:rPr>
          <w:rStyle w:val="CharSchText"/>
        </w:rPr>
        <w:t>Health warning signs, general and vending machines</w:t>
      </w:r>
      <w:bookmarkEnd w:id="322"/>
      <w:bookmarkEnd w:id="323"/>
      <w:bookmarkEnd w:id="324"/>
      <w:bookmarkEnd w:id="325"/>
      <w:bookmarkEnd w:id="326"/>
      <w:bookmarkEnd w:id="327"/>
      <w:bookmarkEnd w:id="328"/>
      <w:bookmarkEnd w:id="329"/>
    </w:p>
    <w:p>
      <w:pPr>
        <w:pStyle w:val="yShoulderClause"/>
      </w:pPr>
      <w:r>
        <w:t>[r. 51(1)(b)]</w:t>
      </w:r>
    </w:p>
    <w:p>
      <w:pPr>
        <w:pStyle w:val="yFootnoteheading"/>
        <w:spacing w:after="120"/>
      </w:pPr>
      <w:r>
        <w:tab/>
        <w:t>[Heading inserted in Gazette 28 Feb 2007 p. 674.]</w:t>
      </w:r>
    </w:p>
    <w:p>
      <w:pPr>
        <w:jc w:val="center"/>
      </w:pPr>
      <w:r>
        <w:rPr>
          <w:noProof/>
        </w:rPr>
        <w:drawing>
          <wp:inline distT="0" distB="0" distL="0" distR="0">
            <wp:extent cx="3873500" cy="2736850"/>
            <wp:effectExtent l="0" t="0" r="0" b="6350"/>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73500" cy="2736850"/>
                    </a:xfrm>
                    <a:prstGeom prst="rect">
                      <a:avLst/>
                    </a:prstGeom>
                    <a:noFill/>
                    <a:ln>
                      <a:noFill/>
                    </a:ln>
                  </pic:spPr>
                </pic:pic>
              </a:graphicData>
            </a:graphic>
          </wp:inline>
        </w:drawing>
      </w:r>
    </w:p>
    <w:p>
      <w:pPr>
        <w:rPr>
          <w:sz w:val="16"/>
        </w:rPr>
      </w:pPr>
    </w:p>
    <w:p>
      <w:pPr>
        <w:pStyle w:val="yFootnotesection"/>
        <w:spacing w:before="60"/>
      </w:pPr>
      <w:r>
        <w:tab/>
        <w:t>[Schedule 2 inserted in Gazette 28 Feb 2007 p. 674; amended in Gazette 10 Sep 2010 p. 4394.]</w:t>
      </w:r>
    </w:p>
    <w:p>
      <w:pPr>
        <w:pStyle w:val="yScheduleHeading"/>
      </w:pPr>
      <w:bookmarkStart w:id="330" w:name="_Toc450221321"/>
      <w:bookmarkStart w:id="331" w:name="_Toc450295057"/>
      <w:bookmarkStart w:id="332" w:name="_Toc455401252"/>
      <w:bookmarkStart w:id="333" w:name="_Toc473036307"/>
      <w:bookmarkStart w:id="334" w:name="_Toc473036456"/>
      <w:bookmarkStart w:id="335" w:name="_Toc473106943"/>
      <w:bookmarkStart w:id="336" w:name="_Toc471974638"/>
      <w:bookmarkStart w:id="337" w:name="_Toc472005988"/>
      <w:r>
        <w:rPr>
          <w:rStyle w:val="CharSchNo"/>
        </w:rPr>
        <w:t>Schedule 3</w:t>
      </w:r>
      <w:r>
        <w:t> — </w:t>
      </w:r>
      <w:r>
        <w:rPr>
          <w:rStyle w:val="CharSchText"/>
        </w:rPr>
        <w:t>Health warning signs — cigar cabinets, humidified rooms</w:t>
      </w:r>
      <w:bookmarkEnd w:id="330"/>
      <w:bookmarkEnd w:id="331"/>
      <w:bookmarkEnd w:id="332"/>
      <w:bookmarkEnd w:id="333"/>
      <w:bookmarkEnd w:id="334"/>
      <w:bookmarkEnd w:id="335"/>
      <w:bookmarkEnd w:id="336"/>
      <w:bookmarkEnd w:id="337"/>
    </w:p>
    <w:p>
      <w:pPr>
        <w:pStyle w:val="yShoulderClause"/>
        <w:rPr>
          <w:rStyle w:val="CharSchText"/>
        </w:rPr>
      </w:pPr>
      <w:r>
        <w:rPr>
          <w:rStyle w:val="CharSchText"/>
        </w:rPr>
        <w:t xml:space="preserve">[r. </w:t>
      </w:r>
      <w:r>
        <w:t>51(2)(b)</w:t>
      </w:r>
      <w:r>
        <w:rPr>
          <w:rStyle w:val="CharSchText"/>
        </w:rPr>
        <w:t>]</w:t>
      </w:r>
    </w:p>
    <w:p>
      <w:pPr>
        <w:pStyle w:val="yFootnoteheading"/>
        <w:spacing w:after="120"/>
      </w:pPr>
      <w:r>
        <w:tab/>
        <w:t>[Heading inserted in Gazette 28 Feb 2007 p. 675.]</w:t>
      </w:r>
    </w:p>
    <w:p>
      <w:pPr>
        <w:jc w:val="center"/>
      </w:pPr>
      <w:r>
        <w:rPr>
          <w:noProof/>
        </w:rPr>
        <w:drawing>
          <wp:inline distT="0" distB="0" distL="0" distR="0">
            <wp:extent cx="4495800" cy="3168650"/>
            <wp:effectExtent l="0" t="0" r="0" b="0"/>
            <wp:docPr id="3" name="Picture 3"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95800" cy="3168650"/>
                    </a:xfrm>
                    <a:prstGeom prst="rect">
                      <a:avLst/>
                    </a:prstGeom>
                    <a:noFill/>
                    <a:ln>
                      <a:noFill/>
                    </a:ln>
                  </pic:spPr>
                </pic:pic>
              </a:graphicData>
            </a:graphic>
          </wp:inline>
        </w:drawing>
      </w:r>
    </w:p>
    <w:p>
      <w:pPr>
        <w:pStyle w:val="yFootnotesection"/>
      </w:pPr>
      <w:r>
        <w:tab/>
        <w:t>[Schedule 3 inserted in Gazette 28 Feb 2007 p. 675.]</w:t>
      </w:r>
    </w:p>
    <w:p>
      <w:pPr>
        <w:pStyle w:val="yScheduleHeading"/>
      </w:pPr>
      <w:bookmarkStart w:id="338" w:name="_Toc450221322"/>
      <w:bookmarkStart w:id="339" w:name="_Toc450295058"/>
      <w:bookmarkStart w:id="340" w:name="_Toc455401253"/>
      <w:bookmarkStart w:id="341" w:name="_Toc473036308"/>
      <w:bookmarkStart w:id="342" w:name="_Toc473036457"/>
      <w:bookmarkStart w:id="343" w:name="_Toc473106944"/>
      <w:bookmarkStart w:id="344" w:name="_Toc471974639"/>
      <w:bookmarkStart w:id="345" w:name="_Toc472005989"/>
      <w:r>
        <w:rPr>
          <w:rStyle w:val="CharSchNo"/>
        </w:rPr>
        <w:t>Schedule 4</w:t>
      </w:r>
      <w:r>
        <w:t> — </w:t>
      </w:r>
      <w:r>
        <w:rPr>
          <w:rStyle w:val="CharSchText"/>
        </w:rPr>
        <w:t>Prescribed offences and modified penalties</w:t>
      </w:r>
      <w:bookmarkEnd w:id="338"/>
      <w:bookmarkEnd w:id="339"/>
      <w:bookmarkEnd w:id="340"/>
      <w:bookmarkEnd w:id="341"/>
      <w:bookmarkEnd w:id="342"/>
      <w:bookmarkEnd w:id="343"/>
      <w:bookmarkEnd w:id="344"/>
      <w:bookmarkEnd w:id="345"/>
    </w:p>
    <w:p>
      <w:pPr>
        <w:pStyle w:val="yShoulderClause"/>
      </w:pPr>
      <w:r>
        <w:t>[r. 60]</w:t>
      </w:r>
    </w:p>
    <w:p>
      <w:pPr>
        <w:pStyle w:val="yFootnoteheading"/>
        <w:spacing w:after="8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r>
        <w:tab/>
        <w:t>[Schedule 4 inserted in Gazette 10 Sep 2010 p. 4395-7.]</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47" w:name="_Toc450221323"/>
      <w:bookmarkStart w:id="348" w:name="_Toc450295059"/>
      <w:bookmarkStart w:id="349" w:name="_Toc455401254"/>
      <w:bookmarkStart w:id="350" w:name="_Toc473036309"/>
      <w:bookmarkStart w:id="351" w:name="_Toc473036458"/>
      <w:bookmarkStart w:id="352" w:name="_Toc473106945"/>
      <w:bookmarkStart w:id="353" w:name="_Toc471974640"/>
      <w:bookmarkStart w:id="354" w:name="_Toc472005990"/>
      <w:r>
        <w:rPr>
          <w:rStyle w:val="CharSchNo"/>
        </w:rPr>
        <w:t>Schedule 5</w:t>
      </w:r>
      <w:r>
        <w:t> — </w:t>
      </w:r>
      <w:r>
        <w:rPr>
          <w:rStyle w:val="CharSchText"/>
        </w:rPr>
        <w:t>Forms</w:t>
      </w:r>
      <w:bookmarkEnd w:id="347"/>
      <w:bookmarkEnd w:id="348"/>
      <w:bookmarkEnd w:id="349"/>
      <w:bookmarkEnd w:id="350"/>
      <w:bookmarkEnd w:id="351"/>
      <w:bookmarkEnd w:id="352"/>
      <w:bookmarkEnd w:id="353"/>
      <w:bookmarkEnd w:id="354"/>
    </w:p>
    <w:p>
      <w:pPr>
        <w:pStyle w:val="yShoulderClause"/>
      </w:pPr>
      <w:r>
        <w:t>[r. 62]</w:t>
      </w:r>
    </w:p>
    <w:p>
      <w:pPr>
        <w:pStyle w:val="yFootnoteheading"/>
      </w:pPr>
      <w:r>
        <w:tab/>
        <w:t>[Heading inserted in Gazette 10 Sep 2010 p. 4397.]</w:t>
      </w:r>
    </w:p>
    <w:p>
      <w:pPr>
        <w:pStyle w:val="yMiscellaneousHeading"/>
        <w:spacing w:after="60"/>
        <w:ind w:left="601"/>
        <w:jc w:val="left"/>
        <w:rPr>
          <w:b/>
          <w:bCs/>
        </w:rPr>
      </w:pPr>
      <w:r>
        <w:rPr>
          <w:rStyle w:val="CharSClsNo"/>
          <w:b/>
        </w:rPr>
        <w:t>Form 1</w:t>
      </w:r>
      <w:r>
        <w:rPr>
          <w:b/>
          <w:bCs/>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 amended in Gazette 20 Aug 2013 p. 3853.]</w:t>
      </w:r>
    </w:p>
    <w:p>
      <w:pPr>
        <w:pStyle w:val="yMiscellaneousHeading"/>
        <w:pageBreakBefore/>
        <w:spacing w:after="60"/>
        <w:ind w:left="601"/>
        <w:jc w:val="left"/>
        <w:rPr>
          <w:b/>
          <w:bCs/>
        </w:rPr>
      </w:pPr>
      <w:r>
        <w:rPr>
          <w:rStyle w:val="CharSClsNo"/>
          <w:b/>
        </w:rPr>
        <w:t>Form 2</w:t>
      </w:r>
      <w:r>
        <w:rPr>
          <w:b/>
          <w:bCs/>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Officer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rPr>
          <w:cantSplit/>
        </w:trPr>
        <w:tc>
          <w:tcPr>
            <w:tcW w:w="1701"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200"/>
        <w:jc w:val="right"/>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355" w:name="_Toc450221324"/>
      <w:bookmarkStart w:id="356" w:name="_Toc450295060"/>
      <w:bookmarkStart w:id="357" w:name="_Toc455401255"/>
      <w:bookmarkStart w:id="358" w:name="_Toc473036310"/>
      <w:bookmarkStart w:id="359" w:name="_Toc473036459"/>
      <w:bookmarkStart w:id="360" w:name="_Toc473106946"/>
      <w:bookmarkStart w:id="361" w:name="_Toc471974641"/>
      <w:bookmarkStart w:id="362" w:name="_Toc472005991"/>
      <w:r>
        <w:t>Notes</w:t>
      </w:r>
      <w:bookmarkEnd w:id="355"/>
      <w:bookmarkEnd w:id="356"/>
      <w:bookmarkEnd w:id="357"/>
      <w:bookmarkEnd w:id="358"/>
      <w:bookmarkEnd w:id="359"/>
      <w:bookmarkEnd w:id="360"/>
      <w:bookmarkEnd w:id="361"/>
      <w:bookmarkEnd w:id="362"/>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Regulations 2006</w:t>
      </w:r>
      <w:r>
        <w:rPr>
          <w:snapToGrid w:val="0"/>
        </w:rPr>
        <w:t xml:space="preserve"> and includes the amendments made by the other written laws referred to in the following table</w:t>
      </w:r>
      <w:del w:id="363" w:author="Master Repository Process" w:date="2021-09-25T08:56:00Z">
        <w:r>
          <w:rPr>
            <w:snapToGrid w:val="0"/>
          </w:rPr>
          <w:delText> </w:delText>
        </w:r>
        <w:r>
          <w:rPr>
            <w:vertAlign w:val="superscript"/>
          </w:rPr>
          <w:delText>1a</w:delText>
        </w:r>
      </w:del>
      <w:r>
        <w:rPr>
          <w:snapToGrid w:val="0"/>
        </w:rPr>
        <w:t>.  The table also contains information about any reprint.</w:t>
      </w:r>
    </w:p>
    <w:p>
      <w:pPr>
        <w:pStyle w:val="nHeading3"/>
      </w:pPr>
      <w:bookmarkStart w:id="364" w:name="_Toc473106947"/>
      <w:bookmarkStart w:id="365" w:name="_Toc472005992"/>
      <w:r>
        <w:t>Compilation table</w:t>
      </w:r>
      <w:bookmarkEnd w:id="364"/>
      <w:bookmarkEnd w:id="36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Tobacco Products Control Regulations 2006</w:t>
            </w:r>
          </w:p>
        </w:tc>
        <w:tc>
          <w:tcPr>
            <w:tcW w:w="1276" w:type="dxa"/>
            <w:tcBorders>
              <w:top w:val="single" w:sz="8" w:space="0" w:color="auto"/>
            </w:tcBorders>
          </w:tcPr>
          <w:p>
            <w:pPr>
              <w:pStyle w:val="nTable"/>
              <w:spacing w:after="40"/>
            </w:pPr>
            <w:r>
              <w:t>25 Jul 2006 p. 2797-808</w:t>
            </w:r>
          </w:p>
        </w:tc>
        <w:tc>
          <w:tcPr>
            <w:tcW w:w="2693" w:type="dxa"/>
            <w:tcBorders>
              <w:top w:val="single" w:sz="8" w:space="0" w:color="auto"/>
            </w:tcBorders>
          </w:tcPr>
          <w:p>
            <w:pPr>
              <w:pStyle w:val="nTable"/>
              <w:spacing w:after="40"/>
            </w:pPr>
            <w:r>
              <w:t>31 Jul 2006 (see r. 2)</w:t>
            </w:r>
          </w:p>
        </w:tc>
      </w:tr>
      <w:tr>
        <w:tc>
          <w:tcPr>
            <w:tcW w:w="3118" w:type="dxa"/>
          </w:tcPr>
          <w:p>
            <w:pPr>
              <w:pStyle w:val="nTable"/>
              <w:spacing w:after="40"/>
              <w:rPr>
                <w:i/>
              </w:rPr>
            </w:pPr>
            <w:r>
              <w:rPr>
                <w:i/>
              </w:rPr>
              <w:t>Tobacco Products Control Amendment Regulations 2007</w:t>
            </w:r>
          </w:p>
        </w:tc>
        <w:tc>
          <w:tcPr>
            <w:tcW w:w="1276" w:type="dxa"/>
          </w:tcPr>
          <w:p>
            <w:pPr>
              <w:pStyle w:val="nTable"/>
              <w:spacing w:after="40"/>
            </w:pPr>
            <w:r>
              <w:t>28 Feb 2007 p. 641-75</w:t>
            </w:r>
          </w:p>
        </w:tc>
        <w:tc>
          <w:tcPr>
            <w:tcW w:w="2693" w:type="dxa"/>
          </w:tcPr>
          <w:p>
            <w:pPr>
              <w:pStyle w:val="nTable"/>
              <w:spacing w:after="40"/>
            </w:pPr>
            <w:r>
              <w:t>28 Feb 2007 (see r. 2)</w:t>
            </w:r>
          </w:p>
        </w:tc>
      </w:tr>
      <w:tr>
        <w:tc>
          <w:tcPr>
            <w:tcW w:w="3118" w:type="dxa"/>
          </w:tcPr>
          <w:p>
            <w:pPr>
              <w:pStyle w:val="nTable"/>
              <w:spacing w:after="40"/>
              <w:rPr>
                <w:i/>
              </w:rPr>
            </w:pPr>
            <w:r>
              <w:rPr>
                <w:i/>
              </w:rPr>
              <w:t>Tobacco Products Control Amendment Regulations 2010</w:t>
            </w:r>
          </w:p>
        </w:tc>
        <w:tc>
          <w:tcPr>
            <w:tcW w:w="1276" w:type="dxa"/>
          </w:tcPr>
          <w:p>
            <w:pPr>
              <w:pStyle w:val="nTable"/>
              <w:spacing w:after="40"/>
            </w:pPr>
            <w:r>
              <w:t>20 Aug 2010 p. 4069</w:t>
            </w:r>
            <w:r>
              <w:noBreakHyphen/>
              <w:t>70</w:t>
            </w:r>
          </w:p>
        </w:tc>
        <w:tc>
          <w:tcPr>
            <w:tcW w:w="2693" w:type="dxa"/>
          </w:tcPr>
          <w:p>
            <w:pPr>
              <w:pStyle w:val="nTable"/>
              <w:spacing w:after="40"/>
            </w:pPr>
            <w:r>
              <w:rPr>
                <w:snapToGrid w:val="0"/>
              </w:rPr>
              <w:t>r. 1 and 2: 20 Aug 2010 (see r. 2(a));</w:t>
            </w:r>
            <w:r>
              <w:rPr>
                <w:snapToGrid w:val="0"/>
              </w:rPr>
              <w:br/>
              <w:t>Regulations other than r. 1 and 2: 1 Sep 2010 (see r. 2(b))</w:t>
            </w:r>
          </w:p>
        </w:tc>
      </w:tr>
      <w:tr>
        <w:tc>
          <w:tcPr>
            <w:tcW w:w="3118" w:type="dxa"/>
          </w:tcPr>
          <w:p>
            <w:pPr>
              <w:pStyle w:val="nTable"/>
              <w:spacing w:after="40"/>
              <w:rPr>
                <w:iCs/>
              </w:rPr>
            </w:pPr>
            <w:r>
              <w:rPr>
                <w:i/>
              </w:rPr>
              <w:t>Tobacco Products Control Amendment Regulations (No. 2) 2010</w:t>
            </w:r>
          </w:p>
        </w:tc>
        <w:tc>
          <w:tcPr>
            <w:tcW w:w="1276" w:type="dxa"/>
          </w:tcPr>
          <w:p>
            <w:pPr>
              <w:pStyle w:val="nTable"/>
              <w:spacing w:after="40"/>
            </w:pPr>
            <w:r>
              <w:t>10 Sep 2010 p. 4375-400</w:t>
            </w:r>
          </w:p>
        </w:tc>
        <w:tc>
          <w:tcPr>
            <w:tcW w:w="2693" w:type="dxa"/>
          </w:tcPr>
          <w:p>
            <w:pPr>
              <w:pStyle w:val="nTable"/>
              <w:spacing w:after="40"/>
              <w:rPr>
                <w:snapToGrid w:val="0"/>
              </w:rPr>
            </w:pPr>
            <w:r>
              <w:rPr>
                <w:snapToGrid w:val="0"/>
              </w:rPr>
              <w:t>r. 1 and 2: 10 Sep 2010 (see r. 2(a));</w:t>
            </w:r>
            <w:r>
              <w:rPr>
                <w:snapToGrid w:val="0"/>
              </w:rPr>
              <w:br/>
              <w:t>Regulations other than r. 1, 2 and 26: 22 Sep 2010 (see r. 2(c));</w:t>
            </w:r>
            <w:r>
              <w:rPr>
                <w:snapToGrid w:val="0"/>
              </w:rPr>
              <w:br/>
              <w:t>r. 26: 22 Sep 2011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Tobacco Products Control Regulations 2006</w:t>
            </w:r>
            <w:r>
              <w:rPr>
                <w:b/>
                <w:bCs/>
                <w:snapToGrid w:val="0"/>
              </w:rPr>
              <w:t xml:space="preserve"> as at 7 Jan 2011</w:t>
            </w:r>
            <w:r>
              <w:rPr>
                <w:snapToGrid w:val="0"/>
              </w:rPr>
              <w:t xml:space="preserve"> (includes amendments listed above)</w:t>
            </w:r>
          </w:p>
        </w:tc>
      </w:tr>
      <w:tr>
        <w:tc>
          <w:tcPr>
            <w:tcW w:w="3118" w:type="dxa"/>
          </w:tcPr>
          <w:p>
            <w:pPr>
              <w:pStyle w:val="nTable"/>
              <w:spacing w:after="40"/>
              <w:rPr>
                <w:i/>
              </w:rPr>
            </w:pPr>
            <w:r>
              <w:rPr>
                <w:i/>
              </w:rPr>
              <w:t>Tobacco Products Control Amendment Regulations 2011</w:t>
            </w:r>
          </w:p>
        </w:tc>
        <w:tc>
          <w:tcPr>
            <w:tcW w:w="1276" w:type="dxa"/>
          </w:tcPr>
          <w:p>
            <w:pPr>
              <w:pStyle w:val="nTable"/>
              <w:spacing w:after="40"/>
            </w:pPr>
            <w:r>
              <w:t>1 Mar 2011 p. 676</w:t>
            </w:r>
            <w:r>
              <w:noBreakHyphen/>
              <w:t>7</w:t>
            </w:r>
          </w:p>
        </w:tc>
        <w:tc>
          <w:tcPr>
            <w:tcW w:w="2693" w:type="dxa"/>
          </w:tcPr>
          <w:p>
            <w:pPr>
              <w:pStyle w:val="nTable"/>
              <w:spacing w:after="40"/>
            </w:pPr>
            <w:r>
              <w:rPr>
                <w:snapToGrid w:val="0"/>
              </w:rPr>
              <w:t>r. 1 and 2: 1 Mar 2011 (see r. 2(a));</w:t>
            </w:r>
            <w:r>
              <w:rPr>
                <w:snapToGrid w:val="0"/>
              </w:rPr>
              <w:br/>
              <w:t>Regulations other than r. 1 and 2: 2 Mar 2011 (see r. 2(b))</w:t>
            </w:r>
          </w:p>
        </w:tc>
      </w:tr>
      <w:tr>
        <w:tc>
          <w:tcPr>
            <w:tcW w:w="3118" w:type="dxa"/>
          </w:tcPr>
          <w:p>
            <w:pPr>
              <w:pStyle w:val="nTable"/>
              <w:spacing w:after="40"/>
              <w:rPr>
                <w:i/>
              </w:rPr>
            </w:pPr>
            <w:r>
              <w:rPr>
                <w:i/>
              </w:rPr>
              <w:t>Tobacco Products Control Amendment Regulations 2012</w:t>
            </w:r>
          </w:p>
        </w:tc>
        <w:tc>
          <w:tcPr>
            <w:tcW w:w="1276" w:type="dxa"/>
          </w:tcPr>
          <w:p>
            <w:pPr>
              <w:pStyle w:val="nTable"/>
              <w:spacing w:after="40"/>
            </w:pPr>
            <w:r>
              <w:t>18 May 2012 p. 2141</w:t>
            </w:r>
          </w:p>
        </w:tc>
        <w:tc>
          <w:tcPr>
            <w:tcW w:w="2693" w:type="dxa"/>
          </w:tcPr>
          <w:p>
            <w:pPr>
              <w:pStyle w:val="nTable"/>
              <w:spacing w:after="40"/>
              <w:rPr>
                <w:snapToGrid w:val="0"/>
              </w:rPr>
            </w:pPr>
            <w:r>
              <w:rPr>
                <w:snapToGrid w:val="0"/>
              </w:rPr>
              <w:t>r. 1 and 2: 18 May 2012 (see r. 2(a));</w:t>
            </w:r>
            <w:r>
              <w:rPr>
                <w:snapToGrid w:val="0"/>
              </w:rPr>
              <w:br/>
              <w:t>Regulations other than r. 1 and 2: 19 May 2012 (see r. 2(b))</w:t>
            </w:r>
          </w:p>
        </w:tc>
      </w:tr>
      <w:tr>
        <w:tc>
          <w:tcPr>
            <w:tcW w:w="3118" w:type="dxa"/>
          </w:tcPr>
          <w:p>
            <w:pPr>
              <w:pStyle w:val="nTable"/>
              <w:spacing w:after="40"/>
              <w:rPr>
                <w:i/>
              </w:rPr>
            </w:pPr>
            <w:r>
              <w:rPr>
                <w:i/>
              </w:rPr>
              <w:t>Tobacco Products Control Amendment Regulations (No. 2) 2012</w:t>
            </w:r>
          </w:p>
        </w:tc>
        <w:tc>
          <w:tcPr>
            <w:tcW w:w="1276" w:type="dxa"/>
          </w:tcPr>
          <w:p>
            <w:pPr>
              <w:pStyle w:val="nTable"/>
              <w:spacing w:after="40"/>
            </w:pPr>
            <w:r>
              <w:t>27 Nov 2012 p. 5734-5</w:t>
            </w:r>
          </w:p>
        </w:tc>
        <w:tc>
          <w:tcPr>
            <w:tcW w:w="2693" w:type="dxa"/>
          </w:tcPr>
          <w:p>
            <w:pPr>
              <w:pStyle w:val="nTable"/>
              <w:spacing w:after="40"/>
              <w:rPr>
                <w:snapToGrid w:val="0"/>
              </w:rPr>
            </w:pPr>
            <w:r>
              <w:rPr>
                <w:snapToGrid w:val="0"/>
              </w:rPr>
              <w:t>27 Nov 2012 (see note under r. 1)</w:t>
            </w:r>
          </w:p>
        </w:tc>
      </w:tr>
      <w:tr>
        <w:tc>
          <w:tcPr>
            <w:tcW w:w="3118" w:type="dxa"/>
          </w:tcPr>
          <w:p>
            <w:pPr>
              <w:pStyle w:val="nTable"/>
              <w:spacing w:after="40"/>
              <w:rPr>
                <w:i/>
              </w:rPr>
            </w:pPr>
            <w:r>
              <w:rPr>
                <w:i/>
              </w:rPr>
              <w:t>Tobacco Products Control Amendment Regulations 2013</w:t>
            </w:r>
          </w:p>
        </w:tc>
        <w:tc>
          <w:tcPr>
            <w:tcW w:w="1276" w:type="dxa"/>
          </w:tcPr>
          <w:p>
            <w:pPr>
              <w:pStyle w:val="nTable"/>
              <w:spacing w:after="40"/>
            </w:pPr>
            <w:r>
              <w:t>20 Aug 2013 p. 3853</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8" w:type="dxa"/>
          </w:tcPr>
          <w:p>
            <w:pPr>
              <w:pStyle w:val="nTable"/>
              <w:spacing w:after="40"/>
              <w:rPr>
                <w:i/>
              </w:rPr>
            </w:pPr>
            <w:r>
              <w:rPr>
                <w:i/>
              </w:rPr>
              <w:t>Tobacco Products Control Amendment Regulations (No. 3) 2014</w:t>
            </w:r>
          </w:p>
        </w:tc>
        <w:tc>
          <w:tcPr>
            <w:tcW w:w="1276" w:type="dxa"/>
          </w:tcPr>
          <w:p>
            <w:pPr>
              <w:pStyle w:val="nTable"/>
              <w:spacing w:after="40"/>
            </w:pPr>
            <w:r>
              <w:t>20 Jun 2014 p. 2025</w:t>
            </w:r>
          </w:p>
        </w:tc>
        <w:tc>
          <w:tcPr>
            <w:tcW w:w="2693" w:type="dxa"/>
          </w:tcPr>
          <w:p>
            <w:pPr>
              <w:pStyle w:val="nTable"/>
              <w:spacing w:after="40"/>
              <w:rPr>
                <w:snapToGrid w:val="0"/>
              </w:rPr>
            </w:pPr>
            <w:r>
              <w:rPr>
                <w:bCs/>
                <w:snapToGrid w:val="0"/>
              </w:rPr>
              <w:t>r. 1 and 2: 20 Jun 2014 (see r. 2(a));</w:t>
            </w:r>
            <w:r>
              <w:rPr>
                <w:bCs/>
                <w:snapToGrid w:val="0"/>
              </w:rPr>
              <w:br/>
              <w:t>Regulations other than r. 1 and 2: 21 Jun 2014 (see r. 2(b))</w:t>
            </w:r>
          </w:p>
        </w:tc>
      </w:tr>
      <w:tr>
        <w:tc>
          <w:tcPr>
            <w:tcW w:w="3118" w:type="dxa"/>
          </w:tcPr>
          <w:p>
            <w:pPr>
              <w:pStyle w:val="nTable"/>
              <w:spacing w:after="40"/>
              <w:rPr>
                <w:i/>
              </w:rPr>
            </w:pPr>
            <w:r>
              <w:rPr>
                <w:i/>
              </w:rPr>
              <w:t>Tobacco Products Control Amendment Regulations 2014</w:t>
            </w:r>
          </w:p>
        </w:tc>
        <w:tc>
          <w:tcPr>
            <w:tcW w:w="1276" w:type="dxa"/>
          </w:tcPr>
          <w:p>
            <w:pPr>
              <w:pStyle w:val="nTable"/>
              <w:spacing w:after="40"/>
            </w:pPr>
            <w:r>
              <w:t>27 Jun 2014 p. 2331</w:t>
            </w:r>
          </w:p>
        </w:tc>
        <w:tc>
          <w:tcPr>
            <w:tcW w:w="2693" w:type="dxa"/>
          </w:tcPr>
          <w:p>
            <w:pPr>
              <w:pStyle w:val="nTable"/>
              <w:spacing w:after="40"/>
              <w:rPr>
                <w:bCs/>
                <w:snapToGrid w:val="0"/>
              </w:rPr>
            </w:pPr>
            <w:r>
              <w:rPr>
                <w:bCs/>
                <w:snapToGrid w:val="0"/>
              </w:rPr>
              <w:t>r. 1 and 2: 27 Jun 2014 (see r. 2(a));</w:t>
            </w:r>
            <w:r>
              <w:rPr>
                <w:bCs/>
                <w:snapToGrid w:val="0"/>
              </w:rPr>
              <w:br/>
              <w:t xml:space="preserve">Regulations other than r. 1 and 2: 1 Jul 2014 (see r. 2(b)(i) and </w:t>
            </w:r>
            <w:r>
              <w:rPr>
                <w:bCs/>
                <w:i/>
                <w:snapToGrid w:val="0"/>
              </w:rPr>
              <w:t>Gazette</w:t>
            </w:r>
            <w:r>
              <w:rPr>
                <w:bCs/>
                <w:snapToGrid w:val="0"/>
              </w:rPr>
              <w:t xml:space="preserve"> 17 Jun 2014 p. 1955)</w:t>
            </w:r>
          </w:p>
        </w:tc>
      </w:tr>
      <w:tr>
        <w:tc>
          <w:tcPr>
            <w:tcW w:w="7087" w:type="dxa"/>
            <w:gridSpan w:val="3"/>
            <w:shd w:val="clear" w:color="auto" w:fill="auto"/>
          </w:tcPr>
          <w:p>
            <w:pPr>
              <w:pStyle w:val="nTable"/>
              <w:spacing w:after="40"/>
              <w:rPr>
                <w:bCs/>
                <w:snapToGrid w:val="0"/>
              </w:rPr>
            </w:pPr>
            <w:r>
              <w:rPr>
                <w:b/>
                <w:bCs/>
                <w:snapToGrid w:val="0"/>
              </w:rPr>
              <w:t xml:space="preserve">Reprint 2: The </w:t>
            </w:r>
            <w:r>
              <w:rPr>
                <w:b/>
                <w:bCs/>
                <w:i/>
              </w:rPr>
              <w:t>Tobacco Products Control Regulations 2006</w:t>
            </w:r>
            <w:r>
              <w:rPr>
                <w:b/>
                <w:bCs/>
                <w:snapToGrid w:val="0"/>
              </w:rPr>
              <w:t xml:space="preserve"> as at 21 Nov 2014</w:t>
            </w:r>
            <w:r>
              <w:rPr>
                <w:snapToGrid w:val="0"/>
              </w:rPr>
              <w:t xml:space="preserve"> (includes amendments listed above)</w:t>
            </w:r>
          </w:p>
        </w:tc>
      </w:tr>
      <w:tr>
        <w:tc>
          <w:tcPr>
            <w:tcW w:w="3118" w:type="dxa"/>
          </w:tcPr>
          <w:p>
            <w:pPr>
              <w:pStyle w:val="nTable"/>
              <w:spacing w:after="40"/>
              <w:rPr>
                <w:i/>
              </w:rPr>
            </w:pPr>
            <w:r>
              <w:rPr>
                <w:i/>
              </w:rPr>
              <w:t>Tobacco Products Control Amendment Regulations (No. 4) 2014</w:t>
            </w:r>
          </w:p>
        </w:tc>
        <w:tc>
          <w:tcPr>
            <w:tcW w:w="1276" w:type="dxa"/>
          </w:tcPr>
          <w:p>
            <w:pPr>
              <w:pStyle w:val="nTable"/>
              <w:spacing w:after="40"/>
            </w:pPr>
            <w:r>
              <w:t>12 Dec 2014 p. 4715</w:t>
            </w:r>
            <w:r>
              <w:noBreakHyphen/>
              <w:t>16</w:t>
            </w:r>
          </w:p>
        </w:tc>
        <w:tc>
          <w:tcPr>
            <w:tcW w:w="2693"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c>
          <w:tcPr>
            <w:tcW w:w="3118" w:type="dxa"/>
          </w:tcPr>
          <w:p>
            <w:pPr>
              <w:pStyle w:val="nTable"/>
              <w:spacing w:after="40"/>
              <w:rPr>
                <w:i/>
              </w:rPr>
            </w:pPr>
            <w:r>
              <w:rPr>
                <w:i/>
              </w:rPr>
              <w:t>Tobacco Products Control Amendment Regulations 2015</w:t>
            </w:r>
          </w:p>
        </w:tc>
        <w:tc>
          <w:tcPr>
            <w:tcW w:w="1276" w:type="dxa"/>
          </w:tcPr>
          <w:p>
            <w:pPr>
              <w:pStyle w:val="nTable"/>
              <w:spacing w:after="40"/>
            </w:pPr>
            <w:r>
              <w:t>10 Feb 2015 p. 625</w:t>
            </w:r>
          </w:p>
        </w:tc>
        <w:tc>
          <w:tcPr>
            <w:tcW w:w="2693" w:type="dxa"/>
          </w:tcPr>
          <w:p>
            <w:pPr>
              <w:pStyle w:val="nTable"/>
              <w:spacing w:after="40"/>
              <w:rPr>
                <w:bCs/>
                <w:snapToGrid w:val="0"/>
              </w:rPr>
            </w:pPr>
            <w:r>
              <w:rPr>
                <w:bCs/>
                <w:snapToGrid w:val="0"/>
                <w:spacing w:val="-2"/>
              </w:rPr>
              <w:t>r. 1 and 2: 10 Feb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c>
          <w:tcPr>
            <w:tcW w:w="3118" w:type="dxa"/>
          </w:tcPr>
          <w:p>
            <w:pPr>
              <w:pStyle w:val="nTable"/>
              <w:spacing w:after="40"/>
              <w:rPr>
                <w:i/>
              </w:rPr>
            </w:pPr>
            <w:r>
              <w:rPr>
                <w:i/>
              </w:rPr>
              <w:t>Tobacco Products Control Amendment Regulations (No. 3) 2015</w:t>
            </w:r>
          </w:p>
        </w:tc>
        <w:tc>
          <w:tcPr>
            <w:tcW w:w="1276" w:type="dxa"/>
          </w:tcPr>
          <w:p>
            <w:pPr>
              <w:pStyle w:val="nTable"/>
              <w:spacing w:after="40"/>
            </w:pPr>
            <w:r>
              <w:t>19 May 2015 p. 1757</w:t>
            </w:r>
            <w:r>
              <w:noBreakHyphen/>
              <w:t>8</w:t>
            </w:r>
          </w:p>
        </w:tc>
        <w:tc>
          <w:tcPr>
            <w:tcW w:w="2693" w:type="dxa"/>
          </w:tcPr>
          <w:p>
            <w:pPr>
              <w:pStyle w:val="nTable"/>
              <w:spacing w:after="40"/>
              <w:rPr>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Regulations other than r. 1 and 2: 1 Jul 2015 (see r. 2(b))</w:t>
            </w:r>
          </w:p>
        </w:tc>
      </w:tr>
      <w:tr>
        <w:tc>
          <w:tcPr>
            <w:tcW w:w="3118" w:type="dxa"/>
          </w:tcPr>
          <w:p>
            <w:pPr>
              <w:pStyle w:val="nTable"/>
              <w:spacing w:after="40"/>
              <w:rPr>
                <w:i/>
              </w:rPr>
            </w:pPr>
            <w:r>
              <w:rPr>
                <w:i/>
              </w:rPr>
              <w:t>Tobacco Products Control Amendment Regulations (No. 4) 2015</w:t>
            </w:r>
          </w:p>
        </w:tc>
        <w:tc>
          <w:tcPr>
            <w:tcW w:w="1276" w:type="dxa"/>
          </w:tcPr>
          <w:p>
            <w:pPr>
              <w:pStyle w:val="nTable"/>
              <w:spacing w:after="40"/>
            </w:pPr>
            <w:r>
              <w:t>25 Aug 2015 p. 3379</w:t>
            </w:r>
            <w:r>
              <w:noBreakHyphen/>
              <w:t>80</w:t>
            </w:r>
          </w:p>
        </w:tc>
        <w:tc>
          <w:tcPr>
            <w:tcW w:w="2693" w:type="dxa"/>
          </w:tcPr>
          <w:p>
            <w:pPr>
              <w:pStyle w:val="nTable"/>
              <w:spacing w:after="40"/>
              <w:rPr>
                <w:bCs/>
                <w:snapToGrid w:val="0"/>
                <w:spacing w:val="-2"/>
              </w:rPr>
            </w:pPr>
            <w:r>
              <w:rPr>
                <w:bCs/>
                <w:snapToGrid w:val="0"/>
                <w:spacing w:val="-2"/>
              </w:rPr>
              <w:t xml:space="preserve">r. 1 and 2: </w:t>
            </w:r>
            <w:r>
              <w:t>25 Aug 2015</w:t>
            </w:r>
            <w:r>
              <w:rPr>
                <w:bCs/>
                <w:snapToGrid w:val="0"/>
                <w:spacing w:val="-2"/>
              </w:rPr>
              <w:t xml:space="preserve"> (see r. 2(a));</w:t>
            </w:r>
            <w:r>
              <w:rPr>
                <w:bCs/>
                <w:snapToGrid w:val="0"/>
                <w:spacing w:val="-2"/>
              </w:rPr>
              <w:br/>
              <w:t xml:space="preserve">Regulations other than r. 1 and 2: </w:t>
            </w:r>
            <w:r>
              <w:t>26 Aug 2015</w:t>
            </w:r>
            <w:r>
              <w:rPr>
                <w:bCs/>
                <w:snapToGrid w:val="0"/>
                <w:spacing w:val="-2"/>
              </w:rPr>
              <w:t xml:space="preserve"> (see r. 2(b))</w:t>
            </w:r>
          </w:p>
        </w:tc>
      </w:tr>
      <w:tr>
        <w:tc>
          <w:tcPr>
            <w:tcW w:w="3118" w:type="dxa"/>
          </w:tcPr>
          <w:p>
            <w:pPr>
              <w:pStyle w:val="nTable"/>
              <w:spacing w:after="40"/>
              <w:rPr>
                <w:i/>
              </w:rPr>
            </w:pPr>
            <w:r>
              <w:rPr>
                <w:i/>
              </w:rPr>
              <w:t>Tobacco Products Control Amendment Regulations (No. 2) 2016</w:t>
            </w:r>
          </w:p>
        </w:tc>
        <w:tc>
          <w:tcPr>
            <w:tcW w:w="1276" w:type="dxa"/>
          </w:tcPr>
          <w:p>
            <w:pPr>
              <w:pStyle w:val="nTable"/>
              <w:spacing w:after="40"/>
            </w:pPr>
            <w:r>
              <w:t>6 May 2016 p. 1382</w:t>
            </w:r>
            <w:r>
              <w:noBreakHyphen/>
              <w:t>3</w:t>
            </w:r>
          </w:p>
        </w:tc>
        <w:tc>
          <w:tcPr>
            <w:tcW w:w="2693" w:type="dxa"/>
          </w:tcPr>
          <w:p>
            <w:pPr>
              <w:pStyle w:val="nTable"/>
              <w:spacing w:after="40"/>
              <w:rPr>
                <w:bCs/>
                <w:snapToGrid w:val="0"/>
                <w:spacing w:val="-2"/>
              </w:rPr>
            </w:pPr>
            <w:r>
              <w:rPr>
                <w:bCs/>
                <w:snapToGrid w:val="0"/>
                <w:spacing w:val="-2"/>
              </w:rPr>
              <w:t xml:space="preserve">r. 1 and 2: </w:t>
            </w:r>
            <w:r>
              <w:t>6 May 2016</w:t>
            </w:r>
            <w:r>
              <w:rPr>
                <w:bCs/>
                <w:snapToGrid w:val="0"/>
                <w:spacing w:val="-2"/>
              </w:rPr>
              <w:t xml:space="preserve"> (see r. 2(a));</w:t>
            </w:r>
            <w:r>
              <w:rPr>
                <w:bCs/>
                <w:snapToGrid w:val="0"/>
                <w:spacing w:val="-2"/>
              </w:rPr>
              <w:br/>
              <w:t>Regulations other than r. 1 and 2: 7</w:t>
            </w:r>
            <w:r>
              <w:t> May 2016</w:t>
            </w:r>
            <w:r>
              <w:rPr>
                <w:bCs/>
                <w:snapToGrid w:val="0"/>
                <w:spacing w:val="-2"/>
              </w:rPr>
              <w:t xml:space="preserve"> (see r. 2(b))</w:t>
            </w:r>
          </w:p>
        </w:tc>
      </w:tr>
      <w:tr>
        <w:tc>
          <w:tcPr>
            <w:tcW w:w="3118" w:type="dxa"/>
          </w:tcPr>
          <w:p>
            <w:pPr>
              <w:pStyle w:val="nTable"/>
              <w:spacing w:after="40"/>
            </w:pPr>
            <w:r>
              <w:rPr>
                <w:i/>
              </w:rPr>
              <w:t>Health Regulations Amendment (Fees and Charges) Regulations 2016</w:t>
            </w:r>
            <w:r>
              <w:t xml:space="preserve"> Pt. 8</w:t>
            </w:r>
          </w:p>
        </w:tc>
        <w:tc>
          <w:tcPr>
            <w:tcW w:w="1276" w:type="dxa"/>
          </w:tcPr>
          <w:p>
            <w:pPr>
              <w:pStyle w:val="nTable"/>
              <w:spacing w:after="40"/>
            </w:pPr>
            <w:r>
              <w:t>17 Jun 2016 p. 2101-5</w:t>
            </w:r>
          </w:p>
        </w:tc>
        <w:tc>
          <w:tcPr>
            <w:tcW w:w="2693" w:type="dxa"/>
          </w:tcPr>
          <w:p>
            <w:pPr>
              <w:pStyle w:val="nTable"/>
              <w:spacing w:after="40"/>
              <w:rPr>
                <w:bCs/>
                <w:snapToGrid w:val="0"/>
                <w:spacing w:val="-2"/>
              </w:rPr>
            </w:pPr>
            <w:r>
              <w:rPr>
                <w:bCs/>
                <w:snapToGrid w:val="0"/>
                <w:spacing w:val="-2"/>
              </w:rPr>
              <w:t>1 Jul 2016 (see r. 2(b))</w:t>
            </w:r>
          </w:p>
        </w:tc>
      </w:tr>
      <w:tr>
        <w:tc>
          <w:tcPr>
            <w:tcW w:w="3118" w:type="dxa"/>
          </w:tcPr>
          <w:p>
            <w:pPr>
              <w:pStyle w:val="nTable"/>
              <w:spacing w:after="40"/>
              <w:rPr>
                <w:i/>
              </w:rPr>
            </w:pPr>
            <w:r>
              <w:rPr>
                <w:i/>
              </w:rPr>
              <w:t>Tobacco Products Control Amendment Regulations (No. 3) 2016</w:t>
            </w:r>
          </w:p>
        </w:tc>
        <w:tc>
          <w:tcPr>
            <w:tcW w:w="1276" w:type="dxa"/>
          </w:tcPr>
          <w:p>
            <w:pPr>
              <w:pStyle w:val="nTable"/>
              <w:spacing w:after="40"/>
            </w:pPr>
            <w:r>
              <w:t>26 Jul 2016 p. 3150</w:t>
            </w:r>
          </w:p>
        </w:tc>
        <w:tc>
          <w:tcPr>
            <w:tcW w:w="2693" w:type="dxa"/>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 xml:space="preserve">Regulations other than r. 1 and 2: </w:t>
            </w:r>
            <w:r>
              <w:rPr>
                <w:bCs/>
                <w:snapToGrid w:val="0"/>
                <w:spacing w:val="-2"/>
              </w:rPr>
              <w:t xml:space="preserve">1 Sep 2016 (see r. 2(b) and </w:t>
            </w:r>
            <w:r>
              <w:rPr>
                <w:bCs/>
                <w:i/>
                <w:snapToGrid w:val="0"/>
                <w:spacing w:val="-2"/>
              </w:rPr>
              <w:t xml:space="preserve">Gazette </w:t>
            </w:r>
            <w:r>
              <w:rPr>
                <w:bCs/>
                <w:snapToGrid w:val="0"/>
                <w:spacing w:val="-2"/>
              </w:rPr>
              <w:t>26 Jul 2016 p. 3145)</w:t>
            </w:r>
          </w:p>
        </w:tc>
      </w:tr>
    </w:tbl>
    <w:p>
      <w:pPr>
        <w:pStyle w:val="nSubsection"/>
        <w:spacing w:before="360"/>
        <w:rPr>
          <w:del w:id="366" w:author="Master Repository Process" w:date="2021-09-25T08:56:00Z"/>
        </w:rPr>
      </w:pPr>
      <w:del w:id="367" w:author="Master Repository Process" w:date="2021-09-25T08:5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widowControl w:val="0"/>
        <w:rPr>
          <w:del w:id="368" w:author="Master Repository Process" w:date="2021-09-25T08:56:00Z"/>
        </w:rPr>
      </w:pPr>
      <w:bookmarkStart w:id="369" w:name="_Toc471896878"/>
      <w:bookmarkStart w:id="370" w:name="_Toc471906155"/>
      <w:bookmarkStart w:id="371" w:name="_Toc471915710"/>
      <w:bookmarkStart w:id="372" w:name="_Toc471917992"/>
      <w:bookmarkStart w:id="373" w:name="_Toc472005993"/>
      <w:del w:id="374" w:author="Master Repository Process" w:date="2021-09-25T08:56:00Z">
        <w:r>
          <w:delText>Provisions that have not come into operation</w:delText>
        </w:r>
        <w:bookmarkEnd w:id="369"/>
        <w:bookmarkEnd w:id="370"/>
        <w:bookmarkEnd w:id="371"/>
        <w:bookmarkEnd w:id="372"/>
        <w:bookmarkEnd w:id="373"/>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75" w:author="Master Repository Process" w:date="2021-09-25T08:56:00Z"/>
        </w:trPr>
        <w:tc>
          <w:tcPr>
            <w:tcW w:w="3118" w:type="dxa"/>
          </w:tcPr>
          <w:p>
            <w:pPr>
              <w:pStyle w:val="nTable"/>
              <w:keepNext/>
              <w:keepLines/>
              <w:widowControl w:val="0"/>
              <w:spacing w:after="40"/>
              <w:rPr>
                <w:del w:id="376" w:author="Master Repository Process" w:date="2021-09-25T08:56:00Z"/>
                <w:b/>
              </w:rPr>
            </w:pPr>
            <w:del w:id="377" w:author="Master Repository Process" w:date="2021-09-25T08:56:00Z">
              <w:r>
                <w:rPr>
                  <w:b/>
                </w:rPr>
                <w:delText>Citation</w:delText>
              </w:r>
            </w:del>
          </w:p>
        </w:tc>
        <w:tc>
          <w:tcPr>
            <w:tcW w:w="1276" w:type="dxa"/>
          </w:tcPr>
          <w:p>
            <w:pPr>
              <w:pStyle w:val="nTable"/>
              <w:keepNext/>
              <w:keepLines/>
              <w:widowControl w:val="0"/>
              <w:spacing w:after="40"/>
              <w:rPr>
                <w:del w:id="378" w:author="Master Repository Process" w:date="2021-09-25T08:56:00Z"/>
                <w:b/>
              </w:rPr>
            </w:pPr>
            <w:del w:id="379" w:author="Master Repository Process" w:date="2021-09-25T08:56:00Z">
              <w:r>
                <w:rPr>
                  <w:b/>
                </w:rPr>
                <w:delText>Gazettal</w:delText>
              </w:r>
            </w:del>
          </w:p>
        </w:tc>
        <w:tc>
          <w:tcPr>
            <w:tcW w:w="2693" w:type="dxa"/>
          </w:tcPr>
          <w:p>
            <w:pPr>
              <w:pStyle w:val="nTable"/>
              <w:keepNext/>
              <w:keepLines/>
              <w:widowControl w:val="0"/>
              <w:spacing w:after="40"/>
              <w:rPr>
                <w:del w:id="380" w:author="Master Repository Process" w:date="2021-09-25T08:56:00Z"/>
                <w:b/>
              </w:rPr>
            </w:pPr>
            <w:del w:id="381" w:author="Master Repository Process" w:date="2021-09-25T08:56: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Health Regulations Amendment (Public Health) Regulations 2016</w:t>
            </w:r>
            <w:r>
              <w:t xml:space="preserve"> Pt. 34</w:t>
            </w:r>
            <w:del w:id="382" w:author="Master Repository Process" w:date="2021-09-25T08:56:00Z">
              <w:r>
                <w:delText> </w:delText>
              </w:r>
              <w:r>
                <w:rPr>
                  <w:vertAlign w:val="superscript"/>
                </w:rPr>
                <w:delText>2</w:delText>
              </w:r>
            </w:del>
          </w:p>
        </w:tc>
        <w:tc>
          <w:tcPr>
            <w:tcW w:w="1276" w:type="dxa"/>
            <w:tcBorders>
              <w:bottom w:val="single" w:sz="4" w:space="0" w:color="auto"/>
            </w:tcBorders>
          </w:tcPr>
          <w:p>
            <w:pPr>
              <w:pStyle w:val="nTable"/>
              <w:spacing w:after="40"/>
            </w:pPr>
            <w:r>
              <w:t>10 Jan 2017 p. 237</w:t>
            </w:r>
            <w:r>
              <w:noBreakHyphen/>
              <w:t>308</w:t>
            </w:r>
          </w:p>
        </w:tc>
        <w:tc>
          <w:tcPr>
            <w:tcW w:w="2693" w:type="dxa"/>
            <w:tcBorders>
              <w:bottom w:val="single" w:sz="4" w:space="0" w:color="auto"/>
            </w:tcBorders>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bl>
    <w:p>
      <w:pPr>
        <w:rPr>
          <w:iCs/>
        </w:rPr>
      </w:pPr>
    </w:p>
    <w:p>
      <w:pPr>
        <w:pStyle w:val="nSubsection"/>
        <w:rPr>
          <w:del w:id="383" w:author="Master Repository Process" w:date="2021-09-25T08:56:00Z"/>
          <w:snapToGrid w:val="0"/>
        </w:rPr>
      </w:pPr>
      <w:del w:id="384" w:author="Master Repository Process" w:date="2021-09-25T08:56:00Z">
        <w:r>
          <w:rPr>
            <w:vertAlign w:val="superscript"/>
          </w:rPr>
          <w:delText>2</w:delText>
        </w:r>
        <w:r>
          <w:tab/>
        </w:r>
        <w:r>
          <w:rPr>
            <w:snapToGrid w:val="0"/>
          </w:rPr>
          <w:delText xml:space="preserve">On the date as at which this compilation was prepared, the </w:delText>
        </w:r>
        <w:r>
          <w:rPr>
            <w:i/>
          </w:rPr>
          <w:delText>Health Regulations Amendment (Public Health) Regulations 2016</w:delText>
        </w:r>
        <w:r>
          <w:delText xml:space="preserve"> Pt. 34</w:delText>
        </w:r>
        <w:r>
          <w:rPr>
            <w:snapToGrid w:val="0"/>
          </w:rPr>
          <w:delText xml:space="preserve"> had not come into operation.  It reads as follows:</w:delText>
        </w:r>
      </w:del>
    </w:p>
    <w:p>
      <w:pPr>
        <w:pStyle w:val="BlankOpen"/>
        <w:rPr>
          <w:del w:id="385" w:author="Master Repository Process" w:date="2021-09-25T08:56:00Z"/>
          <w:snapToGrid w:val="0"/>
        </w:rPr>
      </w:pPr>
    </w:p>
    <w:p>
      <w:pPr>
        <w:pStyle w:val="nzHeading2"/>
        <w:rPr>
          <w:del w:id="386" w:author="Master Repository Process" w:date="2021-09-25T08:56:00Z"/>
        </w:rPr>
      </w:pPr>
      <w:del w:id="387" w:author="Master Repository Process" w:date="2021-09-25T08:56:00Z">
        <w:r>
          <w:rPr>
            <w:rStyle w:val="CharPartNo"/>
          </w:rPr>
          <w:delText>Part 34</w:delText>
        </w:r>
        <w:r>
          <w:rPr>
            <w:rStyle w:val="CharDivNo"/>
          </w:rPr>
          <w:delText> </w:delText>
        </w:r>
        <w:r>
          <w:delText>—</w:delText>
        </w:r>
        <w:r>
          <w:rPr>
            <w:rStyle w:val="CharDivText"/>
          </w:rPr>
          <w:delText> </w:delText>
        </w:r>
        <w:r>
          <w:rPr>
            <w:rStyle w:val="CharPartText"/>
            <w:i/>
          </w:rPr>
          <w:delText>Tobacco Products Control Regulations 2006</w:delText>
        </w:r>
        <w:r>
          <w:rPr>
            <w:rStyle w:val="CharPartText"/>
          </w:rPr>
          <w:delText> amended</w:delText>
        </w:r>
      </w:del>
    </w:p>
    <w:p>
      <w:pPr>
        <w:pStyle w:val="nzHeading5"/>
        <w:rPr>
          <w:del w:id="388" w:author="Master Repository Process" w:date="2021-09-25T08:56:00Z"/>
          <w:snapToGrid w:val="0"/>
        </w:rPr>
      </w:pPr>
      <w:del w:id="389" w:author="Master Repository Process" w:date="2021-09-25T08:56:00Z">
        <w:r>
          <w:rPr>
            <w:rStyle w:val="CharSectno"/>
          </w:rPr>
          <w:delText>125</w:delText>
        </w:r>
        <w:r>
          <w:rPr>
            <w:snapToGrid w:val="0"/>
          </w:rPr>
          <w:delText>.</w:delText>
        </w:r>
        <w:r>
          <w:rPr>
            <w:snapToGrid w:val="0"/>
          </w:rPr>
          <w:tab/>
          <w:delText>Regulations amended</w:delText>
        </w:r>
      </w:del>
    </w:p>
    <w:p>
      <w:pPr>
        <w:pStyle w:val="nzSubsection"/>
        <w:rPr>
          <w:del w:id="390" w:author="Master Repository Process" w:date="2021-09-25T08:56:00Z"/>
        </w:rPr>
      </w:pPr>
      <w:del w:id="391" w:author="Master Repository Process" w:date="2021-09-25T08:56:00Z">
        <w:r>
          <w:tab/>
        </w:r>
        <w:r>
          <w:tab/>
          <w:delText xml:space="preserve">This Part amends the </w:delText>
        </w:r>
        <w:r>
          <w:rPr>
            <w:i/>
          </w:rPr>
          <w:delText>Tobacco Products Control Regulations 2006</w:delText>
        </w:r>
        <w:r>
          <w:delText>.</w:delText>
        </w:r>
      </w:del>
    </w:p>
    <w:p>
      <w:pPr>
        <w:pStyle w:val="nzHeading5"/>
        <w:rPr>
          <w:del w:id="392" w:author="Master Repository Process" w:date="2021-09-25T08:56:00Z"/>
        </w:rPr>
      </w:pPr>
      <w:del w:id="393" w:author="Master Repository Process" w:date="2021-09-25T08:56:00Z">
        <w:r>
          <w:rPr>
            <w:rStyle w:val="CharSectno"/>
          </w:rPr>
          <w:delText>126</w:delText>
        </w:r>
        <w:r>
          <w:delText>.</w:delText>
        </w:r>
        <w:r>
          <w:tab/>
          <w:delText>Regulation 59 amended</w:delText>
        </w:r>
      </w:del>
    </w:p>
    <w:p>
      <w:pPr>
        <w:pStyle w:val="nzSubsection"/>
        <w:rPr>
          <w:del w:id="394" w:author="Master Repository Process" w:date="2021-09-25T08:56:00Z"/>
        </w:rPr>
      </w:pPr>
      <w:del w:id="395" w:author="Master Repository Process" w:date="2021-09-25T08:56:00Z">
        <w:r>
          <w:tab/>
        </w:r>
        <w:r>
          <w:tab/>
          <w:delText>Delete regulation 59(a) and insert:</w:delText>
        </w:r>
      </w:del>
    </w:p>
    <w:p>
      <w:pPr>
        <w:pStyle w:val="BlankOpen"/>
        <w:rPr>
          <w:del w:id="396" w:author="Master Repository Process" w:date="2021-09-25T08:56:00Z"/>
        </w:rPr>
      </w:pPr>
    </w:p>
    <w:p>
      <w:pPr>
        <w:pStyle w:val="nzIndenta"/>
        <w:rPr>
          <w:del w:id="397" w:author="Master Repository Process" w:date="2021-09-25T08:56:00Z"/>
        </w:rPr>
      </w:pPr>
      <w:del w:id="398" w:author="Master Repository Process" w:date="2021-09-25T08:56:00Z">
        <w:r>
          <w:tab/>
          <w:delText>(a)</w:delText>
        </w:r>
        <w:r>
          <w:tab/>
          <w:delText>authorised officers;</w:delText>
        </w:r>
      </w:del>
    </w:p>
    <w:p>
      <w:pPr>
        <w:pStyle w:val="BlankClose"/>
        <w:rPr>
          <w:del w:id="399" w:author="Master Repository Process" w:date="2021-09-25T08:56:00Z"/>
        </w:rPr>
      </w:pPr>
    </w:p>
    <w:p>
      <w:pPr>
        <w:rPr>
          <w:del w:id="400" w:author="Master Repository Process" w:date="2021-09-25T08:56:00Z"/>
          <w:iCs/>
        </w:rPr>
      </w:pPr>
    </w:p>
    <w:p>
      <w:pPr>
        <w:rPr>
          <w:iCs/>
        </w:r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1" w:name="Compilation"/>
    <w:bookmarkEnd w:id="40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2" w:name="Coversheet"/>
    <w:bookmarkEnd w:id="4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46" w:name="Schedule"/>
    <w:bookmarkEnd w:id="3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F88477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505141400"/>
    <w:docVar w:name="WAFER_20140204111151" w:val="RemoveTocBookmarks,RemoveUnusedBookmarks,RemoveLanguageTags,UsedStyles,ResetPageSize,UpdateArrangement"/>
    <w:docVar w:name="WAFER_20140204111151_GUID" w:val="e69557e7-9399-4d2a-b585-92baabe830ef"/>
    <w:docVar w:name="WAFER_20140204112441" w:val="RemoveTocBookmarks,RunningHeaders"/>
    <w:docVar w:name="WAFER_20140204112441_GUID" w:val="645a7047-2d0d-48cc-9039-098bd9c99b0b"/>
    <w:docVar w:name="WAFER_20140619121702" w:val="RemoveTocBookmarks,RemoveUnusedBookmarks,RemoveLanguageTags,UsedStyles,ResetPageSize,UpdateArrangement"/>
    <w:docVar w:name="WAFER_20140619121702_GUID" w:val="ac3afae4-4fec-4a6f-9f19-ceb105322a06"/>
    <w:docVar w:name="WAFER_20141010141936" w:val="RemoveTocBookmarks,RemoveUnusedBookmarks,RemoveLanguageTags,UsedStyles,ResetPageSize,RemoveCustomizations,UpdateArrangement"/>
    <w:docVar w:name="WAFER_20141010141936_GUID" w:val="3d0c6a62-4b1f-4802-b3fc-0ed8bf6340d2"/>
    <w:docVar w:name="WAFER_20141211175651" w:val="RemoveTocBookmarks,RemoveUnusedBookmarks,RemoveLanguageTags,UsedStyles,ResetPageSize,UpdateArrangement"/>
    <w:docVar w:name="WAFER_20141211175651_GUID" w:val="44f558fe-567d-483f-9da4-5120e291cb6f"/>
    <w:docVar w:name="WAFER_20141211175703" w:val="RemoveTocBookmarks,RunningHeaders"/>
    <w:docVar w:name="WAFER_20141211175703_GUID" w:val="e6df6dbd-afaf-4e33-96a6-56ec427e2dab"/>
    <w:docVar w:name="WAFER_20141211175716" w:val="RemoveTocBookmarks,RemoveUnusedBookmarks,RemoveLanguageTags,UsedStyles,ResetPageSize"/>
    <w:docVar w:name="WAFER_20141211175716_GUID" w:val="dcbd7181-cc1e-4669-8b83-7d0e90df0103"/>
    <w:docVar w:name="WAFER_20141211175728" w:val="RemoveTocBookmarks,RunningHeaders"/>
    <w:docVar w:name="WAFER_20141211175728_GUID" w:val="1bb8d511-e410-4e7a-9dfe-c75335bf588e"/>
    <w:docVar w:name="WAFER_20150416164240" w:val="ResetPageSize,UpdateArrangement,UpdateNTable"/>
    <w:docVar w:name="WAFER_20150416164240_GUID" w:val="7bac5f6c-12d2-494b-970e-67ea49823d5c"/>
    <w:docVar w:name="WAFER_20151112092702" w:val="UpdateStyles,UsedStyles"/>
    <w:docVar w:name="WAFER_20151112092702_GUID" w:val="3f8828c2-e5a4-4907-a3e2-d838648df5cd"/>
    <w:docVar w:name="WAFER_20160505121439" w:val="RemoveTocBookmarks,RemoveUnusedBookmarks,RemoveLanguageTags,UsedStyles,ResetPageSize"/>
    <w:docVar w:name="WAFER_20160505121439_GUID" w:val="f1df9a81-4a54-40e8-a0e9-b7c7e71c6356"/>
    <w:docVar w:name="WAFER_20160505141400" w:val="RemoveTocBookmarks,RemoveUnusedBookmarks,RemoveLanguageTags,UsedStyles,ResetPageSize"/>
    <w:docVar w:name="WAFER_20160505141400_GUID" w:val="bebe23af-244a-431d-b0d7-ecba8fc1ad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FDFB1D02-26FB-4E7F-8688-EF5D7B85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5.png"/><Relationship Id="rId39" Type="http://schemas.microsoft.com/office/2011/relationships/people" Target="people.xml"/><Relationship Id="rId21" Type="http://schemas.openxmlformats.org/officeDocument/2006/relationships/image" Target="media/image3.jpeg"/><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jpe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11059</Words>
  <Characters>51759</Characters>
  <Application>Microsoft Office Word</Application>
  <DocSecurity>0</DocSecurity>
  <Lines>1669</Lines>
  <Paragraphs>1029</Paragraphs>
  <ScaleCrop>false</ScaleCrop>
  <HeadingPairs>
    <vt:vector size="2" baseType="variant">
      <vt:variant>
        <vt:lpstr>Title</vt:lpstr>
      </vt:variant>
      <vt:variant>
        <vt:i4>1</vt:i4>
      </vt:variant>
    </vt:vector>
  </HeadingPairs>
  <TitlesOfParts>
    <vt:vector size="1" baseType="lpstr">
      <vt:lpstr>Tobacco Products Control Regulations 2006</vt:lpstr>
    </vt:vector>
  </TitlesOfParts>
  <Manager/>
  <Company/>
  <LinksUpToDate>false</LinksUpToDate>
  <CharactersWithSpaces>61789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02-l0-00 - 02-m0-00</dc:title>
  <dc:subject/>
  <dc:creator/>
  <cp:keywords/>
  <dc:description/>
  <cp:lastModifiedBy>Master Repository Process</cp:lastModifiedBy>
  <cp:revision>2</cp:revision>
  <cp:lastPrinted>2014-11-26T07:22:00Z</cp:lastPrinted>
  <dcterms:created xsi:type="dcterms:W3CDTF">2021-09-25T00:56:00Z</dcterms:created>
  <dcterms:modified xsi:type="dcterms:W3CDTF">2021-09-25T00:57:00Z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OwlsUID">
    <vt:i4>38982</vt:i4>
  </property>
  <property fmtid="{D5CDD505-2E9C-101B-9397-08002B2CF9AE}" pid="4" name="ReprintNo">
    <vt:lpwstr>2</vt:lpwstr>
  </property>
  <property fmtid="{D5CDD505-2E9C-101B-9397-08002B2CF9AE}" pid="5" name="ReprintedAsAt">
    <vt:filetime>2014-11-20T16:00:00Z</vt:filetime>
  </property>
  <property fmtid="{D5CDD505-2E9C-101B-9397-08002B2CF9AE}" pid="6" name="DocumentType">
    <vt:lpwstr>Reg</vt:lpwstr>
  </property>
  <property fmtid="{D5CDD505-2E9C-101B-9397-08002B2CF9AE}" pid="7" name="CommencementDate">
    <vt:lpwstr>20170124</vt:lpwstr>
  </property>
  <property fmtid="{D5CDD505-2E9C-101B-9397-08002B2CF9AE}" pid="8" name="FromSuffix">
    <vt:lpwstr>02-l0-00</vt:lpwstr>
  </property>
  <property fmtid="{D5CDD505-2E9C-101B-9397-08002B2CF9AE}" pid="9" name="FromAsAtDate">
    <vt:lpwstr>10 Jan 2017</vt:lpwstr>
  </property>
  <property fmtid="{D5CDD505-2E9C-101B-9397-08002B2CF9AE}" pid="10" name="ToSuffix">
    <vt:lpwstr>02-m0-00</vt:lpwstr>
  </property>
  <property fmtid="{D5CDD505-2E9C-101B-9397-08002B2CF9AE}" pid="11" name="ToAsAtDate">
    <vt:lpwstr>24 Jan 2017</vt:lpwstr>
  </property>
</Properties>
</file>