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2" w:name="_Toc471913747"/>
      <w:bookmarkStart w:id="3" w:name="_Toc472066545"/>
      <w:bookmarkStart w:id="4" w:name="_Toc473040661"/>
      <w:bookmarkStart w:id="5" w:name="_Toc47311610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73116101"/>
      <w:bookmarkStart w:id="7" w:name="_Toc47206654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8" w:name="_Toc473116102"/>
      <w:bookmarkStart w:id="9" w:name="_Toc47206654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0" w:name="_Toc473116103"/>
      <w:bookmarkStart w:id="11" w:name="_Toc47206654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2" w:name="_Toc471913751"/>
      <w:bookmarkStart w:id="13" w:name="_Toc472066549"/>
      <w:bookmarkStart w:id="14" w:name="_Toc473040665"/>
      <w:bookmarkStart w:id="15" w:name="_Toc473116104"/>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2"/>
      <w:bookmarkEnd w:id="13"/>
      <w:bookmarkEnd w:id="14"/>
      <w:bookmarkEnd w:id="15"/>
    </w:p>
    <w:p>
      <w:pPr>
        <w:pStyle w:val="Heading5"/>
        <w:rPr>
          <w:snapToGrid w:val="0"/>
        </w:rPr>
      </w:pPr>
      <w:bookmarkStart w:id="16" w:name="_Toc473116105"/>
      <w:bookmarkStart w:id="17" w:name="_Toc472066550"/>
      <w:r>
        <w:rPr>
          <w:rStyle w:val="CharSectno"/>
        </w:rPr>
        <w:t>4</w:t>
      </w:r>
      <w:r>
        <w:rPr>
          <w:snapToGrid w:val="0"/>
        </w:rPr>
        <w:t>.</w:t>
      </w:r>
      <w:r>
        <w:rPr>
          <w:snapToGrid w:val="0"/>
        </w:rPr>
        <w:tab/>
        <w:t>Authority established</w:t>
      </w:r>
      <w:bookmarkEnd w:id="16"/>
      <w:bookmarkEnd w:id="17"/>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8" w:name="_Toc473116106"/>
      <w:bookmarkStart w:id="19" w:name="_Toc472066551"/>
      <w:r>
        <w:rPr>
          <w:rStyle w:val="CharSectno"/>
        </w:rPr>
        <w:t>5</w:t>
      </w:r>
      <w:r>
        <w:rPr>
          <w:snapToGrid w:val="0"/>
        </w:rPr>
        <w:t>.</w:t>
      </w:r>
      <w:r>
        <w:rPr>
          <w:snapToGrid w:val="0"/>
        </w:rPr>
        <w:tab/>
        <w:t>Agent of Crown</w:t>
      </w:r>
      <w:bookmarkEnd w:id="18"/>
      <w:bookmarkEnd w:id="19"/>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20" w:name="_Toc473116107"/>
      <w:bookmarkStart w:id="21" w:name="_Toc472066552"/>
      <w:r>
        <w:rPr>
          <w:rStyle w:val="CharSectno"/>
        </w:rPr>
        <w:t>6</w:t>
      </w:r>
      <w:r>
        <w:rPr>
          <w:snapToGrid w:val="0"/>
        </w:rPr>
        <w:t>.</w:t>
      </w:r>
      <w:r>
        <w:rPr>
          <w:snapToGrid w:val="0"/>
        </w:rPr>
        <w:tab/>
        <w:t>Board of management</w:t>
      </w:r>
      <w:bookmarkEnd w:id="20"/>
      <w:bookmarkEnd w:id="21"/>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22" w:name="_Toc473116108"/>
      <w:bookmarkStart w:id="23" w:name="_Toc472066553"/>
      <w:r>
        <w:rPr>
          <w:rStyle w:val="CharSectno"/>
        </w:rPr>
        <w:t>7</w:t>
      </w:r>
      <w:r>
        <w:rPr>
          <w:snapToGrid w:val="0"/>
        </w:rPr>
        <w:t>.</w:t>
      </w:r>
      <w:r>
        <w:rPr>
          <w:snapToGrid w:val="0"/>
        </w:rPr>
        <w:tab/>
        <w:t>Constitution and proceedings of board</w:t>
      </w:r>
      <w:bookmarkEnd w:id="22"/>
      <w:bookmarkEnd w:id="23"/>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24" w:name="_Toc473116109"/>
      <w:bookmarkStart w:id="25" w:name="_Toc472066554"/>
      <w:r>
        <w:rPr>
          <w:rStyle w:val="CharSectno"/>
        </w:rPr>
        <w:t>8</w:t>
      </w:r>
      <w:r>
        <w:rPr>
          <w:snapToGrid w:val="0"/>
        </w:rPr>
        <w:t>.</w:t>
      </w:r>
      <w:r>
        <w:rPr>
          <w:snapToGrid w:val="0"/>
        </w:rPr>
        <w:tab/>
        <w:t>Remuneration of members</w:t>
      </w:r>
      <w:bookmarkEnd w:id="24"/>
      <w:bookmarkEnd w:id="25"/>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26" w:name="_Toc471913757"/>
      <w:bookmarkStart w:id="27" w:name="_Toc472066555"/>
      <w:bookmarkStart w:id="28" w:name="_Toc473040671"/>
      <w:bookmarkStart w:id="29" w:name="_Toc473116110"/>
      <w:r>
        <w:rPr>
          <w:rStyle w:val="CharPartNo"/>
        </w:rPr>
        <w:t>Part 3</w:t>
      </w:r>
      <w:r>
        <w:rPr>
          <w:rStyle w:val="CharDivNo"/>
        </w:rPr>
        <w:t xml:space="preserve"> </w:t>
      </w:r>
      <w:r>
        <w:t>—</w:t>
      </w:r>
      <w:r>
        <w:rPr>
          <w:rStyle w:val="CharDivText"/>
        </w:rPr>
        <w:t xml:space="preserve"> </w:t>
      </w:r>
      <w:r>
        <w:rPr>
          <w:rStyle w:val="CharPartText"/>
        </w:rPr>
        <w:t>Functions and powers</w:t>
      </w:r>
      <w:bookmarkEnd w:id="26"/>
      <w:bookmarkEnd w:id="27"/>
      <w:bookmarkEnd w:id="28"/>
      <w:bookmarkEnd w:id="29"/>
    </w:p>
    <w:p>
      <w:pPr>
        <w:pStyle w:val="Heading5"/>
        <w:rPr>
          <w:snapToGrid w:val="0"/>
        </w:rPr>
      </w:pPr>
      <w:bookmarkStart w:id="30" w:name="_Toc473116111"/>
      <w:bookmarkStart w:id="31" w:name="_Toc472066556"/>
      <w:r>
        <w:rPr>
          <w:rStyle w:val="CharSectno"/>
        </w:rPr>
        <w:t>9</w:t>
      </w:r>
      <w:r>
        <w:rPr>
          <w:snapToGrid w:val="0"/>
        </w:rPr>
        <w:t>.</w:t>
      </w:r>
      <w:r>
        <w:rPr>
          <w:snapToGrid w:val="0"/>
        </w:rPr>
        <w:tab/>
        <w:t>Functions</w:t>
      </w:r>
      <w:bookmarkEnd w:id="30"/>
      <w:bookmarkEnd w:id="31"/>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32" w:name="_Toc473116112"/>
      <w:bookmarkStart w:id="33" w:name="_Toc472066557"/>
      <w:r>
        <w:rPr>
          <w:rStyle w:val="CharSectno"/>
        </w:rPr>
        <w:t>10</w:t>
      </w:r>
      <w:r>
        <w:rPr>
          <w:snapToGrid w:val="0"/>
        </w:rPr>
        <w:t>.</w:t>
      </w:r>
      <w:r>
        <w:rPr>
          <w:snapToGrid w:val="0"/>
        </w:rPr>
        <w:tab/>
        <w:t>Powers</w:t>
      </w:r>
      <w:bookmarkEnd w:id="32"/>
      <w:bookmarkEnd w:id="33"/>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34" w:name="_Toc473116113"/>
      <w:bookmarkStart w:id="35" w:name="_Toc472066558"/>
      <w:r>
        <w:rPr>
          <w:rStyle w:val="CharSectno"/>
        </w:rPr>
        <w:t>11</w:t>
      </w:r>
      <w:r>
        <w:rPr>
          <w:snapToGrid w:val="0"/>
        </w:rPr>
        <w:t>.</w:t>
      </w:r>
      <w:r>
        <w:rPr>
          <w:snapToGrid w:val="0"/>
        </w:rPr>
        <w:tab/>
        <w:t>Requirements for Ministerial approval</w:t>
      </w:r>
      <w:bookmarkEnd w:id="34"/>
      <w:bookmarkEnd w:id="35"/>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36" w:name="_Toc473116114"/>
      <w:bookmarkStart w:id="37" w:name="_Toc472066559"/>
      <w:r>
        <w:rPr>
          <w:rStyle w:val="CharSectno"/>
        </w:rPr>
        <w:t>12</w:t>
      </w:r>
      <w:r>
        <w:rPr>
          <w:snapToGrid w:val="0"/>
        </w:rPr>
        <w:t>.</w:t>
      </w:r>
      <w:r>
        <w:rPr>
          <w:snapToGrid w:val="0"/>
        </w:rPr>
        <w:tab/>
        <w:t>Delegation</w:t>
      </w:r>
      <w:bookmarkEnd w:id="36"/>
      <w:bookmarkEnd w:id="37"/>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38" w:name="_Toc473116115"/>
      <w:bookmarkStart w:id="39" w:name="_Toc472066560"/>
      <w:r>
        <w:rPr>
          <w:rStyle w:val="CharSectno"/>
        </w:rPr>
        <w:t>13</w:t>
      </w:r>
      <w:r>
        <w:rPr>
          <w:snapToGrid w:val="0"/>
        </w:rPr>
        <w:t>.</w:t>
      </w:r>
      <w:r>
        <w:rPr>
          <w:snapToGrid w:val="0"/>
        </w:rPr>
        <w:tab/>
        <w:t>Minister may give directions</w:t>
      </w:r>
      <w:bookmarkEnd w:id="38"/>
      <w:bookmarkEnd w:id="39"/>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40" w:name="_Toc473116116"/>
      <w:bookmarkStart w:id="41" w:name="_Toc472066561"/>
      <w:r>
        <w:rPr>
          <w:rStyle w:val="CharSectno"/>
        </w:rPr>
        <w:t>14</w:t>
      </w:r>
      <w:r>
        <w:rPr>
          <w:snapToGrid w:val="0"/>
        </w:rPr>
        <w:t>.</w:t>
      </w:r>
      <w:r>
        <w:rPr>
          <w:snapToGrid w:val="0"/>
        </w:rPr>
        <w:tab/>
        <w:t>Minister to have access to information</w:t>
      </w:r>
      <w:bookmarkEnd w:id="40"/>
      <w:bookmarkEnd w:id="41"/>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42" w:name="_Toc471913764"/>
      <w:bookmarkStart w:id="43" w:name="_Toc472066562"/>
      <w:bookmarkStart w:id="44" w:name="_Toc473040678"/>
      <w:bookmarkStart w:id="45" w:name="_Toc473116117"/>
      <w:r>
        <w:rPr>
          <w:rStyle w:val="CharPartNo"/>
        </w:rPr>
        <w:t>Part 4</w:t>
      </w:r>
      <w:r>
        <w:rPr>
          <w:rStyle w:val="CharDivNo"/>
        </w:rPr>
        <w:t xml:space="preserve"> </w:t>
      </w:r>
      <w:r>
        <w:t>—</w:t>
      </w:r>
      <w:r>
        <w:rPr>
          <w:rStyle w:val="CharDivText"/>
        </w:rPr>
        <w:t xml:space="preserve"> </w:t>
      </w:r>
      <w:r>
        <w:rPr>
          <w:rStyle w:val="CharPartText"/>
        </w:rPr>
        <w:t>Management plans</w:t>
      </w:r>
      <w:bookmarkEnd w:id="42"/>
      <w:bookmarkEnd w:id="43"/>
      <w:bookmarkEnd w:id="44"/>
      <w:bookmarkEnd w:id="45"/>
    </w:p>
    <w:p>
      <w:pPr>
        <w:pStyle w:val="Heading5"/>
        <w:rPr>
          <w:snapToGrid w:val="0"/>
        </w:rPr>
      </w:pPr>
      <w:bookmarkStart w:id="46" w:name="_Toc473116118"/>
      <w:bookmarkStart w:id="47" w:name="_Toc472066563"/>
      <w:r>
        <w:rPr>
          <w:rStyle w:val="CharSectno"/>
        </w:rPr>
        <w:t>15</w:t>
      </w:r>
      <w:r>
        <w:rPr>
          <w:snapToGrid w:val="0"/>
        </w:rPr>
        <w:t>.</w:t>
      </w:r>
      <w:r>
        <w:rPr>
          <w:snapToGrid w:val="0"/>
        </w:rPr>
        <w:tab/>
        <w:t>Authority to comply with management plans</w:t>
      </w:r>
      <w:bookmarkEnd w:id="46"/>
      <w:bookmarkEnd w:id="47"/>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48" w:name="_Toc473116119"/>
      <w:bookmarkStart w:id="49" w:name="_Toc472066564"/>
      <w:r>
        <w:rPr>
          <w:rStyle w:val="CharSectno"/>
        </w:rPr>
        <w:t>16</w:t>
      </w:r>
      <w:r>
        <w:rPr>
          <w:snapToGrid w:val="0"/>
        </w:rPr>
        <w:t>.</w:t>
      </w:r>
      <w:r>
        <w:rPr>
          <w:snapToGrid w:val="0"/>
        </w:rPr>
        <w:tab/>
        <w:t>First management plans</w:t>
      </w:r>
      <w:bookmarkEnd w:id="48"/>
      <w:bookmarkEnd w:id="49"/>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50" w:name="_Toc473116120"/>
      <w:bookmarkStart w:id="51" w:name="_Toc472066565"/>
      <w:r>
        <w:rPr>
          <w:rStyle w:val="CharSectno"/>
        </w:rPr>
        <w:t>17</w:t>
      </w:r>
      <w:r>
        <w:rPr>
          <w:snapToGrid w:val="0"/>
        </w:rPr>
        <w:t>.</w:t>
      </w:r>
      <w:r>
        <w:rPr>
          <w:snapToGrid w:val="0"/>
        </w:rPr>
        <w:tab/>
        <w:t>Review and revision of management plans</w:t>
      </w:r>
      <w:bookmarkEnd w:id="50"/>
      <w:bookmarkEnd w:id="51"/>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52" w:name="_Toc473116121"/>
      <w:bookmarkStart w:id="53" w:name="_Toc472066566"/>
      <w:r>
        <w:rPr>
          <w:rStyle w:val="CharSectno"/>
        </w:rPr>
        <w:t>18</w:t>
      </w:r>
      <w:r>
        <w:rPr>
          <w:snapToGrid w:val="0"/>
        </w:rPr>
        <w:t>.</w:t>
      </w:r>
      <w:r>
        <w:rPr>
          <w:snapToGrid w:val="0"/>
        </w:rPr>
        <w:tab/>
        <w:t>Content of management plans</w:t>
      </w:r>
      <w:bookmarkEnd w:id="52"/>
      <w:bookmarkEnd w:id="53"/>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54" w:name="_Toc473116122"/>
      <w:bookmarkStart w:id="55" w:name="_Toc472066567"/>
      <w:r>
        <w:rPr>
          <w:rStyle w:val="CharSectno"/>
        </w:rPr>
        <w:t>19</w:t>
      </w:r>
      <w:r>
        <w:rPr>
          <w:snapToGrid w:val="0"/>
        </w:rPr>
        <w:t>.</w:t>
      </w:r>
      <w:r>
        <w:rPr>
          <w:snapToGrid w:val="0"/>
        </w:rPr>
        <w:tab/>
        <w:t>Plans to be publicly notified</w:t>
      </w:r>
      <w:bookmarkEnd w:id="54"/>
      <w:bookmarkEnd w:id="55"/>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56" w:name="_Toc473116123"/>
      <w:bookmarkStart w:id="57" w:name="_Toc472066568"/>
      <w:r>
        <w:rPr>
          <w:rStyle w:val="CharSectno"/>
        </w:rPr>
        <w:t>20</w:t>
      </w:r>
      <w:r>
        <w:rPr>
          <w:snapToGrid w:val="0"/>
        </w:rPr>
        <w:t>.</w:t>
      </w:r>
      <w:r>
        <w:rPr>
          <w:snapToGrid w:val="0"/>
        </w:rPr>
        <w:tab/>
        <w:t>Public submissions</w:t>
      </w:r>
      <w:bookmarkEnd w:id="56"/>
      <w:bookmarkEnd w:id="57"/>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58" w:name="_Toc473116124"/>
      <w:bookmarkStart w:id="59" w:name="_Toc472066569"/>
      <w:r>
        <w:rPr>
          <w:rStyle w:val="CharSectno"/>
        </w:rPr>
        <w:t>21</w:t>
      </w:r>
      <w:r>
        <w:rPr>
          <w:snapToGrid w:val="0"/>
        </w:rPr>
        <w:t>.</w:t>
      </w:r>
      <w:r>
        <w:rPr>
          <w:snapToGrid w:val="0"/>
        </w:rPr>
        <w:tab/>
        <w:t>Approval by Minister</w:t>
      </w:r>
      <w:bookmarkEnd w:id="58"/>
      <w:bookmarkEnd w:id="59"/>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60" w:name="_Toc473116125"/>
      <w:bookmarkStart w:id="61" w:name="_Toc472066570"/>
      <w:r>
        <w:rPr>
          <w:rStyle w:val="CharSectno"/>
        </w:rPr>
        <w:t>22</w:t>
      </w:r>
      <w:r>
        <w:rPr>
          <w:snapToGrid w:val="0"/>
        </w:rPr>
        <w:t>.</w:t>
      </w:r>
      <w:r>
        <w:rPr>
          <w:snapToGrid w:val="0"/>
        </w:rPr>
        <w:tab/>
        <w:t>Notice of approval</w:t>
      </w:r>
      <w:bookmarkEnd w:id="60"/>
      <w:bookmarkEnd w:id="61"/>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62" w:name="_Toc471913773"/>
      <w:bookmarkStart w:id="63" w:name="_Toc472066571"/>
      <w:bookmarkStart w:id="64" w:name="_Toc473040687"/>
      <w:bookmarkStart w:id="65" w:name="_Toc473116126"/>
      <w:r>
        <w:rPr>
          <w:rStyle w:val="CharPartNo"/>
        </w:rPr>
        <w:t>Part 5</w:t>
      </w:r>
      <w:r>
        <w:rPr>
          <w:rStyle w:val="CharDivNo"/>
        </w:rPr>
        <w:t xml:space="preserve"> </w:t>
      </w:r>
      <w:r>
        <w:t>—</w:t>
      </w:r>
      <w:r>
        <w:rPr>
          <w:rStyle w:val="CharDivText"/>
        </w:rPr>
        <w:t xml:space="preserve"> </w:t>
      </w:r>
      <w:r>
        <w:rPr>
          <w:rStyle w:val="CharPartText"/>
        </w:rPr>
        <w:t>Staff</w:t>
      </w:r>
      <w:bookmarkEnd w:id="62"/>
      <w:bookmarkEnd w:id="63"/>
      <w:bookmarkEnd w:id="64"/>
      <w:bookmarkEnd w:id="65"/>
    </w:p>
    <w:p>
      <w:pPr>
        <w:pStyle w:val="Heading5"/>
        <w:rPr>
          <w:snapToGrid w:val="0"/>
        </w:rPr>
      </w:pPr>
      <w:bookmarkStart w:id="66" w:name="_Toc473116127"/>
      <w:bookmarkStart w:id="67" w:name="_Toc472066572"/>
      <w:r>
        <w:rPr>
          <w:rStyle w:val="CharSectno"/>
        </w:rPr>
        <w:t>23</w:t>
      </w:r>
      <w:r>
        <w:rPr>
          <w:snapToGrid w:val="0"/>
        </w:rPr>
        <w:t>.</w:t>
      </w:r>
      <w:r>
        <w:rPr>
          <w:snapToGrid w:val="0"/>
        </w:rPr>
        <w:tab/>
        <w:t>Chief executive officer</w:t>
      </w:r>
      <w:bookmarkEnd w:id="66"/>
      <w:bookmarkEnd w:id="67"/>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68" w:name="_Toc473116128"/>
      <w:bookmarkStart w:id="69" w:name="_Toc472066573"/>
      <w:r>
        <w:rPr>
          <w:rStyle w:val="CharSectno"/>
        </w:rPr>
        <w:t>24</w:t>
      </w:r>
      <w:r>
        <w:rPr>
          <w:snapToGrid w:val="0"/>
        </w:rPr>
        <w:t>.</w:t>
      </w:r>
      <w:r>
        <w:rPr>
          <w:snapToGrid w:val="0"/>
        </w:rPr>
        <w:tab/>
        <w:t>Other staff</w:t>
      </w:r>
      <w:bookmarkEnd w:id="68"/>
      <w:bookmarkEnd w:id="69"/>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70" w:name="_Toc473116129"/>
      <w:bookmarkStart w:id="71" w:name="_Toc472066574"/>
      <w:r>
        <w:rPr>
          <w:rStyle w:val="CharSectno"/>
        </w:rPr>
        <w:t>25</w:t>
      </w:r>
      <w:r>
        <w:rPr>
          <w:snapToGrid w:val="0"/>
        </w:rPr>
        <w:t>.</w:t>
      </w:r>
      <w:r>
        <w:rPr>
          <w:snapToGrid w:val="0"/>
        </w:rPr>
        <w:tab/>
        <w:t>Use of other government staff etc.</w:t>
      </w:r>
      <w:bookmarkEnd w:id="70"/>
      <w:bookmarkEnd w:id="71"/>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2" w:name="_Toc473116130"/>
      <w:bookmarkStart w:id="73" w:name="_Toc472066575"/>
      <w:r>
        <w:rPr>
          <w:rStyle w:val="CharSectno"/>
        </w:rPr>
        <w:t>26</w:t>
      </w:r>
      <w:r>
        <w:rPr>
          <w:snapToGrid w:val="0"/>
        </w:rPr>
        <w:t>.</w:t>
      </w:r>
      <w:r>
        <w:rPr>
          <w:snapToGrid w:val="0"/>
        </w:rPr>
        <w:tab/>
        <w:t>Park management officers</w:t>
      </w:r>
      <w:bookmarkEnd w:id="72"/>
      <w:bookmarkEnd w:id="73"/>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74" w:name="_Toc473116131"/>
      <w:bookmarkStart w:id="75" w:name="_Toc472066576"/>
      <w:r>
        <w:rPr>
          <w:rStyle w:val="CharSectno"/>
        </w:rPr>
        <w:t>27</w:t>
      </w:r>
      <w:r>
        <w:rPr>
          <w:snapToGrid w:val="0"/>
        </w:rPr>
        <w:t>.</w:t>
      </w:r>
      <w:r>
        <w:rPr>
          <w:snapToGrid w:val="0"/>
        </w:rPr>
        <w:tab/>
        <w:t>Identity cards</w:t>
      </w:r>
      <w:bookmarkEnd w:id="74"/>
      <w:bookmarkEnd w:id="75"/>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76" w:name="_Toc473116132"/>
      <w:bookmarkStart w:id="77" w:name="_Toc472066577"/>
      <w:r>
        <w:rPr>
          <w:rStyle w:val="CharSectno"/>
        </w:rPr>
        <w:t>28</w:t>
      </w:r>
      <w:r>
        <w:rPr>
          <w:snapToGrid w:val="0"/>
        </w:rPr>
        <w:t>.</w:t>
      </w:r>
      <w:r>
        <w:rPr>
          <w:snapToGrid w:val="0"/>
        </w:rPr>
        <w:tab/>
        <w:t>Enforcement powers of park management officers</w:t>
      </w:r>
      <w:bookmarkEnd w:id="76"/>
      <w:bookmarkEnd w:id="77"/>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78" w:name="_Toc473116133"/>
      <w:bookmarkStart w:id="79" w:name="_Toc472066578"/>
      <w:r>
        <w:rPr>
          <w:rStyle w:val="CharSectno"/>
        </w:rPr>
        <w:t>29</w:t>
      </w:r>
      <w:r>
        <w:rPr>
          <w:snapToGrid w:val="0"/>
        </w:rPr>
        <w:t>.</w:t>
      </w:r>
      <w:r>
        <w:rPr>
          <w:snapToGrid w:val="0"/>
        </w:rPr>
        <w:tab/>
        <w:t>Requirement to leave designated land</w:t>
      </w:r>
      <w:bookmarkEnd w:id="78"/>
      <w:bookmarkEnd w:id="79"/>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80" w:name="_Toc473116134"/>
      <w:bookmarkStart w:id="81" w:name="_Toc472066579"/>
      <w:r>
        <w:rPr>
          <w:rStyle w:val="CharSectno"/>
        </w:rPr>
        <w:t>30</w:t>
      </w:r>
      <w:r>
        <w:rPr>
          <w:snapToGrid w:val="0"/>
        </w:rPr>
        <w:t>.</w:t>
      </w:r>
      <w:r>
        <w:rPr>
          <w:snapToGrid w:val="0"/>
        </w:rPr>
        <w:tab/>
        <w:t>Obstruction of park management officers</w:t>
      </w:r>
      <w:bookmarkEnd w:id="80"/>
      <w:bookmarkEnd w:id="81"/>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82" w:name="_Toc471913782"/>
      <w:bookmarkStart w:id="83" w:name="_Toc472066580"/>
      <w:bookmarkStart w:id="84" w:name="_Toc473040696"/>
      <w:bookmarkStart w:id="85" w:name="_Toc473116135"/>
      <w:r>
        <w:rPr>
          <w:rStyle w:val="CharPartNo"/>
        </w:rPr>
        <w:t>Part 6</w:t>
      </w:r>
      <w:r>
        <w:rPr>
          <w:rStyle w:val="CharDivNo"/>
        </w:rPr>
        <w:t xml:space="preserve"> </w:t>
      </w:r>
      <w:r>
        <w:t>—</w:t>
      </w:r>
      <w:r>
        <w:rPr>
          <w:rStyle w:val="CharDivText"/>
        </w:rPr>
        <w:t xml:space="preserve"> </w:t>
      </w:r>
      <w:r>
        <w:rPr>
          <w:rStyle w:val="CharPartText"/>
        </w:rPr>
        <w:t>Financial provisions</w:t>
      </w:r>
      <w:bookmarkEnd w:id="82"/>
      <w:bookmarkEnd w:id="83"/>
      <w:bookmarkEnd w:id="84"/>
      <w:bookmarkEnd w:id="85"/>
    </w:p>
    <w:p>
      <w:pPr>
        <w:pStyle w:val="Heading5"/>
        <w:rPr>
          <w:snapToGrid w:val="0"/>
        </w:rPr>
      </w:pPr>
      <w:bookmarkStart w:id="86" w:name="_Toc473116136"/>
      <w:bookmarkStart w:id="87" w:name="_Toc472066581"/>
      <w:r>
        <w:rPr>
          <w:rStyle w:val="CharSectno"/>
        </w:rPr>
        <w:t>31</w:t>
      </w:r>
      <w:r>
        <w:rPr>
          <w:snapToGrid w:val="0"/>
        </w:rPr>
        <w:t>.</w:t>
      </w:r>
      <w:r>
        <w:rPr>
          <w:snapToGrid w:val="0"/>
        </w:rPr>
        <w:tab/>
        <w:t>Funds of Authority</w:t>
      </w:r>
      <w:bookmarkEnd w:id="86"/>
      <w:bookmarkEnd w:id="87"/>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88" w:name="_Toc473116137"/>
      <w:bookmarkStart w:id="89" w:name="_Toc472066582"/>
      <w:r>
        <w:rPr>
          <w:rStyle w:val="CharSectno"/>
        </w:rPr>
        <w:t>32</w:t>
      </w:r>
      <w:r>
        <w:rPr>
          <w:snapToGrid w:val="0"/>
        </w:rPr>
        <w:t>.</w:t>
      </w:r>
      <w:r>
        <w:rPr>
          <w:snapToGrid w:val="0"/>
        </w:rPr>
        <w:tab/>
        <w:t>Botanic Gardens and Parks Authority Account</w:t>
      </w:r>
      <w:bookmarkEnd w:id="88"/>
      <w:bookmarkEnd w:id="89"/>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90" w:name="_Toc473116138"/>
      <w:bookmarkStart w:id="91" w:name="_Toc472066583"/>
      <w:r>
        <w:rPr>
          <w:rStyle w:val="CharSectno"/>
        </w:rPr>
        <w:t>33</w:t>
      </w:r>
      <w:r>
        <w:rPr>
          <w:snapToGrid w:val="0"/>
        </w:rPr>
        <w:t>.</w:t>
      </w:r>
      <w:r>
        <w:rPr>
          <w:snapToGrid w:val="0"/>
        </w:rPr>
        <w:tab/>
        <w:t>Borrowing from Treasurer</w:t>
      </w:r>
      <w:bookmarkEnd w:id="90"/>
      <w:bookmarkEnd w:id="91"/>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92" w:name="_Toc473116139"/>
      <w:bookmarkStart w:id="93" w:name="_Toc472066584"/>
      <w:r>
        <w:rPr>
          <w:rStyle w:val="CharSectno"/>
        </w:rPr>
        <w:t>34</w:t>
      </w:r>
      <w:r>
        <w:rPr>
          <w:snapToGrid w:val="0"/>
        </w:rPr>
        <w:t>.</w:t>
      </w:r>
      <w:r>
        <w:rPr>
          <w:snapToGrid w:val="0"/>
        </w:rPr>
        <w:tab/>
        <w:t>Other borrowing</w:t>
      </w:r>
      <w:bookmarkEnd w:id="92"/>
      <w:bookmarkEnd w:id="93"/>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94" w:name="_Toc473116140"/>
      <w:bookmarkStart w:id="95" w:name="_Toc472066585"/>
      <w:r>
        <w:rPr>
          <w:rStyle w:val="CharSectno"/>
        </w:rPr>
        <w:t>35</w:t>
      </w:r>
      <w:r>
        <w:rPr>
          <w:snapToGrid w:val="0"/>
        </w:rPr>
        <w:t>.</w:t>
      </w:r>
      <w:r>
        <w:rPr>
          <w:snapToGrid w:val="0"/>
        </w:rPr>
        <w:tab/>
        <w:t>Guarantee by Treasurer</w:t>
      </w:r>
      <w:bookmarkEnd w:id="94"/>
      <w:bookmarkEnd w:id="95"/>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96" w:name="_Toc473116141"/>
      <w:bookmarkStart w:id="97" w:name="_Toc472066586"/>
      <w:r>
        <w:rPr>
          <w:rStyle w:val="CharSectno"/>
        </w:rPr>
        <w:t>36</w:t>
      </w:r>
      <w:r>
        <w:rPr>
          <w:snapToGrid w:val="0"/>
        </w:rPr>
        <w:t>.</w:t>
      </w:r>
      <w:r>
        <w:rPr>
          <w:snapToGrid w:val="0"/>
        </w:rPr>
        <w:tab/>
        <w:t>Effect of guarantee</w:t>
      </w:r>
      <w:bookmarkEnd w:id="96"/>
      <w:bookmarkEnd w:id="97"/>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98" w:name="_Toc473116142"/>
      <w:bookmarkStart w:id="99" w:name="_Toc472066587"/>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8"/>
      <w:bookmarkEnd w:id="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00" w:name="_Toc471913790"/>
      <w:bookmarkStart w:id="101" w:name="_Toc472066588"/>
      <w:bookmarkStart w:id="102" w:name="_Toc473040704"/>
      <w:bookmarkStart w:id="103" w:name="_Toc473116143"/>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00"/>
      <w:bookmarkEnd w:id="101"/>
      <w:bookmarkEnd w:id="102"/>
      <w:bookmarkEnd w:id="103"/>
    </w:p>
    <w:p>
      <w:pPr>
        <w:pStyle w:val="Heading5"/>
        <w:rPr>
          <w:snapToGrid w:val="0"/>
        </w:rPr>
      </w:pPr>
      <w:bookmarkStart w:id="104" w:name="_Toc473116144"/>
      <w:bookmarkStart w:id="105" w:name="_Toc472066589"/>
      <w:r>
        <w:rPr>
          <w:rStyle w:val="CharSectno"/>
        </w:rPr>
        <w:t>38</w:t>
      </w:r>
      <w:r>
        <w:rPr>
          <w:snapToGrid w:val="0"/>
        </w:rPr>
        <w:t>.</w:t>
      </w:r>
      <w:r>
        <w:rPr>
          <w:snapToGrid w:val="0"/>
        </w:rPr>
        <w:tab/>
        <w:t>Botanic Gardens and Parks Foundation established</w:t>
      </w:r>
      <w:bookmarkEnd w:id="104"/>
      <w:bookmarkEnd w:id="105"/>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06" w:name="_Toc473116145"/>
      <w:bookmarkStart w:id="107" w:name="_Toc472066590"/>
      <w:r>
        <w:rPr>
          <w:rStyle w:val="CharSectno"/>
        </w:rPr>
        <w:t>39</w:t>
      </w:r>
      <w:r>
        <w:rPr>
          <w:snapToGrid w:val="0"/>
        </w:rPr>
        <w:t>.</w:t>
      </w:r>
      <w:r>
        <w:rPr>
          <w:snapToGrid w:val="0"/>
        </w:rPr>
        <w:tab/>
        <w:t>Governing council</w:t>
      </w:r>
      <w:bookmarkEnd w:id="106"/>
      <w:bookmarkEnd w:id="107"/>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08" w:name="_Toc473116146"/>
      <w:bookmarkStart w:id="109" w:name="_Toc472066591"/>
      <w:r>
        <w:rPr>
          <w:rStyle w:val="CharSectno"/>
        </w:rPr>
        <w:t>40</w:t>
      </w:r>
      <w:r>
        <w:rPr>
          <w:snapToGrid w:val="0"/>
        </w:rPr>
        <w:t>.</w:t>
      </w:r>
      <w:r>
        <w:rPr>
          <w:snapToGrid w:val="0"/>
        </w:rPr>
        <w:tab/>
        <w:t>Functions</w:t>
      </w:r>
      <w:bookmarkEnd w:id="108"/>
      <w:bookmarkEnd w:id="109"/>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10" w:name="_Toc473116147"/>
      <w:bookmarkStart w:id="111" w:name="_Toc472066592"/>
      <w:r>
        <w:rPr>
          <w:rStyle w:val="CharSectno"/>
        </w:rPr>
        <w:t>41</w:t>
      </w:r>
      <w:r>
        <w:rPr>
          <w:snapToGrid w:val="0"/>
        </w:rPr>
        <w:t>.</w:t>
      </w:r>
      <w:r>
        <w:rPr>
          <w:snapToGrid w:val="0"/>
        </w:rPr>
        <w:tab/>
        <w:t>Powers</w:t>
      </w:r>
      <w:bookmarkEnd w:id="110"/>
      <w:bookmarkEnd w:id="111"/>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12" w:name="_Toc473116148"/>
      <w:bookmarkStart w:id="113" w:name="_Toc472066593"/>
      <w:r>
        <w:rPr>
          <w:rStyle w:val="CharSectno"/>
        </w:rPr>
        <w:t>42</w:t>
      </w:r>
      <w:r>
        <w:rPr>
          <w:snapToGrid w:val="0"/>
        </w:rPr>
        <w:t>.</w:t>
      </w:r>
      <w:r>
        <w:rPr>
          <w:snapToGrid w:val="0"/>
        </w:rPr>
        <w:tab/>
        <w:t>Financial arrangements</w:t>
      </w:r>
      <w:bookmarkEnd w:id="112"/>
      <w:bookmarkEnd w:id="113"/>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14" w:name="_Toc473116149"/>
      <w:bookmarkStart w:id="115" w:name="_Toc472066594"/>
      <w:r>
        <w:rPr>
          <w:rStyle w:val="CharSectno"/>
        </w:rPr>
        <w:t>43</w:t>
      </w:r>
      <w:r>
        <w:rPr>
          <w:snapToGrid w:val="0"/>
        </w:rPr>
        <w:t>.</w:t>
      </w:r>
      <w:r>
        <w:rPr>
          <w:snapToGrid w:val="0"/>
        </w:rPr>
        <w:tab/>
        <w:t>Rules</w:t>
      </w:r>
      <w:bookmarkEnd w:id="114"/>
      <w:bookmarkEnd w:id="115"/>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16" w:name="_Toc471913797"/>
      <w:bookmarkStart w:id="117" w:name="_Toc472066595"/>
      <w:bookmarkStart w:id="118" w:name="_Toc473040711"/>
      <w:bookmarkStart w:id="119" w:name="_Toc473116150"/>
      <w:r>
        <w:rPr>
          <w:rStyle w:val="CharPartNo"/>
        </w:rPr>
        <w:t>Part 8</w:t>
      </w:r>
      <w:r>
        <w:rPr>
          <w:rStyle w:val="CharDivNo"/>
        </w:rPr>
        <w:t xml:space="preserve"> </w:t>
      </w:r>
      <w:r>
        <w:t>—</w:t>
      </w:r>
      <w:r>
        <w:rPr>
          <w:rStyle w:val="CharDivText"/>
        </w:rPr>
        <w:t xml:space="preserve"> </w:t>
      </w:r>
      <w:r>
        <w:rPr>
          <w:rStyle w:val="CharPartText"/>
        </w:rPr>
        <w:t>General</w:t>
      </w:r>
      <w:bookmarkEnd w:id="116"/>
      <w:bookmarkEnd w:id="117"/>
      <w:bookmarkEnd w:id="118"/>
      <w:bookmarkEnd w:id="119"/>
    </w:p>
    <w:p>
      <w:pPr>
        <w:pStyle w:val="Heading5"/>
      </w:pPr>
      <w:bookmarkStart w:id="120" w:name="_Toc473116151"/>
      <w:bookmarkStart w:id="121" w:name="_Toc472066596"/>
      <w:r>
        <w:rPr>
          <w:rStyle w:val="CharSectno"/>
        </w:rPr>
        <w:t>44A</w:t>
      </w:r>
      <w:r>
        <w:t>.</w:t>
      </w:r>
      <w:r>
        <w:tab/>
      </w:r>
      <w:del w:id="122" w:author="svcMRProcess" w:date="2018-08-20T23:02:00Z">
        <w:r>
          <w:delText>Executive Director, Public</w:delText>
        </w:r>
      </w:del>
      <w:ins w:id="123" w:author="svcMRProcess" w:date="2018-08-20T23:02:00Z">
        <w:r>
          <w:t>Chief</w:t>
        </w:r>
      </w:ins>
      <w:r>
        <w:t xml:space="preserve"> Health </w:t>
      </w:r>
      <w:ins w:id="124" w:author="svcMRProcess" w:date="2018-08-20T23:02:00Z">
        <w:r>
          <w:t xml:space="preserve">Officer </w:t>
        </w:r>
      </w:ins>
      <w:r>
        <w:t>responsible for public health matters</w:t>
      </w:r>
      <w:bookmarkEnd w:id="120"/>
      <w:bookmarkEnd w:id="121"/>
    </w:p>
    <w:p>
      <w:pPr>
        <w:pStyle w:val="Subsection"/>
      </w:pPr>
      <w:r>
        <w:tab/>
        <w:t>(1)</w:t>
      </w:r>
      <w:r>
        <w:tab/>
        <w:t>In this section</w:t>
      </w:r>
      <w:del w:id="125" w:author="svcMRProcess" w:date="2018-08-20T23:02:00Z">
        <w:r>
          <w:delText xml:space="preserve"> — </w:delText>
        </w:r>
      </w:del>
      <w:ins w:id="126" w:author="svcMRProcess" w:date="2018-08-20T23:02:00Z">
        <w:r>
          <w:t xml:space="preserve"> —</w:t>
        </w:r>
      </w:ins>
    </w:p>
    <w:p>
      <w:pPr>
        <w:pStyle w:val="Defstart"/>
      </w:pPr>
      <w:r>
        <w:tab/>
      </w:r>
      <w:del w:id="127" w:author="svcMRProcess" w:date="2018-08-20T23:02:00Z">
        <w:r>
          <w:rPr>
            <w:rStyle w:val="CharDefText"/>
          </w:rPr>
          <w:delText>Executive Director, Public</w:delText>
        </w:r>
      </w:del>
      <w:ins w:id="128" w:author="svcMRProcess" w:date="2018-08-20T23:02:00Z">
        <w:r>
          <w:rPr>
            <w:rStyle w:val="CharDefText"/>
          </w:rPr>
          <w:t>Chief</w:t>
        </w:r>
      </w:ins>
      <w:r>
        <w:rPr>
          <w:rStyle w:val="CharDefText"/>
        </w:rPr>
        <w:t xml:space="preserve"> Health </w:t>
      </w:r>
      <w:ins w:id="129" w:author="svcMRProcess" w:date="2018-08-20T23:02:00Z">
        <w:r>
          <w:rPr>
            <w:rStyle w:val="CharDefText"/>
          </w:rPr>
          <w:t>Officer</w:t>
        </w:r>
        <w:r>
          <w:t xml:space="preserve"> </w:t>
        </w:r>
      </w:ins>
      <w:r>
        <w:t xml:space="preserve">has the meaning given in the </w:t>
      </w:r>
      <w:ins w:id="130" w:author="svcMRProcess" w:date="2018-08-20T23:02:00Z">
        <w:r>
          <w:rPr>
            <w:i/>
          </w:rPr>
          <w:t xml:space="preserve">Public </w:t>
        </w:r>
      </w:ins>
      <w:r>
        <w:rPr>
          <w:i/>
        </w:rPr>
        <w:t>Health Act</w:t>
      </w:r>
      <w:del w:id="131" w:author="svcMRProcess" w:date="2018-08-20T23:02:00Z">
        <w:r>
          <w:rPr>
            <w:i/>
          </w:rPr>
          <w:delText> 1911</w:delText>
        </w:r>
      </w:del>
      <w:ins w:id="132" w:author="svcMRProcess" w:date="2018-08-20T23:02:00Z">
        <w:r>
          <w:rPr>
            <w:i/>
          </w:rPr>
          <w:t xml:space="preserve"> 2016</w:t>
        </w:r>
      </w:ins>
      <w:r>
        <w:t xml:space="preserve"> section</w:t>
      </w:r>
      <w:del w:id="133" w:author="svcMRProcess" w:date="2018-08-20T23:02:00Z">
        <w:r>
          <w:delText> 3;</w:delText>
        </w:r>
      </w:del>
      <w:ins w:id="134" w:author="svcMRProcess" w:date="2018-08-20T23:02:00Z">
        <w:r>
          <w:t xml:space="preserve"> 4(1);</w:t>
        </w:r>
      </w:ins>
    </w:p>
    <w:p>
      <w:pPr>
        <w:pStyle w:val="Defstart"/>
      </w:pPr>
      <w:r>
        <w:tab/>
      </w:r>
      <w:r>
        <w:rPr>
          <w:rStyle w:val="CharDefText"/>
        </w:rPr>
        <w:t>public health</w:t>
      </w:r>
      <w:r>
        <w:t xml:space="preserve"> </w:t>
      </w:r>
      <w:del w:id="135" w:author="svcMRProcess" w:date="2018-08-20T23:02:00Z">
        <w:r>
          <w:delText>means</w:delText>
        </w:r>
      </w:del>
      <w:ins w:id="136" w:author="svcMRProcess" w:date="2018-08-20T23:02:00Z">
        <w:r>
          <w:t>has</w:t>
        </w:r>
      </w:ins>
      <w:r>
        <w:t xml:space="preserve"> the </w:t>
      </w:r>
      <w:del w:id="137" w:author="svcMRProcess" w:date="2018-08-20T23:02:00Z">
        <w:r>
          <w:delText>health of individuals</w:delText>
        </w:r>
      </w:del>
      <w:ins w:id="138" w:author="svcMRProcess" w:date="2018-08-20T23:02:00Z">
        <w:r>
          <w:t>meaning given</w:t>
        </w:r>
      </w:ins>
      <w:r>
        <w:t xml:space="preserve"> in the </w:t>
      </w:r>
      <w:del w:id="139" w:author="svcMRProcess" w:date="2018-08-20T23:02:00Z">
        <w:r>
          <w:delText xml:space="preserve">context of — </w:delText>
        </w:r>
      </w:del>
      <w:ins w:id="140" w:author="svcMRProcess" w:date="2018-08-20T23:02:00Z">
        <w:r>
          <w:rPr>
            <w:i/>
          </w:rPr>
          <w:t>Public Health Act 2016</w:t>
        </w:r>
        <w:r>
          <w:t xml:space="preserve"> section 4(1).</w:t>
        </w:r>
      </w:ins>
    </w:p>
    <w:p>
      <w:pPr>
        <w:pStyle w:val="Defpara"/>
        <w:rPr>
          <w:del w:id="141" w:author="svcMRProcess" w:date="2018-08-20T23:02:00Z"/>
        </w:rPr>
      </w:pPr>
      <w:del w:id="142" w:author="svcMRProcess" w:date="2018-08-20T23:02:00Z">
        <w:r>
          <w:tab/>
          <w:delText>(a)</w:delText>
        </w:r>
        <w:r>
          <w:tab/>
          <w:delText>the wider health of the community; and</w:delText>
        </w:r>
      </w:del>
    </w:p>
    <w:p>
      <w:pPr>
        <w:pStyle w:val="Defpara"/>
        <w:rPr>
          <w:del w:id="143" w:author="svcMRProcess" w:date="2018-08-20T23:02:00Z"/>
        </w:rPr>
      </w:pPr>
      <w:del w:id="144" w:author="svcMRProcess" w:date="2018-08-20T23:02:00Z">
        <w:r>
          <w:tab/>
          <w:delText>(b)</w:delText>
        </w:r>
        <w:r>
          <w:tab/>
          <w:delText>the combination of safeguards, policies and programmes designed to protect, maintain, promote and improve the health of individuals and their communities and to prevent and reduce the incidence of illness and disability.</w:delText>
        </w:r>
      </w:del>
    </w:p>
    <w:p>
      <w:pPr>
        <w:pStyle w:val="Subsection"/>
      </w:pPr>
      <w:r>
        <w:tab/>
        <w:t>(2)</w:t>
      </w:r>
      <w:r>
        <w:tab/>
        <w:t xml:space="preserve">For the purposes of protecting, promoting and improving public health in relation to any designated land, the </w:t>
      </w:r>
      <w:del w:id="145" w:author="svcMRProcess" w:date="2018-08-20T23:02:00Z">
        <w:r>
          <w:delText>Executive Director, Public</w:delText>
        </w:r>
      </w:del>
      <w:ins w:id="146" w:author="svcMRProcess" w:date="2018-08-20T23:02:00Z">
        <w:r>
          <w:t>Chief</w:t>
        </w:r>
      </w:ins>
      <w:r>
        <w:t xml:space="preserve"> Health</w:t>
      </w:r>
      <w:ins w:id="147" w:author="svcMRProcess" w:date="2018-08-20T23:02:00Z">
        <w:r>
          <w:t xml:space="preserve"> Officer</w:t>
        </w:r>
      </w:ins>
      <w:r>
        <w:t xml:space="preserve">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 xml:space="preserve">the </w:t>
      </w:r>
      <w:del w:id="148" w:author="svcMRProcess" w:date="2018-08-20T23:02:00Z">
        <w:r>
          <w:delText>Executive Director, Public</w:delText>
        </w:r>
      </w:del>
      <w:ins w:id="149" w:author="svcMRProcess" w:date="2018-08-20T23:02:00Z">
        <w:r>
          <w:t>Chief</w:t>
        </w:r>
      </w:ins>
      <w:r>
        <w:t xml:space="preserve"> Health </w:t>
      </w:r>
      <w:ins w:id="150" w:author="svcMRProcess" w:date="2018-08-20T23:02:00Z">
        <w:r>
          <w:t xml:space="preserve">Officer </w:t>
        </w:r>
      </w:ins>
      <w:r>
        <w:t>were the local government for that district.</w:t>
      </w:r>
    </w:p>
    <w:p>
      <w:pPr>
        <w:pStyle w:val="Subsection"/>
      </w:pPr>
      <w:r>
        <w:tab/>
        <w:t>(3)</w:t>
      </w:r>
      <w:r>
        <w:tab/>
        <w:t xml:space="preserve">The power and authority conferred on the </w:t>
      </w:r>
      <w:del w:id="151" w:author="svcMRProcess" w:date="2018-08-20T23:02:00Z">
        <w:r>
          <w:delText>Executive Director, Public</w:delText>
        </w:r>
      </w:del>
      <w:ins w:id="152" w:author="svcMRProcess" w:date="2018-08-20T23:02:00Z">
        <w:r>
          <w:t>Chief</w:t>
        </w:r>
      </w:ins>
      <w:r>
        <w:t xml:space="preserve"> Health</w:t>
      </w:r>
      <w:ins w:id="153" w:author="svcMRProcess" w:date="2018-08-20T23:02:00Z">
        <w:r>
          <w:t xml:space="preserve"> Officer</w:t>
        </w:r>
      </w:ins>
      <w:r>
        <w:t xml:space="preserve">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w:t>
      </w:r>
      <w:del w:id="154" w:author="svcMRProcess" w:date="2018-08-20T23:02:00Z">
        <w:r>
          <w:delText>Executive Director, Public</w:delText>
        </w:r>
      </w:del>
      <w:ins w:id="155" w:author="svcMRProcess" w:date="2018-08-20T23:02:00Z">
        <w:r>
          <w:t>Chief</w:t>
        </w:r>
      </w:ins>
      <w:r>
        <w:t xml:space="preserve"> Health</w:t>
      </w:r>
      <w:ins w:id="156" w:author="svcMRProcess" w:date="2018-08-20T23:02:00Z">
        <w:r>
          <w:t xml:space="preserve"> Officer</w:t>
        </w:r>
      </w:ins>
      <w:r>
        <w:t>; and</w:t>
      </w:r>
    </w:p>
    <w:p>
      <w:pPr>
        <w:pStyle w:val="Indenta"/>
      </w:pPr>
      <w:r>
        <w:tab/>
        <w:t>(b)</w:t>
      </w:r>
      <w:r>
        <w:tab/>
        <w:t xml:space="preserve">before making local laws, the </w:t>
      </w:r>
      <w:del w:id="157" w:author="svcMRProcess" w:date="2018-08-20T23:02:00Z">
        <w:r>
          <w:delText>Executive Director, Public</w:delText>
        </w:r>
      </w:del>
      <w:ins w:id="158" w:author="svcMRProcess" w:date="2018-08-20T23:02:00Z">
        <w:r>
          <w:t>Chief</w:t>
        </w:r>
      </w:ins>
      <w:r>
        <w:t xml:space="preserve"> Health</w:t>
      </w:r>
      <w:ins w:id="159" w:author="svcMRProcess" w:date="2018-08-20T23:02:00Z">
        <w:r>
          <w:t xml:space="preserve"> Officer</w:t>
        </w:r>
      </w:ins>
      <w:r>
        <w:t xml:space="preserve"> must consult with the Authority, and consider any advice provided by the Authority.</w:t>
      </w:r>
    </w:p>
    <w:p>
      <w:pPr>
        <w:pStyle w:val="Subsection"/>
      </w:pPr>
      <w:r>
        <w:tab/>
        <w:t>(5)</w:t>
      </w:r>
      <w:r>
        <w:tab/>
        <w:t xml:space="preserve">If there is a conflict or inconsistency between a local law made by the </w:t>
      </w:r>
      <w:del w:id="160" w:author="svcMRProcess" w:date="2018-08-20T23:02:00Z">
        <w:r>
          <w:delText>Executive Director, Public</w:delText>
        </w:r>
      </w:del>
      <w:ins w:id="161" w:author="svcMRProcess" w:date="2018-08-20T23:02:00Z">
        <w:r>
          <w:t>Chief</w:t>
        </w:r>
      </w:ins>
      <w:r>
        <w:t xml:space="preserve"> Health</w:t>
      </w:r>
      <w:ins w:id="162" w:author="svcMRProcess" w:date="2018-08-20T23:02:00Z">
        <w:r>
          <w:t xml:space="preserve"> Officer</w:t>
        </w:r>
      </w:ins>
      <w:r>
        <w:t xml:space="preserve"> under subsection (2) and a local law made by a local government under the </w:t>
      </w:r>
      <w:r>
        <w:rPr>
          <w:i/>
        </w:rPr>
        <w:t>Local Government Act 1995</w:t>
      </w:r>
      <w:r>
        <w:t xml:space="preserve"> or any other Act, the local law made by the </w:t>
      </w:r>
      <w:del w:id="163" w:author="svcMRProcess" w:date="2018-08-20T23:02:00Z">
        <w:r>
          <w:delText>Executive Director, Public</w:delText>
        </w:r>
      </w:del>
      <w:ins w:id="164" w:author="svcMRProcess" w:date="2018-08-20T23:02:00Z">
        <w:r>
          <w:t>Chief</w:t>
        </w:r>
      </w:ins>
      <w:r>
        <w:t xml:space="preserve"> Health</w:t>
      </w:r>
      <w:ins w:id="165" w:author="svcMRProcess" w:date="2018-08-20T23:02:00Z">
        <w:r>
          <w:t xml:space="preserve"> Officer</w:t>
        </w:r>
      </w:ins>
      <w:r>
        <w:t xml:space="preserve"> prevails to the extent of the conflict or inconsistency.</w:t>
      </w:r>
    </w:p>
    <w:p>
      <w:pPr>
        <w:pStyle w:val="Footnotesection"/>
      </w:pPr>
      <w:r>
        <w:tab/>
        <w:t>[Section 44A inserted by No. 2 of 2016 s. </w:t>
      </w:r>
      <w:del w:id="166" w:author="svcMRProcess" w:date="2018-08-20T23:02:00Z">
        <w:r>
          <w:delText>28</w:delText>
        </w:r>
      </w:del>
      <w:ins w:id="167" w:author="svcMRProcess" w:date="2018-08-20T23:02:00Z">
        <w:r>
          <w:t>28; amended by No. 19 of 2016 s. 112 and 113</w:t>
        </w:r>
      </w:ins>
      <w:r>
        <w:t>.]</w:t>
      </w:r>
    </w:p>
    <w:p>
      <w:pPr>
        <w:pStyle w:val="Heading5"/>
        <w:rPr>
          <w:snapToGrid w:val="0"/>
        </w:rPr>
      </w:pPr>
      <w:bookmarkStart w:id="168" w:name="_Toc473116152"/>
      <w:bookmarkStart w:id="169" w:name="_Toc472066597"/>
      <w:r>
        <w:rPr>
          <w:rStyle w:val="CharSectno"/>
        </w:rPr>
        <w:t>44</w:t>
      </w:r>
      <w:r>
        <w:rPr>
          <w:snapToGrid w:val="0"/>
        </w:rPr>
        <w:t>.</w:t>
      </w:r>
      <w:r>
        <w:rPr>
          <w:snapToGrid w:val="0"/>
        </w:rPr>
        <w:tab/>
        <w:t>Authority to be consulted</w:t>
      </w:r>
      <w:bookmarkEnd w:id="168"/>
      <w:bookmarkEnd w:id="169"/>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70" w:name="_Toc473116153"/>
      <w:bookmarkStart w:id="171" w:name="_Toc472066598"/>
      <w:r>
        <w:rPr>
          <w:rStyle w:val="CharSectno"/>
        </w:rPr>
        <w:t>45</w:t>
      </w:r>
      <w:r>
        <w:rPr>
          <w:snapToGrid w:val="0"/>
        </w:rPr>
        <w:t>.</w:t>
      </w:r>
      <w:r>
        <w:rPr>
          <w:snapToGrid w:val="0"/>
        </w:rPr>
        <w:tab/>
        <w:t>Protection from liability</w:t>
      </w:r>
      <w:bookmarkEnd w:id="170"/>
      <w:bookmarkEnd w:id="171"/>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72" w:name="_Toc473116154"/>
      <w:bookmarkStart w:id="173" w:name="_Toc472066599"/>
      <w:r>
        <w:rPr>
          <w:rStyle w:val="CharSectno"/>
        </w:rPr>
        <w:t>46</w:t>
      </w:r>
      <w:r>
        <w:rPr>
          <w:snapToGrid w:val="0"/>
        </w:rPr>
        <w:t>.</w:t>
      </w:r>
      <w:r>
        <w:rPr>
          <w:snapToGrid w:val="0"/>
        </w:rPr>
        <w:tab/>
        <w:t>Execution of documents by Authority</w:t>
      </w:r>
      <w:bookmarkEnd w:id="172"/>
      <w:bookmarkEnd w:id="173"/>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74" w:name="_Toc473116155"/>
      <w:bookmarkStart w:id="175" w:name="_Toc472066600"/>
      <w:r>
        <w:rPr>
          <w:rStyle w:val="CharSectno"/>
        </w:rPr>
        <w:t>47</w:t>
      </w:r>
      <w:r>
        <w:rPr>
          <w:snapToGrid w:val="0"/>
        </w:rPr>
        <w:t>.</w:t>
      </w:r>
      <w:r>
        <w:rPr>
          <w:snapToGrid w:val="0"/>
        </w:rPr>
        <w:tab/>
        <w:t>Confidentiality</w:t>
      </w:r>
      <w:bookmarkEnd w:id="174"/>
      <w:bookmarkEnd w:id="175"/>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76" w:name="_Toc473116156"/>
      <w:bookmarkStart w:id="177" w:name="_Toc472066601"/>
      <w:r>
        <w:rPr>
          <w:rStyle w:val="CharSectno"/>
        </w:rPr>
        <w:t>48</w:t>
      </w:r>
      <w:r>
        <w:rPr>
          <w:snapToGrid w:val="0"/>
        </w:rPr>
        <w:t>.</w:t>
      </w:r>
      <w:r>
        <w:rPr>
          <w:snapToGrid w:val="0"/>
        </w:rPr>
        <w:tab/>
        <w:t>Liability for acts of children</w:t>
      </w:r>
      <w:bookmarkEnd w:id="176"/>
      <w:bookmarkEnd w:id="177"/>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78" w:name="_Toc473116157"/>
      <w:bookmarkStart w:id="179" w:name="_Toc472066602"/>
      <w:r>
        <w:rPr>
          <w:rStyle w:val="CharSectno"/>
        </w:rPr>
        <w:t>49</w:t>
      </w:r>
      <w:r>
        <w:t>.</w:t>
      </w:r>
      <w:r>
        <w:tab/>
        <w:t>Onus of proof in vehicle offences may be shifted</w:t>
      </w:r>
      <w:bookmarkEnd w:id="178"/>
      <w:bookmarkEnd w:id="179"/>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180" w:name="_Toc473116158"/>
      <w:bookmarkStart w:id="181" w:name="_Toc472066603"/>
      <w:r>
        <w:rPr>
          <w:rStyle w:val="CharSectno"/>
        </w:rPr>
        <w:t>50</w:t>
      </w:r>
      <w:r>
        <w:rPr>
          <w:snapToGrid w:val="0"/>
        </w:rPr>
        <w:t>.</w:t>
      </w:r>
      <w:r>
        <w:rPr>
          <w:snapToGrid w:val="0"/>
        </w:rPr>
        <w:tab/>
        <w:t>Evidentiary provision — speed measuring equipment</w:t>
      </w:r>
      <w:bookmarkEnd w:id="180"/>
      <w:bookmarkEnd w:id="181"/>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182" w:name="_Toc473116159"/>
      <w:bookmarkStart w:id="183" w:name="_Toc472066604"/>
      <w:r>
        <w:rPr>
          <w:rStyle w:val="CharSectno"/>
        </w:rPr>
        <w:t>51</w:t>
      </w:r>
      <w:r>
        <w:rPr>
          <w:snapToGrid w:val="0"/>
        </w:rPr>
        <w:t>.</w:t>
      </w:r>
      <w:r>
        <w:rPr>
          <w:snapToGrid w:val="0"/>
        </w:rPr>
        <w:tab/>
        <w:t>Infringement notices</w:t>
      </w:r>
      <w:bookmarkEnd w:id="182"/>
      <w:bookmarkEnd w:id="18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184" w:name="_Toc473116160"/>
      <w:bookmarkStart w:id="185" w:name="_Toc472066605"/>
      <w:r>
        <w:rPr>
          <w:rStyle w:val="CharSectno"/>
        </w:rPr>
        <w:t>52</w:t>
      </w:r>
      <w:r>
        <w:rPr>
          <w:snapToGrid w:val="0"/>
        </w:rPr>
        <w:t>.</w:t>
      </w:r>
      <w:r>
        <w:rPr>
          <w:snapToGrid w:val="0"/>
        </w:rPr>
        <w:tab/>
        <w:t>Notice placing onus on vehicle owner</w:t>
      </w:r>
      <w:bookmarkEnd w:id="184"/>
      <w:bookmarkEnd w:id="185"/>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186" w:name="_Toc473116161"/>
      <w:bookmarkStart w:id="187" w:name="_Toc472066606"/>
      <w:r>
        <w:rPr>
          <w:rStyle w:val="CharSectno"/>
        </w:rPr>
        <w:t>53A</w:t>
      </w:r>
      <w:r>
        <w:t>.</w:t>
      </w:r>
      <w:r>
        <w:tab/>
        <w:t>Local laws do not apply to King’s Park</w:t>
      </w:r>
      <w:bookmarkEnd w:id="186"/>
      <w:bookmarkEnd w:id="187"/>
    </w:p>
    <w:p>
      <w:pPr>
        <w:pStyle w:val="Subsection"/>
      </w:pPr>
      <w:r>
        <w:tab/>
        <w:t>(1)</w:t>
      </w:r>
      <w:r>
        <w:tab/>
        <w:t>No local law applies to or in respect of King’s Park.</w:t>
      </w:r>
    </w:p>
    <w:p>
      <w:pPr>
        <w:pStyle w:val="Subsection"/>
      </w:pPr>
      <w:r>
        <w:tab/>
        <w:t>(2)</w:t>
      </w:r>
      <w:r>
        <w:tab/>
        <w:t xml:space="preserve">This section does not apply to or in respect of any local law made by the </w:t>
      </w:r>
      <w:del w:id="188" w:author="svcMRProcess" w:date="2018-08-20T23:02:00Z">
        <w:r>
          <w:delText>Executive Director, Public</w:delText>
        </w:r>
      </w:del>
      <w:ins w:id="189" w:author="svcMRProcess" w:date="2018-08-20T23:02:00Z">
        <w:r>
          <w:t>Chief</w:t>
        </w:r>
      </w:ins>
      <w:r>
        <w:t xml:space="preserve"> Health</w:t>
      </w:r>
      <w:ins w:id="190" w:author="svcMRProcess" w:date="2018-08-20T23:02:00Z">
        <w:r>
          <w:t xml:space="preserve"> Officer</w:t>
        </w:r>
      </w:ins>
      <w:r>
        <w:t xml:space="preserve"> under section 44A(2).</w:t>
      </w:r>
    </w:p>
    <w:p>
      <w:pPr>
        <w:pStyle w:val="Footnotesection"/>
      </w:pPr>
      <w:r>
        <w:tab/>
        <w:t>[Section 53A inserted by No. 2 of 2016 s. </w:t>
      </w:r>
      <w:del w:id="191" w:author="svcMRProcess" w:date="2018-08-20T23:02:00Z">
        <w:r>
          <w:delText>29</w:delText>
        </w:r>
      </w:del>
      <w:ins w:id="192" w:author="svcMRProcess" w:date="2018-08-20T23:02:00Z">
        <w:r>
          <w:t>29; amended by No. 19 of 2016 s. 113</w:t>
        </w:r>
      </w:ins>
      <w:r>
        <w:t>.]</w:t>
      </w:r>
    </w:p>
    <w:p>
      <w:pPr>
        <w:pStyle w:val="Heading5"/>
        <w:rPr>
          <w:snapToGrid w:val="0"/>
        </w:rPr>
      </w:pPr>
      <w:bookmarkStart w:id="193" w:name="_Toc473116162"/>
      <w:bookmarkStart w:id="194" w:name="_Toc472066607"/>
      <w:r>
        <w:rPr>
          <w:rStyle w:val="CharSectno"/>
        </w:rPr>
        <w:t>53</w:t>
      </w:r>
      <w:r>
        <w:rPr>
          <w:snapToGrid w:val="0"/>
        </w:rPr>
        <w:t>.</w:t>
      </w:r>
      <w:r>
        <w:rPr>
          <w:snapToGrid w:val="0"/>
        </w:rPr>
        <w:tab/>
        <w:t>Regulations</w:t>
      </w:r>
      <w:bookmarkEnd w:id="193"/>
      <w:bookmarkEnd w:id="1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195" w:name="_Toc473116163"/>
      <w:bookmarkStart w:id="196" w:name="_Toc472066608"/>
      <w:r>
        <w:rPr>
          <w:rStyle w:val="CharSectno"/>
        </w:rPr>
        <w:t>54</w:t>
      </w:r>
      <w:r>
        <w:rPr>
          <w:snapToGrid w:val="0"/>
        </w:rPr>
        <w:t>.</w:t>
      </w:r>
      <w:r>
        <w:rPr>
          <w:snapToGrid w:val="0"/>
        </w:rPr>
        <w:tab/>
        <w:t>Review of Act</w:t>
      </w:r>
      <w:bookmarkEnd w:id="195"/>
      <w:bookmarkEnd w:id="196"/>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197" w:name="_Toc473116164"/>
      <w:bookmarkStart w:id="198" w:name="_Toc472066609"/>
      <w:r>
        <w:rPr>
          <w:rStyle w:val="CharSectno"/>
        </w:rPr>
        <w:t>55</w:t>
      </w:r>
      <w:r>
        <w:rPr>
          <w:snapToGrid w:val="0"/>
        </w:rPr>
        <w:t>.</w:t>
      </w:r>
      <w:r>
        <w:rPr>
          <w:snapToGrid w:val="0"/>
        </w:rPr>
        <w:tab/>
        <w:t>Savings and transitional provisions</w:t>
      </w:r>
      <w:bookmarkEnd w:id="197"/>
      <w:bookmarkEnd w:id="198"/>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9" w:name="_Toc471913812"/>
      <w:bookmarkStart w:id="200" w:name="_Toc472066610"/>
      <w:bookmarkStart w:id="201" w:name="_Toc473040726"/>
      <w:bookmarkStart w:id="202" w:name="_Toc473116165"/>
      <w:r>
        <w:rPr>
          <w:rStyle w:val="CharSchNo"/>
        </w:rPr>
        <w:t>Schedule 1</w:t>
      </w:r>
      <w:r>
        <w:t> — </w:t>
      </w:r>
      <w:r>
        <w:rPr>
          <w:rStyle w:val="CharSchText"/>
        </w:rPr>
        <w:t>Constitution and proceedings of board</w:t>
      </w:r>
      <w:bookmarkEnd w:id="199"/>
      <w:bookmarkEnd w:id="200"/>
      <w:bookmarkEnd w:id="201"/>
      <w:bookmarkEnd w:id="202"/>
    </w:p>
    <w:p>
      <w:pPr>
        <w:pStyle w:val="yShoulderClause"/>
      </w:pPr>
      <w:r>
        <w:t>[Section 7]</w:t>
      </w:r>
    </w:p>
    <w:p>
      <w:pPr>
        <w:pStyle w:val="yHeading3"/>
        <w:outlineLvl w:val="9"/>
      </w:pPr>
      <w:bookmarkStart w:id="203" w:name="_Toc471913813"/>
      <w:bookmarkStart w:id="204" w:name="_Toc472066611"/>
      <w:bookmarkStart w:id="205" w:name="_Toc473040727"/>
      <w:bookmarkStart w:id="206" w:name="_Toc473116166"/>
      <w:r>
        <w:rPr>
          <w:rStyle w:val="CharSDivNo"/>
        </w:rPr>
        <w:t>Division 1</w:t>
      </w:r>
      <w:r>
        <w:t xml:space="preserve"> — </w:t>
      </w:r>
      <w:r>
        <w:rPr>
          <w:rStyle w:val="CharSDivText"/>
        </w:rPr>
        <w:t>General provisions</w:t>
      </w:r>
      <w:bookmarkEnd w:id="203"/>
      <w:bookmarkEnd w:id="204"/>
      <w:bookmarkEnd w:id="205"/>
      <w:bookmarkEnd w:id="206"/>
    </w:p>
    <w:p>
      <w:pPr>
        <w:pStyle w:val="yHeading5"/>
        <w:outlineLvl w:val="9"/>
        <w:rPr>
          <w:snapToGrid w:val="0"/>
        </w:rPr>
      </w:pPr>
      <w:bookmarkStart w:id="207" w:name="_Toc473116167"/>
      <w:bookmarkStart w:id="208" w:name="_Toc472066612"/>
      <w:r>
        <w:rPr>
          <w:rStyle w:val="CharSClsNo"/>
        </w:rPr>
        <w:t>1</w:t>
      </w:r>
      <w:r>
        <w:rPr>
          <w:snapToGrid w:val="0"/>
        </w:rPr>
        <w:t>.</w:t>
      </w:r>
      <w:r>
        <w:rPr>
          <w:snapToGrid w:val="0"/>
        </w:rPr>
        <w:tab/>
        <w:t>Term of office</w:t>
      </w:r>
      <w:bookmarkEnd w:id="207"/>
      <w:bookmarkEnd w:id="20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09" w:name="_Toc473116168"/>
      <w:bookmarkStart w:id="210" w:name="_Toc472066613"/>
      <w:r>
        <w:rPr>
          <w:rStyle w:val="CharSClsNo"/>
        </w:rPr>
        <w:t>2</w:t>
      </w:r>
      <w:r>
        <w:rPr>
          <w:snapToGrid w:val="0"/>
        </w:rPr>
        <w:t>.</w:t>
      </w:r>
      <w:r>
        <w:rPr>
          <w:snapToGrid w:val="0"/>
        </w:rPr>
        <w:tab/>
        <w:t>Resignation, removal etc.</w:t>
      </w:r>
      <w:bookmarkEnd w:id="209"/>
      <w:bookmarkEnd w:id="210"/>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211" w:name="_Toc473116169"/>
      <w:bookmarkStart w:id="212" w:name="_Toc472066614"/>
      <w:r>
        <w:rPr>
          <w:rStyle w:val="CharSClsNo"/>
        </w:rPr>
        <w:t>3</w:t>
      </w:r>
      <w:r>
        <w:rPr>
          <w:snapToGrid w:val="0"/>
        </w:rPr>
        <w:t>.</w:t>
      </w:r>
      <w:r>
        <w:rPr>
          <w:snapToGrid w:val="0"/>
        </w:rPr>
        <w:tab/>
        <w:t>Leave of absence</w:t>
      </w:r>
      <w:bookmarkEnd w:id="211"/>
      <w:bookmarkEnd w:id="212"/>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13" w:name="_Toc473116170"/>
      <w:bookmarkStart w:id="214" w:name="_Toc472066615"/>
      <w:r>
        <w:rPr>
          <w:rStyle w:val="CharSClsNo"/>
        </w:rPr>
        <w:t>4</w:t>
      </w:r>
      <w:r>
        <w:rPr>
          <w:snapToGrid w:val="0"/>
        </w:rPr>
        <w:t>.</w:t>
      </w:r>
      <w:r>
        <w:rPr>
          <w:snapToGrid w:val="0"/>
        </w:rPr>
        <w:tab/>
        <w:t>Chairperson unable to act</w:t>
      </w:r>
      <w:bookmarkEnd w:id="213"/>
      <w:bookmarkEnd w:id="214"/>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15" w:name="_Toc473116171"/>
      <w:bookmarkStart w:id="216" w:name="_Toc472066616"/>
      <w:r>
        <w:rPr>
          <w:rStyle w:val="CharSClsNo"/>
        </w:rPr>
        <w:t>5</w:t>
      </w:r>
      <w:r>
        <w:rPr>
          <w:snapToGrid w:val="0"/>
        </w:rPr>
        <w:t>.</w:t>
      </w:r>
      <w:r>
        <w:rPr>
          <w:snapToGrid w:val="0"/>
        </w:rPr>
        <w:tab/>
        <w:t>Member unable to act</w:t>
      </w:r>
      <w:bookmarkEnd w:id="215"/>
      <w:bookmarkEnd w:id="216"/>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17" w:name="_Toc473116172"/>
      <w:bookmarkStart w:id="218" w:name="_Toc472066617"/>
      <w:r>
        <w:rPr>
          <w:rStyle w:val="CharSClsNo"/>
        </w:rPr>
        <w:t>6</w:t>
      </w:r>
      <w:r>
        <w:rPr>
          <w:snapToGrid w:val="0"/>
        </w:rPr>
        <w:t>.</w:t>
      </w:r>
      <w:r>
        <w:rPr>
          <w:snapToGrid w:val="0"/>
        </w:rPr>
        <w:tab/>
        <w:t>Saving</w:t>
      </w:r>
      <w:bookmarkEnd w:id="217"/>
      <w:bookmarkEnd w:id="21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19" w:name="_Toc473116173"/>
      <w:bookmarkStart w:id="220" w:name="_Toc472066618"/>
      <w:r>
        <w:rPr>
          <w:rStyle w:val="CharSClsNo"/>
        </w:rPr>
        <w:t>7</w:t>
      </w:r>
      <w:r>
        <w:rPr>
          <w:snapToGrid w:val="0"/>
        </w:rPr>
        <w:t>.</w:t>
      </w:r>
      <w:r>
        <w:rPr>
          <w:snapToGrid w:val="0"/>
        </w:rPr>
        <w:tab/>
        <w:t>Calling of meetings</w:t>
      </w:r>
      <w:bookmarkEnd w:id="219"/>
      <w:bookmarkEnd w:id="220"/>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21" w:name="_Toc473116174"/>
      <w:bookmarkStart w:id="222" w:name="_Toc472066619"/>
      <w:r>
        <w:rPr>
          <w:rStyle w:val="CharSClsNo"/>
        </w:rPr>
        <w:t>8</w:t>
      </w:r>
      <w:r>
        <w:rPr>
          <w:snapToGrid w:val="0"/>
        </w:rPr>
        <w:t>.</w:t>
      </w:r>
      <w:r>
        <w:rPr>
          <w:snapToGrid w:val="0"/>
        </w:rPr>
        <w:tab/>
        <w:t>Presiding officer</w:t>
      </w:r>
      <w:bookmarkEnd w:id="221"/>
      <w:bookmarkEnd w:id="222"/>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23" w:name="_Toc473116175"/>
      <w:bookmarkStart w:id="224" w:name="_Toc472066620"/>
      <w:r>
        <w:rPr>
          <w:rStyle w:val="CharSClsNo"/>
        </w:rPr>
        <w:t>9</w:t>
      </w:r>
      <w:r>
        <w:rPr>
          <w:snapToGrid w:val="0"/>
        </w:rPr>
        <w:t>.</w:t>
      </w:r>
      <w:r>
        <w:rPr>
          <w:snapToGrid w:val="0"/>
        </w:rPr>
        <w:tab/>
        <w:t>Quorum</w:t>
      </w:r>
      <w:bookmarkEnd w:id="223"/>
      <w:bookmarkEnd w:id="224"/>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25" w:name="_Toc473116176"/>
      <w:bookmarkStart w:id="226" w:name="_Toc472066621"/>
      <w:r>
        <w:rPr>
          <w:rStyle w:val="CharSClsNo"/>
        </w:rPr>
        <w:t>10</w:t>
      </w:r>
      <w:r>
        <w:rPr>
          <w:snapToGrid w:val="0"/>
        </w:rPr>
        <w:t>.</w:t>
      </w:r>
      <w:r>
        <w:rPr>
          <w:snapToGrid w:val="0"/>
        </w:rPr>
        <w:tab/>
        <w:t>Voting</w:t>
      </w:r>
      <w:bookmarkEnd w:id="225"/>
      <w:bookmarkEnd w:id="226"/>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27" w:name="_Toc473116177"/>
      <w:bookmarkStart w:id="228" w:name="_Toc472066622"/>
      <w:r>
        <w:rPr>
          <w:rStyle w:val="CharSClsNo"/>
        </w:rPr>
        <w:t>11</w:t>
      </w:r>
      <w:r>
        <w:rPr>
          <w:snapToGrid w:val="0"/>
        </w:rPr>
        <w:t>.</w:t>
      </w:r>
      <w:r>
        <w:rPr>
          <w:snapToGrid w:val="0"/>
        </w:rPr>
        <w:tab/>
        <w:t>Minutes</w:t>
      </w:r>
      <w:bookmarkEnd w:id="227"/>
      <w:bookmarkEnd w:id="22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29" w:name="_Toc473116178"/>
      <w:bookmarkStart w:id="230" w:name="_Toc472066623"/>
      <w:r>
        <w:rPr>
          <w:rStyle w:val="CharSClsNo"/>
        </w:rPr>
        <w:t>12</w:t>
      </w:r>
      <w:r>
        <w:rPr>
          <w:snapToGrid w:val="0"/>
        </w:rPr>
        <w:t>.</w:t>
      </w:r>
      <w:r>
        <w:rPr>
          <w:snapToGrid w:val="0"/>
        </w:rPr>
        <w:tab/>
        <w:t>Resolution without meeting</w:t>
      </w:r>
      <w:bookmarkEnd w:id="229"/>
      <w:bookmarkEnd w:id="230"/>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231" w:name="_Toc473116179"/>
      <w:bookmarkStart w:id="232" w:name="_Toc472066624"/>
      <w:r>
        <w:rPr>
          <w:rStyle w:val="CharSClsNo"/>
        </w:rPr>
        <w:t>13</w:t>
      </w:r>
      <w:r>
        <w:rPr>
          <w:snapToGrid w:val="0"/>
        </w:rPr>
        <w:t>.</w:t>
      </w:r>
      <w:r>
        <w:rPr>
          <w:snapToGrid w:val="0"/>
        </w:rPr>
        <w:tab/>
        <w:t>Telephone or video meetings</w:t>
      </w:r>
      <w:bookmarkEnd w:id="231"/>
      <w:bookmarkEnd w:id="232"/>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33" w:name="_Toc473116180"/>
      <w:bookmarkStart w:id="234" w:name="_Toc472066625"/>
      <w:r>
        <w:rPr>
          <w:rStyle w:val="CharSClsNo"/>
        </w:rPr>
        <w:t>14</w:t>
      </w:r>
      <w:r>
        <w:rPr>
          <w:snapToGrid w:val="0"/>
        </w:rPr>
        <w:t>.</w:t>
      </w:r>
      <w:r>
        <w:rPr>
          <w:snapToGrid w:val="0"/>
        </w:rPr>
        <w:tab/>
        <w:t>Committees</w:t>
      </w:r>
      <w:bookmarkEnd w:id="233"/>
      <w:bookmarkEnd w:id="234"/>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235" w:name="_Toc473116181"/>
      <w:bookmarkStart w:id="236" w:name="_Toc472066626"/>
      <w:r>
        <w:rPr>
          <w:rStyle w:val="CharSClsNo"/>
        </w:rPr>
        <w:t>15</w:t>
      </w:r>
      <w:r>
        <w:rPr>
          <w:snapToGrid w:val="0"/>
        </w:rPr>
        <w:t>.</w:t>
      </w:r>
      <w:r>
        <w:rPr>
          <w:snapToGrid w:val="0"/>
        </w:rPr>
        <w:tab/>
        <w:t>Board to determine own procedures</w:t>
      </w:r>
      <w:bookmarkEnd w:id="235"/>
      <w:bookmarkEnd w:id="236"/>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237" w:name="_Toc471913829"/>
      <w:bookmarkStart w:id="238" w:name="_Toc472066627"/>
      <w:bookmarkStart w:id="239" w:name="_Toc473040743"/>
      <w:bookmarkStart w:id="240" w:name="_Toc473116182"/>
      <w:r>
        <w:rPr>
          <w:rStyle w:val="CharSDivNo"/>
        </w:rPr>
        <w:t>Division 2</w:t>
      </w:r>
      <w:r>
        <w:t xml:space="preserve"> — </w:t>
      </w:r>
      <w:r>
        <w:rPr>
          <w:rStyle w:val="CharSDivText"/>
        </w:rPr>
        <w:t>Disclosure of interests etc.</w:t>
      </w:r>
      <w:bookmarkEnd w:id="237"/>
      <w:bookmarkEnd w:id="238"/>
      <w:bookmarkEnd w:id="239"/>
      <w:bookmarkEnd w:id="240"/>
    </w:p>
    <w:p>
      <w:pPr>
        <w:pStyle w:val="yHeading5"/>
        <w:outlineLvl w:val="9"/>
        <w:rPr>
          <w:snapToGrid w:val="0"/>
        </w:rPr>
      </w:pPr>
      <w:bookmarkStart w:id="241" w:name="_Toc473116183"/>
      <w:bookmarkStart w:id="242" w:name="_Toc472066628"/>
      <w:r>
        <w:rPr>
          <w:rStyle w:val="CharSClsNo"/>
        </w:rPr>
        <w:t>16</w:t>
      </w:r>
      <w:r>
        <w:rPr>
          <w:snapToGrid w:val="0"/>
        </w:rPr>
        <w:t>.</w:t>
      </w:r>
      <w:r>
        <w:rPr>
          <w:snapToGrid w:val="0"/>
        </w:rPr>
        <w:tab/>
        <w:t>Disclosure of interests</w:t>
      </w:r>
      <w:bookmarkEnd w:id="241"/>
      <w:bookmarkEnd w:id="242"/>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43" w:name="_Toc473116184"/>
      <w:bookmarkStart w:id="244" w:name="_Toc472066629"/>
      <w:r>
        <w:rPr>
          <w:rStyle w:val="CharSClsNo"/>
        </w:rPr>
        <w:t>17</w:t>
      </w:r>
      <w:r>
        <w:rPr>
          <w:snapToGrid w:val="0"/>
        </w:rPr>
        <w:t>.</w:t>
      </w:r>
      <w:r>
        <w:rPr>
          <w:snapToGrid w:val="0"/>
        </w:rPr>
        <w:tab/>
        <w:t>Voting by interested members</w:t>
      </w:r>
      <w:bookmarkEnd w:id="243"/>
      <w:bookmarkEnd w:id="244"/>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45" w:name="_Toc473116185"/>
      <w:bookmarkStart w:id="246" w:name="_Toc472066630"/>
      <w:r>
        <w:rPr>
          <w:rStyle w:val="CharSClsNo"/>
        </w:rPr>
        <w:t>18</w:t>
      </w:r>
      <w:r>
        <w:rPr>
          <w:snapToGrid w:val="0"/>
        </w:rPr>
        <w:t>.</w:t>
      </w:r>
      <w:r>
        <w:rPr>
          <w:snapToGrid w:val="0"/>
        </w:rPr>
        <w:tab/>
        <w:t>Clause 17 may be declared inapplicable</w:t>
      </w:r>
      <w:bookmarkEnd w:id="245"/>
      <w:bookmarkEnd w:id="246"/>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47" w:name="_Toc473116186"/>
      <w:bookmarkStart w:id="248" w:name="_Toc472066631"/>
      <w:r>
        <w:rPr>
          <w:rStyle w:val="CharSClsNo"/>
        </w:rPr>
        <w:t>19</w:t>
      </w:r>
      <w:r>
        <w:rPr>
          <w:snapToGrid w:val="0"/>
        </w:rPr>
        <w:t>.</w:t>
      </w:r>
      <w:r>
        <w:rPr>
          <w:snapToGrid w:val="0"/>
        </w:rPr>
        <w:tab/>
        <w:t>Quorum where clause 17 applies</w:t>
      </w:r>
      <w:bookmarkEnd w:id="247"/>
      <w:bookmarkEnd w:id="24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49" w:name="_Toc473116187"/>
      <w:bookmarkStart w:id="250" w:name="_Toc472066632"/>
      <w:r>
        <w:rPr>
          <w:rStyle w:val="CharSClsNo"/>
        </w:rPr>
        <w:t>20</w:t>
      </w:r>
      <w:r>
        <w:rPr>
          <w:snapToGrid w:val="0"/>
        </w:rPr>
        <w:t>.</w:t>
      </w:r>
      <w:r>
        <w:rPr>
          <w:snapToGrid w:val="0"/>
        </w:rPr>
        <w:tab/>
        <w:t>Minister may declare clauses 17 and 19 inapplicable</w:t>
      </w:r>
      <w:bookmarkEnd w:id="249"/>
      <w:bookmarkEnd w:id="250"/>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251" w:name="_Toc471913835"/>
      <w:bookmarkStart w:id="252" w:name="_Toc472066633"/>
      <w:bookmarkStart w:id="253" w:name="_Toc473040749"/>
      <w:bookmarkStart w:id="254" w:name="_Toc47311618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251"/>
      <w:bookmarkEnd w:id="252"/>
      <w:bookmarkEnd w:id="253"/>
      <w:bookmarkEnd w:id="254"/>
    </w:p>
    <w:p>
      <w:pPr>
        <w:pStyle w:val="yShoulderClause"/>
        <w:rPr>
          <w:snapToGrid w:val="0"/>
        </w:rPr>
      </w:pPr>
      <w:r>
        <w:rPr>
          <w:snapToGrid w:val="0"/>
        </w:rPr>
        <w:t>[Section 55]</w:t>
      </w:r>
    </w:p>
    <w:p>
      <w:pPr>
        <w:pStyle w:val="yHeading5"/>
        <w:spacing w:before="160"/>
        <w:outlineLvl w:val="9"/>
        <w:rPr>
          <w:snapToGrid w:val="0"/>
        </w:rPr>
      </w:pPr>
      <w:bookmarkStart w:id="255" w:name="_Toc473116189"/>
      <w:bookmarkStart w:id="256" w:name="_Toc472066634"/>
      <w:r>
        <w:rPr>
          <w:rStyle w:val="CharSClsNo"/>
        </w:rPr>
        <w:t>1</w:t>
      </w:r>
      <w:r>
        <w:rPr>
          <w:snapToGrid w:val="0"/>
        </w:rPr>
        <w:t>.</w:t>
      </w:r>
      <w:r>
        <w:rPr>
          <w:snapToGrid w:val="0"/>
        </w:rPr>
        <w:tab/>
        <w:t>Terms used</w:t>
      </w:r>
      <w:bookmarkEnd w:id="255"/>
      <w:bookmarkEnd w:id="256"/>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257" w:name="_Toc473116190"/>
      <w:bookmarkStart w:id="258" w:name="_Toc472066635"/>
      <w:r>
        <w:rPr>
          <w:rStyle w:val="CharSClsNo"/>
        </w:rPr>
        <w:t>2</w:t>
      </w:r>
      <w:r>
        <w:rPr>
          <w:snapToGrid w:val="0"/>
        </w:rPr>
        <w:t>.</w:t>
      </w:r>
      <w:r>
        <w:rPr>
          <w:snapToGrid w:val="0"/>
        </w:rPr>
        <w:tab/>
        <w:t>Dissolution of Board</w:t>
      </w:r>
      <w:bookmarkEnd w:id="257"/>
      <w:bookmarkEnd w:id="258"/>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259" w:name="_Toc473116191"/>
      <w:bookmarkStart w:id="260" w:name="_Toc472066636"/>
      <w:r>
        <w:rPr>
          <w:rStyle w:val="CharSClsNo"/>
        </w:rPr>
        <w:t>3</w:t>
      </w:r>
      <w:r>
        <w:rPr>
          <w:snapToGrid w:val="0"/>
        </w:rPr>
        <w:t>.</w:t>
      </w:r>
      <w:r>
        <w:rPr>
          <w:snapToGrid w:val="0"/>
        </w:rPr>
        <w:tab/>
        <w:t>Devolution of assets, liabilities etc.</w:t>
      </w:r>
      <w:bookmarkEnd w:id="259"/>
      <w:bookmarkEnd w:id="260"/>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261" w:name="_Toc473116192"/>
      <w:bookmarkStart w:id="262" w:name="_Toc472066637"/>
      <w:r>
        <w:rPr>
          <w:rStyle w:val="CharSClsNo"/>
        </w:rPr>
        <w:t>4</w:t>
      </w:r>
      <w:r>
        <w:rPr>
          <w:snapToGrid w:val="0"/>
        </w:rPr>
        <w:t>.</w:t>
      </w:r>
      <w:r>
        <w:rPr>
          <w:snapToGrid w:val="0"/>
        </w:rPr>
        <w:tab/>
        <w:t>Agreements and instruments</w:t>
      </w:r>
      <w:bookmarkEnd w:id="261"/>
      <w:bookmarkEnd w:id="262"/>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263" w:name="_Toc473116193"/>
      <w:bookmarkStart w:id="264" w:name="_Toc472066638"/>
      <w:r>
        <w:rPr>
          <w:rStyle w:val="CharSClsNo"/>
        </w:rPr>
        <w:t>5</w:t>
      </w:r>
      <w:r>
        <w:rPr>
          <w:snapToGrid w:val="0"/>
        </w:rPr>
        <w:t>.</w:t>
      </w:r>
      <w:r>
        <w:rPr>
          <w:snapToGrid w:val="0"/>
        </w:rPr>
        <w:tab/>
        <w:t>References to Board in written law</w:t>
      </w:r>
      <w:bookmarkEnd w:id="263"/>
      <w:bookmarkEnd w:id="264"/>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265" w:name="_Toc473116194"/>
      <w:bookmarkStart w:id="266" w:name="_Toc472066639"/>
      <w:r>
        <w:rPr>
          <w:rStyle w:val="CharSClsNo"/>
        </w:rPr>
        <w:t>6</w:t>
      </w:r>
      <w:r>
        <w:rPr>
          <w:snapToGrid w:val="0"/>
        </w:rPr>
        <w:t>.</w:t>
      </w:r>
      <w:r>
        <w:rPr>
          <w:snapToGrid w:val="0"/>
        </w:rPr>
        <w:tab/>
        <w:t>Chief executive officer</w:t>
      </w:r>
      <w:bookmarkEnd w:id="265"/>
      <w:bookmarkEnd w:id="266"/>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267" w:name="_Toc473116195"/>
      <w:bookmarkStart w:id="268" w:name="_Toc472066640"/>
      <w:r>
        <w:rPr>
          <w:rStyle w:val="CharSClsNo"/>
        </w:rPr>
        <w:t>7</w:t>
      </w:r>
      <w:r>
        <w:rPr>
          <w:snapToGrid w:val="0"/>
        </w:rPr>
        <w:t>.</w:t>
      </w:r>
      <w:r>
        <w:rPr>
          <w:snapToGrid w:val="0"/>
        </w:rPr>
        <w:tab/>
        <w:t>Staff</w:t>
      </w:r>
      <w:bookmarkEnd w:id="267"/>
      <w:bookmarkEnd w:id="268"/>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269" w:name="_Toc473116196"/>
      <w:bookmarkStart w:id="270" w:name="_Toc472066641"/>
      <w:r>
        <w:rPr>
          <w:rStyle w:val="CharSClsNo"/>
        </w:rPr>
        <w:t>8</w:t>
      </w:r>
      <w:r>
        <w:rPr>
          <w:snapToGrid w:val="0"/>
        </w:rPr>
        <w:t>.</w:t>
      </w:r>
      <w:r>
        <w:rPr>
          <w:snapToGrid w:val="0"/>
        </w:rPr>
        <w:tab/>
        <w:t>Rangers</w:t>
      </w:r>
      <w:bookmarkEnd w:id="269"/>
      <w:bookmarkEnd w:id="270"/>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271" w:name="_Toc473116197"/>
      <w:bookmarkStart w:id="272" w:name="_Toc472066642"/>
      <w:r>
        <w:rPr>
          <w:rStyle w:val="CharSClsNo"/>
        </w:rPr>
        <w:t>9</w:t>
      </w:r>
      <w:r>
        <w:rPr>
          <w:snapToGrid w:val="0"/>
        </w:rPr>
        <w:t>.</w:t>
      </w:r>
      <w:r>
        <w:rPr>
          <w:snapToGrid w:val="0"/>
        </w:rPr>
        <w:tab/>
        <w:t>Annual reports for part of a year</w:t>
      </w:r>
      <w:bookmarkEnd w:id="271"/>
      <w:bookmarkEnd w:id="272"/>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273" w:name="_Toc473116198"/>
      <w:bookmarkStart w:id="274" w:name="_Toc472066643"/>
      <w:r>
        <w:rPr>
          <w:rStyle w:val="CharSClsNo"/>
        </w:rPr>
        <w:t>10</w:t>
      </w:r>
      <w:r>
        <w:rPr>
          <w:snapToGrid w:val="0"/>
        </w:rPr>
        <w:t>.</w:t>
      </w:r>
      <w:r>
        <w:rPr>
          <w:snapToGrid w:val="0"/>
        </w:rPr>
        <w:tab/>
        <w:t>Existing leases not affected</w:t>
      </w:r>
      <w:bookmarkEnd w:id="273"/>
      <w:bookmarkEnd w:id="274"/>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6" w:name="_Toc471913846"/>
      <w:bookmarkStart w:id="277" w:name="_Toc472066644"/>
      <w:bookmarkStart w:id="278" w:name="_Toc473040760"/>
      <w:bookmarkStart w:id="279" w:name="_Toc473116199"/>
      <w:r>
        <w:t>Notes</w:t>
      </w:r>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del w:id="280" w:author="svcMRProcess" w:date="2018-08-20T23:0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81" w:name="_Toc473116200"/>
      <w:bookmarkStart w:id="282" w:name="_Toc472066645"/>
      <w:r>
        <w:rPr>
          <w:snapToGrid w:val="0"/>
        </w:rPr>
        <w:t>Compilation table</w:t>
      </w:r>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3"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73"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3"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73"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3"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94"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73"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3" w:type="dxa"/>
          </w:tcPr>
          <w:p>
            <w:pPr>
              <w:pStyle w:val="nTable"/>
              <w:spacing w:after="40"/>
              <w:rPr>
                <w:rFonts w:ascii="Times New Roman" w:hAnsi="Times New Roman"/>
              </w:rPr>
            </w:pPr>
            <w:r>
              <w:rPr>
                <w:rFonts w:ascii="Times New Roman" w:hAnsi="Times New Roman"/>
              </w:rPr>
              <w:t>15</w:t>
            </w:r>
            <w:r>
              <w:rPr>
                <w:rFonts w:ascii="Times New Roman" w:hAnsi="Times New Roman"/>
                <w:i/>
              </w:rPr>
              <w:t> </w:t>
            </w:r>
            <w:r>
              <w:rPr>
                <w:rFonts w:ascii="Times New Roman" w:hAnsi="Times New Roman"/>
              </w:rPr>
              <w:t>May 2004 (see s. 2 and</w:t>
            </w:r>
            <w:r>
              <w:rPr>
                <w:rFonts w:ascii="Times New Roman" w:hAnsi="Times New Roman"/>
                <w:i/>
              </w:rPr>
              <w:t xml:space="preserve"> Gazette </w:t>
            </w:r>
            <w:r>
              <w:rPr>
                <w:rFonts w:ascii="Times New Roman" w:hAnsi="Times New Roman"/>
              </w:rPr>
              <w:t>14 May 2004 p. 1445)</w:t>
            </w:r>
          </w:p>
        </w:tc>
      </w:tr>
      <w:tr>
        <w:trPr>
          <w:cantSplit/>
        </w:trPr>
        <w:tc>
          <w:tcPr>
            <w:tcW w:w="4541"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3" w:type="dxa"/>
          </w:tcPr>
          <w:p>
            <w:pPr>
              <w:pStyle w:val="nTable"/>
              <w:spacing w:after="40"/>
              <w:rPr>
                <w:rFonts w:ascii="Times New Roman" w:hAnsi="Times New Roman"/>
              </w:rPr>
            </w:pPr>
            <w:r>
              <w:rPr>
                <w:rFonts w:ascii="Times New Roman" w:hAnsi="Times New Roman"/>
                <w:spacing w:val="-2"/>
              </w:rPr>
              <w:t>15 Sep 2003 (see r. 2)</w:t>
            </w:r>
          </w:p>
        </w:tc>
      </w:tr>
      <w:tr>
        <w:tc>
          <w:tcPr>
            <w:tcW w:w="2273"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3"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94"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73" w:type="dxa"/>
          </w:tcPr>
          <w:p>
            <w:pPr>
              <w:pStyle w:val="nTable"/>
              <w:keepNext/>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 2</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2 of 2016</w:t>
            </w:r>
          </w:p>
        </w:tc>
        <w:tc>
          <w:tcPr>
            <w:tcW w:w="1134" w:type="dxa"/>
          </w:tcPr>
          <w:p>
            <w:pPr>
              <w:pStyle w:val="nTable"/>
              <w:keepNext/>
              <w:keepLines/>
              <w:spacing w:after="40"/>
              <w:rPr>
                <w:rFonts w:ascii="Times New Roman" w:hAnsi="Times New Roman"/>
              </w:rPr>
            </w:pPr>
            <w:r>
              <w:rPr>
                <w:rFonts w:ascii="Times New Roman" w:hAnsi="Times New Roman"/>
              </w:rPr>
              <w:t>3 Mar 2016</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4 Mar 2016 (see s. 2(b))</w:t>
            </w:r>
          </w:p>
        </w:tc>
      </w:tr>
    </w:tbl>
    <w:p>
      <w:pPr>
        <w:pStyle w:val="nSubsection"/>
        <w:spacing w:before="360"/>
        <w:rPr>
          <w:del w:id="283" w:author="svcMRProcess" w:date="2018-08-20T23:02:00Z"/>
        </w:rPr>
      </w:pPr>
      <w:del w:id="284" w:author="svcMRProcess" w:date="2018-08-20T23: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5" w:author="svcMRProcess" w:date="2018-08-20T23:02:00Z"/>
        </w:rPr>
      </w:pPr>
      <w:bookmarkStart w:id="286" w:name="_Toc472066646"/>
      <w:del w:id="287" w:author="svcMRProcess" w:date="2018-08-20T23:02:00Z">
        <w:r>
          <w:delText>Provisions that have not come into operation</w:delText>
        </w:r>
        <w:bookmarkEnd w:id="28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del w:id="288" w:author="svcMRProcess" w:date="2018-08-20T23:02:00Z"/>
        </w:trPr>
        <w:tc>
          <w:tcPr>
            <w:tcW w:w="2273" w:type="dxa"/>
          </w:tcPr>
          <w:p>
            <w:pPr>
              <w:pStyle w:val="nTable"/>
              <w:spacing w:after="40"/>
              <w:rPr>
                <w:del w:id="289" w:author="svcMRProcess" w:date="2018-08-20T23:02:00Z"/>
                <w:rFonts w:ascii="Times New Roman" w:hAnsi="Times New Roman"/>
                <w:b/>
              </w:rPr>
            </w:pPr>
            <w:del w:id="290" w:author="svcMRProcess" w:date="2018-08-20T23:02:00Z">
              <w:r>
                <w:rPr>
                  <w:rFonts w:ascii="Times New Roman" w:hAnsi="Times New Roman"/>
                  <w:b/>
                </w:rPr>
                <w:delText>Short title</w:delText>
              </w:r>
            </w:del>
          </w:p>
        </w:tc>
        <w:tc>
          <w:tcPr>
            <w:tcW w:w="1134" w:type="dxa"/>
          </w:tcPr>
          <w:p>
            <w:pPr>
              <w:pStyle w:val="nTable"/>
              <w:spacing w:after="40"/>
              <w:rPr>
                <w:del w:id="291" w:author="svcMRProcess" w:date="2018-08-20T23:02:00Z"/>
                <w:rFonts w:ascii="Times New Roman" w:hAnsi="Times New Roman"/>
                <w:b/>
              </w:rPr>
            </w:pPr>
            <w:del w:id="292" w:author="svcMRProcess" w:date="2018-08-20T23:02:00Z">
              <w:r>
                <w:rPr>
                  <w:rFonts w:ascii="Times New Roman" w:hAnsi="Times New Roman"/>
                  <w:b/>
                </w:rPr>
                <w:delText>Number and year</w:delText>
              </w:r>
            </w:del>
          </w:p>
        </w:tc>
        <w:tc>
          <w:tcPr>
            <w:tcW w:w="1134" w:type="dxa"/>
          </w:tcPr>
          <w:p>
            <w:pPr>
              <w:pStyle w:val="nTable"/>
              <w:spacing w:after="40"/>
              <w:rPr>
                <w:del w:id="293" w:author="svcMRProcess" w:date="2018-08-20T23:02:00Z"/>
                <w:rFonts w:ascii="Times New Roman" w:hAnsi="Times New Roman"/>
                <w:b/>
              </w:rPr>
            </w:pPr>
            <w:del w:id="294" w:author="svcMRProcess" w:date="2018-08-20T23:02:00Z">
              <w:r>
                <w:rPr>
                  <w:rFonts w:ascii="Times New Roman" w:hAnsi="Times New Roman"/>
                  <w:b/>
                </w:rPr>
                <w:delText>Assent</w:delText>
              </w:r>
            </w:del>
          </w:p>
        </w:tc>
        <w:tc>
          <w:tcPr>
            <w:tcW w:w="2514" w:type="dxa"/>
          </w:tcPr>
          <w:p>
            <w:pPr>
              <w:pStyle w:val="nTable"/>
              <w:spacing w:after="40"/>
              <w:rPr>
                <w:del w:id="295" w:author="svcMRProcess" w:date="2018-08-20T23:02:00Z"/>
                <w:rFonts w:ascii="Times New Roman" w:hAnsi="Times New Roman"/>
                <w:b/>
              </w:rPr>
            </w:pPr>
            <w:del w:id="296" w:author="svcMRProcess" w:date="2018-08-20T23:02:00Z">
              <w:r>
                <w:rPr>
                  <w:rFonts w:ascii="Times New Roman" w:hAnsi="Times New Roman"/>
                  <w:b/>
                </w:rPr>
                <w:delText>Commencement</w:delText>
              </w:r>
            </w:del>
          </w:p>
        </w:tc>
      </w:tr>
      <w:tr>
        <w:tblPrEx>
          <w:tblBorders>
            <w:top w:val="none" w:sz="0" w:space="0" w:color="auto"/>
            <w:bottom w:val="none" w:sz="0" w:space="0" w:color="auto"/>
            <w:insideH w:val="none" w:sz="0" w:space="0" w:color="auto"/>
          </w:tblBorders>
        </w:tblPrEx>
        <w:tc>
          <w:tcPr>
            <w:tcW w:w="2273" w:type="dxa"/>
            <w:tcBorders>
              <w:bottom w:val="single" w:sz="4" w:space="0" w:color="auto"/>
            </w:tcBorders>
          </w:tcPr>
          <w:p>
            <w:pPr>
              <w:pStyle w:val="nTable"/>
              <w:keepNext/>
              <w:keepLines/>
              <w:spacing w:after="40"/>
              <w:rPr>
                <w:rFonts w:ascii="Times New Roman" w:hAnsi="Times New Roman"/>
                <w:i/>
                <w:snapToGrid w:val="0"/>
              </w:rPr>
            </w:pPr>
            <w:r>
              <w:rPr>
                <w:rFonts w:ascii="Times New Roman" w:hAnsi="Times New Roman"/>
                <w:i/>
                <w:snapToGrid w:val="0"/>
              </w:rPr>
              <w:t>Public Health (Consequential Provisions) Act 2016</w:t>
            </w:r>
            <w:r>
              <w:rPr>
                <w:rFonts w:ascii="Times New Roman" w:hAnsi="Times New Roman"/>
                <w:snapToGrid w:val="0"/>
              </w:rPr>
              <w:t xml:space="preserve"> Pt. 3 Div.</w:t>
            </w:r>
            <w:del w:id="297" w:author="svcMRProcess" w:date="2018-08-20T23:02:00Z">
              <w:r>
                <w:rPr>
                  <w:rFonts w:ascii="Times New Roman" w:hAnsi="Times New Roman"/>
                  <w:snapToGrid w:val="0"/>
                </w:rPr>
                <w:delText xml:space="preserve"> </w:delText>
              </w:r>
            </w:del>
            <w:ins w:id="298" w:author="svcMRProcess" w:date="2018-08-20T23:02:00Z">
              <w:r>
                <w:rPr>
                  <w:rFonts w:ascii="Times New Roman" w:hAnsi="Times New Roman"/>
                  <w:snapToGrid w:val="0"/>
                </w:rPr>
                <w:t> </w:t>
              </w:r>
            </w:ins>
            <w:r>
              <w:rPr>
                <w:rFonts w:ascii="Times New Roman" w:hAnsi="Times New Roman"/>
                <w:snapToGrid w:val="0"/>
              </w:rPr>
              <w:t>6</w:t>
            </w:r>
            <w:del w:id="299" w:author="svcMRProcess" w:date="2018-08-20T23:02:00Z">
              <w:r>
                <w:rPr>
                  <w:rFonts w:ascii="Times New Roman" w:hAnsi="Times New Roman"/>
                  <w:snapToGrid w:val="0"/>
                </w:rPr>
                <w:delText> </w:delText>
              </w:r>
              <w:r>
                <w:rPr>
                  <w:rFonts w:ascii="Times New Roman" w:hAnsi="Times New Roman"/>
                  <w:snapToGrid w:val="0"/>
                  <w:vertAlign w:val="superscript"/>
                </w:rPr>
                <w:delText>4</w:delText>
              </w:r>
            </w:del>
          </w:p>
        </w:tc>
        <w:tc>
          <w:tcPr>
            <w:tcW w:w="1134"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19 of 2016</w:t>
            </w:r>
          </w:p>
        </w:tc>
        <w:tc>
          <w:tcPr>
            <w:tcW w:w="1134" w:type="dxa"/>
            <w:tcBorders>
              <w:bottom w:val="single" w:sz="4" w:space="0" w:color="auto"/>
            </w:tcBorders>
          </w:tcPr>
          <w:p>
            <w:pPr>
              <w:pStyle w:val="nTable"/>
              <w:keepNext/>
              <w:keepLines/>
              <w:spacing w:after="40"/>
              <w:rPr>
                <w:rFonts w:ascii="Times New Roman" w:hAnsi="Times New Roman"/>
              </w:rPr>
            </w:pPr>
            <w:r>
              <w:rPr>
                <w:rFonts w:ascii="Times New Roman" w:hAnsi="Times New Roman"/>
                <w:snapToGrid w:val="0"/>
              </w:rPr>
              <w:t>25 Jul 2016</w:t>
            </w:r>
          </w:p>
        </w:tc>
        <w:tc>
          <w:tcPr>
            <w:tcW w:w="2553" w:type="dxa"/>
            <w:tcBorders>
              <w:bottom w:val="single" w:sz="4" w:space="0" w:color="auto"/>
            </w:tcBorders>
          </w:tcPr>
          <w:p>
            <w:pPr>
              <w:pStyle w:val="nTable"/>
              <w:keepNext/>
              <w:keepLines/>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keepNext/>
        <w:keepLines/>
        <w:spacing w:before="120"/>
        <w:rPr>
          <w:del w:id="300" w:author="svcMRProcess" w:date="2018-08-20T23:02:00Z"/>
        </w:rPr>
      </w:pPr>
      <w:del w:id="301" w:author="svcMRProcess" w:date="2018-08-20T23:02:00Z">
        <w:r>
          <w:rPr>
            <w:vertAlign w:val="superscript"/>
          </w:rPr>
          <w:delText>4</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6</w:delText>
        </w:r>
        <w:r>
          <w:rPr>
            <w:snapToGrid w:val="0"/>
          </w:rPr>
          <w:delText xml:space="preserve"> had not come into operation. It reads as follows:</w:delText>
        </w:r>
      </w:del>
    </w:p>
    <w:p>
      <w:pPr>
        <w:pStyle w:val="BlankOpen"/>
        <w:rPr>
          <w:del w:id="302" w:author="svcMRProcess" w:date="2018-08-20T23:02:00Z"/>
        </w:rPr>
      </w:pPr>
    </w:p>
    <w:p>
      <w:pPr>
        <w:pStyle w:val="nzHeading2"/>
        <w:rPr>
          <w:del w:id="303" w:author="svcMRProcess" w:date="2018-08-20T23:02:00Z"/>
        </w:rPr>
      </w:pPr>
      <w:del w:id="304" w:author="svcMRProcess" w:date="2018-08-20T23:02:00Z">
        <w:r>
          <w:rPr>
            <w:rStyle w:val="CharPartNo"/>
          </w:rPr>
          <w:delText>Part 3</w:delText>
        </w:r>
        <w:r>
          <w:delText> — </w:delText>
        </w:r>
        <w:r>
          <w:rPr>
            <w:rStyle w:val="CharPartText"/>
          </w:rPr>
          <w:delText>Amendments to other Acts and repeals</w:delText>
        </w:r>
      </w:del>
    </w:p>
    <w:p>
      <w:pPr>
        <w:pStyle w:val="nzHeading3"/>
        <w:rPr>
          <w:del w:id="305" w:author="svcMRProcess" w:date="2018-08-20T23:02:00Z"/>
        </w:rPr>
      </w:pPr>
      <w:del w:id="306" w:author="svcMRProcess" w:date="2018-08-20T23:02:00Z">
        <w:r>
          <w:rPr>
            <w:rStyle w:val="CharDivNo"/>
          </w:rPr>
          <w:delText>Division 6</w:delText>
        </w:r>
        <w:r>
          <w:delText xml:space="preserve"> — </w:delText>
        </w:r>
        <w:r>
          <w:rPr>
            <w:rStyle w:val="CharDivText"/>
            <w:i/>
          </w:rPr>
          <w:delText>Botanic Gardens and Parks Authority Act 1998</w:delText>
        </w:r>
        <w:r>
          <w:rPr>
            <w:rStyle w:val="CharDivText"/>
          </w:rPr>
          <w:delText xml:space="preserve"> amended</w:delText>
        </w:r>
      </w:del>
    </w:p>
    <w:p>
      <w:pPr>
        <w:pStyle w:val="nzHeading5"/>
        <w:rPr>
          <w:del w:id="307" w:author="svcMRProcess" w:date="2018-08-20T23:02:00Z"/>
        </w:rPr>
      </w:pPr>
      <w:del w:id="308" w:author="svcMRProcess" w:date="2018-08-20T23:02:00Z">
        <w:r>
          <w:rPr>
            <w:rStyle w:val="CharSectno"/>
          </w:rPr>
          <w:delText>111</w:delText>
        </w:r>
        <w:r>
          <w:delText>.</w:delText>
        </w:r>
        <w:r>
          <w:tab/>
          <w:delText>Act amended</w:delText>
        </w:r>
      </w:del>
    </w:p>
    <w:p>
      <w:pPr>
        <w:pStyle w:val="nzSubsection"/>
        <w:rPr>
          <w:del w:id="309" w:author="svcMRProcess" w:date="2018-08-20T23:02:00Z"/>
        </w:rPr>
      </w:pPr>
      <w:del w:id="310" w:author="svcMRProcess" w:date="2018-08-20T23:02:00Z">
        <w:r>
          <w:tab/>
        </w:r>
        <w:r>
          <w:tab/>
          <w:delText xml:space="preserve">This Division amends the </w:delText>
        </w:r>
        <w:r>
          <w:rPr>
            <w:i/>
          </w:rPr>
          <w:delText>Botanic Gardens and Parks Authority Act 1998</w:delText>
        </w:r>
        <w:r>
          <w:delText>.</w:delText>
        </w:r>
      </w:del>
    </w:p>
    <w:p>
      <w:pPr>
        <w:pStyle w:val="nzHeading5"/>
        <w:rPr>
          <w:del w:id="311" w:author="svcMRProcess" w:date="2018-08-20T23:02:00Z"/>
        </w:rPr>
      </w:pPr>
      <w:del w:id="312" w:author="svcMRProcess" w:date="2018-08-20T23:02:00Z">
        <w:r>
          <w:rPr>
            <w:rStyle w:val="CharSectno"/>
          </w:rPr>
          <w:delText>112</w:delText>
        </w:r>
        <w:r>
          <w:delText>.</w:delText>
        </w:r>
        <w:r>
          <w:tab/>
          <w:delText>Section 44A amended</w:delText>
        </w:r>
      </w:del>
    </w:p>
    <w:p>
      <w:pPr>
        <w:pStyle w:val="nzSubsection"/>
        <w:rPr>
          <w:del w:id="313" w:author="svcMRProcess" w:date="2018-08-20T23:02:00Z"/>
        </w:rPr>
      </w:pPr>
      <w:del w:id="314" w:author="svcMRProcess" w:date="2018-08-20T23:02:00Z">
        <w:r>
          <w:tab/>
        </w:r>
        <w:r>
          <w:tab/>
          <w:delText>Delete section 44A(1) and insert:</w:delText>
        </w:r>
      </w:del>
    </w:p>
    <w:p>
      <w:pPr>
        <w:pStyle w:val="BlankOpen"/>
        <w:rPr>
          <w:del w:id="315" w:author="svcMRProcess" w:date="2018-08-20T23:02:00Z"/>
        </w:rPr>
      </w:pPr>
    </w:p>
    <w:p>
      <w:pPr>
        <w:pStyle w:val="nzSubsection"/>
        <w:rPr>
          <w:del w:id="316" w:author="svcMRProcess" w:date="2018-08-20T23:02:00Z"/>
        </w:rPr>
      </w:pPr>
      <w:del w:id="317" w:author="svcMRProcess" w:date="2018-08-20T23:02:00Z">
        <w:r>
          <w:tab/>
          <w:delText>(1)</w:delText>
        </w:r>
        <w:r>
          <w:tab/>
          <w:delText>In this section —</w:delText>
        </w:r>
      </w:del>
    </w:p>
    <w:p>
      <w:pPr>
        <w:pStyle w:val="nzDefstart"/>
        <w:rPr>
          <w:del w:id="318" w:author="svcMRProcess" w:date="2018-08-20T23:02:00Z"/>
        </w:rPr>
      </w:pPr>
      <w:del w:id="319" w:author="svcMRProcess" w:date="2018-08-20T23:02:00Z">
        <w: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nzDefstart"/>
        <w:rPr>
          <w:del w:id="320" w:author="svcMRProcess" w:date="2018-08-20T23:02:00Z"/>
        </w:rPr>
      </w:pPr>
      <w:del w:id="321" w:author="svcMRProcess" w:date="2018-08-20T23:02:00Z">
        <w:r>
          <w:tab/>
        </w:r>
        <w:r>
          <w:rPr>
            <w:rStyle w:val="CharDefText"/>
          </w:rPr>
          <w:delText>public health</w:delText>
        </w:r>
        <w:r>
          <w:delText xml:space="preserve"> has the meaning given in the </w:delText>
        </w:r>
        <w:r>
          <w:rPr>
            <w:i/>
          </w:rPr>
          <w:delText>Public Health Act 2016</w:delText>
        </w:r>
        <w:r>
          <w:delText xml:space="preserve"> section 4(1).</w:delText>
        </w:r>
      </w:del>
    </w:p>
    <w:p>
      <w:pPr>
        <w:pStyle w:val="BlankClose"/>
        <w:rPr>
          <w:del w:id="322" w:author="svcMRProcess" w:date="2018-08-20T23:02:00Z"/>
        </w:rPr>
      </w:pPr>
    </w:p>
    <w:p>
      <w:pPr>
        <w:pStyle w:val="nzPermNoteHeading"/>
        <w:rPr>
          <w:del w:id="323" w:author="svcMRProcess" w:date="2018-08-20T23:02:00Z"/>
        </w:rPr>
      </w:pPr>
      <w:del w:id="324" w:author="svcMRProcess" w:date="2018-08-20T23:02:00Z">
        <w:r>
          <w:tab/>
          <w:delText>Note:</w:delText>
        </w:r>
        <w:r>
          <w:tab/>
          <w:delText>The heading to amended section 44A is to read:</w:delText>
        </w:r>
      </w:del>
    </w:p>
    <w:p>
      <w:pPr>
        <w:pStyle w:val="nzPermNoteText"/>
        <w:rPr>
          <w:del w:id="325" w:author="svcMRProcess" w:date="2018-08-20T23:02:00Z"/>
          <w:b/>
        </w:rPr>
      </w:pPr>
      <w:del w:id="326" w:author="svcMRProcess" w:date="2018-08-20T23:02:00Z">
        <w:r>
          <w:rPr>
            <w:b/>
          </w:rPr>
          <w:tab/>
          <w:delText xml:space="preserve">Chief </w:delText>
        </w:r>
        <w:r>
          <w:rPr>
            <w:b/>
            <w:bCs/>
          </w:rPr>
          <w:delText>Health</w:delText>
        </w:r>
        <w:r>
          <w:rPr>
            <w:b/>
          </w:rPr>
          <w:delText xml:space="preserve"> Officer responsible for public health matters</w:delText>
        </w:r>
      </w:del>
    </w:p>
    <w:p>
      <w:pPr>
        <w:pStyle w:val="nzHeading5"/>
        <w:rPr>
          <w:del w:id="327" w:author="svcMRProcess" w:date="2018-08-20T23:02:00Z"/>
        </w:rPr>
      </w:pPr>
      <w:del w:id="328" w:author="svcMRProcess" w:date="2018-08-20T23:02:00Z">
        <w:r>
          <w:rPr>
            <w:rStyle w:val="CharSectno"/>
          </w:rPr>
          <w:delText>113</w:delText>
        </w:r>
        <w:r>
          <w:delText>.</w:delText>
        </w:r>
        <w:r>
          <w:tab/>
          <w:delText>Various references to Executive Director amended</w:delText>
        </w:r>
      </w:del>
    </w:p>
    <w:p>
      <w:pPr>
        <w:pStyle w:val="nzSubsection"/>
        <w:rPr>
          <w:del w:id="329" w:author="svcMRProcess" w:date="2018-08-20T23:02:00Z"/>
        </w:rPr>
      </w:pPr>
      <w:del w:id="330" w:author="svcMRProcess" w:date="2018-08-20T23:02:00Z">
        <w:r>
          <w:tab/>
        </w:r>
        <w:r>
          <w:tab/>
          <w:delText>In the provisions listed in the Table delete “Executive Director, Public Health” (each occurrence) and insert:</w:delText>
        </w:r>
      </w:del>
    </w:p>
    <w:p>
      <w:pPr>
        <w:pStyle w:val="BlankOpen"/>
        <w:rPr>
          <w:del w:id="331" w:author="svcMRProcess" w:date="2018-08-20T23:02:00Z"/>
        </w:rPr>
      </w:pPr>
    </w:p>
    <w:p>
      <w:pPr>
        <w:pStyle w:val="nzSubsection"/>
        <w:rPr>
          <w:del w:id="332" w:author="svcMRProcess" w:date="2018-08-20T23:02:00Z"/>
        </w:rPr>
      </w:pPr>
      <w:del w:id="333" w:author="svcMRProcess" w:date="2018-08-20T23:02:00Z">
        <w:r>
          <w:tab/>
        </w:r>
        <w:r>
          <w:tab/>
          <w:delText>Chief Health Officer</w:delText>
        </w:r>
      </w:del>
    </w:p>
    <w:p>
      <w:pPr>
        <w:pStyle w:val="BlankClose"/>
        <w:rPr>
          <w:del w:id="334" w:author="svcMRProcess" w:date="2018-08-20T23:02:00Z"/>
        </w:rPr>
      </w:pPr>
    </w:p>
    <w:p>
      <w:pPr>
        <w:pStyle w:val="THeading"/>
        <w:rPr>
          <w:del w:id="335" w:author="svcMRProcess" w:date="2018-08-20T23:02:00Z"/>
        </w:rPr>
      </w:pPr>
      <w:del w:id="336" w:author="svcMRProcess" w:date="2018-08-20T23:0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37" w:author="svcMRProcess" w:date="2018-08-20T23:02:00Z"/>
        </w:trPr>
        <w:tc>
          <w:tcPr>
            <w:tcW w:w="3402" w:type="dxa"/>
          </w:tcPr>
          <w:p>
            <w:pPr>
              <w:pStyle w:val="TableAm"/>
              <w:rPr>
                <w:del w:id="338" w:author="svcMRProcess" w:date="2018-08-20T23:02:00Z"/>
              </w:rPr>
            </w:pPr>
            <w:del w:id="339" w:author="svcMRProcess" w:date="2018-08-20T23:02:00Z">
              <w:r>
                <w:delText>s. 44A(2)</w:delText>
              </w:r>
            </w:del>
          </w:p>
        </w:tc>
        <w:tc>
          <w:tcPr>
            <w:tcW w:w="3402" w:type="dxa"/>
          </w:tcPr>
          <w:p>
            <w:pPr>
              <w:pStyle w:val="TableAm"/>
              <w:rPr>
                <w:del w:id="340" w:author="svcMRProcess" w:date="2018-08-20T23:02:00Z"/>
              </w:rPr>
            </w:pPr>
            <w:del w:id="341" w:author="svcMRProcess" w:date="2018-08-20T23:02:00Z">
              <w:r>
                <w:delText>s. 44A(3)</w:delText>
              </w:r>
            </w:del>
          </w:p>
        </w:tc>
      </w:tr>
      <w:tr>
        <w:trPr>
          <w:cantSplit/>
          <w:jc w:val="center"/>
          <w:del w:id="342" w:author="svcMRProcess" w:date="2018-08-20T23:02:00Z"/>
        </w:trPr>
        <w:tc>
          <w:tcPr>
            <w:tcW w:w="3402" w:type="dxa"/>
          </w:tcPr>
          <w:p>
            <w:pPr>
              <w:pStyle w:val="TableAm"/>
              <w:rPr>
                <w:del w:id="343" w:author="svcMRProcess" w:date="2018-08-20T23:02:00Z"/>
              </w:rPr>
            </w:pPr>
            <w:del w:id="344" w:author="svcMRProcess" w:date="2018-08-20T23:02:00Z">
              <w:r>
                <w:delText>s. 44A(4)(a) and (b)</w:delText>
              </w:r>
            </w:del>
          </w:p>
        </w:tc>
        <w:tc>
          <w:tcPr>
            <w:tcW w:w="3402" w:type="dxa"/>
          </w:tcPr>
          <w:p>
            <w:pPr>
              <w:pStyle w:val="TableAm"/>
              <w:rPr>
                <w:del w:id="345" w:author="svcMRProcess" w:date="2018-08-20T23:02:00Z"/>
              </w:rPr>
            </w:pPr>
            <w:del w:id="346" w:author="svcMRProcess" w:date="2018-08-20T23:02:00Z">
              <w:r>
                <w:delText>s. 44A(5)</w:delText>
              </w:r>
            </w:del>
          </w:p>
        </w:tc>
      </w:tr>
      <w:tr>
        <w:trPr>
          <w:cantSplit/>
          <w:jc w:val="center"/>
          <w:del w:id="347" w:author="svcMRProcess" w:date="2018-08-20T23:02:00Z"/>
        </w:trPr>
        <w:tc>
          <w:tcPr>
            <w:tcW w:w="3402" w:type="dxa"/>
          </w:tcPr>
          <w:p>
            <w:pPr>
              <w:pStyle w:val="TableAm"/>
              <w:rPr>
                <w:del w:id="348" w:author="svcMRProcess" w:date="2018-08-20T23:02:00Z"/>
              </w:rPr>
            </w:pPr>
            <w:del w:id="349" w:author="svcMRProcess" w:date="2018-08-20T23:02:00Z">
              <w:r>
                <w:delText>s. 53A(2)</w:delText>
              </w:r>
            </w:del>
          </w:p>
        </w:tc>
        <w:tc>
          <w:tcPr>
            <w:tcW w:w="3402" w:type="dxa"/>
          </w:tcPr>
          <w:p>
            <w:pPr>
              <w:pStyle w:val="TableAm"/>
              <w:rPr>
                <w:del w:id="350" w:author="svcMRProcess" w:date="2018-08-20T23:02:00Z"/>
              </w:rPr>
            </w:pPr>
          </w:p>
        </w:tc>
      </w:tr>
    </w:tbl>
    <w:p>
      <w:pPr>
        <w:pStyle w:val="BlankClose"/>
        <w:rPr>
          <w:del w:id="351" w:author="svcMRProcess" w:date="2018-08-20T23:02:00Z"/>
        </w:rPr>
      </w:pPr>
    </w:p>
    <w:p>
      <w:pPr>
        <w:pStyle w:val="BlankClose"/>
        <w:rPr>
          <w:del w:id="352" w:author="svcMRProcess" w:date="2018-08-20T23:02: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 w:name="Coversheet"/>
    <w:bookmarkEnd w:id="3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36"/>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11139</Words>
  <Characters>52912</Characters>
  <Application>Microsoft Office Word</Application>
  <DocSecurity>0</DocSecurity>
  <Lines>1430</Lines>
  <Paragraphs>790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02-h0-01 - 02-i0-00</dc:title>
  <dc:subject/>
  <dc:creator/>
  <cp:keywords/>
  <dc:description/>
  <cp:lastModifiedBy>svcMRProcess</cp:lastModifiedBy>
  <cp:revision>2</cp:revision>
  <cp:lastPrinted>2010-08-05T03:03:00Z</cp:lastPrinted>
  <dcterms:created xsi:type="dcterms:W3CDTF">2018-08-20T15:02:00Z</dcterms:created>
  <dcterms:modified xsi:type="dcterms:W3CDTF">2018-08-20T15:02:00Z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CommencementDate">
    <vt:lpwstr>20170124</vt:lpwstr>
  </property>
  <property fmtid="{D5CDD505-2E9C-101B-9397-08002B2CF9AE}" pid="8" name="FromSuffix">
    <vt:lpwstr>02-h0-01</vt:lpwstr>
  </property>
  <property fmtid="{D5CDD505-2E9C-101B-9397-08002B2CF9AE}" pid="9" name="FromAsAtDate">
    <vt:lpwstr>25 Jul 2016</vt:lpwstr>
  </property>
  <property fmtid="{D5CDD505-2E9C-101B-9397-08002B2CF9AE}" pid="10" name="ToSuffix">
    <vt:lpwstr>02-i0-00</vt:lpwstr>
  </property>
  <property fmtid="{D5CDD505-2E9C-101B-9397-08002B2CF9AE}" pid="11" name="ToAsAtDate">
    <vt:lpwstr>24 Jan 2017</vt:lpwstr>
  </property>
</Properties>
</file>