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720"/>
      </w:pPr>
      <w:r>
        <w:t>Health Professionals (Special Events Exemption) Act 2000</w:t>
      </w:r>
    </w:p>
    <w:p>
      <w:pPr>
        <w:pStyle w:val="LongTitle"/>
        <w:suppressLineNumbers/>
        <w:spacing w:before="240"/>
        <w:rPr>
          <w:snapToGrid w:val="0"/>
        </w:rPr>
      </w:pPr>
      <w:bookmarkStart w:id="1" w:name="BillCited"/>
      <w:bookmarkEnd w:id="1"/>
      <w:r>
        <w:rPr>
          <w:snapToGrid w:val="0"/>
        </w:rPr>
        <w:t>A</w:t>
      </w:r>
      <w:bookmarkStart w:id="2" w:name="_GoBack"/>
      <w:bookmarkEnd w:id="2"/>
      <w:r>
        <w:rPr>
          <w:snapToGrid w:val="0"/>
        </w:rPr>
        <w:t xml:space="preserve">n Act to allow visiting health professionals to provide health care services to visitors to the State in connection with special events, and for related purposes. </w:t>
      </w:r>
    </w:p>
    <w:p>
      <w:pPr>
        <w:pStyle w:val="Heading2"/>
      </w:pPr>
      <w:bookmarkStart w:id="3" w:name="_Toc392246220"/>
      <w:bookmarkStart w:id="4" w:name="_Toc419464290"/>
      <w:bookmarkStart w:id="5" w:name="_Toc473294946"/>
      <w:bookmarkStart w:id="6" w:name="_Toc473295044"/>
      <w:r>
        <w:rPr>
          <w:rStyle w:val="CharPartNo"/>
        </w:rPr>
        <w:lastRenderedPageBreak/>
        <w:t>Part 1</w:t>
      </w:r>
      <w:r>
        <w:t> —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92246221"/>
      <w:bookmarkStart w:id="8" w:name="_Toc473295045"/>
      <w:bookmarkStart w:id="9" w:name="_Toc419464291"/>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10" w:name="Start_Cursor"/>
      <w:bookmarkStart w:id="11" w:name="_Toc392246222"/>
      <w:bookmarkStart w:id="12" w:name="_Toc473295046"/>
      <w:bookmarkStart w:id="13" w:name="_Toc419464292"/>
      <w:bookmarkEnd w:id="10"/>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4" w:name="_Toc392246223"/>
      <w:bookmarkStart w:id="15" w:name="_Toc473295047"/>
      <w:bookmarkStart w:id="16" w:name="_Toc419464293"/>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this Act, unless the contrary intention appears — </w:t>
      </w:r>
    </w:p>
    <w:p>
      <w:pPr>
        <w:pStyle w:val="Defstart"/>
        <w:rPr>
          <w:del w:id="17" w:author="svcMRProcess" w:date="2019-01-22T09:45:00Z"/>
        </w:rPr>
      </w:pPr>
      <w:del w:id="18" w:author="svcMRProcess" w:date="2019-01-22T09:45:00Z">
        <w:r>
          <w:rPr>
            <w:b/>
          </w:rPr>
          <w:tab/>
        </w:r>
        <w:r>
          <w:rPr>
            <w:rStyle w:val="CharDefText"/>
          </w:rPr>
          <w:delText>drug of addiction</w:delText>
        </w:r>
        <w:r>
          <w:delText xml:space="preserve"> means a substance included in Schedule 8 in Appendix A to the </w:delText>
        </w:r>
        <w:r>
          <w:rPr>
            <w:i/>
          </w:rPr>
          <w:delText>Poisons Act 1964</w:delText>
        </w:r>
        <w:r>
          <w:delText>;</w:delText>
        </w:r>
      </w:del>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the </w:t>
      </w:r>
      <w:r>
        <w:rPr>
          <w:i/>
          <w:iCs/>
        </w:rPr>
        <w:t>National 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Defstart"/>
        <w:rPr>
          <w:ins w:id="19" w:author="svcMRProcess" w:date="2019-01-22T09:45:00Z"/>
        </w:rPr>
      </w:pPr>
      <w:ins w:id="20" w:author="svcMRProcess" w:date="2019-01-22T09:45:00Z">
        <w:r>
          <w:tab/>
        </w:r>
        <w:r>
          <w:rPr>
            <w:rStyle w:val="CharDefText"/>
          </w:rPr>
          <w:t>medicine</w:t>
        </w:r>
        <w:r>
          <w:t xml:space="preserve"> has the meaning given in the </w:t>
        </w:r>
        <w:r>
          <w:rPr>
            <w:i/>
          </w:rPr>
          <w:t>Medicines and Poisons Act 2014</w:t>
        </w:r>
        <w:r>
          <w:t xml:space="preserve"> section 3;</w:t>
        </w:r>
      </w:ins>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rPr>
          <w:del w:id="21" w:author="svcMRProcess" w:date="2019-01-22T09:45:00Z"/>
        </w:rPr>
      </w:pPr>
      <w:del w:id="22" w:author="svcMRProcess" w:date="2019-01-22T09:45:00Z">
        <w:r>
          <w:rPr>
            <w:b/>
          </w:rPr>
          <w:lastRenderedPageBreak/>
          <w:tab/>
        </w:r>
        <w:r>
          <w:rPr>
            <w:rStyle w:val="CharDefText"/>
          </w:rPr>
          <w:delText>restricted substance</w:delText>
        </w:r>
        <w:r>
          <w:delText xml:space="preserve"> means a substance included in Schedule 4 in Appendix A to the </w:delText>
        </w:r>
        <w:r>
          <w:rPr>
            <w:i/>
          </w:rPr>
          <w:delText>Poisons Act 1964</w:delText>
        </w:r>
        <w:r>
          <w:delText>;</w:delText>
        </w:r>
      </w:del>
    </w:p>
    <w:p>
      <w:pPr>
        <w:pStyle w:val="Defstart"/>
      </w:pPr>
      <w:r>
        <w:rPr>
          <w:b/>
        </w:rPr>
        <w:tab/>
      </w:r>
      <w:r>
        <w:rPr>
          <w:rStyle w:val="CharDefText"/>
        </w:rPr>
        <w:t>special event</w:t>
      </w:r>
      <w:r>
        <w:t xml:space="preserve"> means an event, or class of event, that is declared to be a special event by order under section 6;</w:t>
      </w:r>
    </w:p>
    <w:p>
      <w:pPr>
        <w:pStyle w:val="Defstart"/>
        <w:rPr>
          <w:del w:id="23" w:author="svcMRProcess" w:date="2019-01-22T09:45:00Z"/>
        </w:rPr>
      </w:pPr>
      <w:del w:id="24" w:author="svcMRProcess" w:date="2019-01-22T09:45:00Z">
        <w:r>
          <w:rPr>
            <w:b/>
          </w:rPr>
          <w:tab/>
        </w:r>
        <w:r>
          <w:rPr>
            <w:rStyle w:val="CharDefText"/>
          </w:rPr>
          <w:delText>substance</w:delText>
        </w:r>
        <w:r>
          <w:delText xml:space="preserve"> has the meaning given by the </w:delText>
        </w:r>
        <w:r>
          <w:rPr>
            <w:i/>
          </w:rPr>
          <w:delText>Poisons Act 1964</w:delText>
        </w:r>
        <w:r>
          <w:delText>;</w:delText>
        </w:r>
      </w:del>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w:t>
      </w:r>
      <w:del w:id="25" w:author="svcMRProcess" w:date="2019-01-22T09:45:00Z">
        <w:r>
          <w:delText xml:space="preserve"> by</w:delText>
        </w:r>
      </w:del>
      <w:ins w:id="26" w:author="svcMRProcess" w:date="2019-01-22T09:45:00Z">
        <w:r>
          <w:t>:</w:t>
        </w:r>
      </w:ins>
      <w:r>
        <w:t xml:space="preserve"> No. 28 of 2005 Sch. 3 cl. 5; No. 29 of 2005 Sch. 3 cl. 3; No. 30 of 2005 Sch. 3 cl. 3; No. 31 of 2005 Sch. 3 cl. 3; No. 32 of 2005 Sch. 3 cl. 3; No. 33 of 2005 Sch. 3 cl. 3; No. 42 of 2005 Sch. 3 cl. 4; No. 11 of 2006 s. 4; No. 21 of 2006 Sch. 3 cl. 3; No. 50 of 2006 Sch. 3 cl. 10; No. 22 of 2008 Sch. 3 cl. 25; No. 19 of 2010 s. 51; No. 35 of 2010 s. </w:t>
      </w:r>
      <w:del w:id="27" w:author="svcMRProcess" w:date="2019-01-22T09:45:00Z">
        <w:r>
          <w:delText>78</w:delText>
        </w:r>
      </w:del>
      <w:ins w:id="28" w:author="svcMRProcess" w:date="2019-01-22T09:45:00Z">
        <w:r>
          <w:t>78; No. 13 of 2014 s. 161</w:t>
        </w:r>
      </w:ins>
      <w:r>
        <w:t>.]</w:t>
      </w:r>
    </w:p>
    <w:p>
      <w:pPr>
        <w:pStyle w:val="Heading5"/>
        <w:rPr>
          <w:snapToGrid w:val="0"/>
        </w:rPr>
      </w:pPr>
      <w:bookmarkStart w:id="29" w:name="_Toc392246224"/>
      <w:bookmarkStart w:id="30" w:name="_Toc473295048"/>
      <w:bookmarkStart w:id="31" w:name="_Toc419464294"/>
      <w:r>
        <w:rPr>
          <w:rStyle w:val="CharSectno"/>
        </w:rPr>
        <w:t>4</w:t>
      </w:r>
      <w:r>
        <w:rPr>
          <w:snapToGrid w:val="0"/>
        </w:rPr>
        <w:t>.</w:t>
      </w:r>
      <w:r>
        <w:rPr>
          <w:snapToGrid w:val="0"/>
        </w:rPr>
        <w:tab/>
        <w:t>Term used: visitor</w:t>
      </w:r>
      <w:bookmarkEnd w:id="29"/>
      <w:bookmarkEnd w:id="30"/>
      <w:bookmarkEnd w:id="31"/>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32" w:name="_Toc392246225"/>
      <w:bookmarkStart w:id="33" w:name="_Toc473295049"/>
      <w:bookmarkStart w:id="34" w:name="_Toc419464295"/>
      <w:r>
        <w:rPr>
          <w:rStyle w:val="CharSectno"/>
        </w:rPr>
        <w:t>5</w:t>
      </w:r>
      <w:r>
        <w:rPr>
          <w:snapToGrid w:val="0"/>
        </w:rPr>
        <w:t>.</w:t>
      </w:r>
      <w:r>
        <w:rPr>
          <w:snapToGrid w:val="0"/>
        </w:rPr>
        <w:tab/>
        <w:t>Term used: visiting health professional</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 and</w:t>
      </w:r>
    </w:p>
    <w:p>
      <w:pPr>
        <w:pStyle w:val="Indenta"/>
        <w:rPr>
          <w:snapToGrid w:val="0"/>
        </w:rPr>
      </w:pPr>
      <w:r>
        <w:rPr>
          <w:snapToGrid w:val="0"/>
        </w:rPr>
        <w:tab/>
        <w:t>(b)</w:t>
      </w:r>
      <w:r>
        <w:rPr>
          <w:snapToGrid w:val="0"/>
        </w:rPr>
        <w:tab/>
        <w:t>the person is appointed, employed, contracted or otherwise engaged to provide health care services to a visitor; and</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35" w:name="_Toc392246226"/>
      <w:bookmarkStart w:id="36" w:name="_Toc419464296"/>
      <w:bookmarkStart w:id="37" w:name="_Toc473294952"/>
      <w:bookmarkStart w:id="38" w:name="_Toc473295050"/>
      <w:r>
        <w:rPr>
          <w:rStyle w:val="CharPartNo"/>
        </w:rPr>
        <w:t>Part 2</w:t>
      </w:r>
      <w:r>
        <w:rPr>
          <w:rStyle w:val="CharDivNo"/>
        </w:rPr>
        <w:t> </w:t>
      </w:r>
      <w:r>
        <w:t>—</w:t>
      </w:r>
      <w:r>
        <w:rPr>
          <w:rStyle w:val="CharDivText"/>
        </w:rPr>
        <w:t> </w:t>
      </w:r>
      <w:r>
        <w:rPr>
          <w:rStyle w:val="CharPartText"/>
        </w:rPr>
        <w:t>Special events exemptions</w:t>
      </w:r>
      <w:bookmarkEnd w:id="35"/>
      <w:bookmarkEnd w:id="36"/>
      <w:bookmarkEnd w:id="37"/>
      <w:bookmarkEnd w:id="38"/>
      <w:r>
        <w:rPr>
          <w:rStyle w:val="CharPartText"/>
        </w:rPr>
        <w:t xml:space="preserve"> </w:t>
      </w:r>
    </w:p>
    <w:p>
      <w:pPr>
        <w:pStyle w:val="Heading5"/>
        <w:rPr>
          <w:snapToGrid w:val="0"/>
        </w:rPr>
      </w:pPr>
      <w:bookmarkStart w:id="39" w:name="_Toc392246227"/>
      <w:bookmarkStart w:id="40" w:name="_Toc473295051"/>
      <w:bookmarkStart w:id="41" w:name="_Toc419464297"/>
      <w:r>
        <w:rPr>
          <w:rStyle w:val="CharSectno"/>
        </w:rPr>
        <w:t>6</w:t>
      </w:r>
      <w:r>
        <w:rPr>
          <w:snapToGrid w:val="0"/>
        </w:rPr>
        <w:t>.</w:t>
      </w:r>
      <w:r>
        <w:rPr>
          <w:snapToGrid w:val="0"/>
        </w:rPr>
        <w:tab/>
        <w:t>Special events</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42" w:name="_Toc392246228"/>
      <w:bookmarkStart w:id="43" w:name="_Toc473295052"/>
      <w:bookmarkStart w:id="44" w:name="_Toc419464298"/>
      <w:r>
        <w:rPr>
          <w:rStyle w:val="CharSectno"/>
        </w:rPr>
        <w:t>7</w:t>
      </w:r>
      <w:r>
        <w:rPr>
          <w:snapToGrid w:val="0"/>
        </w:rPr>
        <w:t>.</w:t>
      </w:r>
      <w:r>
        <w:rPr>
          <w:snapToGrid w:val="0"/>
        </w:rPr>
        <w:tab/>
        <w:t>Provision of health care services by visiting health professionals authorised</w:t>
      </w:r>
      <w:bookmarkEnd w:id="42"/>
      <w:bookmarkEnd w:id="43"/>
      <w:bookmarkEnd w:id="44"/>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45" w:name="_Toc392246229"/>
      <w:bookmarkStart w:id="46" w:name="_Toc473295053"/>
      <w:bookmarkStart w:id="47" w:name="_Toc419464299"/>
      <w:r>
        <w:rPr>
          <w:rStyle w:val="CharSectno"/>
        </w:rPr>
        <w:t>8</w:t>
      </w:r>
      <w:r>
        <w:rPr>
          <w:snapToGrid w:val="0"/>
        </w:rPr>
        <w:t>.</w:t>
      </w:r>
      <w:r>
        <w:rPr>
          <w:snapToGrid w:val="0"/>
        </w:rPr>
        <w:tab/>
        <w:t>Conditions on practice by visiting health professionals</w:t>
      </w:r>
      <w:bookmarkEnd w:id="45"/>
      <w:bookmarkEnd w:id="46"/>
      <w:bookmarkEnd w:id="47"/>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 xml:space="preserve">It is a condition on the provision of health care services by each visiting health professional that the visiting health professional is not to </w:t>
      </w:r>
      <w:ins w:id="48" w:author="svcMRProcess" w:date="2019-01-22T09:45:00Z">
        <w:r>
          <w:t xml:space="preserve">administer, </w:t>
        </w:r>
      </w:ins>
      <w:r>
        <w:t xml:space="preserve">possess, </w:t>
      </w:r>
      <w:del w:id="49" w:author="svcMRProcess" w:date="2019-01-22T09:45:00Z">
        <w:r>
          <w:delText>use</w:delText>
        </w:r>
      </w:del>
      <w:ins w:id="50" w:author="svcMRProcess" w:date="2019-01-22T09:45:00Z">
        <w:r>
          <w:t>prescribe</w:t>
        </w:r>
      </w:ins>
      <w:r>
        <w:t xml:space="preserve"> or supply a </w:t>
      </w:r>
      <w:del w:id="51" w:author="svcMRProcess" w:date="2019-01-22T09:45:00Z">
        <w:r>
          <w:delText>substance</w:delText>
        </w:r>
      </w:del>
      <w:ins w:id="52" w:author="svcMRProcess" w:date="2019-01-22T09:45:00Z">
        <w:r>
          <w:t>medicine</w:t>
        </w:r>
      </w:ins>
      <w:r>
        <w:t xml:space="preserve"> in the course of providing health care services authorised under this Act other than a </w:t>
      </w:r>
      <w:del w:id="53" w:author="svcMRProcess" w:date="2019-01-22T09:45:00Z">
        <w:r>
          <w:delText>substance</w:delText>
        </w:r>
      </w:del>
      <w:ins w:id="54" w:author="svcMRProcess" w:date="2019-01-22T09:45:00Z">
        <w:r>
          <w:t>medicine</w:t>
        </w:r>
      </w:ins>
      <w:r>
        <w:t xml:space="preserve"> that may </w:t>
      </w:r>
      <w:del w:id="55" w:author="svcMRProcess" w:date="2019-01-22T09:45:00Z">
        <w:r>
          <w:delText xml:space="preserve">be </w:delText>
        </w:r>
      </w:del>
      <w:r>
        <w:t xml:space="preserve">lawfully </w:t>
      </w:r>
      <w:ins w:id="56" w:author="svcMRProcess" w:date="2019-01-22T09:45:00Z">
        <w:r>
          <w:t xml:space="preserve">be administered, </w:t>
        </w:r>
      </w:ins>
      <w:r>
        <w:t xml:space="preserve">possessed, </w:t>
      </w:r>
      <w:del w:id="57" w:author="svcMRProcess" w:date="2019-01-22T09:45:00Z">
        <w:r>
          <w:delText>used</w:delText>
        </w:r>
      </w:del>
      <w:ins w:id="58" w:author="svcMRProcess" w:date="2019-01-22T09:45:00Z">
        <w:r>
          <w:t>prescribed</w:t>
        </w:r>
      </w:ins>
      <w:r>
        <w:t xml:space="preserve">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Footnotesection"/>
        <w:rPr>
          <w:ins w:id="59" w:author="svcMRProcess" w:date="2019-01-22T09:45:00Z"/>
        </w:rPr>
      </w:pPr>
      <w:bookmarkStart w:id="60" w:name="_Toc419464300"/>
      <w:bookmarkStart w:id="61" w:name="_Toc392246230"/>
      <w:del w:id="62" w:author="svcMRProcess" w:date="2019-01-22T09:45:00Z">
        <w:r>
          <w:rPr>
            <w:rStyle w:val="CharSectno"/>
          </w:rPr>
          <w:delText>9</w:delText>
        </w:r>
        <w:r>
          <w:delText>.</w:delText>
        </w:r>
        <w:r>
          <w:tab/>
          <w:delText>Issue</w:delText>
        </w:r>
      </w:del>
      <w:ins w:id="63" w:author="svcMRProcess" w:date="2019-01-22T09:45:00Z">
        <w:r>
          <w:tab/>
          <w:t>[Section 8 amended: No. 13</w:t>
        </w:r>
      </w:ins>
      <w:r>
        <w:t xml:space="preserve"> of </w:t>
      </w:r>
      <w:del w:id="64" w:author="svcMRProcess" w:date="2019-01-22T09:45:00Z">
        <w:r>
          <w:delText xml:space="preserve">prescriptions and supply </w:delText>
        </w:r>
      </w:del>
      <w:ins w:id="65" w:author="svcMRProcess" w:date="2019-01-22T09:45:00Z">
        <w:r>
          <w:t>2014 s. 162.]</w:t>
        </w:r>
      </w:ins>
    </w:p>
    <w:p>
      <w:pPr>
        <w:pStyle w:val="Heading5"/>
      </w:pPr>
      <w:bookmarkStart w:id="66" w:name="_Toc392150479"/>
      <w:bookmarkStart w:id="67" w:name="_Toc473295054"/>
      <w:ins w:id="68" w:author="svcMRProcess" w:date="2019-01-22T09:45:00Z">
        <w:r>
          <w:rPr>
            <w:rStyle w:val="CharSectno"/>
          </w:rPr>
          <w:t>9</w:t>
        </w:r>
        <w:r>
          <w:t>.</w:t>
        </w:r>
        <w:r>
          <w:tab/>
          <w:t xml:space="preserve">Supply </w:t>
        </w:r>
      </w:ins>
      <w:r>
        <w:t xml:space="preserve">of </w:t>
      </w:r>
      <w:del w:id="69" w:author="svcMRProcess" w:date="2019-01-22T09:45:00Z">
        <w:r>
          <w:rPr>
            <w:snapToGrid w:val="0"/>
          </w:rPr>
          <w:delText>certain substances authorised</w:delText>
        </w:r>
        <w:bookmarkEnd w:id="60"/>
        <w:r>
          <w:rPr>
            <w:snapToGrid w:val="0"/>
          </w:rPr>
          <w:delText xml:space="preserve"> </w:delText>
        </w:r>
      </w:del>
      <w:ins w:id="70" w:author="svcMRProcess" w:date="2019-01-22T09:45:00Z">
        <w:r>
          <w:t>medicines</w:t>
        </w:r>
        <w:bookmarkEnd w:id="66"/>
        <w:bookmarkEnd w:id="67"/>
        <w:r>
          <w:t xml:space="preserve"> </w:t>
        </w:r>
      </w:ins>
    </w:p>
    <w:p>
      <w:pPr>
        <w:pStyle w:val="Subsection"/>
        <w:rPr>
          <w:del w:id="71" w:author="svcMRProcess" w:date="2019-01-22T09:45:00Z"/>
          <w:snapToGrid w:val="0"/>
        </w:rPr>
      </w:pPr>
      <w:r>
        <w:tab/>
        <w:t>(1)</w:t>
      </w:r>
      <w:r>
        <w:tab/>
      </w:r>
      <w:del w:id="72" w:author="svcMRProcess" w:date="2019-01-22T09:45:00Z">
        <w:r>
          <w:rPr>
            <w:snapToGrid w:val="0"/>
          </w:rPr>
          <w:delText>A visiting health professional may issue a written prescription for a restricted substance or a drug of addiction only if authorised to do so by an order under section 6.</w:delText>
        </w:r>
      </w:del>
    </w:p>
    <w:p>
      <w:pPr>
        <w:pStyle w:val="Subsection"/>
        <w:rPr>
          <w:del w:id="73" w:author="svcMRProcess" w:date="2019-01-22T09:45:00Z"/>
          <w:snapToGrid w:val="0"/>
        </w:rPr>
      </w:pPr>
      <w:del w:id="74" w:author="svcMRProcess" w:date="2019-01-22T09:45:00Z">
        <w:r>
          <w:rPr>
            <w:snapToGrid w:val="0"/>
          </w:rPr>
          <w:tab/>
          <w:delText>(2)</w:delText>
        </w:r>
        <w:r>
          <w:rPr>
            <w:snapToGrid w:val="0"/>
          </w:rPr>
          <w:tab/>
        </w:r>
      </w:del>
      <w:r>
        <w:t>The Minister may, by an order under section 6</w:t>
      </w:r>
      <w:del w:id="75" w:author="svcMRProcess" w:date="2019-01-22T09:45:00Z">
        <w:r>
          <w:rPr>
            <w:snapToGrid w:val="0"/>
          </w:rPr>
          <w:delText> — </w:delText>
        </w:r>
      </w:del>
    </w:p>
    <w:p>
      <w:pPr>
        <w:pStyle w:val="Subsection"/>
        <w:rPr>
          <w:ins w:id="76" w:author="svcMRProcess" w:date="2019-01-22T09:45:00Z"/>
        </w:rPr>
      </w:pPr>
      <w:del w:id="77" w:author="svcMRProcess" w:date="2019-01-22T09:45:00Z">
        <w:r>
          <w:rPr>
            <w:snapToGrid w:val="0"/>
          </w:rPr>
          <w:tab/>
          <w:delText>(a)</w:delText>
        </w:r>
        <w:r>
          <w:rPr>
            <w:snapToGrid w:val="0"/>
          </w:rPr>
          <w:tab/>
        </w:r>
      </w:del>
      <w:ins w:id="78" w:author="svcMRProcess" w:date="2019-01-22T09:45:00Z">
        <w:r>
          <w:t xml:space="preserve">, </w:t>
        </w:r>
      </w:ins>
      <w:r>
        <w:t xml:space="preserve">authorise a </w:t>
      </w:r>
      <w:ins w:id="79" w:author="svcMRProcess" w:date="2019-01-22T09:45:00Z">
        <w:r>
          <w:t>person, or a class of persons, to supply a medicine —</w:t>
        </w:r>
      </w:ins>
    </w:p>
    <w:p>
      <w:pPr>
        <w:pStyle w:val="Indenta"/>
        <w:rPr>
          <w:ins w:id="80" w:author="svcMRProcess" w:date="2019-01-22T09:45:00Z"/>
        </w:rPr>
      </w:pPr>
      <w:ins w:id="81" w:author="svcMRProcess" w:date="2019-01-22T09:45:00Z">
        <w:r>
          <w:tab/>
          <w:t>(a)</w:t>
        </w:r>
        <w:r>
          <w:tab/>
          <w:t>in accordance with a prescription issued by a visiting health professional; or</w:t>
        </w:r>
      </w:ins>
    </w:p>
    <w:p>
      <w:pPr>
        <w:pStyle w:val="Indenta"/>
        <w:rPr>
          <w:del w:id="82" w:author="svcMRProcess" w:date="2019-01-22T09:45:00Z"/>
          <w:snapToGrid w:val="0"/>
        </w:rPr>
      </w:pPr>
      <w:ins w:id="83" w:author="svcMRProcess" w:date="2019-01-22T09:45:00Z">
        <w:r>
          <w:tab/>
          <w:t>(b)</w:t>
        </w:r>
        <w:r>
          <w:tab/>
          <w:t xml:space="preserve">to a </w:t>
        </w:r>
      </w:ins>
      <w:r>
        <w:t xml:space="preserve">visiting health professional </w:t>
      </w:r>
      <w:del w:id="84" w:author="svcMRProcess" w:date="2019-01-22T09:45:00Z">
        <w:r>
          <w:rPr>
            <w:snapToGrid w:val="0"/>
          </w:rPr>
          <w:delText xml:space="preserve">or a class of visiting health professionals to issue written prescriptions for a restricted substance or drug of addiction, or restricted substances or drugs of addiction of a class specified in </w:delText>
        </w:r>
      </w:del>
      <w:ins w:id="85" w:author="svcMRProcess" w:date="2019-01-22T09:45:00Z">
        <w:r>
          <w:t xml:space="preserve">as if </w:t>
        </w:r>
      </w:ins>
      <w:r>
        <w:t xml:space="preserve">the </w:t>
      </w:r>
      <w:del w:id="86" w:author="svcMRProcess" w:date="2019-01-22T09:45:00Z">
        <w:r>
          <w:rPr>
            <w:snapToGrid w:val="0"/>
          </w:rPr>
          <w:delText>order, in the course of providing health care services in accordance with this Act; and</w:delText>
        </w:r>
      </w:del>
    </w:p>
    <w:p>
      <w:pPr>
        <w:pStyle w:val="Indenta"/>
        <w:rPr>
          <w:del w:id="87" w:author="svcMRProcess" w:date="2019-01-22T09:45:00Z"/>
          <w:snapToGrid w:val="0"/>
        </w:rPr>
      </w:pPr>
      <w:del w:id="88" w:author="svcMRProcess" w:date="2019-01-22T09:45:00Z">
        <w:r>
          <w:rPr>
            <w:snapToGrid w:val="0"/>
          </w:rPr>
          <w:tab/>
          <w:delText>(b)</w:delText>
        </w:r>
        <w:r>
          <w:rPr>
            <w:snapToGrid w:val="0"/>
          </w:rPr>
          <w:tab/>
          <w:delText xml:space="preserve">authorise any person or class of persons to sell or supply a restricted substance or drug of addiction on such a prescription, but only if the person or class of persons is licensed or otherwise authorised under the </w:delText>
        </w:r>
        <w:r>
          <w:rPr>
            <w:i/>
            <w:snapToGrid w:val="0"/>
          </w:rPr>
          <w:delText>Poisons Act 1964</w:delText>
        </w:r>
        <w:r>
          <w:rPr>
            <w:snapToGrid w:val="0"/>
          </w:rPr>
          <w:delText xml:space="preserve"> to sell or supply the substance on prescription; and</w:delText>
        </w:r>
      </w:del>
    </w:p>
    <w:p>
      <w:pPr>
        <w:pStyle w:val="Indenta"/>
      </w:pPr>
      <w:del w:id="89" w:author="svcMRProcess" w:date="2019-01-22T09:45:00Z">
        <w:r>
          <w:rPr>
            <w:snapToGrid w:val="0"/>
          </w:rPr>
          <w:tab/>
          <w:delText>(c)</w:delText>
        </w:r>
        <w:r>
          <w:rPr>
            <w:snapToGrid w:val="0"/>
          </w:rPr>
          <w:tab/>
          <w:delText xml:space="preserve">authorise a </w:delText>
        </w:r>
      </w:del>
      <w:r>
        <w:t>visiting health professional</w:t>
      </w:r>
      <w:del w:id="90" w:author="svcMRProcess" w:date="2019-01-22T09:45:00Z">
        <w:r>
          <w:rPr>
            <w:snapToGrid w:val="0"/>
          </w:rPr>
          <w:delText>, all visiting health professionals or a class of visiting health professionals to be sold any substance by wholesale; and</w:delText>
        </w:r>
      </w:del>
      <w:ins w:id="91" w:author="svcMRProcess" w:date="2019-01-22T09:45:00Z">
        <w:r>
          <w:t xml:space="preserve"> were a registered health professional of the like profession.</w:t>
        </w:r>
      </w:ins>
    </w:p>
    <w:p>
      <w:pPr>
        <w:pStyle w:val="Indenta"/>
        <w:rPr>
          <w:del w:id="92" w:author="svcMRProcess" w:date="2019-01-22T09:45:00Z"/>
          <w:snapToGrid w:val="0"/>
        </w:rPr>
      </w:pPr>
      <w:del w:id="93" w:author="svcMRProcess" w:date="2019-01-22T09:45:00Z">
        <w:r>
          <w:rPr>
            <w:snapToGrid w:val="0"/>
          </w:rPr>
          <w:tab/>
          <w:delText>(d)</w:delText>
        </w:r>
        <w:r>
          <w:rPr>
            <w:snapToGrid w:val="0"/>
          </w:rPr>
          <w:tab/>
          <w:delText xml:space="preserve">authorise any person or class of persons to sell any substance by wholesale to any visiting health professional authorised as referred to in paragraph (c), but only if the person or class of persons is licensed or otherwise authorised under the </w:delText>
        </w:r>
        <w:r>
          <w:rPr>
            <w:i/>
            <w:snapToGrid w:val="0"/>
          </w:rPr>
          <w:delText>Poisons Act 1964</w:delText>
        </w:r>
        <w:r>
          <w:rPr>
            <w:snapToGrid w:val="0"/>
          </w:rPr>
          <w:delText xml:space="preserve"> to sell the substance by wholesale to a medical practitioner.</w:delText>
        </w:r>
      </w:del>
    </w:p>
    <w:p>
      <w:pPr>
        <w:pStyle w:val="Subsection"/>
        <w:rPr>
          <w:ins w:id="94" w:author="svcMRProcess" w:date="2019-01-22T09:45:00Z"/>
        </w:rPr>
      </w:pPr>
      <w:del w:id="95" w:author="svcMRProcess" w:date="2019-01-22T09:45:00Z">
        <w:r>
          <w:rPr>
            <w:snapToGrid w:val="0"/>
          </w:rPr>
          <w:tab/>
          <w:delText>(3)</w:delText>
        </w:r>
        <w:r>
          <w:rPr>
            <w:snapToGrid w:val="0"/>
          </w:rPr>
          <w:tab/>
          <w:delText xml:space="preserve">The Minister </w:delText>
        </w:r>
      </w:del>
      <w:ins w:id="96" w:author="svcMRProcess" w:date="2019-01-22T09:45:00Z">
        <w:r>
          <w:tab/>
          <w:t>(2)</w:t>
        </w:r>
        <w:r>
          <w:tab/>
          <w:t xml:space="preserve">The Minister </w:t>
        </w:r>
      </w:ins>
      <w:r>
        <w:t>is not to make an order containing an authorisation referred to in subsection (</w:t>
      </w:r>
      <w:del w:id="97" w:author="svcMRProcess" w:date="2019-01-22T09:45:00Z">
        <w:r>
          <w:rPr>
            <w:snapToGrid w:val="0"/>
          </w:rPr>
          <w:delText>2</w:delText>
        </w:r>
      </w:del>
      <w:ins w:id="98" w:author="svcMRProcess" w:date="2019-01-22T09:45:00Z">
        <w:r>
          <w:t>1</w:t>
        </w:r>
      </w:ins>
      <w:r>
        <w:t>) unless</w:t>
      </w:r>
      <w:del w:id="99" w:author="svcMRProcess" w:date="2019-01-22T09:45:00Z">
        <w:r>
          <w:rPr>
            <w:snapToGrid w:val="0"/>
          </w:rPr>
          <w:delText xml:space="preserve"> </w:delText>
        </w:r>
      </w:del>
      <w:ins w:id="100" w:author="svcMRProcess" w:date="2019-01-22T09:45:00Z">
        <w:r>
          <w:t xml:space="preserve"> — </w:t>
        </w:r>
      </w:ins>
    </w:p>
    <w:p>
      <w:pPr>
        <w:pStyle w:val="Indenta"/>
        <w:rPr>
          <w:ins w:id="101" w:author="svcMRProcess" w:date="2019-01-22T09:45:00Z"/>
        </w:rPr>
      </w:pPr>
      <w:ins w:id="102" w:author="svcMRProcess" w:date="2019-01-22T09:45:00Z">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ins>
    </w:p>
    <w:p>
      <w:pPr>
        <w:pStyle w:val="Indenta"/>
      </w:pPr>
      <w:ins w:id="103" w:author="svcMRProcess" w:date="2019-01-22T09:45:00Z">
        <w:r>
          <w:tab/>
          <w:t>(b)</w:t>
        </w:r>
        <w:r>
          <w:tab/>
        </w:r>
      </w:ins>
      <w:r>
        <w:t xml:space="preserve">the Minister is satisfied that adequate arrangements are in place to ensure that the </w:t>
      </w:r>
      <w:del w:id="104" w:author="svcMRProcess" w:date="2019-01-22T09:45:00Z">
        <w:r>
          <w:rPr>
            <w:snapToGrid w:val="0"/>
          </w:rPr>
          <w:delText>substances</w:delText>
        </w:r>
      </w:del>
      <w:ins w:id="105" w:author="svcMRProcess" w:date="2019-01-22T09:45:00Z">
        <w:r>
          <w:t>medicines</w:t>
        </w:r>
      </w:ins>
      <w:r>
        <w:t xml:space="preserve"> concerned will only be </w:t>
      </w:r>
      <w:del w:id="106" w:author="svcMRProcess" w:date="2019-01-22T09:45:00Z">
        <w:r>
          <w:rPr>
            <w:snapToGrid w:val="0"/>
          </w:rPr>
          <w:delText xml:space="preserve">prescribed for, sold or supplied to, and </w:delText>
        </w:r>
      </w:del>
      <w:r>
        <w:t xml:space="preserve">used </w:t>
      </w:r>
      <w:del w:id="107" w:author="svcMRProcess" w:date="2019-01-22T09:45:00Z">
        <w:r>
          <w:rPr>
            <w:snapToGrid w:val="0"/>
          </w:rPr>
          <w:delText>by, persons to whom visiting</w:delText>
        </w:r>
      </w:del>
      <w:ins w:id="108" w:author="svcMRProcess" w:date="2019-01-22T09:45:00Z">
        <w:r>
          <w:t>in connection with the provision of</w:t>
        </w:r>
      </w:ins>
      <w:r>
        <w:t xml:space="preserve"> health </w:t>
      </w:r>
      <w:del w:id="109" w:author="svcMRProcess" w:date="2019-01-22T09:45:00Z">
        <w:r>
          <w:rPr>
            <w:snapToGrid w:val="0"/>
          </w:rPr>
          <w:delText>professionals</w:delText>
        </w:r>
      </w:del>
      <w:ins w:id="110" w:author="svcMRProcess" w:date="2019-01-22T09:45:00Z">
        <w:r>
          <w:t>services that</w:t>
        </w:r>
      </w:ins>
      <w:r>
        <w:t xml:space="preserve"> are authorised </w:t>
      </w:r>
      <w:del w:id="111" w:author="svcMRProcess" w:date="2019-01-22T09:45:00Z">
        <w:r>
          <w:rPr>
            <w:snapToGrid w:val="0"/>
          </w:rPr>
          <w:delText xml:space="preserve">to provide health care services </w:delText>
        </w:r>
      </w:del>
      <w:r>
        <w:t>under this Act.</w:t>
      </w:r>
    </w:p>
    <w:p>
      <w:pPr>
        <w:pStyle w:val="Subsection"/>
        <w:rPr>
          <w:del w:id="112" w:author="svcMRProcess" w:date="2019-01-22T09:45:00Z"/>
        </w:rPr>
      </w:pPr>
      <w:del w:id="113" w:author="svcMRProcess" w:date="2019-01-22T09:45:00Z">
        <w:r>
          <w:rPr>
            <w:snapToGrid w:val="0"/>
          </w:rPr>
          <w:tab/>
          <w:delText>(4)</w:delText>
        </w:r>
        <w:r>
          <w:rPr>
            <w:snapToGrid w:val="0"/>
          </w:rPr>
          <w:tab/>
        </w:r>
        <w:r>
          <w:delTex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delText>
        </w:r>
      </w:del>
    </w:p>
    <w:p>
      <w:pPr>
        <w:pStyle w:val="Subsection"/>
        <w:rPr>
          <w:snapToGrid w:val="0"/>
        </w:rPr>
      </w:pPr>
      <w:del w:id="114" w:author="svcMRProcess" w:date="2019-01-22T09:45:00Z">
        <w:r>
          <w:rPr>
            <w:snapToGrid w:val="0"/>
          </w:rPr>
          <w:tab/>
          <w:delText>(5</w:delText>
        </w:r>
      </w:del>
      <w:ins w:id="115" w:author="svcMRProcess" w:date="2019-01-22T09:45:00Z">
        <w:r>
          <w:tab/>
          <w:t>(3</w:t>
        </w:r>
      </w:ins>
      <w:r>
        <w:t>)</w:t>
      </w:r>
      <w:r>
        <w:tab/>
        <w:t>An order under section 6 may impose conditions on any authorisation referred to in this section that is conferred by the order.</w:t>
      </w:r>
    </w:p>
    <w:p>
      <w:pPr>
        <w:pStyle w:val="Footnotesection"/>
        <w:rPr>
          <w:ins w:id="116" w:author="svcMRProcess" w:date="2019-01-22T09:45:00Z"/>
        </w:rPr>
      </w:pPr>
      <w:ins w:id="117" w:author="svcMRProcess" w:date="2019-01-22T09:45:00Z">
        <w:r>
          <w:tab/>
          <w:t>[Section 9 inserted: No. 13 of 2014 s. 163.]</w:t>
        </w:r>
      </w:ins>
    </w:p>
    <w:p>
      <w:pPr>
        <w:pStyle w:val="Heading5"/>
        <w:rPr>
          <w:snapToGrid w:val="0"/>
        </w:rPr>
      </w:pPr>
      <w:bookmarkStart w:id="118" w:name="_Toc392246231"/>
      <w:bookmarkStart w:id="119" w:name="_Toc473295055"/>
      <w:bookmarkStart w:id="120" w:name="_Toc419464301"/>
      <w:bookmarkEnd w:id="61"/>
      <w:r>
        <w:rPr>
          <w:rStyle w:val="CharSectno"/>
        </w:rPr>
        <w:t>10</w:t>
      </w:r>
      <w:r>
        <w:rPr>
          <w:snapToGrid w:val="0"/>
        </w:rPr>
        <w:t>.</w:t>
      </w:r>
      <w:r>
        <w:rPr>
          <w:snapToGrid w:val="0"/>
        </w:rPr>
        <w:tab/>
        <w:t>Request for use of irradiating apparatus etc. authorised</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21" w:name="_Toc392246232"/>
      <w:bookmarkStart w:id="122" w:name="_Toc473295056"/>
      <w:bookmarkStart w:id="123" w:name="_Toc419464302"/>
      <w:r>
        <w:rPr>
          <w:rStyle w:val="CharSectno"/>
        </w:rPr>
        <w:t>11</w:t>
      </w:r>
      <w:r>
        <w:rPr>
          <w:snapToGrid w:val="0"/>
        </w:rPr>
        <w:t>.</w:t>
      </w:r>
      <w:r>
        <w:rPr>
          <w:snapToGrid w:val="0"/>
        </w:rPr>
        <w:tab/>
        <w:t>Exemptions</w:t>
      </w:r>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ins w:id="124" w:author="svcMRProcess" w:date="2019-01-22T09:45:00Z">
        <w:r>
          <w:rPr>
            <w:i/>
            <w:snapToGrid w:val="0"/>
          </w:rPr>
          <w:t xml:space="preserve">Medicines and </w:t>
        </w:r>
      </w:ins>
      <w:r>
        <w:rPr>
          <w:i/>
          <w:snapToGrid w:val="0"/>
        </w:rPr>
        <w:t>Poisons Act </w:t>
      </w:r>
      <w:del w:id="125" w:author="svcMRProcess" w:date="2019-01-22T09:45:00Z">
        <w:r>
          <w:rPr>
            <w:i/>
            <w:snapToGrid w:val="0"/>
          </w:rPr>
          <w:delText>1964</w:delText>
        </w:r>
      </w:del>
      <w:ins w:id="126" w:author="svcMRProcess" w:date="2019-01-22T09:45:00Z">
        <w:r>
          <w:rPr>
            <w:i/>
            <w:snapToGrid w:val="0"/>
          </w:rPr>
          <w:t>2014</w:t>
        </w:r>
      </w:ins>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 or</w:t>
      </w:r>
    </w:p>
    <w:p>
      <w:pPr>
        <w:pStyle w:val="Indenta"/>
        <w:rPr>
          <w:snapToGrid w:val="0"/>
        </w:rPr>
      </w:pPr>
      <w:r>
        <w:tab/>
        <w:t>(b)</w:t>
      </w:r>
      <w:r>
        <w:tab/>
      </w:r>
      <w:ins w:id="127" w:author="svcMRProcess" w:date="2019-01-22T09:45:00Z">
        <w:r>
          <w:rPr>
            <w:snapToGrid w:val="0"/>
          </w:rPr>
          <w:t xml:space="preserve">administering, </w:t>
        </w:r>
      </w:ins>
      <w:r>
        <w:rPr>
          <w:snapToGrid w:val="0"/>
        </w:rPr>
        <w:t xml:space="preserve">possessing, </w:t>
      </w:r>
      <w:del w:id="128" w:author="svcMRProcess" w:date="2019-01-22T09:45:00Z">
        <w:r>
          <w:rPr>
            <w:snapToGrid w:val="0"/>
          </w:rPr>
          <w:delText>using</w:delText>
        </w:r>
      </w:del>
      <w:ins w:id="129" w:author="svcMRProcess" w:date="2019-01-22T09:45:00Z">
        <w:r>
          <w:rPr>
            <w:snapToGrid w:val="0"/>
          </w:rPr>
          <w:t>prescribing</w:t>
        </w:r>
      </w:ins>
      <w:r>
        <w:rPr>
          <w:snapToGrid w:val="0"/>
        </w:rPr>
        <w:t xml:space="preserve"> or</w:t>
      </w:r>
      <w:r>
        <w:t xml:space="preserve"> supplying a </w:t>
      </w:r>
      <w:del w:id="130" w:author="svcMRProcess" w:date="2019-01-22T09:45:00Z">
        <w:r>
          <w:rPr>
            <w:snapToGrid w:val="0"/>
          </w:rPr>
          <w:delText>substance</w:delText>
        </w:r>
      </w:del>
      <w:ins w:id="131" w:author="svcMRProcess" w:date="2019-01-22T09:45:00Z">
        <w:r>
          <w:t>medicine</w:t>
        </w:r>
      </w:ins>
      <w:r>
        <w:rPr>
          <w:snapToGrid w:val="0"/>
        </w:rPr>
        <w:t xml:space="preserve"> in the course of providing those authorised health care services where the </w:t>
      </w:r>
      <w:del w:id="132" w:author="svcMRProcess" w:date="2019-01-22T09:45:00Z">
        <w:r>
          <w:rPr>
            <w:snapToGrid w:val="0"/>
          </w:rPr>
          <w:delText>substance</w:delText>
        </w:r>
      </w:del>
      <w:ins w:id="133" w:author="svcMRProcess" w:date="2019-01-22T09:45:00Z">
        <w:r>
          <w:rPr>
            <w:snapToGrid w:val="0"/>
          </w:rPr>
          <w:t>medicine</w:t>
        </w:r>
      </w:ins>
      <w:r>
        <w:rPr>
          <w:snapToGrid w:val="0"/>
        </w:rPr>
        <w:t xml:space="preserve"> is — </w:t>
      </w:r>
    </w:p>
    <w:p>
      <w:pPr>
        <w:pStyle w:val="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Indenti"/>
      </w:pPr>
      <w:r>
        <w:tab/>
        <w:t>(ii)</w:t>
      </w:r>
      <w:r>
        <w:tab/>
        <w:t xml:space="preserve">a </w:t>
      </w:r>
      <w:del w:id="134" w:author="svcMRProcess" w:date="2019-01-22T09:45:00Z">
        <w:r>
          <w:delText>substance</w:delText>
        </w:r>
      </w:del>
      <w:ins w:id="135" w:author="svcMRProcess" w:date="2019-01-22T09:45:00Z">
        <w:r>
          <w:t>medicine</w:t>
        </w:r>
      </w:ins>
      <w:r>
        <w:t xml:space="preserve"> that may </w:t>
      </w:r>
      <w:del w:id="136" w:author="svcMRProcess" w:date="2019-01-22T09:45:00Z">
        <w:r>
          <w:delText xml:space="preserve">be </w:delText>
        </w:r>
      </w:del>
      <w:r>
        <w:t xml:space="preserve">lawfully </w:t>
      </w:r>
      <w:ins w:id="137" w:author="svcMRProcess" w:date="2019-01-22T09:45:00Z">
        <w:r>
          <w:t xml:space="preserve">be administered, </w:t>
        </w:r>
      </w:ins>
      <w:r>
        <w:t xml:space="preserve">possessed, </w:t>
      </w:r>
      <w:del w:id="138" w:author="svcMRProcess" w:date="2019-01-22T09:45:00Z">
        <w:r>
          <w:delText>used</w:delText>
        </w:r>
      </w:del>
      <w:ins w:id="139" w:author="svcMRProcess" w:date="2019-01-22T09:45:00Z">
        <w:r>
          <w:t>prescribed</w:t>
        </w:r>
      </w:ins>
      <w:r>
        <w:t xml:space="preserve"> or supplied by a registered health professional of the like profession;</w:t>
      </w:r>
    </w:p>
    <w:p>
      <w:pPr>
        <w:pStyle w:val="Indenta"/>
      </w:pPr>
      <w:r>
        <w:tab/>
      </w:r>
      <w:r>
        <w:tab/>
        <w:t>or</w:t>
      </w:r>
    </w:p>
    <w:p>
      <w:pPr>
        <w:pStyle w:val="Indenta"/>
        <w:rPr>
          <w:del w:id="140" w:author="svcMRProcess" w:date="2019-01-22T09:45:00Z"/>
          <w:snapToGrid w:val="0"/>
        </w:rPr>
      </w:pPr>
      <w:del w:id="141" w:author="svcMRProcess" w:date="2019-01-22T09:45:00Z">
        <w:r>
          <w:rPr>
            <w:snapToGrid w:val="0"/>
          </w:rPr>
          <w:tab/>
          <w:delText>(c)</w:delText>
        </w:r>
        <w:r>
          <w:rPr>
            <w:snapToGrid w:val="0"/>
          </w:rPr>
          <w:tab/>
          <w:delText>prescribing a substance in the course of providing those authorised health care services; or</w:delText>
        </w:r>
      </w:del>
    </w:p>
    <w:p>
      <w:pPr>
        <w:pStyle w:val="Ednotepara"/>
        <w:rPr>
          <w:ins w:id="142" w:author="svcMRProcess" w:date="2019-01-22T09:45:00Z"/>
          <w:snapToGrid w:val="0"/>
        </w:rPr>
      </w:pPr>
      <w:ins w:id="143" w:author="svcMRProcess" w:date="2019-01-22T09:45:00Z">
        <w:r>
          <w:rPr>
            <w:snapToGrid w:val="0"/>
          </w:rPr>
          <w:tab/>
          <w:t>[(c)</w:t>
        </w:r>
        <w:r>
          <w:rPr>
            <w:snapToGrid w:val="0"/>
          </w:rPr>
          <w:tab/>
          <w:t>deleted.]</w:t>
        </w:r>
      </w:ins>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 or</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ins w:id="144" w:author="svcMRProcess" w:date="2019-01-22T09:45:00Z">
        <w:r>
          <w:rPr>
            <w:i/>
            <w:snapToGrid w:val="0"/>
          </w:rPr>
          <w:t xml:space="preserve">Medicines and </w:t>
        </w:r>
      </w:ins>
      <w:r>
        <w:rPr>
          <w:i/>
          <w:snapToGrid w:val="0"/>
        </w:rPr>
        <w:t>Poisons Act </w:t>
      </w:r>
      <w:del w:id="145" w:author="svcMRProcess" w:date="2019-01-22T09:45:00Z">
        <w:r>
          <w:rPr>
            <w:i/>
            <w:snapToGrid w:val="0"/>
          </w:rPr>
          <w:delText>1964</w:delText>
        </w:r>
      </w:del>
      <w:ins w:id="146" w:author="svcMRProcess" w:date="2019-01-22T09:45:00Z">
        <w:r>
          <w:rPr>
            <w:i/>
            <w:snapToGrid w:val="0"/>
          </w:rPr>
          <w:t>2014</w:t>
        </w:r>
      </w:ins>
      <w:r>
        <w:rPr>
          <w:i/>
          <w:snapToGrid w:val="0"/>
        </w:rPr>
        <w:t xml:space="preserve"> </w:t>
      </w:r>
      <w:r>
        <w:rPr>
          <w:snapToGrid w:val="0"/>
        </w:rPr>
        <w:t xml:space="preserve">or the </w:t>
      </w:r>
      <w:r>
        <w:rPr>
          <w:i/>
          <w:snapToGrid w:val="0"/>
        </w:rPr>
        <w:t>Misuse of Drugs Act 1981</w:t>
      </w:r>
      <w:r>
        <w:rPr>
          <w:snapToGrid w:val="0"/>
        </w:rPr>
        <w:t xml:space="preserve"> for using or possessing any </w:t>
      </w:r>
      <w:del w:id="147" w:author="svcMRProcess" w:date="2019-01-22T09:45:00Z">
        <w:r>
          <w:rPr>
            <w:snapToGrid w:val="0"/>
          </w:rPr>
          <w:delText>substance</w:delText>
        </w:r>
      </w:del>
      <w:ins w:id="148" w:author="svcMRProcess" w:date="2019-01-22T09:45:00Z">
        <w:r>
          <w:t>medicine</w:t>
        </w:r>
      </w:ins>
      <w:r>
        <w:rPr>
          <w:snapToGrid w:val="0"/>
        </w:rPr>
        <w:t xml:space="preserve"> as a result of being provided with health care services in accordance with this Act.</w:t>
      </w:r>
    </w:p>
    <w:p>
      <w:pPr>
        <w:pStyle w:val="Subsection"/>
        <w:rPr>
          <w:del w:id="149" w:author="svcMRProcess" w:date="2019-01-22T09:45:00Z"/>
          <w:snapToGrid w:val="0"/>
        </w:rPr>
      </w:pPr>
      <w:r>
        <w:tab/>
        <w:t>(3)</w:t>
      </w:r>
      <w:r>
        <w:tab/>
        <w:t xml:space="preserve">A person does not commit an offence under the </w:t>
      </w:r>
      <w:ins w:id="150" w:author="svcMRProcess" w:date="2019-01-22T09:45:00Z">
        <w:r>
          <w:rPr>
            <w:i/>
            <w:snapToGrid w:val="0"/>
          </w:rPr>
          <w:t xml:space="preserve">Medicines and </w:t>
        </w:r>
      </w:ins>
      <w:r>
        <w:rPr>
          <w:i/>
          <w:snapToGrid w:val="0"/>
        </w:rPr>
        <w:t>Poisons Act </w:t>
      </w:r>
      <w:del w:id="151" w:author="svcMRProcess" w:date="2019-01-22T09:45:00Z">
        <w:r>
          <w:rPr>
            <w:i/>
            <w:snapToGrid w:val="0"/>
          </w:rPr>
          <w:delText>1964</w:delText>
        </w:r>
      </w:del>
      <w:ins w:id="152" w:author="svcMRProcess" w:date="2019-01-22T09:45:00Z">
        <w:r>
          <w:rPr>
            <w:i/>
            <w:snapToGrid w:val="0"/>
          </w:rPr>
          <w:t>2014</w:t>
        </w:r>
      </w:ins>
      <w:r>
        <w:t xml:space="preserve"> or the </w:t>
      </w:r>
      <w:r>
        <w:rPr>
          <w:i/>
          <w:iCs/>
        </w:rPr>
        <w:t>Misuse of Drugs Act 1981</w:t>
      </w:r>
      <w:r>
        <w:t xml:space="preserve"> for</w:t>
      </w:r>
      <w:del w:id="153" w:author="svcMRProcess" w:date="2019-01-22T09:45:00Z">
        <w:r>
          <w:rPr>
            <w:snapToGrid w:val="0"/>
          </w:rPr>
          <w:delText> — </w:delText>
        </w:r>
      </w:del>
    </w:p>
    <w:p>
      <w:pPr>
        <w:pStyle w:val="Subsection"/>
      </w:pPr>
      <w:del w:id="154" w:author="svcMRProcess" w:date="2019-01-22T09:45:00Z">
        <w:r>
          <w:rPr>
            <w:snapToGrid w:val="0"/>
          </w:rPr>
          <w:tab/>
          <w:delText>(a)</w:delText>
        </w:r>
        <w:r>
          <w:rPr>
            <w:snapToGrid w:val="0"/>
          </w:rPr>
          <w:tab/>
          <w:delText xml:space="preserve">selling or </w:delText>
        </w:r>
      </w:del>
      <w:ins w:id="155" w:author="svcMRProcess" w:date="2019-01-22T09:45:00Z">
        <w:r>
          <w:t xml:space="preserve"> </w:t>
        </w:r>
      </w:ins>
      <w:r>
        <w:t xml:space="preserve">supplying a </w:t>
      </w:r>
      <w:del w:id="156" w:author="svcMRProcess" w:date="2019-01-22T09:45:00Z">
        <w:r>
          <w:rPr>
            <w:snapToGrid w:val="0"/>
          </w:rPr>
          <w:delText>restricted substance or drug of addiction</w:delText>
        </w:r>
      </w:del>
      <w:ins w:id="157" w:author="svcMRProcess" w:date="2019-01-22T09:45:00Z">
        <w:r>
          <w:t>medicine</w:t>
        </w:r>
      </w:ins>
      <w:r>
        <w:t xml:space="preserve"> in accordance with a </w:t>
      </w:r>
      <w:del w:id="158" w:author="svcMRProcess" w:date="2019-01-22T09:45:00Z">
        <w:r>
          <w:rPr>
            <w:snapToGrid w:val="0"/>
          </w:rPr>
          <w:delText xml:space="preserve">written </w:delText>
        </w:r>
      </w:del>
      <w:r>
        <w:t>prescription issued by a visiting health professional if —</w:t>
      </w:r>
      <w:del w:id="159" w:author="svcMRProcess" w:date="2019-01-22T09:45:00Z">
        <w:r>
          <w:rPr>
            <w:snapToGrid w:val="0"/>
          </w:rPr>
          <w:delText> </w:delText>
        </w:r>
      </w:del>
    </w:p>
    <w:p>
      <w:pPr>
        <w:pStyle w:val="Indenta"/>
      </w:pPr>
      <w:r>
        <w:tab/>
        <w:t>(</w:t>
      </w:r>
      <w:del w:id="160" w:author="svcMRProcess" w:date="2019-01-22T09:45:00Z">
        <w:r>
          <w:rPr>
            <w:snapToGrid w:val="0"/>
          </w:rPr>
          <w:delText>i</w:delText>
        </w:r>
      </w:del>
      <w:ins w:id="161" w:author="svcMRProcess" w:date="2019-01-22T09:45:00Z">
        <w:r>
          <w:t>a</w:t>
        </w:r>
      </w:ins>
      <w:r>
        <w:t>)</w:t>
      </w:r>
      <w:r>
        <w:tab/>
        <w:t>the visiting health professional is authorised under this Act to issue the prescription; and</w:t>
      </w:r>
    </w:p>
    <w:p>
      <w:pPr>
        <w:pStyle w:val="Indenta"/>
      </w:pPr>
      <w:r>
        <w:tab/>
        <w:t>(</w:t>
      </w:r>
      <w:del w:id="162" w:author="svcMRProcess" w:date="2019-01-22T09:45:00Z">
        <w:r>
          <w:rPr>
            <w:snapToGrid w:val="0"/>
          </w:rPr>
          <w:delText>ii</w:delText>
        </w:r>
      </w:del>
      <w:ins w:id="163" w:author="svcMRProcess" w:date="2019-01-22T09:45:00Z">
        <w:r>
          <w:t>b</w:t>
        </w:r>
      </w:ins>
      <w:r>
        <w:t>)</w:t>
      </w:r>
      <w:r>
        <w:tab/>
        <w:t xml:space="preserve">the person is authorised under this Act to </w:t>
      </w:r>
      <w:del w:id="164" w:author="svcMRProcess" w:date="2019-01-22T09:45:00Z">
        <w:r>
          <w:rPr>
            <w:snapToGrid w:val="0"/>
          </w:rPr>
          <w:delText xml:space="preserve">sell or </w:delText>
        </w:r>
      </w:del>
      <w:r>
        <w:t xml:space="preserve">supply the </w:t>
      </w:r>
      <w:del w:id="165" w:author="svcMRProcess" w:date="2019-01-22T09:45:00Z">
        <w:r>
          <w:rPr>
            <w:snapToGrid w:val="0"/>
          </w:rPr>
          <w:delText xml:space="preserve">substance on </w:delText>
        </w:r>
      </w:del>
      <w:ins w:id="166" w:author="svcMRProcess" w:date="2019-01-22T09:45:00Z">
        <w:r>
          <w:t xml:space="preserve">medicine in accordance with </w:t>
        </w:r>
      </w:ins>
      <w:r>
        <w:t>such a prescription; and</w:t>
      </w:r>
    </w:p>
    <w:p>
      <w:pPr>
        <w:pStyle w:val="Indenti"/>
        <w:rPr>
          <w:del w:id="167" w:author="svcMRProcess" w:date="2019-01-22T09:45:00Z"/>
          <w:snapToGrid w:val="0"/>
        </w:rPr>
      </w:pPr>
      <w:r>
        <w:tab/>
        <w:t>(</w:t>
      </w:r>
      <w:del w:id="168" w:author="svcMRProcess" w:date="2019-01-22T09:45:00Z">
        <w:r>
          <w:rPr>
            <w:snapToGrid w:val="0"/>
          </w:rPr>
          <w:delText>iii</w:delText>
        </w:r>
      </w:del>
      <w:ins w:id="169" w:author="svcMRProcess" w:date="2019-01-22T09:45:00Z">
        <w:r>
          <w:t>c</w:t>
        </w:r>
      </w:ins>
      <w:r>
        <w:t>)</w:t>
      </w:r>
      <w:r>
        <w:tab/>
        <w:t xml:space="preserve">the </w:t>
      </w:r>
      <w:del w:id="170" w:author="svcMRProcess" w:date="2019-01-22T09:45:00Z">
        <w:r>
          <w:rPr>
            <w:snapToGrid w:val="0"/>
          </w:rPr>
          <w:delText>person is complying with any conditions to which the person’s authorisation</w:delText>
        </w:r>
      </w:del>
      <w:ins w:id="171" w:author="svcMRProcess" w:date="2019-01-22T09:45:00Z">
        <w:r>
          <w:t>supply would be lawful</w:t>
        </w:r>
      </w:ins>
      <w:r>
        <w:t xml:space="preserve"> under the </w:t>
      </w:r>
      <w:ins w:id="172" w:author="svcMRProcess" w:date="2019-01-22T09:45:00Z">
        <w:r>
          <w:rPr>
            <w:i/>
            <w:snapToGrid w:val="0"/>
          </w:rPr>
          <w:t xml:space="preserve">Medicines and </w:t>
        </w:r>
      </w:ins>
      <w:r>
        <w:rPr>
          <w:i/>
          <w:snapToGrid w:val="0"/>
        </w:rPr>
        <w:t>Poisons Act </w:t>
      </w:r>
      <w:del w:id="173" w:author="svcMRProcess" w:date="2019-01-22T09:45:00Z">
        <w:r>
          <w:rPr>
            <w:i/>
            <w:snapToGrid w:val="0"/>
          </w:rPr>
          <w:delText>1964</w:delText>
        </w:r>
        <w:r>
          <w:rPr>
            <w:snapToGrid w:val="0"/>
          </w:rPr>
          <w:delText xml:space="preserve"> is subject;</w:delText>
        </w:r>
      </w:del>
    </w:p>
    <w:p>
      <w:pPr>
        <w:pStyle w:val="Indenta"/>
        <w:rPr>
          <w:del w:id="174" w:author="svcMRProcess" w:date="2019-01-22T09:45:00Z"/>
          <w:snapToGrid w:val="0"/>
        </w:rPr>
      </w:pPr>
      <w:del w:id="175" w:author="svcMRProcess" w:date="2019-01-22T09:45:00Z">
        <w:r>
          <w:rPr>
            <w:snapToGrid w:val="0"/>
          </w:rPr>
          <w:tab/>
        </w:r>
        <w:r>
          <w:rPr>
            <w:snapToGrid w:val="0"/>
          </w:rPr>
          <w:tab/>
          <w:delText>or</w:delText>
        </w:r>
      </w:del>
    </w:p>
    <w:p>
      <w:pPr>
        <w:pStyle w:val="Indenta"/>
        <w:rPr>
          <w:ins w:id="176" w:author="svcMRProcess" w:date="2019-01-22T09:45:00Z"/>
        </w:rPr>
      </w:pPr>
      <w:del w:id="177" w:author="svcMRProcess" w:date="2019-01-22T09:45:00Z">
        <w:r>
          <w:rPr>
            <w:snapToGrid w:val="0"/>
          </w:rPr>
          <w:tab/>
          <w:delText>(b)</w:delText>
        </w:r>
        <w:r>
          <w:rPr>
            <w:snapToGrid w:val="0"/>
          </w:rPr>
          <w:tab/>
          <w:delText>selling any substance</w:delText>
        </w:r>
      </w:del>
      <w:ins w:id="178" w:author="svcMRProcess" w:date="2019-01-22T09:45:00Z">
        <w:r>
          <w:rPr>
            <w:i/>
            <w:snapToGrid w:val="0"/>
          </w:rPr>
          <w:t>2014</w:t>
        </w:r>
        <w:r>
          <w:t xml:space="preserve"> if the prescription had been issued</w:t>
        </w:r>
      </w:ins>
      <w:r>
        <w:t xml:space="preserve"> by </w:t>
      </w:r>
      <w:del w:id="179" w:author="svcMRProcess" w:date="2019-01-22T09:45:00Z">
        <w:r>
          <w:rPr>
            <w:snapToGrid w:val="0"/>
          </w:rPr>
          <w:delText>wholesale</w:delText>
        </w:r>
      </w:del>
      <w:ins w:id="180" w:author="svcMRProcess" w:date="2019-01-22T09:45:00Z">
        <w:r>
          <w:t>a registered health professional of the like profession.</w:t>
        </w:r>
      </w:ins>
    </w:p>
    <w:p>
      <w:pPr>
        <w:pStyle w:val="Subsection"/>
      </w:pPr>
      <w:ins w:id="181" w:author="svcMRProcess" w:date="2019-01-22T09:45:00Z">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w:t>
        </w:r>
      </w:ins>
      <w:r>
        <w:t xml:space="preserve"> to a visiting health professional if —</w:t>
      </w:r>
      <w:del w:id="182" w:author="svcMRProcess" w:date="2019-01-22T09:45:00Z">
        <w:r>
          <w:rPr>
            <w:snapToGrid w:val="0"/>
          </w:rPr>
          <w:delText> </w:delText>
        </w:r>
      </w:del>
    </w:p>
    <w:p>
      <w:pPr>
        <w:pStyle w:val="Indenta"/>
      </w:pPr>
      <w:r>
        <w:tab/>
        <w:t>(</w:t>
      </w:r>
      <w:del w:id="183" w:author="svcMRProcess" w:date="2019-01-22T09:45:00Z">
        <w:r>
          <w:rPr>
            <w:snapToGrid w:val="0"/>
          </w:rPr>
          <w:delText>i</w:delText>
        </w:r>
      </w:del>
      <w:ins w:id="184" w:author="svcMRProcess" w:date="2019-01-22T09:45:00Z">
        <w:r>
          <w:t>a</w:t>
        </w:r>
      </w:ins>
      <w:r>
        <w:t>)</w:t>
      </w:r>
      <w:r>
        <w:tab/>
        <w:t xml:space="preserve">the person is authorised under this Act to supply the </w:t>
      </w:r>
      <w:del w:id="185" w:author="svcMRProcess" w:date="2019-01-22T09:45:00Z">
        <w:r>
          <w:rPr>
            <w:snapToGrid w:val="0"/>
          </w:rPr>
          <w:delText>substance by wholesale</w:delText>
        </w:r>
      </w:del>
      <w:ins w:id="186" w:author="svcMRProcess" w:date="2019-01-22T09:45:00Z">
        <w:r>
          <w:t>medicine</w:t>
        </w:r>
      </w:ins>
      <w:r>
        <w:t>; and</w:t>
      </w:r>
    </w:p>
    <w:p>
      <w:pPr>
        <w:pStyle w:val="Indenta"/>
      </w:pPr>
      <w:del w:id="187" w:author="svcMRProcess" w:date="2019-01-22T09:45:00Z">
        <w:r>
          <w:rPr>
            <w:snapToGrid w:val="0"/>
          </w:rPr>
          <w:tab/>
          <w:delText>(ii)</w:delText>
        </w:r>
        <w:r>
          <w:rPr>
            <w:snapToGrid w:val="0"/>
          </w:rPr>
          <w:tab/>
        </w:r>
      </w:del>
      <w:ins w:id="188" w:author="svcMRProcess" w:date="2019-01-22T09:45:00Z">
        <w:r>
          <w:tab/>
          <w:t>(b)</w:t>
        </w:r>
        <w:r>
          <w:tab/>
          <w:t xml:space="preserve">the supply would be lawful under the </w:t>
        </w:r>
        <w:r>
          <w:rPr>
            <w:i/>
            <w:snapToGrid w:val="0"/>
          </w:rPr>
          <w:t>Medicines and Poisons Act 2014</w:t>
        </w:r>
        <w:r>
          <w:t xml:space="preserve"> if </w:t>
        </w:r>
      </w:ins>
      <w:r>
        <w:t xml:space="preserve">the visiting health professional </w:t>
      </w:r>
      <w:del w:id="189" w:author="svcMRProcess" w:date="2019-01-22T09:45:00Z">
        <w:r>
          <w:rPr>
            <w:snapToGrid w:val="0"/>
          </w:rPr>
          <w:delText>is authorised under this Act to be sold the substance by wholesale; and</w:delText>
        </w:r>
      </w:del>
      <w:ins w:id="190" w:author="svcMRProcess" w:date="2019-01-22T09:45:00Z">
        <w:r>
          <w:t>were a registered health professional of the like profession.</w:t>
        </w:r>
      </w:ins>
    </w:p>
    <w:p>
      <w:pPr>
        <w:pStyle w:val="Indenti"/>
        <w:rPr>
          <w:del w:id="191" w:author="svcMRProcess" w:date="2019-01-22T09:45:00Z"/>
          <w:snapToGrid w:val="0"/>
        </w:rPr>
      </w:pPr>
      <w:del w:id="192" w:author="svcMRProcess" w:date="2019-01-22T09:45:00Z">
        <w:r>
          <w:rPr>
            <w:snapToGrid w:val="0"/>
          </w:rPr>
          <w:tab/>
          <w:delText>(iii)</w:delText>
        </w:r>
        <w:r>
          <w:rPr>
            <w:snapToGrid w:val="0"/>
          </w:rPr>
          <w:tab/>
          <w:delText xml:space="preserve">the person is complying with any conditions to which the person’s authorisation under the </w:delText>
        </w:r>
        <w:r>
          <w:rPr>
            <w:i/>
            <w:snapToGrid w:val="0"/>
          </w:rPr>
          <w:delText>Poisons Act 1964</w:delText>
        </w:r>
        <w:r>
          <w:rPr>
            <w:snapToGrid w:val="0"/>
          </w:rPr>
          <w:delText xml:space="preserve"> is subject.</w:delText>
        </w:r>
      </w:del>
    </w:p>
    <w:p>
      <w:pPr>
        <w:pStyle w:val="Subsection"/>
        <w:rPr>
          <w:snapToGrid w:val="0"/>
        </w:rPr>
      </w:pPr>
      <w:r>
        <w:rPr>
          <w:snapToGrid w:val="0"/>
        </w:rPr>
        <w:tab/>
        <w:t>(4)</w:t>
      </w:r>
      <w:r>
        <w:rPr>
          <w:snapToGrid w:val="0"/>
        </w:rPr>
        <w:tab/>
        <w:t xml:space="preserve">The regulations may prescribe other offences to which subsection (1), </w:t>
      </w:r>
      <w:r>
        <w:t>(2</w:t>
      </w:r>
      <w:del w:id="193" w:author="svcMRProcess" w:date="2019-01-22T09:45:00Z">
        <w:r>
          <w:rPr>
            <w:snapToGrid w:val="0"/>
          </w:rPr>
          <w:delText>) or</w:delText>
        </w:r>
      </w:del>
      <w:ins w:id="194" w:author="svcMRProcess" w:date="2019-01-22T09:45:00Z">
        <w:r>
          <w:t>),</w:t>
        </w:r>
      </w:ins>
      <w:r>
        <w:t xml:space="preserve"> (3) </w:t>
      </w:r>
      <w:ins w:id="195" w:author="svcMRProcess" w:date="2019-01-22T09:45:00Z">
        <w:r>
          <w:t xml:space="preserve">or (4A) </w:t>
        </w:r>
      </w:ins>
      <w:r>
        <w:rPr>
          <w:snapToGrid w:val="0"/>
        </w:rPr>
        <w:t>applies.</w:t>
      </w:r>
    </w:p>
    <w:p>
      <w:pPr>
        <w:pStyle w:val="Footnotesection"/>
        <w:rPr>
          <w:ins w:id="196" w:author="svcMRProcess" w:date="2019-01-22T09:45:00Z"/>
        </w:rPr>
      </w:pPr>
      <w:bookmarkStart w:id="197" w:name="_Toc392246233"/>
      <w:ins w:id="198" w:author="svcMRProcess" w:date="2019-01-22T09:45:00Z">
        <w:r>
          <w:tab/>
          <w:t>[Section 11 amended: No. 13 of 2014 s. 164.]</w:t>
        </w:r>
      </w:ins>
    </w:p>
    <w:p>
      <w:pPr>
        <w:pStyle w:val="Heading5"/>
        <w:rPr>
          <w:snapToGrid w:val="0"/>
        </w:rPr>
      </w:pPr>
      <w:bookmarkStart w:id="199" w:name="_Toc473295057"/>
      <w:bookmarkStart w:id="200" w:name="_Toc419464303"/>
      <w:r>
        <w:rPr>
          <w:rStyle w:val="CharSectno"/>
        </w:rPr>
        <w:t>12</w:t>
      </w:r>
      <w:r>
        <w:rPr>
          <w:snapToGrid w:val="0"/>
        </w:rPr>
        <w:t>.</w:t>
      </w:r>
      <w:r>
        <w:rPr>
          <w:snapToGrid w:val="0"/>
        </w:rPr>
        <w:tab/>
        <w:t>Operation of authorisations</w:t>
      </w:r>
      <w:bookmarkEnd w:id="197"/>
      <w:bookmarkEnd w:id="199"/>
      <w:bookmarkEnd w:id="200"/>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201" w:name="_Toc392246234"/>
      <w:bookmarkStart w:id="202" w:name="_Toc419464304"/>
      <w:bookmarkStart w:id="203" w:name="_Toc473294960"/>
      <w:bookmarkStart w:id="204" w:name="_Toc473295058"/>
      <w:r>
        <w:rPr>
          <w:rStyle w:val="CharPartNo"/>
        </w:rPr>
        <w:t>Part 3</w:t>
      </w:r>
      <w:r>
        <w:rPr>
          <w:rStyle w:val="CharDivNo"/>
        </w:rPr>
        <w:t> </w:t>
      </w:r>
      <w:r>
        <w:t>—</w:t>
      </w:r>
      <w:r>
        <w:rPr>
          <w:rStyle w:val="CharDivText"/>
        </w:rPr>
        <w:t> </w:t>
      </w:r>
      <w:r>
        <w:rPr>
          <w:rStyle w:val="CharPartText"/>
        </w:rPr>
        <w:t>Miscellaneous</w:t>
      </w:r>
      <w:bookmarkEnd w:id="201"/>
      <w:bookmarkEnd w:id="202"/>
      <w:bookmarkEnd w:id="203"/>
      <w:bookmarkEnd w:id="204"/>
      <w:r>
        <w:rPr>
          <w:rStyle w:val="CharPartText"/>
        </w:rPr>
        <w:t xml:space="preserve"> </w:t>
      </w:r>
    </w:p>
    <w:p>
      <w:pPr>
        <w:pStyle w:val="Heading5"/>
        <w:rPr>
          <w:snapToGrid w:val="0"/>
        </w:rPr>
      </w:pPr>
      <w:bookmarkStart w:id="205" w:name="_Toc392246235"/>
      <w:bookmarkStart w:id="206" w:name="_Toc473295059"/>
      <w:bookmarkStart w:id="207" w:name="_Toc419464305"/>
      <w:r>
        <w:rPr>
          <w:rStyle w:val="CharSectno"/>
        </w:rPr>
        <w:t>13</w:t>
      </w:r>
      <w:r>
        <w:rPr>
          <w:snapToGrid w:val="0"/>
        </w:rPr>
        <w:t>.</w:t>
      </w:r>
      <w:r>
        <w:rPr>
          <w:snapToGrid w:val="0"/>
        </w:rPr>
        <w:tab/>
        <w:t>Complaints about visiting health professionals</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Health and Disability Services (Complaints) Act 1995</w:t>
      </w:r>
      <w:r>
        <w:t xml:space="preserve"> </w:t>
      </w:r>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pPr>
      <w:r>
        <w:tab/>
        <w:t>[Section 13 amended</w:t>
      </w:r>
      <w:del w:id="208" w:author="svcMRProcess" w:date="2019-01-22T09:45:00Z">
        <w:r>
          <w:delText xml:space="preserve"> by</w:delText>
        </w:r>
      </w:del>
      <w:ins w:id="209" w:author="svcMRProcess" w:date="2019-01-22T09:45:00Z">
        <w:r>
          <w:t>:</w:t>
        </w:r>
      </w:ins>
      <w:r>
        <w:t xml:space="preserve"> No. 33 of 2010 s. 58.]</w:t>
      </w:r>
    </w:p>
    <w:p>
      <w:pPr>
        <w:pStyle w:val="Heading5"/>
        <w:rPr>
          <w:snapToGrid w:val="0"/>
        </w:rPr>
      </w:pPr>
      <w:bookmarkStart w:id="210" w:name="_Toc392246236"/>
      <w:bookmarkStart w:id="211" w:name="_Toc473295060"/>
      <w:bookmarkStart w:id="212" w:name="_Toc419464306"/>
      <w:r>
        <w:rPr>
          <w:rStyle w:val="CharSectno"/>
        </w:rPr>
        <w:t>14</w:t>
      </w:r>
      <w:r>
        <w:rPr>
          <w:snapToGrid w:val="0"/>
        </w:rPr>
        <w:t>.</w:t>
      </w:r>
      <w:r>
        <w:rPr>
          <w:snapToGrid w:val="0"/>
        </w:rPr>
        <w:tab/>
        <w:t>Application of Act to particular persons</w:t>
      </w:r>
      <w:bookmarkEnd w:id="210"/>
      <w:bookmarkEnd w:id="211"/>
      <w:bookmarkEnd w:id="212"/>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213" w:name="_Toc392246237"/>
      <w:bookmarkStart w:id="214" w:name="_Toc473295061"/>
      <w:bookmarkStart w:id="215" w:name="_Toc419464307"/>
      <w:r>
        <w:rPr>
          <w:rStyle w:val="CharSectno"/>
        </w:rPr>
        <w:t>15</w:t>
      </w:r>
      <w:r>
        <w:rPr>
          <w:snapToGrid w:val="0"/>
        </w:rPr>
        <w:t>.</w:t>
      </w:r>
      <w:r>
        <w:rPr>
          <w:snapToGrid w:val="0"/>
        </w:rPr>
        <w:tab/>
        <w:t>Act does not limit the practice of registered health professionals</w:t>
      </w:r>
      <w:bookmarkEnd w:id="213"/>
      <w:bookmarkEnd w:id="214"/>
      <w:bookmarkEnd w:id="215"/>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216" w:name="_Toc392246238"/>
      <w:bookmarkStart w:id="217" w:name="_Toc473295062"/>
      <w:bookmarkStart w:id="218" w:name="_Toc419464308"/>
      <w:r>
        <w:rPr>
          <w:rStyle w:val="CharSectno"/>
        </w:rPr>
        <w:t>16</w:t>
      </w:r>
      <w:r>
        <w:rPr>
          <w:snapToGrid w:val="0"/>
        </w:rPr>
        <w:t>.</w:t>
      </w:r>
      <w:r>
        <w:rPr>
          <w:snapToGrid w:val="0"/>
        </w:rPr>
        <w:tab/>
        <w:t>Regulations</w:t>
      </w:r>
      <w:bookmarkEnd w:id="216"/>
      <w:bookmarkEnd w:id="217"/>
      <w:bookmarkEnd w:id="218"/>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219" w:name="_Toc392246239"/>
      <w:bookmarkStart w:id="220" w:name="_Toc473295063"/>
      <w:bookmarkStart w:id="221" w:name="_Toc419464309"/>
      <w:r>
        <w:rPr>
          <w:rStyle w:val="CharSectno"/>
        </w:rPr>
        <w:t>17</w:t>
      </w:r>
      <w:r>
        <w:rPr>
          <w:snapToGrid w:val="0"/>
        </w:rPr>
        <w:t>.</w:t>
      </w:r>
      <w:r>
        <w:rPr>
          <w:snapToGrid w:val="0"/>
        </w:rPr>
        <w:tab/>
        <w:t>Review of Act</w:t>
      </w:r>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22" w:name="_Toc392246240"/>
      <w:bookmarkStart w:id="223" w:name="_Toc419464310"/>
      <w:bookmarkStart w:id="224" w:name="_Toc473294966"/>
      <w:bookmarkStart w:id="225" w:name="_Toc473295064"/>
      <w:r>
        <w:t>Notes</w:t>
      </w:r>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w:t>
      </w:r>
      <w:del w:id="226" w:author="svcMRProcess" w:date="2019-01-22T09:45:00Z">
        <w:r>
          <w:rPr>
            <w:i/>
            <w:noProof/>
            <w:snapToGrid w:val="0"/>
          </w:rPr>
          <w:delText xml:space="preserve"> </w:delText>
        </w:r>
      </w:del>
      <w:ins w:id="227" w:author="svcMRProcess" w:date="2019-01-22T09:45:00Z">
        <w:r>
          <w:rPr>
            <w:i/>
            <w:noProof/>
            <w:snapToGrid w:val="0"/>
          </w:rPr>
          <w:t> </w:t>
        </w:r>
      </w:ins>
      <w:r>
        <w:rPr>
          <w:i/>
          <w:noProof/>
          <w:snapToGrid w:val="0"/>
        </w:rPr>
        <w:t>2000</w:t>
      </w:r>
      <w:r>
        <w:rPr>
          <w:snapToGrid w:val="0"/>
        </w:rPr>
        <w:t xml:space="preserve"> and includes the amendments made by the other written laws referred to in the following table</w:t>
      </w:r>
      <w:del w:id="228" w:author="svcMRProcess" w:date="2019-01-22T09:4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29" w:name="_Toc392246241"/>
      <w:bookmarkStart w:id="230" w:name="_Toc473295065"/>
      <w:bookmarkStart w:id="231" w:name="_Toc419464311"/>
      <w:r>
        <w:rPr>
          <w:snapToGrid w:val="0"/>
        </w:rPr>
        <w:t>Compilation table</w:t>
      </w:r>
      <w:bookmarkEnd w:id="229"/>
      <w:bookmarkEnd w:id="230"/>
      <w:bookmarkEnd w:id="23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5"/>
      </w:tblGrid>
      <w:tr>
        <w:trPr>
          <w:tblHeader/>
        </w:trPr>
        <w:tc>
          <w:tcPr>
            <w:tcW w:w="2267" w:type="dxa"/>
            <w:tcBorders>
              <w:top w:val="single" w:sz="8" w:space="0" w:color="auto"/>
              <w:bottom w:val="single" w:sz="8" w:space="0" w:color="auto"/>
            </w:tcBorders>
            <w:shd w:val="clear" w:color="auto" w:fill="auto"/>
          </w:tcPr>
          <w:p>
            <w:pPr>
              <w:pStyle w:val="nTable"/>
              <w:spacing w:after="40"/>
              <w:rPr>
                <w:b/>
                <w:bCs/>
              </w:rPr>
            </w:pPr>
            <w:r>
              <w:rPr>
                <w:b/>
                <w:bCs/>
              </w:rPr>
              <w:t>Short title</w:t>
            </w:r>
          </w:p>
        </w:tc>
        <w:tc>
          <w:tcPr>
            <w:tcW w:w="1132" w:type="dxa"/>
            <w:tcBorders>
              <w:top w:val="single" w:sz="8" w:space="0" w:color="auto"/>
              <w:bottom w:val="single" w:sz="8" w:space="0" w:color="auto"/>
            </w:tcBorders>
            <w:shd w:val="clear" w:color="auto" w:fill="auto"/>
          </w:tcPr>
          <w:p>
            <w:pPr>
              <w:pStyle w:val="nTable"/>
              <w:spacing w:after="40"/>
              <w:rPr>
                <w:b/>
                <w:bCs/>
              </w:rPr>
            </w:pPr>
            <w:r>
              <w:rPr>
                <w:b/>
                <w:bCs/>
              </w:rPr>
              <w:t>Number and year</w:t>
            </w:r>
          </w:p>
        </w:tc>
        <w:tc>
          <w:tcPr>
            <w:tcW w:w="1133" w:type="dxa"/>
            <w:tcBorders>
              <w:top w:val="single" w:sz="8" w:space="0" w:color="auto"/>
              <w:bottom w:val="single" w:sz="8" w:space="0" w:color="auto"/>
            </w:tcBorders>
            <w:shd w:val="clear" w:color="auto" w:fill="auto"/>
          </w:tcPr>
          <w:p>
            <w:pPr>
              <w:pStyle w:val="nTable"/>
              <w:spacing w:after="40"/>
              <w:rPr>
                <w:b/>
                <w:bCs/>
              </w:rPr>
            </w:pPr>
            <w:r>
              <w:rPr>
                <w:b/>
                <w:bCs/>
              </w:rPr>
              <w:t>Assent</w:t>
            </w:r>
          </w:p>
        </w:tc>
        <w:tc>
          <w:tcPr>
            <w:tcW w:w="2555" w:type="dxa"/>
            <w:tcBorders>
              <w:top w:val="single" w:sz="8" w:space="0" w:color="auto"/>
              <w:bottom w:val="single" w:sz="8" w:space="0" w:color="auto"/>
            </w:tcBorders>
            <w:shd w:val="clear" w:color="auto" w:fill="auto"/>
          </w:tcPr>
          <w:p>
            <w:pPr>
              <w:pStyle w:val="nTable"/>
              <w:spacing w:after="40"/>
              <w:rPr>
                <w:b/>
                <w:bCs/>
              </w:rPr>
            </w:pPr>
            <w:r>
              <w:rPr>
                <w:b/>
                <w:bCs/>
              </w:rPr>
              <w:t>Commencement</w:t>
            </w:r>
          </w:p>
        </w:tc>
      </w:tr>
      <w:tr>
        <w:tc>
          <w:tcPr>
            <w:tcW w:w="2267" w:type="dxa"/>
            <w:tcBorders>
              <w:top w:val="single" w:sz="4" w:space="0" w:color="auto"/>
            </w:tcBorders>
          </w:tcPr>
          <w:p>
            <w:pPr>
              <w:pStyle w:val="nTable"/>
              <w:spacing w:after="40"/>
            </w:pPr>
            <w:r>
              <w:rPr>
                <w:i/>
                <w:snapToGrid w:val="0"/>
              </w:rPr>
              <w:t>Health Professionals (Special Events Exemption) Act 2000</w:t>
            </w:r>
          </w:p>
        </w:tc>
        <w:tc>
          <w:tcPr>
            <w:tcW w:w="1132" w:type="dxa"/>
            <w:tcBorders>
              <w:top w:val="single" w:sz="4" w:space="0" w:color="auto"/>
            </w:tcBorders>
          </w:tcPr>
          <w:p>
            <w:pPr>
              <w:pStyle w:val="nTable"/>
              <w:spacing w:after="40"/>
            </w:pPr>
            <w:r>
              <w:t>7 of 2000</w:t>
            </w:r>
          </w:p>
        </w:tc>
        <w:tc>
          <w:tcPr>
            <w:tcW w:w="1133" w:type="dxa"/>
            <w:tcBorders>
              <w:top w:val="single" w:sz="4" w:space="0" w:color="auto"/>
            </w:tcBorders>
          </w:tcPr>
          <w:p>
            <w:pPr>
              <w:pStyle w:val="nTable"/>
              <w:spacing w:after="40"/>
            </w:pPr>
            <w:r>
              <w:t>14 Apr 2000</w:t>
            </w:r>
          </w:p>
        </w:tc>
        <w:tc>
          <w:tcPr>
            <w:tcW w:w="2555" w:type="dxa"/>
            <w:tcBorders>
              <w:top w:val="single" w:sz="4" w:space="0" w:color="auto"/>
            </w:tcBorders>
          </w:tcPr>
          <w:p>
            <w:pPr>
              <w:pStyle w:val="nTable"/>
              <w:spacing w:after="40"/>
            </w:pPr>
            <w:r>
              <w:t>14 Apr 2000 (see s. 2)</w:t>
            </w:r>
          </w:p>
        </w:tc>
      </w:tr>
      <w:tr>
        <w:tc>
          <w:tcPr>
            <w:tcW w:w="2267" w:type="dxa"/>
          </w:tcPr>
          <w:p>
            <w:pPr>
              <w:pStyle w:val="nTable"/>
              <w:spacing w:after="40"/>
              <w:rPr>
                <w:i/>
                <w:snapToGrid w:val="0"/>
              </w:rPr>
            </w:pPr>
            <w:r>
              <w:rPr>
                <w:i/>
                <w:noProof/>
                <w:snapToGrid w:val="0"/>
              </w:rPr>
              <w:t>Psychologists Act 2005</w:t>
            </w:r>
            <w:r>
              <w:rPr>
                <w:i/>
                <w:iCs/>
                <w:noProof/>
                <w:snapToGrid w:val="0"/>
              </w:rPr>
              <w:t xml:space="preserve"> </w:t>
            </w:r>
            <w:r>
              <w:rPr>
                <w:color w:val="000000"/>
              </w:rPr>
              <w:t>Sch. 3 cl. 5</w:t>
            </w:r>
          </w:p>
        </w:tc>
        <w:tc>
          <w:tcPr>
            <w:tcW w:w="1132" w:type="dxa"/>
          </w:tcPr>
          <w:p>
            <w:pPr>
              <w:pStyle w:val="nTable"/>
              <w:spacing w:after="40"/>
            </w:pPr>
            <w:r>
              <w:t>28 of 2005</w:t>
            </w:r>
          </w:p>
        </w:tc>
        <w:tc>
          <w:tcPr>
            <w:tcW w:w="1133" w:type="dxa"/>
          </w:tcPr>
          <w:p>
            <w:pPr>
              <w:pStyle w:val="nTable"/>
              <w:spacing w:after="40"/>
            </w:pPr>
            <w:r>
              <w:t>12 Dec 2005</w:t>
            </w:r>
          </w:p>
        </w:tc>
        <w:tc>
          <w:tcPr>
            <w:tcW w:w="2555" w:type="dxa"/>
          </w:tcPr>
          <w:p>
            <w:pPr>
              <w:pStyle w:val="nTable"/>
              <w:spacing w:after="40"/>
            </w:pPr>
            <w:r>
              <w:t xml:space="preserve">4 May 2007 (see s. 2 and </w:t>
            </w:r>
            <w:r>
              <w:rPr>
                <w:i/>
                <w:iCs/>
              </w:rPr>
              <w:t>Gazette</w:t>
            </w:r>
            <w:r>
              <w:t xml:space="preserve"> 4 May 2007 p. 1963)</w:t>
            </w:r>
          </w:p>
        </w:tc>
      </w:tr>
      <w:tr>
        <w:tc>
          <w:tcPr>
            <w:tcW w:w="2267" w:type="dxa"/>
          </w:tcPr>
          <w:p>
            <w:pPr>
              <w:pStyle w:val="nTable"/>
              <w:spacing w:after="40"/>
              <w:rPr>
                <w:i/>
                <w:snapToGrid w:val="0"/>
              </w:rPr>
            </w:pPr>
            <w:r>
              <w:rPr>
                <w:i/>
                <w:noProof/>
                <w:snapToGrid w:val="0"/>
              </w:rPr>
              <w:t>Optometrists Act 2005</w:t>
            </w:r>
            <w:r>
              <w:rPr>
                <w:iCs/>
                <w:noProof/>
                <w:snapToGrid w:val="0"/>
              </w:rPr>
              <w:t xml:space="preserve"> </w:t>
            </w:r>
            <w:r>
              <w:rPr>
                <w:color w:val="000000"/>
              </w:rPr>
              <w:t>Sch. 3 cl. 3</w:t>
            </w:r>
          </w:p>
        </w:tc>
        <w:tc>
          <w:tcPr>
            <w:tcW w:w="1132" w:type="dxa"/>
          </w:tcPr>
          <w:p>
            <w:pPr>
              <w:pStyle w:val="nTable"/>
              <w:spacing w:after="40"/>
            </w:pPr>
            <w:r>
              <w:t>29 of 2005</w:t>
            </w:r>
          </w:p>
        </w:tc>
        <w:tc>
          <w:tcPr>
            <w:tcW w:w="1133" w:type="dxa"/>
          </w:tcPr>
          <w:p>
            <w:pPr>
              <w:pStyle w:val="nTable"/>
              <w:spacing w:after="40"/>
            </w:pPr>
            <w:r>
              <w:t>12 Dec 2005</w:t>
            </w:r>
          </w:p>
        </w:tc>
        <w:tc>
          <w:tcPr>
            <w:tcW w:w="2555" w:type="dxa"/>
          </w:tcPr>
          <w:p>
            <w:pPr>
              <w:pStyle w:val="nTable"/>
              <w:spacing w:after="40"/>
            </w:pPr>
            <w:r>
              <w:t xml:space="preserve">20 Apr 2007 (see s. 2 and </w:t>
            </w:r>
            <w:r>
              <w:rPr>
                <w:i/>
                <w:iCs/>
              </w:rPr>
              <w:t>Gazette</w:t>
            </w:r>
            <w:r>
              <w:t xml:space="preserve"> 30 Mar 2007 p. 1451)</w:t>
            </w:r>
          </w:p>
        </w:tc>
      </w:tr>
      <w:tr>
        <w:tc>
          <w:tcPr>
            <w:tcW w:w="2267" w:type="dxa"/>
          </w:tcPr>
          <w:p>
            <w:pPr>
              <w:pStyle w:val="nTable"/>
              <w:spacing w:after="40"/>
              <w:rPr>
                <w:i/>
                <w:noProof/>
                <w:snapToGrid w:val="0"/>
              </w:rPr>
            </w:pPr>
            <w:r>
              <w:rPr>
                <w:i/>
                <w:noProof/>
                <w:snapToGrid w:val="0"/>
              </w:rPr>
              <w:t>Podiatrists Act 2005</w:t>
            </w:r>
            <w:r>
              <w:rPr>
                <w:iCs/>
                <w:noProof/>
                <w:snapToGrid w:val="0"/>
              </w:rPr>
              <w:t xml:space="preserve"> </w:t>
            </w:r>
            <w:r>
              <w:rPr>
                <w:color w:val="000000"/>
              </w:rPr>
              <w:t>Sch. 3 cl. 3</w:t>
            </w:r>
          </w:p>
        </w:tc>
        <w:tc>
          <w:tcPr>
            <w:tcW w:w="1132" w:type="dxa"/>
          </w:tcPr>
          <w:p>
            <w:pPr>
              <w:pStyle w:val="nTable"/>
              <w:spacing w:after="40"/>
            </w:pPr>
            <w:r>
              <w:t>30 of 2005</w:t>
            </w:r>
          </w:p>
        </w:tc>
        <w:tc>
          <w:tcPr>
            <w:tcW w:w="1133" w:type="dxa"/>
          </w:tcPr>
          <w:p>
            <w:pPr>
              <w:pStyle w:val="nTable"/>
              <w:spacing w:after="40"/>
            </w:pPr>
            <w:r>
              <w:t>12 Dec 2005</w:t>
            </w:r>
          </w:p>
        </w:tc>
        <w:tc>
          <w:tcPr>
            <w:tcW w:w="2555" w:type="dxa"/>
          </w:tcPr>
          <w:p>
            <w:pPr>
              <w:pStyle w:val="nTable"/>
              <w:spacing w:after="40"/>
            </w:pPr>
            <w:r>
              <w:t xml:space="preserve">30 May 2007 (see s. 2 and </w:t>
            </w:r>
            <w:r>
              <w:rPr>
                <w:i/>
                <w:iCs/>
              </w:rPr>
              <w:t>Gazette</w:t>
            </w:r>
            <w:r>
              <w:t xml:space="preserve"> 29 May 2007 p. 2486)</w:t>
            </w:r>
          </w:p>
        </w:tc>
      </w:tr>
      <w:tr>
        <w:tc>
          <w:tcPr>
            <w:tcW w:w="2267" w:type="dxa"/>
          </w:tcPr>
          <w:p>
            <w:pPr>
              <w:pStyle w:val="nTable"/>
              <w:spacing w:after="40"/>
              <w:rPr>
                <w:i/>
                <w:noProof/>
                <w:snapToGrid w:val="0"/>
              </w:rPr>
            </w:pPr>
            <w:r>
              <w:rPr>
                <w:i/>
                <w:noProof/>
                <w:snapToGrid w:val="0"/>
              </w:rPr>
              <w:t>Chiropractors Act 2005</w:t>
            </w:r>
            <w:r>
              <w:rPr>
                <w:iCs/>
                <w:noProof/>
                <w:snapToGrid w:val="0"/>
              </w:rPr>
              <w:t xml:space="preserve"> </w:t>
            </w:r>
            <w:r>
              <w:rPr>
                <w:color w:val="000000"/>
              </w:rPr>
              <w:t>Sch. 3 cl. 3</w:t>
            </w:r>
          </w:p>
        </w:tc>
        <w:tc>
          <w:tcPr>
            <w:tcW w:w="1132" w:type="dxa"/>
          </w:tcPr>
          <w:p>
            <w:pPr>
              <w:pStyle w:val="nTable"/>
              <w:spacing w:after="40"/>
            </w:pPr>
            <w:r>
              <w:t>31 of 2005</w:t>
            </w:r>
          </w:p>
        </w:tc>
        <w:tc>
          <w:tcPr>
            <w:tcW w:w="1133" w:type="dxa"/>
          </w:tcPr>
          <w:p>
            <w:pPr>
              <w:pStyle w:val="nTable"/>
              <w:spacing w:after="40"/>
            </w:pPr>
            <w:r>
              <w:t>12 Dec 2005</w:t>
            </w:r>
          </w:p>
        </w:tc>
        <w:tc>
          <w:tcPr>
            <w:tcW w:w="2555" w:type="dxa"/>
          </w:tcPr>
          <w:p>
            <w:pPr>
              <w:pStyle w:val="nTable"/>
              <w:spacing w:after="40"/>
            </w:pPr>
            <w:r>
              <w:t>1 Aug 2007 (see s. 2 and G</w:t>
            </w:r>
            <w:r>
              <w:rPr>
                <w:i/>
                <w:iCs/>
              </w:rPr>
              <w:t>azette</w:t>
            </w:r>
            <w:r>
              <w:t xml:space="preserve"> 31 Jul 2007 p. 3789)</w:t>
            </w:r>
          </w:p>
        </w:tc>
      </w:tr>
      <w:tr>
        <w:tc>
          <w:tcPr>
            <w:tcW w:w="2267" w:type="dxa"/>
          </w:tcPr>
          <w:p>
            <w:pPr>
              <w:pStyle w:val="nTable"/>
              <w:spacing w:after="40"/>
              <w:ind w:right="113"/>
              <w:rPr>
                <w:i/>
                <w:snapToGrid w:val="0"/>
              </w:rPr>
            </w:pPr>
            <w:r>
              <w:rPr>
                <w:i/>
                <w:noProof/>
                <w:snapToGrid w:val="0"/>
              </w:rPr>
              <w:t>Physiotherapists Act 2005</w:t>
            </w:r>
            <w:r>
              <w:rPr>
                <w:iCs/>
                <w:noProof/>
                <w:snapToGrid w:val="0"/>
              </w:rPr>
              <w:t xml:space="preserve"> </w:t>
            </w:r>
            <w:r>
              <w:rPr>
                <w:color w:val="000000"/>
              </w:rPr>
              <w:t>Sch. 3 cl. 3</w:t>
            </w:r>
          </w:p>
        </w:tc>
        <w:tc>
          <w:tcPr>
            <w:tcW w:w="1132" w:type="dxa"/>
          </w:tcPr>
          <w:p>
            <w:pPr>
              <w:pStyle w:val="nTable"/>
              <w:spacing w:after="40"/>
              <w:rPr>
                <w:snapToGrid w:val="0"/>
              </w:rPr>
            </w:pPr>
            <w:r>
              <w:t>32 of 2005</w:t>
            </w:r>
          </w:p>
        </w:tc>
        <w:tc>
          <w:tcPr>
            <w:tcW w:w="1133" w:type="dxa"/>
          </w:tcPr>
          <w:p>
            <w:pPr>
              <w:pStyle w:val="nTable"/>
              <w:spacing w:after="40"/>
              <w:rPr>
                <w:snapToGrid w:val="0"/>
              </w:rPr>
            </w:pPr>
            <w:r>
              <w:t>12 Dec 2005</w:t>
            </w:r>
          </w:p>
        </w:tc>
        <w:tc>
          <w:tcPr>
            <w:tcW w:w="2555" w:type="dxa"/>
          </w:tcPr>
          <w:p>
            <w:pPr>
              <w:pStyle w:val="nTable"/>
              <w:spacing w:after="40"/>
              <w:rPr>
                <w:snapToGrid w:val="0"/>
              </w:rPr>
            </w:pPr>
            <w:r>
              <w:t xml:space="preserve">23 Feb 2007 (see s. 2 and </w:t>
            </w:r>
            <w:r>
              <w:rPr>
                <w:i/>
                <w:iCs/>
              </w:rPr>
              <w:t xml:space="preserve">Gazette </w:t>
            </w:r>
            <w:r>
              <w:t>20 Feb 2007 p. 505)</w:t>
            </w:r>
          </w:p>
        </w:tc>
      </w:tr>
      <w:tr>
        <w:tc>
          <w:tcPr>
            <w:tcW w:w="2267" w:type="dxa"/>
          </w:tcPr>
          <w:p>
            <w:pPr>
              <w:pStyle w:val="nTable"/>
              <w:spacing w:after="40"/>
              <w:ind w:right="113"/>
              <w:rPr>
                <w:i/>
                <w:noProof/>
                <w:snapToGrid w:val="0"/>
              </w:rPr>
            </w:pPr>
            <w:r>
              <w:rPr>
                <w:i/>
                <w:noProof/>
                <w:snapToGrid w:val="0"/>
              </w:rPr>
              <w:t>Osteopaths Act 2005</w:t>
            </w:r>
            <w:r>
              <w:rPr>
                <w:noProof/>
                <w:snapToGrid w:val="0"/>
              </w:rPr>
              <w:t xml:space="preserve"> </w:t>
            </w:r>
            <w:r>
              <w:rPr>
                <w:color w:val="000000"/>
              </w:rPr>
              <w:t xml:space="preserve"> Sch. 3 cl. 3</w:t>
            </w:r>
          </w:p>
        </w:tc>
        <w:tc>
          <w:tcPr>
            <w:tcW w:w="1132" w:type="dxa"/>
          </w:tcPr>
          <w:p>
            <w:pPr>
              <w:pStyle w:val="nTable"/>
              <w:spacing w:after="40"/>
            </w:pPr>
            <w:r>
              <w:t>33 of 2005</w:t>
            </w:r>
          </w:p>
        </w:tc>
        <w:tc>
          <w:tcPr>
            <w:tcW w:w="1133" w:type="dxa"/>
          </w:tcPr>
          <w:p>
            <w:pPr>
              <w:pStyle w:val="nTable"/>
              <w:spacing w:after="40"/>
            </w:pPr>
            <w:r>
              <w:t>12 Dec 2005</w:t>
            </w:r>
          </w:p>
        </w:tc>
        <w:tc>
          <w:tcPr>
            <w:tcW w:w="2555" w:type="dxa"/>
          </w:tcPr>
          <w:p>
            <w:pPr>
              <w:pStyle w:val="nTable"/>
              <w:spacing w:after="40"/>
            </w:pPr>
            <w:r>
              <w:t xml:space="preserve">30 May 2007 (see s. 2 and </w:t>
            </w:r>
            <w:r>
              <w:rPr>
                <w:i/>
                <w:iCs/>
              </w:rPr>
              <w:t xml:space="preserve">Gazette </w:t>
            </w:r>
            <w:r>
              <w:t>29 May 2007 p. 2486)</w:t>
            </w:r>
          </w:p>
        </w:tc>
      </w:tr>
      <w:tr>
        <w:tc>
          <w:tcPr>
            <w:tcW w:w="2267" w:type="dxa"/>
          </w:tcPr>
          <w:p>
            <w:pPr>
              <w:pStyle w:val="nTable"/>
              <w:spacing w:after="40"/>
              <w:rPr>
                <w:i/>
                <w:noProof/>
                <w:snapToGrid w:val="0"/>
              </w:rPr>
            </w:pPr>
            <w:r>
              <w:rPr>
                <w:i/>
                <w:noProof/>
                <w:snapToGrid w:val="0"/>
              </w:rPr>
              <w:t>Occupational Therapists Act 2005</w:t>
            </w:r>
            <w:r>
              <w:rPr>
                <w:iCs/>
                <w:noProof/>
                <w:snapToGrid w:val="0"/>
              </w:rPr>
              <w:t xml:space="preserve"> </w:t>
            </w:r>
            <w:r>
              <w:rPr>
                <w:color w:val="000000"/>
              </w:rPr>
              <w:t>Sch. 3 cl. 4</w:t>
            </w:r>
          </w:p>
        </w:tc>
        <w:tc>
          <w:tcPr>
            <w:tcW w:w="1132" w:type="dxa"/>
          </w:tcPr>
          <w:p>
            <w:pPr>
              <w:pStyle w:val="nTable"/>
              <w:spacing w:after="40"/>
            </w:pPr>
            <w:r>
              <w:t>42 of 2005</w:t>
            </w:r>
          </w:p>
        </w:tc>
        <w:tc>
          <w:tcPr>
            <w:tcW w:w="1133" w:type="dxa"/>
          </w:tcPr>
          <w:p>
            <w:pPr>
              <w:pStyle w:val="nTable"/>
              <w:spacing w:after="40"/>
            </w:pPr>
            <w:r>
              <w:t>19 Dec 2005</w:t>
            </w:r>
          </w:p>
        </w:tc>
        <w:tc>
          <w:tcPr>
            <w:tcW w:w="2555" w:type="dxa"/>
          </w:tcPr>
          <w:p>
            <w:pPr>
              <w:pStyle w:val="nTable"/>
              <w:spacing w:after="40"/>
            </w:pPr>
            <w:r>
              <w:t>1 Aug 2007 (see s. 2 and G</w:t>
            </w:r>
            <w:r>
              <w:rPr>
                <w:i/>
                <w:iCs/>
              </w:rPr>
              <w:t>azette</w:t>
            </w:r>
            <w:r>
              <w:t xml:space="preserve"> 31 Jul 2007 p. 3789)</w:t>
            </w:r>
          </w:p>
        </w:tc>
      </w:tr>
      <w:tr>
        <w:tc>
          <w:tcPr>
            <w:tcW w:w="2267" w:type="dxa"/>
          </w:tcPr>
          <w:p>
            <w:pPr>
              <w:pStyle w:val="nTable"/>
              <w:spacing w:after="40"/>
              <w:rPr>
                <w:iCs/>
                <w:snapToGrid w:val="0"/>
              </w:rPr>
            </w:pPr>
            <w:r>
              <w:rPr>
                <w:i/>
                <w:snapToGrid w:val="0"/>
              </w:rPr>
              <w:t>Optical Dispensers Repeal Act 2006</w:t>
            </w:r>
            <w:r>
              <w:rPr>
                <w:iCs/>
                <w:snapToGrid w:val="0"/>
              </w:rPr>
              <w:t xml:space="preserve"> s. 4</w:t>
            </w:r>
            <w:r>
              <w:rPr>
                <w:color w:val="000000"/>
              </w:rPr>
              <w:t xml:space="preserve"> </w:t>
            </w:r>
          </w:p>
        </w:tc>
        <w:tc>
          <w:tcPr>
            <w:tcW w:w="1132" w:type="dxa"/>
          </w:tcPr>
          <w:p>
            <w:pPr>
              <w:pStyle w:val="nTable"/>
              <w:spacing w:after="40"/>
            </w:pPr>
            <w:r>
              <w:t>11 of 2006</w:t>
            </w:r>
          </w:p>
        </w:tc>
        <w:tc>
          <w:tcPr>
            <w:tcW w:w="1133" w:type="dxa"/>
          </w:tcPr>
          <w:p>
            <w:pPr>
              <w:pStyle w:val="nTable"/>
              <w:spacing w:after="40"/>
            </w:pPr>
            <w:r>
              <w:t>11 May 2006</w:t>
            </w:r>
          </w:p>
        </w:tc>
        <w:tc>
          <w:tcPr>
            <w:tcW w:w="2555" w:type="dxa"/>
          </w:tcPr>
          <w:p>
            <w:pPr>
              <w:pStyle w:val="nTable"/>
              <w:spacing w:after="40"/>
            </w:pPr>
            <w:r>
              <w:t>11 May 2006 (see s. 2)</w:t>
            </w:r>
          </w:p>
        </w:tc>
      </w:tr>
      <w:tr>
        <w:tc>
          <w:tcPr>
            <w:tcW w:w="2267" w:type="dxa"/>
          </w:tcPr>
          <w:p>
            <w:pPr>
              <w:pStyle w:val="nTable"/>
              <w:spacing w:after="40"/>
              <w:rPr>
                <w:i/>
                <w:noProof/>
                <w:snapToGrid w:val="0"/>
              </w:rPr>
            </w:pPr>
            <w:r>
              <w:rPr>
                <w:i/>
                <w:noProof/>
                <w:snapToGrid w:val="0"/>
              </w:rPr>
              <w:t>Medical Radiation Technologists Act 2006</w:t>
            </w:r>
            <w:r>
              <w:rPr>
                <w:i/>
                <w:iCs/>
                <w:noProof/>
                <w:snapToGrid w:val="0"/>
              </w:rPr>
              <w:t xml:space="preserve"> </w:t>
            </w:r>
            <w:r>
              <w:rPr>
                <w:color w:val="000000"/>
              </w:rPr>
              <w:t>Sch. 3 cl. 3</w:t>
            </w:r>
          </w:p>
        </w:tc>
        <w:tc>
          <w:tcPr>
            <w:tcW w:w="1132" w:type="dxa"/>
          </w:tcPr>
          <w:p>
            <w:pPr>
              <w:pStyle w:val="nTable"/>
              <w:spacing w:after="40"/>
            </w:pPr>
            <w:r>
              <w:t>21 of 2006</w:t>
            </w:r>
          </w:p>
        </w:tc>
        <w:tc>
          <w:tcPr>
            <w:tcW w:w="1133" w:type="dxa"/>
          </w:tcPr>
          <w:p>
            <w:pPr>
              <w:pStyle w:val="nTable"/>
              <w:spacing w:after="40"/>
            </w:pPr>
            <w:r>
              <w:t>9 Jun 2006</w:t>
            </w:r>
          </w:p>
        </w:tc>
        <w:tc>
          <w:tcPr>
            <w:tcW w:w="2555"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c>
          <w:tcPr>
            <w:tcW w:w="2267" w:type="dxa"/>
          </w:tcPr>
          <w:p>
            <w:pPr>
              <w:pStyle w:val="nTable"/>
              <w:spacing w:after="40"/>
              <w:rPr>
                <w:i/>
                <w:noProof/>
                <w:snapToGrid w:val="0"/>
              </w:rPr>
            </w:pPr>
            <w:r>
              <w:rPr>
                <w:i/>
                <w:noProof/>
                <w:snapToGrid w:val="0"/>
              </w:rPr>
              <w:t>Nurses and Midwives Act 2006</w:t>
            </w:r>
            <w:r>
              <w:rPr>
                <w:noProof/>
                <w:snapToGrid w:val="0"/>
              </w:rPr>
              <w:t xml:space="preserve"> </w:t>
            </w:r>
            <w:r>
              <w:rPr>
                <w:color w:val="000000"/>
              </w:rPr>
              <w:t>Sch. 3 cl. 10</w:t>
            </w:r>
          </w:p>
        </w:tc>
        <w:tc>
          <w:tcPr>
            <w:tcW w:w="1132" w:type="dxa"/>
          </w:tcPr>
          <w:p>
            <w:pPr>
              <w:pStyle w:val="nTable"/>
              <w:spacing w:after="40"/>
            </w:pPr>
            <w:r>
              <w:rPr>
                <w:snapToGrid w:val="0"/>
              </w:rPr>
              <w:t>50 of 2006</w:t>
            </w:r>
          </w:p>
        </w:tc>
        <w:tc>
          <w:tcPr>
            <w:tcW w:w="1133" w:type="dxa"/>
          </w:tcPr>
          <w:p>
            <w:pPr>
              <w:pStyle w:val="nTable"/>
              <w:spacing w:after="40"/>
            </w:pPr>
            <w:r>
              <w:t>6 Oct 2006</w:t>
            </w:r>
          </w:p>
        </w:tc>
        <w:tc>
          <w:tcPr>
            <w:tcW w:w="2555" w:type="dxa"/>
          </w:tcPr>
          <w:p>
            <w:pPr>
              <w:pStyle w:val="nTable"/>
              <w:spacing w:after="40"/>
              <w:rPr>
                <w:rFonts w:ascii="Times" w:hAnsi="Times"/>
                <w:color w:val="000000"/>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7087" w:type="dxa"/>
            <w:gridSpan w:val="4"/>
          </w:tcPr>
          <w:p>
            <w:pPr>
              <w:pStyle w:val="nTable"/>
              <w:spacing w:after="40"/>
              <w:rPr>
                <w:color w:val="000000"/>
              </w:rPr>
            </w:pPr>
            <w:r>
              <w:rPr>
                <w:b/>
                <w:bCs/>
                <w:color w:val="000000"/>
              </w:rPr>
              <w:t xml:space="preserve">Reprint 1: The </w:t>
            </w:r>
            <w:r>
              <w:rPr>
                <w:b/>
                <w:bCs/>
                <w:i/>
                <w:snapToGrid w:val="0"/>
              </w:rPr>
              <w:t>Health Professionals (Special Events Exemption) Act 2000</w:t>
            </w:r>
            <w:r>
              <w:rPr>
                <w:b/>
                <w:bCs/>
                <w:color w:val="000000"/>
              </w:rPr>
              <w:t xml:space="preserve"> as at 12 Oct 2007 </w:t>
            </w:r>
            <w:r>
              <w:rPr>
                <w:color w:val="000000"/>
              </w:rPr>
              <w:t>(includes amendments listed above)</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25</w:t>
            </w:r>
          </w:p>
        </w:tc>
        <w:tc>
          <w:tcPr>
            <w:tcW w:w="1132"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2" w:type="dxa"/>
            <w:tcBorders>
              <w:top w:val="nil"/>
              <w:bottom w:val="nil"/>
            </w:tcBorders>
          </w:tcPr>
          <w:p>
            <w:pPr>
              <w:pStyle w:val="nTable"/>
              <w:spacing w:after="40"/>
            </w:pPr>
            <w:r>
              <w:rPr>
                <w:snapToGrid w:val="0"/>
              </w:rPr>
              <w:t>19 of 2010</w:t>
            </w:r>
          </w:p>
        </w:tc>
        <w:tc>
          <w:tcPr>
            <w:tcW w:w="1133" w:type="dxa"/>
            <w:tcBorders>
              <w:top w:val="nil"/>
              <w:bottom w:val="nil"/>
            </w:tcBorders>
          </w:tcPr>
          <w:p>
            <w:pPr>
              <w:pStyle w:val="nTable"/>
              <w:spacing w:after="40"/>
            </w:pPr>
            <w:r>
              <w:rPr>
                <w:snapToGrid w:val="0"/>
              </w:rPr>
              <w:t>28 Jun 2010</w:t>
            </w:r>
          </w:p>
        </w:tc>
        <w:tc>
          <w:tcPr>
            <w:tcW w:w="2555"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Health and Disability Services Legislation Amendment Act 2010</w:t>
            </w:r>
            <w:r>
              <w:rPr>
                <w:iCs/>
                <w:snapToGrid w:val="0"/>
              </w:rPr>
              <w:t xml:space="preserve"> s. 58</w:t>
            </w:r>
          </w:p>
        </w:tc>
        <w:tc>
          <w:tcPr>
            <w:tcW w:w="1132" w:type="dxa"/>
            <w:tcBorders>
              <w:top w:val="nil"/>
              <w:bottom w:val="nil"/>
            </w:tcBorders>
          </w:tcPr>
          <w:p>
            <w:pPr>
              <w:pStyle w:val="nTable"/>
              <w:spacing w:after="40"/>
              <w:rPr>
                <w:snapToGrid w:val="0"/>
              </w:rPr>
            </w:pPr>
            <w:r>
              <w:rPr>
                <w:snapToGrid w:val="0"/>
              </w:rPr>
              <w:t>33 of 2010</w:t>
            </w:r>
          </w:p>
        </w:tc>
        <w:tc>
          <w:tcPr>
            <w:tcW w:w="1133" w:type="dxa"/>
            <w:tcBorders>
              <w:top w:val="nil"/>
              <w:bottom w:val="nil"/>
            </w:tcBorders>
          </w:tcPr>
          <w:p>
            <w:pPr>
              <w:pStyle w:val="nTable"/>
              <w:spacing w:after="40"/>
              <w:rPr>
                <w:snapToGrid w:val="0"/>
              </w:rPr>
            </w:pPr>
            <w:r>
              <w:rPr>
                <w:snapToGrid w:val="0"/>
              </w:rPr>
              <w:t>30 Aug 2010</w:t>
            </w:r>
          </w:p>
        </w:tc>
        <w:tc>
          <w:tcPr>
            <w:tcW w:w="2555"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Health Practitioner Regulation National Law (WA) Act 2010</w:t>
            </w:r>
            <w:r>
              <w:rPr>
                <w:snapToGrid w:val="0"/>
              </w:rPr>
              <w:t xml:space="preserve"> Pt. 5 Div. 24</w:t>
            </w:r>
          </w:p>
        </w:tc>
        <w:tc>
          <w:tcPr>
            <w:tcW w:w="1132"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rPr>
                <w:snapToGrid w:val="0"/>
              </w:rPr>
            </w:pPr>
            <w:r>
              <w:rPr>
                <w:snapToGrid w:val="0"/>
              </w:rPr>
              <w:t>30 Aug 2010</w:t>
            </w:r>
          </w:p>
        </w:tc>
        <w:tc>
          <w:tcPr>
            <w:tcW w:w="2555" w:type="dxa"/>
            <w:tcBorders>
              <w:top w:val="nil"/>
              <w:bottom w:val="nil"/>
            </w:tcBorders>
            <w:shd w:val="clear" w:color="auto" w:fill="auto"/>
          </w:tcPr>
          <w:p>
            <w:pPr>
              <w:pStyle w:val="nTable"/>
              <w:spacing w:after="40"/>
              <w:rPr>
                <w:snapToGrid w:val="0"/>
              </w:rPr>
            </w:pPr>
            <w:r>
              <w:rPr>
                <w:snapToGrid w:val="0"/>
              </w:rPr>
              <w:t xml:space="preserve">s. 77 and 78(1): 18 Oct 2010 (see s. 2(b) and </w:t>
            </w:r>
            <w:r>
              <w:rPr>
                <w:i/>
                <w:snapToGrid w:val="0"/>
              </w:rPr>
              <w:t xml:space="preserve">Gazette </w:t>
            </w:r>
            <w:r>
              <w:rPr>
                <w:iCs/>
                <w:snapToGrid w:val="0"/>
              </w:rPr>
              <w:t>1 Oct 2010 p. 5075-6</w:t>
            </w:r>
            <w:r>
              <w:rPr>
                <w:snapToGrid w:val="0"/>
              </w:rPr>
              <w:t>);</w:t>
            </w:r>
            <w:r>
              <w:rPr>
                <w:snapToGrid w:val="0"/>
              </w:rPr>
              <w:br/>
              <w:t xml:space="preserve">s. 78(2): 1 Jul 2012 (see s. 2(b) and </w:t>
            </w:r>
            <w:r>
              <w:rPr>
                <w:i/>
                <w:snapToGrid w:val="0"/>
              </w:rPr>
              <w:t>Gazette</w:t>
            </w:r>
            <w:r>
              <w:rPr>
                <w:snapToGrid w:val="0"/>
              </w:rPr>
              <w:t xml:space="preserve"> 19 Jun 2012 p. 2631)</w:t>
            </w:r>
          </w:p>
        </w:tc>
      </w:tr>
      <w:tr>
        <w:tblPrEx>
          <w:tblBorders>
            <w:top w:val="single" w:sz="8" w:space="0" w:color="auto"/>
            <w:bottom w:val="single" w:sz="8" w:space="0" w:color="auto"/>
            <w:insideH w:val="single" w:sz="8" w:space="0" w:color="auto"/>
          </w:tblBorders>
        </w:tblPrEx>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snapToGrid w:val="0"/>
              </w:rPr>
              <w:t xml:space="preserve">Health Professionals (Special Events Exemption) Act 2000 </w:t>
            </w:r>
            <w:r>
              <w:rPr>
                <w:b/>
                <w:snapToGrid w:val="0"/>
              </w:rPr>
              <w:t>as at 7 Mar 2014</w:t>
            </w:r>
            <w:r>
              <w:rPr>
                <w:snapToGrid w:val="0"/>
              </w:rPr>
              <w:t xml:space="preserve"> (includes amendments listed above)</w:t>
            </w:r>
          </w:p>
        </w:tc>
      </w:tr>
    </w:tbl>
    <w:p>
      <w:pPr>
        <w:rPr>
          <w:del w:id="232" w:author="svcMRProcess" w:date="2019-01-22T09:45:00Z"/>
        </w:rPr>
      </w:pPr>
    </w:p>
    <w:p>
      <w:pPr>
        <w:pStyle w:val="nSubsection"/>
        <w:tabs>
          <w:tab w:val="clear" w:pos="454"/>
          <w:tab w:val="left" w:pos="567"/>
        </w:tabs>
        <w:spacing w:before="120"/>
        <w:ind w:left="567" w:hanging="567"/>
        <w:rPr>
          <w:del w:id="233" w:author="svcMRProcess" w:date="2019-01-22T09:45:00Z"/>
          <w:snapToGrid w:val="0"/>
        </w:rPr>
      </w:pPr>
      <w:del w:id="234" w:author="svcMRProcess" w:date="2019-01-22T09: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5" w:author="svcMRProcess" w:date="2019-01-22T09:45:00Z"/>
        </w:rPr>
      </w:pPr>
      <w:bookmarkStart w:id="236" w:name="_Toc392246242"/>
      <w:bookmarkStart w:id="237" w:name="_Toc419464312"/>
      <w:del w:id="238" w:author="svcMRProcess" w:date="2019-01-22T09:45:00Z">
        <w:r>
          <w:delText>Provisions that have not come into operation</w:delText>
        </w:r>
        <w:bookmarkEnd w:id="236"/>
        <w:bookmarkEnd w:id="23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1"/>
        <w:gridCol w:w="1134"/>
        <w:gridCol w:w="2561"/>
      </w:tblGrid>
      <w:tr>
        <w:trPr>
          <w:del w:id="239" w:author="svcMRProcess" w:date="2019-01-22T09:45:00Z"/>
        </w:trPr>
        <w:tc>
          <w:tcPr>
            <w:tcW w:w="2268" w:type="dxa"/>
          </w:tcPr>
          <w:p>
            <w:pPr>
              <w:pStyle w:val="nTable"/>
              <w:spacing w:after="40"/>
              <w:rPr>
                <w:del w:id="240" w:author="svcMRProcess" w:date="2019-01-22T09:45:00Z"/>
                <w:b/>
                <w:snapToGrid w:val="0"/>
              </w:rPr>
            </w:pPr>
            <w:del w:id="241" w:author="svcMRProcess" w:date="2019-01-22T09:45:00Z">
              <w:r>
                <w:rPr>
                  <w:b/>
                  <w:snapToGrid w:val="0"/>
                </w:rPr>
                <w:delText>Short title</w:delText>
              </w:r>
            </w:del>
          </w:p>
        </w:tc>
        <w:tc>
          <w:tcPr>
            <w:tcW w:w="1118" w:type="dxa"/>
          </w:tcPr>
          <w:p>
            <w:pPr>
              <w:pStyle w:val="nTable"/>
              <w:spacing w:after="40"/>
              <w:rPr>
                <w:del w:id="242" w:author="svcMRProcess" w:date="2019-01-22T09:45:00Z"/>
                <w:b/>
                <w:snapToGrid w:val="0"/>
              </w:rPr>
            </w:pPr>
            <w:del w:id="243" w:author="svcMRProcess" w:date="2019-01-22T09:45:00Z">
              <w:r>
                <w:rPr>
                  <w:b/>
                  <w:snapToGrid w:val="0"/>
                </w:rPr>
                <w:delText>Number and year</w:delText>
              </w:r>
            </w:del>
          </w:p>
        </w:tc>
        <w:tc>
          <w:tcPr>
            <w:tcW w:w="1134" w:type="dxa"/>
          </w:tcPr>
          <w:p>
            <w:pPr>
              <w:pStyle w:val="nTable"/>
              <w:spacing w:after="40"/>
              <w:rPr>
                <w:del w:id="244" w:author="svcMRProcess" w:date="2019-01-22T09:45:00Z"/>
                <w:b/>
                <w:snapToGrid w:val="0"/>
              </w:rPr>
            </w:pPr>
            <w:del w:id="245" w:author="svcMRProcess" w:date="2019-01-22T09:45:00Z">
              <w:r>
                <w:rPr>
                  <w:b/>
                  <w:snapToGrid w:val="0"/>
                </w:rPr>
                <w:delText>Assent</w:delText>
              </w:r>
            </w:del>
          </w:p>
        </w:tc>
        <w:tc>
          <w:tcPr>
            <w:tcW w:w="2552" w:type="dxa"/>
          </w:tcPr>
          <w:p>
            <w:pPr>
              <w:pStyle w:val="nTable"/>
              <w:spacing w:after="40"/>
              <w:rPr>
                <w:del w:id="246" w:author="svcMRProcess" w:date="2019-01-22T09:45:00Z"/>
                <w:b/>
                <w:snapToGrid w:val="0"/>
              </w:rPr>
            </w:pPr>
            <w:del w:id="247" w:author="svcMRProcess" w:date="2019-01-22T09:45:00Z">
              <w:r>
                <w:rPr>
                  <w:b/>
                  <w:snapToGrid w:val="0"/>
                </w:rPr>
                <w:delText>Commencement</w:delText>
              </w:r>
            </w:del>
          </w:p>
        </w:tc>
      </w:tr>
      <w:tr>
        <w:tc>
          <w:tcPr>
            <w:tcW w:w="2267" w:type="dxa"/>
            <w:tcBorders>
              <w:top w:val="nil"/>
              <w:bottom w:val="single" w:sz="4" w:space="0" w:color="auto"/>
            </w:tcBorders>
          </w:tcPr>
          <w:p>
            <w:pPr>
              <w:pStyle w:val="nTable"/>
              <w:spacing w:after="40"/>
              <w:rPr>
                <w:vertAlign w:val="superscript"/>
              </w:rPr>
            </w:pPr>
            <w:r>
              <w:rPr>
                <w:i/>
                <w:noProof/>
                <w:snapToGrid w:val="0"/>
              </w:rPr>
              <w:t>Medicines and Poisons Act 2014</w:t>
            </w:r>
            <w:r>
              <w:rPr>
                <w:noProof/>
                <w:snapToGrid w:val="0"/>
              </w:rPr>
              <w:t xml:space="preserve"> Pt. 11 Div. </w:t>
            </w:r>
            <w:del w:id="248" w:author="svcMRProcess" w:date="2019-01-22T09:45:00Z">
              <w:r>
                <w:rPr>
                  <w:noProof/>
                  <w:snapToGrid w:val="0"/>
                </w:rPr>
                <w:delText>2 </w:delText>
              </w:r>
            </w:del>
            <w:r>
              <w:rPr>
                <w:noProof/>
                <w:snapToGrid w:val="0"/>
              </w:rPr>
              <w:t>2</w:t>
            </w:r>
          </w:p>
        </w:tc>
        <w:tc>
          <w:tcPr>
            <w:tcW w:w="1121" w:type="dxa"/>
            <w:tcBorders>
              <w:top w:val="nil"/>
              <w:bottom w:val="single" w:sz="4" w:space="0" w:color="auto"/>
            </w:tcBorders>
          </w:tcPr>
          <w:p>
            <w:pPr>
              <w:pStyle w:val="nTable"/>
              <w:spacing w:after="40"/>
            </w:pPr>
            <w:r>
              <w:t>13 of 2014</w:t>
            </w:r>
          </w:p>
        </w:tc>
        <w:tc>
          <w:tcPr>
            <w:tcW w:w="1134" w:type="dxa"/>
            <w:tcBorders>
              <w:top w:val="nil"/>
              <w:bottom w:val="single" w:sz="4" w:space="0" w:color="auto"/>
            </w:tcBorders>
          </w:tcPr>
          <w:p>
            <w:pPr>
              <w:pStyle w:val="nTable"/>
              <w:spacing w:after="40"/>
            </w:pPr>
            <w:r>
              <w:t>2 Jul 2014</w:t>
            </w:r>
          </w:p>
        </w:tc>
        <w:tc>
          <w:tcPr>
            <w:tcW w:w="2561" w:type="dxa"/>
            <w:tcBorders>
              <w:top w:val="nil"/>
              <w:bottom w:val="single" w:sz="4" w:space="0" w:color="auto"/>
            </w:tcBorders>
          </w:tcPr>
          <w:p>
            <w:pPr>
              <w:pStyle w:val="nTable"/>
              <w:spacing w:after="40"/>
              <w:rPr>
                <w:snapToGrid w:val="0"/>
              </w:rPr>
            </w:pPr>
            <w:del w:id="249" w:author="svcMRProcess" w:date="2019-01-22T09:45:00Z">
              <w:r>
                <w:rPr>
                  <w:snapToGrid w:val="0"/>
                </w:rPr>
                <w:delText>To be proclaimed</w:delText>
              </w:r>
            </w:del>
            <w:ins w:id="250" w:author="svcMRProcess" w:date="2019-01-22T09:45:00Z">
              <w:r>
                <w:t>30 Jan 2017</w:t>
              </w:r>
            </w:ins>
            <w:r>
              <w:t xml:space="preserve"> (see s. 2(b</w:t>
            </w:r>
            <w:del w:id="251" w:author="svcMRProcess" w:date="2019-01-22T09:45:00Z">
              <w:r>
                <w:rPr>
                  <w:snapToGrid w:val="0"/>
                </w:rPr>
                <w:delText>))</w:delText>
              </w:r>
            </w:del>
            <w:ins w:id="252" w:author="svcMRProcess" w:date="2019-01-22T09:45:00Z">
              <w:r>
                <w:t xml:space="preserve">) and </w:t>
              </w:r>
              <w:r>
                <w:rPr>
                  <w:i/>
                </w:rPr>
                <w:t>Gazette</w:t>
              </w:r>
              <w:r>
                <w:t xml:space="preserve"> 17 Jan 2017 p. 403)</w:t>
              </w:r>
            </w:ins>
          </w:p>
        </w:tc>
      </w:tr>
    </w:tbl>
    <w:p/>
    <w:p>
      <w:pPr>
        <w:pStyle w:val="nSubsection"/>
        <w:keepLines/>
        <w:spacing w:before="0"/>
        <w:rPr>
          <w:del w:id="253" w:author="svcMRProcess" w:date="2019-01-22T09:45:00Z"/>
          <w:snapToGrid w:val="0"/>
        </w:rPr>
      </w:pPr>
      <w:del w:id="254" w:author="svcMRProcess" w:date="2019-01-22T09:4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Pt. 11 Div. 2</w:delText>
        </w:r>
        <w:r>
          <w:rPr>
            <w:snapToGrid w:val="0"/>
          </w:rPr>
          <w:delText xml:space="preserve"> had not come into operation.  It reads as follows:</w:delText>
        </w:r>
      </w:del>
    </w:p>
    <w:p>
      <w:pPr>
        <w:pStyle w:val="BlankOpen"/>
        <w:rPr>
          <w:del w:id="255" w:author="svcMRProcess" w:date="2019-01-22T09:45:00Z"/>
        </w:rPr>
      </w:pPr>
    </w:p>
    <w:p>
      <w:pPr>
        <w:pStyle w:val="nzHeading3"/>
        <w:rPr>
          <w:del w:id="256" w:author="svcMRProcess" w:date="2019-01-22T09:45:00Z"/>
        </w:rPr>
      </w:pPr>
      <w:del w:id="257" w:author="svcMRProcess" w:date="2019-01-22T09:45:00Z">
        <w:r>
          <w:rPr>
            <w:rStyle w:val="CharDivNo"/>
          </w:rPr>
          <w:delText>Division 2</w:delText>
        </w:r>
        <w:r>
          <w:delText> — </w:delText>
        </w:r>
        <w:r>
          <w:rPr>
            <w:rStyle w:val="CharDivText"/>
            <w:i/>
          </w:rPr>
          <w:delText>Health Professionals (Special Events Exemption) Act 2000</w:delText>
        </w:r>
        <w:r>
          <w:rPr>
            <w:rStyle w:val="CharDivText"/>
          </w:rPr>
          <w:delText xml:space="preserve"> amended</w:delText>
        </w:r>
      </w:del>
    </w:p>
    <w:p>
      <w:pPr>
        <w:pStyle w:val="nzHeading5"/>
        <w:rPr>
          <w:del w:id="258" w:author="svcMRProcess" w:date="2019-01-22T09:45:00Z"/>
        </w:rPr>
      </w:pPr>
      <w:del w:id="259" w:author="svcMRProcess" w:date="2019-01-22T09:45:00Z">
        <w:r>
          <w:rPr>
            <w:rStyle w:val="CharSectno"/>
          </w:rPr>
          <w:delText>160</w:delText>
        </w:r>
        <w:r>
          <w:delText>.</w:delText>
        </w:r>
        <w:r>
          <w:tab/>
          <w:delText>Act amended</w:delText>
        </w:r>
      </w:del>
    </w:p>
    <w:p>
      <w:pPr>
        <w:pStyle w:val="nzSubsection"/>
        <w:rPr>
          <w:del w:id="260" w:author="svcMRProcess" w:date="2019-01-22T09:45:00Z"/>
        </w:rPr>
      </w:pPr>
      <w:del w:id="261" w:author="svcMRProcess" w:date="2019-01-22T09:45:00Z">
        <w:r>
          <w:tab/>
        </w:r>
        <w:r>
          <w:tab/>
          <w:delText xml:space="preserve">This Division amends the </w:delText>
        </w:r>
        <w:r>
          <w:rPr>
            <w:i/>
            <w:iCs/>
          </w:rPr>
          <w:delText>Health Professionals (Special Events Exemption) Act 2000</w:delText>
        </w:r>
        <w:r>
          <w:delText>.</w:delText>
        </w:r>
      </w:del>
    </w:p>
    <w:p>
      <w:pPr>
        <w:pStyle w:val="nzHeading5"/>
        <w:rPr>
          <w:del w:id="262" w:author="svcMRProcess" w:date="2019-01-22T09:45:00Z"/>
        </w:rPr>
      </w:pPr>
      <w:del w:id="263" w:author="svcMRProcess" w:date="2019-01-22T09:45:00Z">
        <w:r>
          <w:rPr>
            <w:rStyle w:val="CharSectno"/>
          </w:rPr>
          <w:delText>161</w:delText>
        </w:r>
        <w:r>
          <w:delText>.</w:delText>
        </w:r>
        <w:r>
          <w:tab/>
          <w:delText>Section 3 amended</w:delText>
        </w:r>
      </w:del>
    </w:p>
    <w:p>
      <w:pPr>
        <w:pStyle w:val="nzSubsection"/>
        <w:rPr>
          <w:del w:id="264" w:author="svcMRProcess" w:date="2019-01-22T09:45:00Z"/>
        </w:rPr>
      </w:pPr>
      <w:del w:id="265" w:author="svcMRProcess" w:date="2019-01-22T09:45:00Z">
        <w:r>
          <w:tab/>
          <w:delText>(1)</w:delText>
        </w:r>
        <w:r>
          <w:tab/>
          <w:delText>In section 3(1) delete the definitions of:</w:delText>
        </w:r>
      </w:del>
    </w:p>
    <w:p>
      <w:pPr>
        <w:pStyle w:val="DeleteListSub"/>
        <w:ind w:left="1418"/>
        <w:rPr>
          <w:del w:id="266" w:author="svcMRProcess" w:date="2019-01-22T09:45:00Z"/>
          <w:b/>
          <w:i/>
          <w:sz w:val="20"/>
        </w:rPr>
      </w:pPr>
      <w:del w:id="267" w:author="svcMRProcess" w:date="2019-01-22T09:45:00Z">
        <w:r>
          <w:rPr>
            <w:b/>
            <w:i/>
            <w:sz w:val="20"/>
          </w:rPr>
          <w:delText>drug of addiction</w:delText>
        </w:r>
      </w:del>
    </w:p>
    <w:p>
      <w:pPr>
        <w:pStyle w:val="DeleteListSub"/>
        <w:ind w:left="1418"/>
        <w:rPr>
          <w:del w:id="268" w:author="svcMRProcess" w:date="2019-01-22T09:45:00Z"/>
          <w:b/>
          <w:i/>
          <w:sz w:val="20"/>
        </w:rPr>
      </w:pPr>
      <w:del w:id="269" w:author="svcMRProcess" w:date="2019-01-22T09:45:00Z">
        <w:r>
          <w:rPr>
            <w:b/>
            <w:i/>
            <w:sz w:val="20"/>
          </w:rPr>
          <w:delText>restricted substance</w:delText>
        </w:r>
      </w:del>
    </w:p>
    <w:p>
      <w:pPr>
        <w:pStyle w:val="DeleteListSub"/>
        <w:ind w:left="1418"/>
        <w:rPr>
          <w:del w:id="270" w:author="svcMRProcess" w:date="2019-01-22T09:45:00Z"/>
          <w:sz w:val="20"/>
        </w:rPr>
      </w:pPr>
      <w:del w:id="271" w:author="svcMRProcess" w:date="2019-01-22T09:45:00Z">
        <w:r>
          <w:rPr>
            <w:b/>
            <w:i/>
            <w:sz w:val="20"/>
          </w:rPr>
          <w:delText>substance</w:delText>
        </w:r>
      </w:del>
    </w:p>
    <w:p>
      <w:pPr>
        <w:pStyle w:val="nzSubsection"/>
        <w:rPr>
          <w:del w:id="272" w:author="svcMRProcess" w:date="2019-01-22T09:45:00Z"/>
        </w:rPr>
      </w:pPr>
      <w:del w:id="273" w:author="svcMRProcess" w:date="2019-01-22T09:45:00Z">
        <w:r>
          <w:tab/>
          <w:delText>(2)</w:delText>
        </w:r>
        <w:r>
          <w:tab/>
          <w:delText>In section 3(1) insert in alphabetical order:</w:delText>
        </w:r>
      </w:del>
    </w:p>
    <w:p>
      <w:pPr>
        <w:pStyle w:val="BlankOpen"/>
        <w:rPr>
          <w:del w:id="274" w:author="svcMRProcess" w:date="2019-01-22T09:45:00Z"/>
        </w:rPr>
      </w:pPr>
    </w:p>
    <w:p>
      <w:pPr>
        <w:pStyle w:val="nzDefstart"/>
        <w:rPr>
          <w:del w:id="275" w:author="svcMRProcess" w:date="2019-01-22T09:45:00Z"/>
        </w:rPr>
      </w:pPr>
      <w:del w:id="276" w:author="svcMRProcess" w:date="2019-01-22T09:45:00Z">
        <w:r>
          <w:tab/>
        </w:r>
        <w:r>
          <w:rPr>
            <w:rStyle w:val="CharDefText"/>
          </w:rPr>
          <w:delText>medicine</w:delText>
        </w:r>
        <w:r>
          <w:delText xml:space="preserve"> has the meaning given in the </w:delText>
        </w:r>
        <w:r>
          <w:rPr>
            <w:i/>
          </w:rPr>
          <w:delText>Medicines and Poisons Act 2014</w:delText>
        </w:r>
        <w:r>
          <w:delText xml:space="preserve"> section 3;</w:delText>
        </w:r>
      </w:del>
    </w:p>
    <w:p>
      <w:pPr>
        <w:pStyle w:val="BlankClose"/>
        <w:rPr>
          <w:del w:id="277" w:author="svcMRProcess" w:date="2019-01-22T09:45:00Z"/>
        </w:rPr>
      </w:pPr>
    </w:p>
    <w:p>
      <w:pPr>
        <w:pStyle w:val="nzHeading5"/>
        <w:rPr>
          <w:del w:id="278" w:author="svcMRProcess" w:date="2019-01-22T09:45:00Z"/>
        </w:rPr>
      </w:pPr>
      <w:del w:id="279" w:author="svcMRProcess" w:date="2019-01-22T09:45:00Z">
        <w:r>
          <w:rPr>
            <w:rStyle w:val="CharSectno"/>
          </w:rPr>
          <w:delText>162</w:delText>
        </w:r>
        <w:r>
          <w:delText>.</w:delText>
        </w:r>
        <w:r>
          <w:tab/>
          <w:delText>Section 8 amended</w:delText>
        </w:r>
      </w:del>
    </w:p>
    <w:p>
      <w:pPr>
        <w:pStyle w:val="nzSubsection"/>
        <w:rPr>
          <w:del w:id="280" w:author="svcMRProcess" w:date="2019-01-22T09:45:00Z"/>
        </w:rPr>
      </w:pPr>
      <w:del w:id="281" w:author="svcMRProcess" w:date="2019-01-22T09:45:00Z">
        <w:r>
          <w:tab/>
        </w:r>
        <w:r>
          <w:tab/>
          <w:delText>In section 8(2):</w:delText>
        </w:r>
      </w:del>
    </w:p>
    <w:p>
      <w:pPr>
        <w:pStyle w:val="nzIndenta"/>
        <w:rPr>
          <w:del w:id="282" w:author="svcMRProcess" w:date="2019-01-22T09:45:00Z"/>
        </w:rPr>
      </w:pPr>
      <w:del w:id="283" w:author="svcMRProcess" w:date="2019-01-22T09:45:00Z">
        <w:r>
          <w:tab/>
          <w:delText>(a)</w:delText>
        </w:r>
        <w:r>
          <w:tab/>
          <w:delText>delete “possess, use or supply a substance” and insert:</w:delText>
        </w:r>
      </w:del>
    </w:p>
    <w:p>
      <w:pPr>
        <w:pStyle w:val="BlankOpen"/>
        <w:rPr>
          <w:del w:id="284" w:author="svcMRProcess" w:date="2019-01-22T09:45:00Z"/>
        </w:rPr>
      </w:pPr>
    </w:p>
    <w:p>
      <w:pPr>
        <w:pStyle w:val="nzIndenta"/>
        <w:rPr>
          <w:del w:id="285" w:author="svcMRProcess" w:date="2019-01-22T09:45:00Z"/>
        </w:rPr>
      </w:pPr>
      <w:del w:id="286" w:author="svcMRProcess" w:date="2019-01-22T09:45:00Z">
        <w:r>
          <w:tab/>
        </w:r>
        <w:r>
          <w:tab/>
          <w:delText>administer, possess, prescribe or supply a medicine</w:delText>
        </w:r>
      </w:del>
    </w:p>
    <w:p>
      <w:pPr>
        <w:pStyle w:val="BlankClose"/>
        <w:rPr>
          <w:del w:id="287" w:author="svcMRProcess" w:date="2019-01-22T09:45:00Z"/>
        </w:rPr>
      </w:pPr>
    </w:p>
    <w:p>
      <w:pPr>
        <w:pStyle w:val="nzIndenta"/>
        <w:rPr>
          <w:del w:id="288" w:author="svcMRProcess" w:date="2019-01-22T09:45:00Z"/>
        </w:rPr>
      </w:pPr>
      <w:del w:id="289" w:author="svcMRProcess" w:date="2019-01-22T09:45:00Z">
        <w:r>
          <w:tab/>
          <w:delText>(b)</w:delText>
        </w:r>
        <w:r>
          <w:tab/>
          <w:delText>delete “substance that may be lawfully possessed, used” and insert:</w:delText>
        </w:r>
      </w:del>
    </w:p>
    <w:p>
      <w:pPr>
        <w:pStyle w:val="BlankOpen"/>
        <w:rPr>
          <w:del w:id="290" w:author="svcMRProcess" w:date="2019-01-22T09:45:00Z"/>
        </w:rPr>
      </w:pPr>
    </w:p>
    <w:p>
      <w:pPr>
        <w:pStyle w:val="nzSubsection"/>
        <w:rPr>
          <w:del w:id="291" w:author="svcMRProcess" w:date="2019-01-22T09:45:00Z"/>
        </w:rPr>
      </w:pPr>
      <w:del w:id="292" w:author="svcMRProcess" w:date="2019-01-22T09:45:00Z">
        <w:r>
          <w:tab/>
        </w:r>
        <w:r>
          <w:tab/>
          <w:delText>medicine that may lawfully be administered, possessed, prescribed</w:delText>
        </w:r>
      </w:del>
    </w:p>
    <w:p>
      <w:pPr>
        <w:pStyle w:val="BlankClose"/>
        <w:rPr>
          <w:del w:id="293" w:author="svcMRProcess" w:date="2019-01-22T09:45:00Z"/>
        </w:rPr>
      </w:pPr>
    </w:p>
    <w:p>
      <w:pPr>
        <w:pStyle w:val="nzHeading5"/>
        <w:rPr>
          <w:del w:id="294" w:author="svcMRProcess" w:date="2019-01-22T09:45:00Z"/>
        </w:rPr>
      </w:pPr>
      <w:del w:id="295" w:author="svcMRProcess" w:date="2019-01-22T09:45:00Z">
        <w:r>
          <w:rPr>
            <w:rStyle w:val="CharSectno"/>
          </w:rPr>
          <w:delText>163</w:delText>
        </w:r>
        <w:r>
          <w:delText>.</w:delText>
        </w:r>
        <w:r>
          <w:tab/>
          <w:delText>Section 9 replaced</w:delText>
        </w:r>
      </w:del>
    </w:p>
    <w:p>
      <w:pPr>
        <w:pStyle w:val="nzSubsection"/>
        <w:rPr>
          <w:del w:id="296" w:author="svcMRProcess" w:date="2019-01-22T09:45:00Z"/>
        </w:rPr>
      </w:pPr>
      <w:del w:id="297" w:author="svcMRProcess" w:date="2019-01-22T09:45:00Z">
        <w:r>
          <w:tab/>
        </w:r>
        <w:r>
          <w:tab/>
          <w:delText>Delete section 9 and insert:</w:delText>
        </w:r>
      </w:del>
    </w:p>
    <w:p>
      <w:pPr>
        <w:pStyle w:val="BlankOpen"/>
        <w:rPr>
          <w:del w:id="298" w:author="svcMRProcess" w:date="2019-01-22T09:45:00Z"/>
        </w:rPr>
      </w:pPr>
    </w:p>
    <w:p>
      <w:pPr>
        <w:pStyle w:val="nzHeading5"/>
        <w:rPr>
          <w:del w:id="299" w:author="svcMRProcess" w:date="2019-01-22T09:45:00Z"/>
        </w:rPr>
      </w:pPr>
      <w:del w:id="300" w:author="svcMRProcess" w:date="2019-01-22T09:45:00Z">
        <w:r>
          <w:delText>9.</w:delText>
        </w:r>
        <w:r>
          <w:tab/>
          <w:delText xml:space="preserve">Supply of medicines </w:delText>
        </w:r>
      </w:del>
    </w:p>
    <w:p>
      <w:pPr>
        <w:pStyle w:val="nzSubsection"/>
        <w:rPr>
          <w:del w:id="301" w:author="svcMRProcess" w:date="2019-01-22T09:45:00Z"/>
        </w:rPr>
      </w:pPr>
      <w:del w:id="302" w:author="svcMRProcess" w:date="2019-01-22T09:45:00Z">
        <w:r>
          <w:tab/>
          <w:delText>(1)</w:delText>
        </w:r>
        <w:r>
          <w:tab/>
          <w:delText>The Minister may, by an order under section 6, authorise a person, or a class of persons, to supply a medicine —</w:delText>
        </w:r>
      </w:del>
    </w:p>
    <w:p>
      <w:pPr>
        <w:pStyle w:val="nzIndenta"/>
        <w:rPr>
          <w:del w:id="303" w:author="svcMRProcess" w:date="2019-01-22T09:45:00Z"/>
        </w:rPr>
      </w:pPr>
      <w:del w:id="304" w:author="svcMRProcess" w:date="2019-01-22T09:45:00Z">
        <w:r>
          <w:tab/>
          <w:delText>(a)</w:delText>
        </w:r>
        <w:r>
          <w:tab/>
          <w:delText>in accordance with a prescription issued by a visiting health professional; or</w:delText>
        </w:r>
      </w:del>
    </w:p>
    <w:p>
      <w:pPr>
        <w:pStyle w:val="nzIndenta"/>
        <w:rPr>
          <w:del w:id="305" w:author="svcMRProcess" w:date="2019-01-22T09:45:00Z"/>
        </w:rPr>
      </w:pPr>
      <w:del w:id="306" w:author="svcMRProcess" w:date="2019-01-22T09:45:00Z">
        <w:r>
          <w:tab/>
          <w:delText>(b)</w:delText>
        </w:r>
        <w:r>
          <w:tab/>
          <w:delText>to a visiting health professional as if the visiting health professional were a registered health professional of the like profession.</w:delText>
        </w:r>
      </w:del>
    </w:p>
    <w:p>
      <w:pPr>
        <w:pStyle w:val="nzSubsection"/>
        <w:rPr>
          <w:del w:id="307" w:author="svcMRProcess" w:date="2019-01-22T09:45:00Z"/>
        </w:rPr>
      </w:pPr>
      <w:del w:id="308" w:author="svcMRProcess" w:date="2019-01-22T09:45:00Z">
        <w:r>
          <w:tab/>
          <w:delText>(2)</w:delText>
        </w:r>
        <w:r>
          <w:tab/>
          <w:delText xml:space="preserve">The Minister is not to make an order containing an authorisation referred to in subsection (1) unless — </w:delText>
        </w:r>
      </w:del>
    </w:p>
    <w:p>
      <w:pPr>
        <w:pStyle w:val="nzIndenta"/>
        <w:rPr>
          <w:del w:id="309" w:author="svcMRProcess" w:date="2019-01-22T09:45:00Z"/>
        </w:rPr>
      </w:pPr>
      <w:del w:id="310" w:author="svcMRProcess" w:date="2019-01-22T09:45:00Z">
        <w:r>
          <w:tab/>
          <w:delText>(a)</w:delText>
        </w:r>
        <w:r>
          <w:tab/>
          <w:delText xml:space="preserve">the person or the class of persons authorised to supply the medicine is authorised under the </w:delText>
        </w:r>
        <w:r>
          <w:rPr>
            <w:i/>
            <w:snapToGrid w:val="0"/>
          </w:rPr>
          <w:delText>Medicines and Poisons Act 2014</w:delText>
        </w:r>
        <w:r>
          <w:delText xml:space="preserve"> to supply the medicine to, or in accordance with a prescription issued by, a registered health professional of the like profession; and</w:delText>
        </w:r>
      </w:del>
    </w:p>
    <w:p>
      <w:pPr>
        <w:pStyle w:val="nzIndenta"/>
        <w:rPr>
          <w:del w:id="311" w:author="svcMRProcess" w:date="2019-01-22T09:45:00Z"/>
        </w:rPr>
      </w:pPr>
      <w:del w:id="312" w:author="svcMRProcess" w:date="2019-01-22T09:45:00Z">
        <w:r>
          <w:tab/>
          <w:delText>(b)</w:delText>
        </w:r>
        <w:r>
          <w:tab/>
          <w:delText>the Minister is satisfied that adequate arrangements are in place to ensure that the medicines concerned will only be used in connection with the provision of health services that are authorised under this Act.</w:delText>
        </w:r>
      </w:del>
    </w:p>
    <w:p>
      <w:pPr>
        <w:pStyle w:val="nzSubsection"/>
        <w:rPr>
          <w:del w:id="313" w:author="svcMRProcess" w:date="2019-01-22T09:45:00Z"/>
          <w:snapToGrid w:val="0"/>
        </w:rPr>
      </w:pPr>
      <w:del w:id="314" w:author="svcMRProcess" w:date="2019-01-22T09:45:00Z">
        <w:r>
          <w:tab/>
          <w:delText>(3)</w:delText>
        </w:r>
        <w:r>
          <w:tab/>
          <w:delText>An order under section 6 may impose conditions on any authorisation referred to in this section that is conferred by the order.</w:delText>
        </w:r>
      </w:del>
    </w:p>
    <w:p>
      <w:pPr>
        <w:pStyle w:val="BlankClose"/>
        <w:rPr>
          <w:del w:id="315" w:author="svcMRProcess" w:date="2019-01-22T09:45:00Z"/>
        </w:rPr>
      </w:pPr>
    </w:p>
    <w:p>
      <w:pPr>
        <w:pStyle w:val="nzHeading5"/>
        <w:rPr>
          <w:del w:id="316" w:author="svcMRProcess" w:date="2019-01-22T09:45:00Z"/>
        </w:rPr>
      </w:pPr>
      <w:del w:id="317" w:author="svcMRProcess" w:date="2019-01-22T09:45:00Z">
        <w:r>
          <w:rPr>
            <w:rStyle w:val="CharSectno"/>
          </w:rPr>
          <w:delText>164</w:delText>
        </w:r>
        <w:r>
          <w:delText>.</w:delText>
        </w:r>
        <w:r>
          <w:tab/>
          <w:delText>Section 11 amended</w:delText>
        </w:r>
      </w:del>
    </w:p>
    <w:p>
      <w:pPr>
        <w:pStyle w:val="nzSubsection"/>
        <w:rPr>
          <w:del w:id="318" w:author="svcMRProcess" w:date="2019-01-22T09:45:00Z"/>
        </w:rPr>
      </w:pPr>
      <w:del w:id="319" w:author="svcMRProcess" w:date="2019-01-22T09:45:00Z">
        <w:r>
          <w:tab/>
          <w:delText>(1)</w:delText>
        </w:r>
        <w:r>
          <w:tab/>
          <w:delText>In section 11(1):</w:delText>
        </w:r>
      </w:del>
    </w:p>
    <w:p>
      <w:pPr>
        <w:pStyle w:val="nzIndenta"/>
        <w:rPr>
          <w:del w:id="320" w:author="svcMRProcess" w:date="2019-01-22T09:45:00Z"/>
        </w:rPr>
      </w:pPr>
      <w:del w:id="321" w:author="svcMRProcess" w:date="2019-01-22T09:45:00Z">
        <w:r>
          <w:tab/>
          <w:delText>(a)</w:delText>
        </w:r>
        <w:r>
          <w:tab/>
          <w:delText>delete “</w:delText>
        </w:r>
        <w:r>
          <w:rPr>
            <w:i/>
          </w:rPr>
          <w:delText>Poisons Act 1964</w:delText>
        </w:r>
        <w:r>
          <w:delText>,” and insert:</w:delText>
        </w:r>
      </w:del>
    </w:p>
    <w:p>
      <w:pPr>
        <w:pStyle w:val="BlankOpen"/>
        <w:rPr>
          <w:del w:id="322" w:author="svcMRProcess" w:date="2019-01-22T09:45:00Z"/>
          <w:snapToGrid w:val="0"/>
        </w:rPr>
      </w:pPr>
    </w:p>
    <w:p>
      <w:pPr>
        <w:pStyle w:val="nzIndenta"/>
        <w:rPr>
          <w:del w:id="323" w:author="svcMRProcess" w:date="2019-01-22T09:45:00Z"/>
        </w:rPr>
      </w:pPr>
      <w:del w:id="324" w:author="svcMRProcess" w:date="2019-01-22T09:45:00Z">
        <w:r>
          <w:rPr>
            <w:snapToGrid w:val="0"/>
          </w:rPr>
          <w:tab/>
        </w:r>
        <w:r>
          <w:rPr>
            <w:snapToGrid w:val="0"/>
          </w:rPr>
          <w:tab/>
        </w:r>
        <w:r>
          <w:rPr>
            <w:i/>
            <w:snapToGrid w:val="0"/>
          </w:rPr>
          <w:delText>Medicines and Poisons Act 2014</w:delText>
        </w:r>
        <w:r>
          <w:rPr>
            <w:snapToGrid w:val="0"/>
          </w:rPr>
          <w:delText>,</w:delText>
        </w:r>
      </w:del>
    </w:p>
    <w:p>
      <w:pPr>
        <w:pStyle w:val="BlankClose"/>
        <w:rPr>
          <w:del w:id="325" w:author="svcMRProcess" w:date="2019-01-22T09:45:00Z"/>
        </w:rPr>
      </w:pPr>
    </w:p>
    <w:p>
      <w:pPr>
        <w:pStyle w:val="nzIndenta"/>
        <w:rPr>
          <w:del w:id="326" w:author="svcMRProcess" w:date="2019-01-22T09:45:00Z"/>
        </w:rPr>
      </w:pPr>
      <w:del w:id="327" w:author="svcMRProcess" w:date="2019-01-22T09:45:00Z">
        <w:r>
          <w:tab/>
          <w:delText>(b)</w:delText>
        </w:r>
        <w:r>
          <w:tab/>
          <w:delText>delete paragraphs (b) and (c) and insert:</w:delText>
        </w:r>
      </w:del>
    </w:p>
    <w:p>
      <w:pPr>
        <w:pStyle w:val="BlankOpen"/>
        <w:rPr>
          <w:del w:id="328" w:author="svcMRProcess" w:date="2019-01-22T09:45:00Z"/>
        </w:rPr>
      </w:pPr>
    </w:p>
    <w:p>
      <w:pPr>
        <w:pStyle w:val="nzIndenta"/>
        <w:rPr>
          <w:del w:id="329" w:author="svcMRProcess" w:date="2019-01-22T09:45:00Z"/>
          <w:snapToGrid w:val="0"/>
        </w:rPr>
      </w:pPr>
      <w:del w:id="330" w:author="svcMRProcess" w:date="2019-01-22T09:45:00Z">
        <w:r>
          <w:tab/>
          <w:delText>(b)</w:delText>
        </w:r>
        <w:r>
          <w:tab/>
        </w:r>
        <w:r>
          <w:rPr>
            <w:snapToGrid w:val="0"/>
          </w:rPr>
          <w:delText>administering, possessing, prescribing or</w:delText>
        </w:r>
        <w:r>
          <w:delText xml:space="preserve"> supplying a medicine</w:delText>
        </w:r>
        <w:r>
          <w:rPr>
            <w:snapToGrid w:val="0"/>
          </w:rPr>
          <w:delText xml:space="preserve"> in the course of providing those authorised health care services where the medicine is — </w:delText>
        </w:r>
      </w:del>
    </w:p>
    <w:p>
      <w:pPr>
        <w:pStyle w:val="nzIndenti"/>
        <w:rPr>
          <w:del w:id="331" w:author="svcMRProcess" w:date="2019-01-22T09:45:00Z"/>
          <w:snapToGrid w:val="0"/>
        </w:rPr>
      </w:pPr>
      <w:del w:id="332" w:author="svcMRProcess" w:date="2019-01-22T09:45:00Z">
        <w:r>
          <w:rPr>
            <w:snapToGrid w:val="0"/>
          </w:rPr>
          <w:tab/>
          <w:delText>(i)</w:delText>
        </w:r>
        <w:r>
          <w:rPr>
            <w:snapToGrid w:val="0"/>
          </w:rPr>
          <w:tab/>
          <w:delText>lawfully imported or lawfully obtained in Australia by the visiting health professional; and</w:delText>
        </w:r>
      </w:del>
    </w:p>
    <w:p>
      <w:pPr>
        <w:pStyle w:val="nzIndenti"/>
        <w:rPr>
          <w:del w:id="333" w:author="svcMRProcess" w:date="2019-01-22T09:45:00Z"/>
        </w:rPr>
      </w:pPr>
      <w:del w:id="334" w:author="svcMRProcess" w:date="2019-01-22T09:45:00Z">
        <w:r>
          <w:tab/>
          <w:delText>(ii)</w:delText>
        </w:r>
        <w:r>
          <w:tab/>
          <w:delText>a medicine that may lawfully be administered, possessed, prescribed or supplied by a registered health professional of the like profession;</w:delText>
        </w:r>
      </w:del>
    </w:p>
    <w:p>
      <w:pPr>
        <w:pStyle w:val="nzIndenta"/>
        <w:rPr>
          <w:del w:id="335" w:author="svcMRProcess" w:date="2019-01-22T09:45:00Z"/>
        </w:rPr>
      </w:pPr>
      <w:del w:id="336" w:author="svcMRProcess" w:date="2019-01-22T09:45:00Z">
        <w:r>
          <w:tab/>
        </w:r>
        <w:r>
          <w:tab/>
          <w:delText>or</w:delText>
        </w:r>
      </w:del>
    </w:p>
    <w:p>
      <w:pPr>
        <w:pStyle w:val="BlankClose"/>
        <w:rPr>
          <w:del w:id="337" w:author="svcMRProcess" w:date="2019-01-22T09:45:00Z"/>
        </w:rPr>
      </w:pPr>
    </w:p>
    <w:p>
      <w:pPr>
        <w:pStyle w:val="nzIndenta"/>
        <w:rPr>
          <w:del w:id="338" w:author="svcMRProcess" w:date="2019-01-22T09:45:00Z"/>
        </w:rPr>
      </w:pPr>
      <w:del w:id="339" w:author="svcMRProcess" w:date="2019-01-22T09:45:00Z">
        <w:r>
          <w:tab/>
          <w:delText>(c)</w:delText>
        </w:r>
        <w:r>
          <w:tab/>
          <w:delText>after each of paragraphs (a) and (d) insert:</w:delText>
        </w:r>
      </w:del>
    </w:p>
    <w:p>
      <w:pPr>
        <w:pStyle w:val="BlankOpen"/>
        <w:rPr>
          <w:del w:id="340" w:author="svcMRProcess" w:date="2019-01-22T09:45:00Z"/>
        </w:rPr>
      </w:pPr>
    </w:p>
    <w:p>
      <w:pPr>
        <w:pStyle w:val="nzIndenta"/>
        <w:rPr>
          <w:del w:id="341" w:author="svcMRProcess" w:date="2019-01-22T09:45:00Z"/>
        </w:rPr>
      </w:pPr>
      <w:del w:id="342" w:author="svcMRProcess" w:date="2019-01-22T09:45:00Z">
        <w:r>
          <w:tab/>
        </w:r>
        <w:r>
          <w:tab/>
          <w:delText>or</w:delText>
        </w:r>
      </w:del>
    </w:p>
    <w:p>
      <w:pPr>
        <w:pStyle w:val="BlankClose"/>
        <w:rPr>
          <w:del w:id="343" w:author="svcMRProcess" w:date="2019-01-22T09:45:00Z"/>
        </w:rPr>
      </w:pPr>
    </w:p>
    <w:p>
      <w:pPr>
        <w:pStyle w:val="nzSubsection"/>
        <w:rPr>
          <w:del w:id="344" w:author="svcMRProcess" w:date="2019-01-22T09:45:00Z"/>
        </w:rPr>
      </w:pPr>
      <w:del w:id="345" w:author="svcMRProcess" w:date="2019-01-22T09:45:00Z">
        <w:r>
          <w:tab/>
          <w:delText>(2)</w:delText>
        </w:r>
        <w:r>
          <w:tab/>
          <w:delText>In section 11(2):</w:delText>
        </w:r>
      </w:del>
    </w:p>
    <w:p>
      <w:pPr>
        <w:pStyle w:val="nzIndenta"/>
        <w:rPr>
          <w:del w:id="346" w:author="svcMRProcess" w:date="2019-01-22T09:45:00Z"/>
        </w:rPr>
      </w:pPr>
      <w:del w:id="347" w:author="svcMRProcess" w:date="2019-01-22T09:45:00Z">
        <w:r>
          <w:tab/>
          <w:delText>(a)</w:delText>
        </w:r>
        <w:r>
          <w:tab/>
          <w:delText>delete “</w:delText>
        </w:r>
        <w:r>
          <w:rPr>
            <w:i/>
          </w:rPr>
          <w:delText>Poisons Act 1964</w:delText>
        </w:r>
        <w:r>
          <w:delText>” and insert:</w:delText>
        </w:r>
      </w:del>
    </w:p>
    <w:p>
      <w:pPr>
        <w:pStyle w:val="BlankOpen"/>
        <w:rPr>
          <w:del w:id="348" w:author="svcMRProcess" w:date="2019-01-22T09:45:00Z"/>
          <w:snapToGrid w:val="0"/>
        </w:rPr>
      </w:pPr>
    </w:p>
    <w:p>
      <w:pPr>
        <w:pStyle w:val="nzIndenta"/>
        <w:rPr>
          <w:del w:id="349" w:author="svcMRProcess" w:date="2019-01-22T09:45:00Z"/>
        </w:rPr>
      </w:pPr>
      <w:del w:id="350" w:author="svcMRProcess" w:date="2019-01-22T09:45:00Z">
        <w:r>
          <w:rPr>
            <w:snapToGrid w:val="0"/>
          </w:rPr>
          <w:tab/>
        </w:r>
        <w:r>
          <w:rPr>
            <w:snapToGrid w:val="0"/>
          </w:rPr>
          <w:tab/>
        </w:r>
        <w:r>
          <w:rPr>
            <w:i/>
            <w:snapToGrid w:val="0"/>
          </w:rPr>
          <w:delText>Medicines and Poisons Act 2014</w:delText>
        </w:r>
      </w:del>
    </w:p>
    <w:p>
      <w:pPr>
        <w:pStyle w:val="BlankClose"/>
        <w:rPr>
          <w:del w:id="351" w:author="svcMRProcess" w:date="2019-01-22T09:45:00Z"/>
        </w:rPr>
      </w:pPr>
    </w:p>
    <w:p>
      <w:pPr>
        <w:pStyle w:val="nzIndenta"/>
        <w:rPr>
          <w:del w:id="352" w:author="svcMRProcess" w:date="2019-01-22T09:45:00Z"/>
        </w:rPr>
      </w:pPr>
      <w:del w:id="353" w:author="svcMRProcess" w:date="2019-01-22T09:45:00Z">
        <w:r>
          <w:tab/>
          <w:delText>(b)</w:delText>
        </w:r>
        <w:r>
          <w:tab/>
          <w:delText>delete “substance” and insert:</w:delText>
        </w:r>
      </w:del>
    </w:p>
    <w:p>
      <w:pPr>
        <w:pStyle w:val="BlankOpen"/>
        <w:rPr>
          <w:del w:id="354" w:author="svcMRProcess" w:date="2019-01-22T09:45:00Z"/>
        </w:rPr>
      </w:pPr>
    </w:p>
    <w:p>
      <w:pPr>
        <w:pStyle w:val="nzIndenta"/>
        <w:rPr>
          <w:del w:id="355" w:author="svcMRProcess" w:date="2019-01-22T09:45:00Z"/>
        </w:rPr>
      </w:pPr>
      <w:del w:id="356" w:author="svcMRProcess" w:date="2019-01-22T09:45:00Z">
        <w:r>
          <w:tab/>
        </w:r>
        <w:r>
          <w:tab/>
          <w:delText>medicine</w:delText>
        </w:r>
      </w:del>
    </w:p>
    <w:p>
      <w:pPr>
        <w:pStyle w:val="BlankClose"/>
        <w:rPr>
          <w:del w:id="357" w:author="svcMRProcess" w:date="2019-01-22T09:45:00Z"/>
        </w:rPr>
      </w:pPr>
    </w:p>
    <w:p>
      <w:pPr>
        <w:pStyle w:val="nzSubsection"/>
        <w:keepNext/>
        <w:rPr>
          <w:del w:id="358" w:author="svcMRProcess" w:date="2019-01-22T09:45:00Z"/>
        </w:rPr>
      </w:pPr>
      <w:del w:id="359" w:author="svcMRProcess" w:date="2019-01-22T09:45:00Z">
        <w:r>
          <w:tab/>
          <w:delText>(3)</w:delText>
        </w:r>
        <w:r>
          <w:tab/>
          <w:delText>Delete section 11(3) and insert:</w:delText>
        </w:r>
      </w:del>
    </w:p>
    <w:p>
      <w:pPr>
        <w:pStyle w:val="BlankOpen"/>
        <w:rPr>
          <w:del w:id="360" w:author="svcMRProcess" w:date="2019-01-22T09:45:00Z"/>
        </w:rPr>
      </w:pPr>
    </w:p>
    <w:p>
      <w:pPr>
        <w:pStyle w:val="nzSubsection"/>
        <w:rPr>
          <w:del w:id="361" w:author="svcMRProcess" w:date="2019-01-22T09:45:00Z"/>
        </w:rPr>
      </w:pPr>
      <w:del w:id="362" w:author="svcMRProcess" w:date="2019-01-22T09:45:00Z">
        <w:r>
          <w:tab/>
          <w:delText>(3)</w:delText>
        </w:r>
        <w:r>
          <w:tab/>
          <w:delText xml:space="preserve">A person does not commit an offence under the </w:delText>
        </w:r>
        <w:r>
          <w:rPr>
            <w:i/>
            <w:snapToGrid w:val="0"/>
          </w:rPr>
          <w:delText>Medicines and Poisons Act 2014</w:delText>
        </w:r>
        <w:r>
          <w:delText xml:space="preserve"> or the </w:delText>
        </w:r>
        <w:r>
          <w:rPr>
            <w:i/>
            <w:iCs/>
          </w:rPr>
          <w:delText>Misuse of Drugs Act 1981</w:delText>
        </w:r>
        <w:r>
          <w:delText xml:space="preserve"> for supplying a medicine in accordance with a prescription issued by a visiting health professional if —</w:delText>
        </w:r>
      </w:del>
    </w:p>
    <w:p>
      <w:pPr>
        <w:pStyle w:val="nzIndenta"/>
        <w:rPr>
          <w:del w:id="363" w:author="svcMRProcess" w:date="2019-01-22T09:45:00Z"/>
        </w:rPr>
      </w:pPr>
      <w:del w:id="364" w:author="svcMRProcess" w:date="2019-01-22T09:45:00Z">
        <w:r>
          <w:tab/>
          <w:delText>(a)</w:delText>
        </w:r>
        <w:r>
          <w:tab/>
          <w:delText>the visiting health professional is authorised under this Act to issue the prescription; and</w:delText>
        </w:r>
      </w:del>
    </w:p>
    <w:p>
      <w:pPr>
        <w:pStyle w:val="nzIndenta"/>
        <w:rPr>
          <w:del w:id="365" w:author="svcMRProcess" w:date="2019-01-22T09:45:00Z"/>
        </w:rPr>
      </w:pPr>
      <w:del w:id="366" w:author="svcMRProcess" w:date="2019-01-22T09:45:00Z">
        <w:r>
          <w:tab/>
          <w:delText>(b)</w:delText>
        </w:r>
        <w:r>
          <w:tab/>
          <w:delText>the person is authorised under this Act to supply the medicine in accordance with such a prescription; and</w:delText>
        </w:r>
      </w:del>
    </w:p>
    <w:p>
      <w:pPr>
        <w:pStyle w:val="nzIndenta"/>
        <w:rPr>
          <w:del w:id="367" w:author="svcMRProcess" w:date="2019-01-22T09:45:00Z"/>
        </w:rPr>
      </w:pPr>
      <w:del w:id="368" w:author="svcMRProcess" w:date="2019-01-22T09:45:00Z">
        <w:r>
          <w:tab/>
          <w:delText>(c)</w:delText>
        </w:r>
        <w:r>
          <w:tab/>
          <w:delText xml:space="preserve">the supply would be lawful under the </w:delText>
        </w:r>
        <w:r>
          <w:rPr>
            <w:i/>
            <w:snapToGrid w:val="0"/>
          </w:rPr>
          <w:delText>Medicines and Poisons Act 2014</w:delText>
        </w:r>
        <w:r>
          <w:delText xml:space="preserve"> if the prescription had been issued by a registered health professional of the like profession.</w:delText>
        </w:r>
      </w:del>
    </w:p>
    <w:p>
      <w:pPr>
        <w:pStyle w:val="nzSubsection"/>
        <w:rPr>
          <w:del w:id="369" w:author="svcMRProcess" w:date="2019-01-22T09:45:00Z"/>
        </w:rPr>
      </w:pPr>
      <w:del w:id="370" w:author="svcMRProcess" w:date="2019-01-22T09:45:00Z">
        <w:r>
          <w:tab/>
          <w:delText>(4A)</w:delText>
        </w:r>
        <w:r>
          <w:tab/>
          <w:delText xml:space="preserve">A person does not commit an offence under the </w:delText>
        </w:r>
        <w:r>
          <w:rPr>
            <w:i/>
            <w:snapToGrid w:val="0"/>
          </w:rPr>
          <w:delText>Medicines and Poisons Act 2014</w:delText>
        </w:r>
        <w:r>
          <w:delText xml:space="preserve"> or the </w:delText>
        </w:r>
        <w:r>
          <w:rPr>
            <w:i/>
            <w:iCs/>
          </w:rPr>
          <w:delText>Misuse of Drugs Act 1981</w:delText>
        </w:r>
        <w:r>
          <w:delText xml:space="preserve"> for supplying a medicine to a visiting health professional if —</w:delText>
        </w:r>
      </w:del>
    </w:p>
    <w:p>
      <w:pPr>
        <w:pStyle w:val="nzIndenta"/>
        <w:rPr>
          <w:del w:id="371" w:author="svcMRProcess" w:date="2019-01-22T09:45:00Z"/>
        </w:rPr>
      </w:pPr>
      <w:del w:id="372" w:author="svcMRProcess" w:date="2019-01-22T09:45:00Z">
        <w:r>
          <w:tab/>
          <w:delText>(a)</w:delText>
        </w:r>
        <w:r>
          <w:tab/>
          <w:delText>the person is authorised under this Act to supply the medicine; and</w:delText>
        </w:r>
      </w:del>
    </w:p>
    <w:p>
      <w:pPr>
        <w:pStyle w:val="nzIndenta"/>
        <w:rPr>
          <w:del w:id="373" w:author="svcMRProcess" w:date="2019-01-22T09:45:00Z"/>
        </w:rPr>
      </w:pPr>
      <w:del w:id="374" w:author="svcMRProcess" w:date="2019-01-22T09:45:00Z">
        <w:r>
          <w:tab/>
          <w:delText>(b)</w:delText>
        </w:r>
        <w:r>
          <w:tab/>
          <w:delText xml:space="preserve">the supply would be lawful under the </w:delText>
        </w:r>
        <w:r>
          <w:rPr>
            <w:i/>
            <w:snapToGrid w:val="0"/>
          </w:rPr>
          <w:delText>Medicines and Poisons Act 2014</w:delText>
        </w:r>
        <w:r>
          <w:delText xml:space="preserve"> if the visiting health professional were a registered health professional of the like profession.</w:delText>
        </w:r>
      </w:del>
    </w:p>
    <w:p>
      <w:pPr>
        <w:pStyle w:val="BlankClose"/>
        <w:rPr>
          <w:del w:id="375" w:author="svcMRProcess" w:date="2019-01-22T09:45:00Z"/>
        </w:rPr>
      </w:pPr>
    </w:p>
    <w:p>
      <w:pPr>
        <w:pStyle w:val="nzSubsection"/>
        <w:rPr>
          <w:del w:id="376" w:author="svcMRProcess" w:date="2019-01-22T09:45:00Z"/>
        </w:rPr>
      </w:pPr>
      <w:del w:id="377" w:author="svcMRProcess" w:date="2019-01-22T09:45:00Z">
        <w:r>
          <w:tab/>
          <w:delText>(4)</w:delText>
        </w:r>
        <w:r>
          <w:tab/>
          <w:delText>In section 11(4) delete “(2) or (3)” and insert:</w:delText>
        </w:r>
      </w:del>
    </w:p>
    <w:p>
      <w:pPr>
        <w:pStyle w:val="BlankOpen"/>
        <w:rPr>
          <w:del w:id="378" w:author="svcMRProcess" w:date="2019-01-22T09:45:00Z"/>
        </w:rPr>
      </w:pPr>
    </w:p>
    <w:p>
      <w:pPr>
        <w:pStyle w:val="nzSubsection"/>
        <w:rPr>
          <w:del w:id="379" w:author="svcMRProcess" w:date="2019-01-22T09:45:00Z"/>
        </w:rPr>
      </w:pPr>
      <w:del w:id="380" w:author="svcMRProcess" w:date="2019-01-22T09:45:00Z">
        <w:r>
          <w:tab/>
        </w:r>
        <w:r>
          <w:tab/>
          <w:delText>(2), (3) or (4A)</w:delText>
        </w:r>
      </w:del>
    </w:p>
    <w:p>
      <w:pPr>
        <w:pStyle w:val="BlankClose"/>
        <w:rPr>
          <w:del w:id="381" w:author="svcMRProcess" w:date="2019-01-22T09:45:00Z"/>
        </w:rPr>
      </w:pPr>
    </w:p>
    <w:p>
      <w:pPr>
        <w:pStyle w:val="BlankClose"/>
        <w:rPr>
          <w:del w:id="382" w:author="svcMRProcess" w:date="2019-01-22T09:45:00Z"/>
        </w:rPr>
      </w:pPr>
    </w:p>
    <w:p>
      <w:pPr>
        <w:rPr>
          <w:del w:id="383" w:author="svcMRProcess" w:date="2019-01-22T09:45:00Z"/>
        </w:rPr>
      </w:pPr>
    </w:p>
    <w:p>
      <w:pPr>
        <w:rPr>
          <w:del w:id="384" w:author="svcMRProcess" w:date="2019-01-22T09:45:00Z"/>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del w:id="385" w:author="svcMRProcess" w:date="2019-01-22T09:45:00Z"/>
        </w:rPr>
      </w:pPr>
    </w:p>
    <w:p>
      <w:pPr>
        <w:rPr>
          <w:del w:id="386" w:author="svcMRProcess" w:date="2019-01-22T09:45:00Z"/>
        </w:rPr>
      </w:pPr>
    </w:p>
    <w:p>
      <w:pPr>
        <w:rPr>
          <w:del w:id="387" w:author="svcMRProcess" w:date="2019-01-22T09:45:00Z"/>
        </w:rPr>
      </w:pPr>
    </w:p>
    <w:p>
      <w:pPr>
        <w:rPr>
          <w:del w:id="388" w:author="svcMRProcess" w:date="2019-01-22T09:45:00Z"/>
        </w:rPr>
      </w:pPr>
    </w:p>
    <w:p>
      <w:pPr>
        <w:rPr>
          <w:del w:id="389" w:author="svcMRProcess" w:date="2019-01-22T09:45:00Z"/>
        </w:rPr>
      </w:pPr>
    </w:p>
    <w:p>
      <w:pPr>
        <w:rPr>
          <w:del w:id="390" w:author="svcMRProcess" w:date="2019-01-22T09:45:00Z"/>
        </w:rPr>
      </w:pPr>
    </w:p>
    <w:p>
      <w:pPr>
        <w:rPr>
          <w:del w:id="391" w:author="svcMRProcess" w:date="2019-01-22T09:45:00Z"/>
        </w:rPr>
      </w:pPr>
    </w:p>
    <w:p>
      <w:pPr>
        <w:rPr>
          <w:del w:id="392" w:author="svcMRProcess" w:date="2019-01-22T09:45:00Z"/>
        </w:rPr>
      </w:pPr>
    </w:p>
    <w:p>
      <w:pPr>
        <w:rPr>
          <w:del w:id="393" w:author="svcMRProcess" w:date="2019-01-22T09:45:00Z"/>
        </w:rPr>
      </w:pPr>
    </w:p>
    <w:p>
      <w:pPr>
        <w:rPr>
          <w:del w:id="394" w:author="svcMRProcess" w:date="2019-01-22T09:45:00Z"/>
        </w:rPr>
      </w:pPr>
    </w:p>
    <w:p>
      <w:pPr>
        <w:rPr>
          <w:del w:id="395" w:author="svcMRProcess" w:date="2019-01-22T09:45:00Z"/>
        </w:rPr>
      </w:pPr>
    </w:p>
    <w:p>
      <w:pPr>
        <w:rPr>
          <w:del w:id="396" w:author="svcMRProcess" w:date="2019-01-22T09:45:00Z"/>
        </w:rPr>
      </w:pPr>
    </w:p>
    <w:p>
      <w:pPr>
        <w:rPr>
          <w:del w:id="397" w:author="svcMRProcess" w:date="2019-01-22T09:45:00Z"/>
        </w:rPr>
      </w:pPr>
    </w:p>
    <w:p>
      <w:pPr>
        <w:rPr>
          <w:del w:id="398" w:author="svcMRProcess" w:date="2019-01-22T09:45:00Z"/>
        </w:rPr>
      </w:pPr>
    </w:p>
    <w:p>
      <w:pPr>
        <w:rPr>
          <w:del w:id="399" w:author="svcMRProcess" w:date="2019-01-22T09:45:00Z"/>
        </w:rPr>
      </w:pPr>
    </w:p>
    <w:p>
      <w:pPr>
        <w:rPr>
          <w:del w:id="400" w:author="svcMRProcess" w:date="2019-01-22T09:45:00Z"/>
        </w:rPr>
      </w:pPr>
    </w:p>
    <w:p>
      <w:pPr>
        <w:rPr>
          <w:del w:id="401" w:author="svcMRProcess" w:date="2019-01-22T09:45:00Z"/>
        </w:rPr>
      </w:pPr>
    </w:p>
    <w:p>
      <w:pPr>
        <w:rPr>
          <w:del w:id="402" w:author="svcMRProcess" w:date="2019-01-22T09:45:00Z"/>
        </w:rPr>
      </w:pPr>
    </w:p>
    <w:p>
      <w:pPr>
        <w:rPr>
          <w:del w:id="403" w:author="svcMRProcess" w:date="2019-01-22T09:45:00Z"/>
        </w:rPr>
      </w:pPr>
    </w:p>
    <w:p>
      <w:pPr>
        <w:rPr>
          <w:ins w:id="404" w:author="svcMRProcess" w:date="2019-01-22T09:45:00Z"/>
        </w:rPr>
      </w:pPr>
    </w:p>
    <w:p>
      <w:pPr>
        <w:rPr>
          <w:ins w:id="405" w:author="svcMRProcess" w:date="2019-01-22T09:45: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6" w:name="Compilation"/>
    <w:bookmarkEnd w:id="4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7" w:name="Coversheet"/>
    <w:bookmarkEnd w:id="4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lvlText w:val="%1."/>
      <w:lvlJc w:val="left"/>
      <w:pPr>
        <w:tabs>
          <w:tab w:val="num" w:pos="1800"/>
        </w:tabs>
        <w:ind w:left="1800" w:hanging="360"/>
      </w:pPr>
    </w:lvl>
  </w:abstractNum>
  <w:abstractNum w:abstractNumId="1">
    <w:nsid w:val="FFFFFF7D"/>
    <w:multiLevelType w:val="singleLevel"/>
    <w:tmpl w:val="86304832"/>
    <w:lvl w:ilvl="0">
      <w:start w:val="1"/>
      <w:numFmt w:val="decimal"/>
      <w:lvlText w:val="%1."/>
      <w:lvlJc w:val="left"/>
      <w:pPr>
        <w:tabs>
          <w:tab w:val="num" w:pos="1440"/>
        </w:tabs>
        <w:ind w:left="1440" w:hanging="360"/>
      </w:pPr>
    </w:lvl>
  </w:abstractNum>
  <w:abstractNum w:abstractNumId="2">
    <w:nsid w:val="FFFFFF7E"/>
    <w:multiLevelType w:val="singleLevel"/>
    <w:tmpl w:val="37B2F708"/>
    <w:lvl w:ilvl="0">
      <w:start w:val="1"/>
      <w:numFmt w:val="decimal"/>
      <w:lvlText w:val="%1."/>
      <w:lvlJc w:val="left"/>
      <w:pPr>
        <w:tabs>
          <w:tab w:val="num" w:pos="1080"/>
        </w:tabs>
        <w:ind w:left="1080" w:hanging="360"/>
      </w:pPr>
    </w:lvl>
  </w:abstractNum>
  <w:abstractNum w:abstractNumId="3">
    <w:nsid w:val="FFFFFF7F"/>
    <w:multiLevelType w:val="singleLevel"/>
    <w:tmpl w:val="14741858"/>
    <w:lvl w:ilvl="0">
      <w:start w:val="1"/>
      <w:numFmt w:val="decimal"/>
      <w:lvlText w:val="%1."/>
      <w:lvlJc w:val="left"/>
      <w:pPr>
        <w:tabs>
          <w:tab w:val="num" w:pos="720"/>
        </w:tabs>
        <w:ind w:left="720" w:hanging="360"/>
      </w:pPr>
    </w:lvl>
  </w:abstractNum>
  <w:abstractNum w:abstractNumId="4">
    <w:nsid w:val="FFFFFF80"/>
    <w:multiLevelType w:val="singleLevel"/>
    <w:tmpl w:val="E06C0B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lvlText w:val="%1."/>
      <w:lvlJc w:val="left"/>
      <w:pPr>
        <w:tabs>
          <w:tab w:val="num" w:pos="360"/>
        </w:tabs>
        <w:ind w:left="360" w:hanging="360"/>
      </w:pPr>
    </w:lvl>
  </w:abstractNum>
  <w:abstractNum w:abstractNumId="9">
    <w:nsid w:val="FFFFFF89"/>
    <w:multiLevelType w:val="singleLevel"/>
    <w:tmpl w:val="9A2CF8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AEC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149"/>
    <w:docVar w:name="WAFER_20140116153434" w:val="RemoveTocBookmarks,RemoveUnusedBookmarks,RemoveLanguageTags,UsedStyles,ResetPageSize,UpdateArrangement"/>
    <w:docVar w:name="WAFER_20140116153434_GUID" w:val="a09db687-d101-447f-a9ac-45b347e0ef12"/>
    <w:docVar w:name="WAFER_20140217094201" w:val="RemoveTocBookmarks,RemoveLanguageTags,RemoveTrackChanges,RunningHeaders"/>
    <w:docVar w:name="WAFER_20140217094201_GUID" w:val="74c9cf73-7a90-4873-9ae5-a98837607cfc"/>
    <w:docVar w:name="WAFER_20140310103857" w:val="RemoveTocBookmarks,RemoveUnusedBookmarks,RemoveLanguageTags,UsedStyles,ResetPageSize,RemoveCustomizations"/>
    <w:docVar w:name="WAFER_20140310103857_GUID" w:val="0d4953ac-5f1b-4d8c-b7b9-86d0153ff0e8"/>
    <w:docVar w:name="WAFER_20140310103948" w:val="RemoveTocBookmarks,RemoveUnusedBookmarks,RemoveLanguageTags,UsedStyles,RemoveTrackChanges"/>
    <w:docVar w:name="WAFER_20140310103948_GUID" w:val="e5d7389b-0bea-4492-872f-b07b98a70792"/>
    <w:docVar w:name="WAFER_20140310104040" w:val="RemoveTocBookmarks,RemoveLanguageTags,RemoveTrackChanges,RunningHeaders"/>
    <w:docVar w:name="WAFER_20140310104040_GUID" w:val="c01ad92f-1438-4fa6-8182-b28b54c2c2c5"/>
    <w:docVar w:name="WAFER_20140310104110" w:val="RemoveTocBookmarks,RemoveLanguageTags,RemoveTrackChanges,RunningHeaders"/>
    <w:docVar w:name="WAFER_20140310104110_GUID" w:val="95f22514-b70a-44d1-9f3f-7f986f0f1079"/>
    <w:docVar w:name="WAFER_20140317150734" w:val="RemoveTocBookmarks,RemoveLanguageTags,RemoveTrackChanges,RunningHeaders"/>
    <w:docVar w:name="WAFER_20140317150734_GUID" w:val="997c5299-abc4-4221-b241-d7e6e6b55984"/>
    <w:docVar w:name="WAFER_20140704133807" w:val="RemoveTocBookmarks,RunningHeaders"/>
    <w:docVar w:name="WAFER_20140704133807_GUID" w:val="333836e3-dd23-47bb-b34c-2abc6d830597"/>
    <w:docVar w:name="WAFER_20150515142604" w:val="ResetPageSize,UpdateArrangement,UpdateNTable"/>
    <w:docVar w:name="WAFER_20150515142604_GUID" w:val="34067408-1865-49b7-885d-5843df974d9a"/>
    <w:docVar w:name="WAFER_20151105132901" w:val="UpdateStyles,UsedStyles"/>
    <w:docVar w:name="WAFER_20151105132901_GUID" w:val="e9c59a8d-c520-4ea9-a1e3-8cf6c43aa6a9"/>
    <w:docVar w:name="WAFER_20151201102149" w:val="RemoveTrackChanges"/>
    <w:docVar w:name="WAFER_20151201102149_GUID" w:val="d02587a1-54b9-4342-a63f-3794f714ea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4148</Words>
  <Characters>19457</Characters>
  <Application>Microsoft Office Word</Application>
  <DocSecurity>0</DocSecurity>
  <Lines>589</Lines>
  <Paragraphs>347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02-b0-03 - 02-c0-01</dc:title>
  <dc:subject/>
  <dc:creator/>
  <cp:keywords/>
  <dc:description/>
  <cp:lastModifiedBy>svcMRProcess</cp:lastModifiedBy>
  <cp:revision>2</cp:revision>
  <cp:lastPrinted>2014-02-17T01:58:00Z</cp:lastPrinted>
  <dcterms:created xsi:type="dcterms:W3CDTF">2019-01-22T01:45:00Z</dcterms:created>
  <dcterms:modified xsi:type="dcterms:W3CDTF">2019-01-22T01:45:00Z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DocumentType">
    <vt:lpwstr>Act</vt:lpwstr>
  </property>
  <property fmtid="{D5CDD505-2E9C-101B-9397-08002B2CF9AE}" pid="4" name="OwlsUID">
    <vt:i4>1991</vt:i4>
  </property>
  <property fmtid="{D5CDD505-2E9C-101B-9397-08002B2CF9AE}" pid="5" name="ReprintNo">
    <vt:lpwstr>2</vt:lpwstr>
  </property>
  <property fmtid="{D5CDD505-2E9C-101B-9397-08002B2CF9AE}" pid="6" name="ReprintedAsAt">
    <vt:filetime>2014-03-06T16:00:00Z</vt:filetime>
  </property>
  <property fmtid="{D5CDD505-2E9C-101B-9397-08002B2CF9AE}" pid="7" name="CommencementDate">
    <vt:lpwstr>20170130</vt:lpwstr>
  </property>
  <property fmtid="{D5CDD505-2E9C-101B-9397-08002B2CF9AE}" pid="8" name="FromSuffix">
    <vt:lpwstr>02-b0-03</vt:lpwstr>
  </property>
  <property fmtid="{D5CDD505-2E9C-101B-9397-08002B2CF9AE}" pid="9" name="FromAsAtDate">
    <vt:lpwstr>02 Jul 2014</vt:lpwstr>
  </property>
  <property fmtid="{D5CDD505-2E9C-101B-9397-08002B2CF9AE}" pid="10" name="ToSuffix">
    <vt:lpwstr>02-c0-01</vt:lpwstr>
  </property>
  <property fmtid="{D5CDD505-2E9C-101B-9397-08002B2CF9AE}" pid="11" name="ToAsAtDate">
    <vt:lpwstr>30 Jan 2017</vt:lpwstr>
  </property>
</Properties>
</file>