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r>
        <w:t>A</w:t>
      </w:r>
      <w:bookmarkStart w:id="1" w:name="_GoBack"/>
      <w:bookmarkEnd w:id="1"/>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2" w:name="_Toc473106731"/>
      <w:bookmarkStart w:id="3" w:name="_Toc473298497"/>
      <w:r>
        <w:rPr>
          <w:rStyle w:val="CharPartNo"/>
        </w:rPr>
        <w:lastRenderedPageBreak/>
        <w:t>Part I</w:t>
      </w:r>
      <w:r>
        <w:rPr>
          <w:rStyle w:val="CharDivNo"/>
        </w:rPr>
        <w:t> </w:t>
      </w:r>
      <w:r>
        <w:t>—</w:t>
      </w:r>
      <w:r>
        <w:rPr>
          <w:rStyle w:val="CharDivText"/>
        </w:rPr>
        <w:t> </w:t>
      </w:r>
      <w:r>
        <w:rPr>
          <w:rStyle w:val="CharPartText"/>
        </w:rPr>
        <w:t>Introductory provisions</w:t>
      </w:r>
      <w:bookmarkEnd w:id="2"/>
      <w:bookmarkEnd w:id="3"/>
      <w:r>
        <w:rPr>
          <w:rStyle w:val="CharPartText"/>
        </w:rPr>
        <w:t xml:space="preserve"> </w:t>
      </w:r>
    </w:p>
    <w:p>
      <w:pPr>
        <w:pStyle w:val="Heading5"/>
        <w:rPr>
          <w:snapToGrid w:val="0"/>
        </w:rPr>
      </w:pPr>
      <w:bookmarkStart w:id="4" w:name="_Toc473298498"/>
      <w:bookmarkStart w:id="5" w:name="_Toc47310673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6" w:name="_Toc473298499"/>
      <w:bookmarkStart w:id="7" w:name="_Toc47310673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s.7(4)(f) and (g).]</w:t>
      </w:r>
    </w:p>
    <w:p>
      <w:pPr>
        <w:pStyle w:val="Ednotesection"/>
      </w:pPr>
      <w:r>
        <w:t>[</w:t>
      </w:r>
      <w:r>
        <w:rPr>
          <w:b/>
        </w:rPr>
        <w:t>4.</w:t>
      </w:r>
      <w:r>
        <w:tab/>
        <w:t xml:space="preserve">Deleted by No. 20 of 1993 s. 4.] </w:t>
      </w:r>
    </w:p>
    <w:p>
      <w:pPr>
        <w:pStyle w:val="Heading5"/>
        <w:rPr>
          <w:snapToGrid w:val="0"/>
        </w:rPr>
      </w:pPr>
      <w:bookmarkStart w:id="8" w:name="_Toc473298500"/>
      <w:bookmarkStart w:id="9" w:name="_Toc473106734"/>
      <w:r>
        <w:rPr>
          <w:rStyle w:val="CharSectno"/>
        </w:rPr>
        <w:t>5</w:t>
      </w:r>
      <w:r>
        <w:rPr>
          <w:snapToGrid w:val="0"/>
        </w:rPr>
        <w:t>.</w:t>
      </w:r>
      <w:r>
        <w:rPr>
          <w:snapToGrid w:val="0"/>
        </w:rPr>
        <w:tab/>
        <w:t>Interpretation</w:t>
      </w:r>
      <w:bookmarkEnd w:id="8"/>
      <w:bookmarkEnd w:id="9"/>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lastRenderedPageBreak/>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w:t>
      </w:r>
      <w:r>
        <w:lastRenderedPageBreak/>
        <w:t>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No. 35 of 2010 s. 159.] </w:t>
      </w:r>
    </w:p>
    <w:p>
      <w:pPr>
        <w:pStyle w:val="Heading2"/>
      </w:pPr>
      <w:bookmarkStart w:id="10" w:name="_Toc473106735"/>
      <w:bookmarkStart w:id="11" w:name="_Toc473298501"/>
      <w:r>
        <w:rPr>
          <w:rStyle w:val="CharPartNo"/>
        </w:rPr>
        <w:t>Part II</w:t>
      </w:r>
      <w:r>
        <w:rPr>
          <w:rStyle w:val="CharDivNo"/>
        </w:rPr>
        <w:t> </w:t>
      </w:r>
      <w:r>
        <w:t>—</w:t>
      </w:r>
      <w:r>
        <w:rPr>
          <w:rStyle w:val="CharDivText"/>
        </w:rPr>
        <w:t> </w:t>
      </w:r>
      <w:r>
        <w:rPr>
          <w:rStyle w:val="CharPartText"/>
        </w:rPr>
        <w:t>Exemptions, prohibitions and construction</w:t>
      </w:r>
      <w:bookmarkEnd w:id="10"/>
      <w:bookmarkEnd w:id="11"/>
    </w:p>
    <w:p>
      <w:pPr>
        <w:pStyle w:val="Heading5"/>
        <w:rPr>
          <w:snapToGrid w:val="0"/>
        </w:rPr>
      </w:pPr>
      <w:bookmarkStart w:id="12" w:name="_Toc473298502"/>
      <w:bookmarkStart w:id="13" w:name="_Toc473106736"/>
      <w:r>
        <w:rPr>
          <w:rStyle w:val="CharSectno"/>
        </w:rPr>
        <w:t>6</w:t>
      </w:r>
      <w:r>
        <w:rPr>
          <w:snapToGrid w:val="0"/>
        </w:rPr>
        <w:t>.</w:t>
      </w:r>
      <w:r>
        <w:rPr>
          <w:snapToGrid w:val="0"/>
        </w:rPr>
        <w:tab/>
        <w:t>Application</w:t>
      </w:r>
      <w:bookmarkEnd w:id="12"/>
      <w:bookmarkEnd w:id="13"/>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14" w:name="_Toc473298503"/>
      <w:bookmarkStart w:id="15" w:name="_Toc473106737"/>
      <w:r>
        <w:rPr>
          <w:rStyle w:val="CharSectno"/>
        </w:rPr>
        <w:t>7</w:t>
      </w:r>
      <w:r>
        <w:rPr>
          <w:snapToGrid w:val="0"/>
        </w:rPr>
        <w:t>.</w:t>
      </w:r>
      <w:r>
        <w:rPr>
          <w:snapToGrid w:val="0"/>
        </w:rPr>
        <w:tab/>
        <w:t>Exemptions by Order</w:t>
      </w:r>
      <w:bookmarkEnd w:id="14"/>
      <w:bookmarkEnd w:id="15"/>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16" w:name="_Toc473298504"/>
      <w:bookmarkStart w:id="17" w:name="_Toc473106738"/>
      <w:r>
        <w:rPr>
          <w:rStyle w:val="CharSectno"/>
        </w:rPr>
        <w:t>8</w:t>
      </w:r>
      <w:r>
        <w:rPr>
          <w:snapToGrid w:val="0"/>
        </w:rPr>
        <w:t>.</w:t>
      </w:r>
      <w:r>
        <w:rPr>
          <w:snapToGrid w:val="0"/>
        </w:rPr>
        <w:tab/>
        <w:t>Prohibition</w:t>
      </w:r>
      <w:bookmarkEnd w:id="16"/>
      <w:bookmarkEnd w:id="17"/>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18" w:name="_Toc473298505"/>
      <w:bookmarkStart w:id="19" w:name="_Toc473106739"/>
      <w:r>
        <w:rPr>
          <w:rStyle w:val="CharSectno"/>
        </w:rPr>
        <w:t>9</w:t>
      </w:r>
      <w:r>
        <w:rPr>
          <w:snapToGrid w:val="0"/>
        </w:rPr>
        <w:t>.</w:t>
      </w:r>
      <w:r>
        <w:rPr>
          <w:snapToGrid w:val="0"/>
        </w:rPr>
        <w:tab/>
        <w:t>Act to be construed subject to certain laws</w:t>
      </w:r>
      <w:bookmarkEnd w:id="18"/>
      <w:bookmarkEnd w:id="19"/>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rPr>
        <w:t>Health (Miscellaneous Provisions) Act 1911</w:t>
      </w:r>
      <w:r>
        <w:rPr>
          <w:snapToGrid w:val="0"/>
        </w:rPr>
        <w:t xml:space="preserve">, and the </w:t>
      </w:r>
      <w:ins w:id="20" w:author="svcMRProcess" w:date="2020-02-20T07:00:00Z">
        <w:r>
          <w:rPr>
            <w:i/>
            <w:snapToGrid w:val="0"/>
          </w:rPr>
          <w:t xml:space="preserve">Medicines and </w:t>
        </w:r>
      </w:ins>
      <w:r>
        <w:rPr>
          <w:i/>
          <w:snapToGrid w:val="0"/>
        </w:rPr>
        <w:t>Poisons Act </w:t>
      </w:r>
      <w:del w:id="21" w:author="svcMRProcess" w:date="2020-02-20T07:00:00Z">
        <w:r>
          <w:rPr>
            <w:i/>
            <w:snapToGrid w:val="0"/>
          </w:rPr>
          <w:delText>1964</w:delText>
        </w:r>
      </w:del>
      <w:ins w:id="22" w:author="svcMRProcess" w:date="2020-02-20T07:00:00Z">
        <w:r>
          <w:rPr>
            <w:i/>
            <w:snapToGrid w:val="0"/>
          </w:rPr>
          <w:t>2014</w:t>
        </w:r>
      </w:ins>
      <w:r>
        <w:rPr>
          <w:snapToGrid w:val="0"/>
        </w:rPr>
        <w:t xml:space="preserve">, but where and to the extent that inconsistency exists between the provisions of this Act, or of any regulations made under this Act, and the provisions of the </w:t>
      </w:r>
      <w:r>
        <w:rPr>
          <w:i/>
        </w:rPr>
        <w:t>Health (Miscellaneous Provisions) Act 1911</w:t>
      </w:r>
      <w:r>
        <w:rPr>
          <w:snapToGrid w:val="0"/>
        </w:rPr>
        <w:t xml:space="preserve">, and the </w:t>
      </w:r>
      <w:ins w:id="23" w:author="svcMRProcess" w:date="2020-02-20T07:00:00Z">
        <w:r>
          <w:rPr>
            <w:i/>
            <w:snapToGrid w:val="0"/>
          </w:rPr>
          <w:t xml:space="preserve">Medicines and </w:t>
        </w:r>
      </w:ins>
      <w:r>
        <w:rPr>
          <w:i/>
          <w:snapToGrid w:val="0"/>
        </w:rPr>
        <w:t>Poisons Act </w:t>
      </w:r>
      <w:del w:id="24" w:author="svcMRProcess" w:date="2020-02-20T07:00:00Z">
        <w:r>
          <w:rPr>
            <w:i/>
            <w:snapToGrid w:val="0"/>
          </w:rPr>
          <w:delText>1964</w:delText>
        </w:r>
      </w:del>
      <w:ins w:id="25" w:author="svcMRProcess" w:date="2020-02-20T07:00:00Z">
        <w:r>
          <w:rPr>
            <w:i/>
            <w:snapToGrid w:val="0"/>
          </w:rPr>
          <w:t>2014</w:t>
        </w:r>
      </w:ins>
      <w:r>
        <w:rPr>
          <w:snapToGrid w:val="0"/>
        </w:rPr>
        <w:t>, or of any regulations made under those Acts, the provisions of those Acts and any regulations made thereunder prevail.</w:t>
      </w:r>
    </w:p>
    <w:p>
      <w:pPr>
        <w:pStyle w:val="Footnotesection"/>
      </w:pPr>
      <w:r>
        <w:tab/>
        <w:t>[Section 9 amended by No. 70 of 2004 s. </w:t>
      </w:r>
      <w:del w:id="26" w:author="svcMRProcess" w:date="2020-02-20T07:00:00Z">
        <w:r>
          <w:delText>82</w:delText>
        </w:r>
      </w:del>
      <w:ins w:id="27" w:author="svcMRProcess" w:date="2020-02-20T07:00:00Z">
        <w:r>
          <w:t>82; No. 13 of 2014 s. 190</w:t>
        </w:r>
      </w:ins>
      <w:r>
        <w:t>; No. 19 of 2016 s. 101.]</w:t>
      </w:r>
    </w:p>
    <w:p>
      <w:pPr>
        <w:pStyle w:val="Heading5"/>
        <w:rPr>
          <w:snapToGrid w:val="0"/>
        </w:rPr>
      </w:pPr>
      <w:bookmarkStart w:id="28" w:name="_Toc473298506"/>
      <w:bookmarkStart w:id="29" w:name="_Toc473106740"/>
      <w:r>
        <w:rPr>
          <w:rStyle w:val="CharSectno"/>
        </w:rPr>
        <w:t>10</w:t>
      </w:r>
      <w:r>
        <w:rPr>
          <w:snapToGrid w:val="0"/>
        </w:rPr>
        <w:t>.</w:t>
      </w:r>
      <w:r>
        <w:rPr>
          <w:snapToGrid w:val="0"/>
        </w:rPr>
        <w:tab/>
        <w:t>Administration</w:t>
      </w:r>
      <w:bookmarkEnd w:id="28"/>
      <w:bookmarkEnd w:id="29"/>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30" w:name="_Toc473106741"/>
      <w:bookmarkStart w:id="31" w:name="_Toc473298507"/>
      <w:r>
        <w:rPr>
          <w:rStyle w:val="CharPartNo"/>
        </w:rPr>
        <w:t>Part III</w:t>
      </w:r>
      <w:r>
        <w:rPr>
          <w:rStyle w:val="CharDivNo"/>
        </w:rPr>
        <w:t> </w:t>
      </w:r>
      <w:r>
        <w:t>—</w:t>
      </w:r>
      <w:r>
        <w:rPr>
          <w:rStyle w:val="CharDivText"/>
        </w:rPr>
        <w:t> </w:t>
      </w:r>
      <w:r>
        <w:rPr>
          <w:rStyle w:val="CharPartText"/>
        </w:rPr>
        <w:t>Control of production and sales</w:t>
      </w:r>
      <w:bookmarkEnd w:id="30"/>
      <w:bookmarkEnd w:id="31"/>
      <w:r>
        <w:rPr>
          <w:rStyle w:val="CharPartText"/>
        </w:rPr>
        <w:t xml:space="preserve"> </w:t>
      </w:r>
    </w:p>
    <w:p>
      <w:pPr>
        <w:pStyle w:val="Heading5"/>
        <w:spacing w:before="120"/>
      </w:pPr>
      <w:bookmarkStart w:id="32" w:name="_Toc473298508"/>
      <w:bookmarkStart w:id="33" w:name="_Toc473106742"/>
      <w:r>
        <w:rPr>
          <w:rStyle w:val="CharSectno"/>
        </w:rPr>
        <w:t>11</w:t>
      </w:r>
      <w:r>
        <w:t>.</w:t>
      </w:r>
      <w:r>
        <w:tab/>
        <w:t>Unhygienic production etc. of animal feeding stuffs</w:t>
      </w:r>
      <w:bookmarkEnd w:id="32"/>
      <w:bookmarkEnd w:id="33"/>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34" w:name="_Toc473298509"/>
      <w:bookmarkStart w:id="35" w:name="_Toc473106743"/>
      <w:r>
        <w:rPr>
          <w:rStyle w:val="CharSectno"/>
        </w:rPr>
        <w:t>13</w:t>
      </w:r>
      <w:r>
        <w:rPr>
          <w:snapToGrid w:val="0"/>
        </w:rPr>
        <w:t>.</w:t>
      </w:r>
      <w:r>
        <w:rPr>
          <w:snapToGrid w:val="0"/>
        </w:rPr>
        <w:tab/>
        <w:t>Prohibition on sale of prohibited products and substances, and use of certain premises</w:t>
      </w:r>
      <w:bookmarkEnd w:id="34"/>
      <w:bookmarkEnd w:id="35"/>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36" w:name="_Toc473298510"/>
      <w:bookmarkStart w:id="37" w:name="_Toc473106744"/>
      <w:r>
        <w:rPr>
          <w:rStyle w:val="CharSectno"/>
        </w:rPr>
        <w:t>14</w:t>
      </w:r>
      <w:r>
        <w:t>.</w:t>
      </w:r>
      <w:r>
        <w:tab/>
        <w:t>Sale of sub</w:t>
      </w:r>
      <w:r>
        <w:noBreakHyphen/>
        <w:t>standard animal feeding stuff</w:t>
      </w:r>
      <w:bookmarkEnd w:id="36"/>
      <w:bookmarkEnd w:id="37"/>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38" w:name="_Toc473106745"/>
      <w:bookmarkStart w:id="39" w:name="_Toc473298511"/>
      <w:r>
        <w:rPr>
          <w:rStyle w:val="CharPartNo"/>
        </w:rPr>
        <w:t>Part IV</w:t>
      </w:r>
      <w:r>
        <w:rPr>
          <w:rStyle w:val="CharDivNo"/>
        </w:rPr>
        <w:t> </w:t>
      </w:r>
      <w:r>
        <w:t>—</w:t>
      </w:r>
      <w:r>
        <w:rPr>
          <w:rStyle w:val="CharDivText"/>
        </w:rPr>
        <w:t> </w:t>
      </w:r>
      <w:r>
        <w:rPr>
          <w:rStyle w:val="CharPartText"/>
        </w:rPr>
        <w:t>Control of use of veterinary chemical products</w:t>
      </w:r>
      <w:bookmarkEnd w:id="38"/>
      <w:bookmarkEnd w:id="39"/>
    </w:p>
    <w:p>
      <w:pPr>
        <w:pStyle w:val="Footnoteheading"/>
        <w:tabs>
          <w:tab w:val="left" w:pos="851"/>
        </w:tabs>
      </w:pPr>
      <w:r>
        <w:tab/>
        <w:t>[Heading inserted by No. 76 of 2004 s. 8.]</w:t>
      </w:r>
    </w:p>
    <w:p>
      <w:pPr>
        <w:pStyle w:val="Heading5"/>
      </w:pPr>
      <w:bookmarkStart w:id="40" w:name="_Toc473298512"/>
      <w:bookmarkStart w:id="41" w:name="_Toc473106746"/>
      <w:r>
        <w:rPr>
          <w:rStyle w:val="CharSectno"/>
        </w:rPr>
        <w:t>15</w:t>
      </w:r>
      <w:r>
        <w:t>.</w:t>
      </w:r>
      <w:r>
        <w:tab/>
        <w:t>Regulations relating to control of use of veterinary chemical products</w:t>
      </w:r>
      <w:bookmarkEnd w:id="40"/>
      <w:bookmarkEnd w:id="41"/>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42" w:name="_Toc473106747"/>
      <w:bookmarkStart w:id="43" w:name="_Toc473298513"/>
      <w:r>
        <w:rPr>
          <w:rStyle w:val="CharPartNo"/>
        </w:rPr>
        <w:t>Part V</w:t>
      </w:r>
      <w:r>
        <w:rPr>
          <w:rStyle w:val="CharDivNo"/>
        </w:rPr>
        <w:t> </w:t>
      </w:r>
      <w:r>
        <w:t>—</w:t>
      </w:r>
      <w:r>
        <w:rPr>
          <w:rStyle w:val="CharDivText"/>
        </w:rPr>
        <w:t> </w:t>
      </w:r>
      <w:r>
        <w:rPr>
          <w:rStyle w:val="CharPartText"/>
        </w:rPr>
        <w:t>Regulation of sale of certain stock, stock products and carcasses</w:t>
      </w:r>
      <w:bookmarkEnd w:id="42"/>
      <w:bookmarkEnd w:id="43"/>
    </w:p>
    <w:p>
      <w:pPr>
        <w:pStyle w:val="Footnoteheading"/>
        <w:tabs>
          <w:tab w:val="left" w:pos="851"/>
        </w:tabs>
      </w:pPr>
      <w:r>
        <w:tab/>
        <w:t>[Heading inserted by No. 76 of 2004 s. 8.]</w:t>
      </w:r>
    </w:p>
    <w:p>
      <w:pPr>
        <w:pStyle w:val="Heading5"/>
      </w:pPr>
      <w:bookmarkStart w:id="44" w:name="_Toc473298514"/>
      <w:bookmarkStart w:id="45" w:name="_Toc473106748"/>
      <w:r>
        <w:rPr>
          <w:rStyle w:val="CharSectno"/>
        </w:rPr>
        <w:t>16</w:t>
      </w:r>
      <w:r>
        <w:t>.</w:t>
      </w:r>
      <w:r>
        <w:tab/>
        <w:t>Regulations relating to sale of certain stock, stock products and carcasses</w:t>
      </w:r>
      <w:bookmarkEnd w:id="44"/>
      <w:bookmarkEnd w:id="45"/>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46" w:name="_Toc473106749"/>
      <w:bookmarkStart w:id="47" w:name="_Toc473298515"/>
      <w:r>
        <w:rPr>
          <w:rStyle w:val="CharPartNo"/>
        </w:rPr>
        <w:t>Part VA</w:t>
      </w:r>
      <w:r>
        <w:rPr>
          <w:rStyle w:val="CharDivNo"/>
        </w:rPr>
        <w:t> </w:t>
      </w:r>
      <w:r>
        <w:t>—</w:t>
      </w:r>
      <w:r>
        <w:rPr>
          <w:rStyle w:val="CharDivText"/>
        </w:rPr>
        <w:t> </w:t>
      </w:r>
      <w:r>
        <w:rPr>
          <w:rStyle w:val="CharPartText"/>
        </w:rPr>
        <w:t>Regulation of prescribed substances</w:t>
      </w:r>
      <w:bookmarkEnd w:id="46"/>
      <w:bookmarkEnd w:id="47"/>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48" w:name="_Toc473298516"/>
      <w:bookmarkStart w:id="49" w:name="_Toc473106750"/>
      <w:r>
        <w:rPr>
          <w:rStyle w:val="CharSectno"/>
        </w:rPr>
        <w:t>36AA</w:t>
      </w:r>
      <w:r>
        <w:t>.</w:t>
      </w:r>
      <w:r>
        <w:tab/>
        <w:t>Definition</w:t>
      </w:r>
      <w:bookmarkEnd w:id="48"/>
      <w:bookmarkEnd w:id="49"/>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50" w:name="_Toc473298517"/>
      <w:bookmarkStart w:id="51" w:name="_Toc473106751"/>
      <w:r>
        <w:rPr>
          <w:rStyle w:val="CharSectno"/>
        </w:rPr>
        <w:t>36A</w:t>
      </w:r>
      <w:r>
        <w:rPr>
          <w:snapToGrid w:val="0"/>
        </w:rPr>
        <w:t>.</w:t>
      </w:r>
      <w:r>
        <w:rPr>
          <w:snapToGrid w:val="0"/>
        </w:rPr>
        <w:tab/>
        <w:t>Regulations relating to prescribed substances</w:t>
      </w:r>
      <w:bookmarkEnd w:id="50"/>
      <w:bookmarkEnd w:id="51"/>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52" w:name="_Toc473298518"/>
      <w:bookmarkStart w:id="53" w:name="_Toc473106752"/>
      <w:r>
        <w:rPr>
          <w:rStyle w:val="CharSectno"/>
        </w:rPr>
        <w:t>36B</w:t>
      </w:r>
      <w:r>
        <w:rPr>
          <w:snapToGrid w:val="0"/>
        </w:rPr>
        <w:t>.</w:t>
      </w:r>
      <w:r>
        <w:rPr>
          <w:snapToGrid w:val="0"/>
        </w:rPr>
        <w:tab/>
        <w:t>Certain agreements void</w:t>
      </w:r>
      <w:bookmarkEnd w:id="52"/>
      <w:bookmarkEnd w:id="53"/>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54" w:name="_Toc473298519"/>
      <w:bookmarkStart w:id="55" w:name="_Toc473106753"/>
      <w:r>
        <w:rPr>
          <w:rStyle w:val="CharSectno"/>
        </w:rPr>
        <w:t>36D</w:t>
      </w:r>
      <w:r>
        <w:rPr>
          <w:snapToGrid w:val="0"/>
        </w:rPr>
        <w:t>.</w:t>
      </w:r>
      <w:r>
        <w:rPr>
          <w:snapToGrid w:val="0"/>
        </w:rPr>
        <w:tab/>
        <w:t>False statements as to prescribed substances</w:t>
      </w:r>
      <w:bookmarkEnd w:id="54"/>
      <w:bookmarkEnd w:id="55"/>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56" w:name="_Toc473106754"/>
      <w:bookmarkStart w:id="57" w:name="_Toc473298520"/>
      <w:r>
        <w:rPr>
          <w:rStyle w:val="CharPartNo"/>
        </w:rPr>
        <w:t>Part VI</w:t>
      </w:r>
      <w:r>
        <w:rPr>
          <w:rStyle w:val="CharDivNo"/>
        </w:rPr>
        <w:t> </w:t>
      </w:r>
      <w:r>
        <w:t>—</w:t>
      </w:r>
      <w:r>
        <w:rPr>
          <w:rStyle w:val="CharDivText"/>
        </w:rPr>
        <w:t> </w:t>
      </w:r>
      <w:r>
        <w:rPr>
          <w:rStyle w:val="CharPartText"/>
        </w:rPr>
        <w:t>Inspection, sampling and analysis</w:t>
      </w:r>
      <w:bookmarkEnd w:id="56"/>
      <w:bookmarkEnd w:id="57"/>
      <w:r>
        <w:rPr>
          <w:rStyle w:val="CharPartText"/>
        </w:rPr>
        <w:t xml:space="preserve"> </w:t>
      </w:r>
    </w:p>
    <w:p>
      <w:pPr>
        <w:pStyle w:val="Heading5"/>
        <w:rPr>
          <w:snapToGrid w:val="0"/>
        </w:rPr>
      </w:pPr>
      <w:bookmarkStart w:id="58" w:name="_Toc473298521"/>
      <w:bookmarkStart w:id="59" w:name="_Toc473106755"/>
      <w:r>
        <w:rPr>
          <w:rStyle w:val="CharSectno"/>
        </w:rPr>
        <w:t>37</w:t>
      </w:r>
      <w:r>
        <w:rPr>
          <w:snapToGrid w:val="0"/>
        </w:rPr>
        <w:t>.</w:t>
      </w:r>
      <w:r>
        <w:rPr>
          <w:snapToGrid w:val="0"/>
        </w:rPr>
        <w:tab/>
        <w:t>Appointment of inspectors</w:t>
      </w:r>
      <w:bookmarkEnd w:id="58"/>
      <w:bookmarkEnd w:id="59"/>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60" w:name="_Toc473298522"/>
      <w:bookmarkStart w:id="61" w:name="_Toc473106756"/>
      <w:r>
        <w:rPr>
          <w:rStyle w:val="CharSectno"/>
        </w:rPr>
        <w:t>38</w:t>
      </w:r>
      <w:r>
        <w:rPr>
          <w:snapToGrid w:val="0"/>
        </w:rPr>
        <w:t>.</w:t>
      </w:r>
      <w:r>
        <w:rPr>
          <w:snapToGrid w:val="0"/>
        </w:rPr>
        <w:tab/>
        <w:t>Powers of entry, search and in relation to movement of stock</w:t>
      </w:r>
      <w:bookmarkEnd w:id="60"/>
      <w:bookmarkEnd w:id="61"/>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62" w:name="_Toc473298523"/>
      <w:bookmarkStart w:id="63" w:name="_Toc473106757"/>
      <w:r>
        <w:rPr>
          <w:rStyle w:val="CharSectno"/>
        </w:rPr>
        <w:t>39</w:t>
      </w:r>
      <w:r>
        <w:rPr>
          <w:snapToGrid w:val="0"/>
        </w:rPr>
        <w:t>.</w:t>
      </w:r>
      <w:r>
        <w:rPr>
          <w:snapToGrid w:val="0"/>
        </w:rPr>
        <w:tab/>
        <w:t>Supply of information</w:t>
      </w:r>
      <w:bookmarkEnd w:id="62"/>
      <w:bookmarkEnd w:id="63"/>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64" w:name="_Toc473298524"/>
      <w:bookmarkStart w:id="65" w:name="_Toc473106758"/>
      <w:r>
        <w:rPr>
          <w:rStyle w:val="CharSectno"/>
        </w:rPr>
        <w:t>40</w:t>
      </w:r>
      <w:r>
        <w:rPr>
          <w:snapToGrid w:val="0"/>
        </w:rPr>
        <w:t>.</w:t>
      </w:r>
      <w:r>
        <w:rPr>
          <w:snapToGrid w:val="0"/>
        </w:rPr>
        <w:tab/>
        <w:t>Power to seize and detain</w:t>
      </w:r>
      <w:bookmarkEnd w:id="64"/>
      <w:bookmarkEnd w:id="65"/>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66" w:name="_Toc473298525"/>
      <w:bookmarkStart w:id="67" w:name="_Toc473106759"/>
      <w:r>
        <w:rPr>
          <w:rStyle w:val="CharSectno"/>
        </w:rPr>
        <w:t>40A</w:t>
      </w:r>
      <w:r>
        <w:rPr>
          <w:snapToGrid w:val="0"/>
        </w:rPr>
        <w:t>.</w:t>
      </w:r>
      <w:r>
        <w:rPr>
          <w:snapToGrid w:val="0"/>
        </w:rPr>
        <w:tab/>
        <w:t>Other powers of an inspector</w:t>
      </w:r>
      <w:bookmarkEnd w:id="66"/>
      <w:bookmarkEnd w:id="67"/>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68" w:name="_Toc473298526"/>
      <w:bookmarkStart w:id="69" w:name="_Toc473106760"/>
      <w:r>
        <w:rPr>
          <w:rStyle w:val="CharSectno"/>
        </w:rPr>
        <w:t>40B</w:t>
      </w:r>
      <w:r>
        <w:rPr>
          <w:snapToGrid w:val="0"/>
        </w:rPr>
        <w:t>.</w:t>
      </w:r>
      <w:r>
        <w:rPr>
          <w:snapToGrid w:val="0"/>
        </w:rPr>
        <w:tab/>
        <w:t>Recovery of inspection costs</w:t>
      </w:r>
      <w:bookmarkEnd w:id="68"/>
      <w:bookmarkEnd w:id="69"/>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70" w:name="_Toc473298527"/>
      <w:bookmarkStart w:id="71" w:name="_Toc473106761"/>
      <w:r>
        <w:rPr>
          <w:rStyle w:val="CharSectno"/>
        </w:rPr>
        <w:t>41</w:t>
      </w:r>
      <w:r>
        <w:rPr>
          <w:snapToGrid w:val="0"/>
        </w:rPr>
        <w:t>.</w:t>
      </w:r>
      <w:r>
        <w:rPr>
          <w:snapToGrid w:val="0"/>
        </w:rPr>
        <w:tab/>
        <w:t>Powers of sampling</w:t>
      </w:r>
      <w:bookmarkEnd w:id="70"/>
      <w:bookmarkEnd w:id="71"/>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72" w:name="_Toc473298528"/>
      <w:bookmarkStart w:id="73" w:name="_Toc473106762"/>
      <w:r>
        <w:rPr>
          <w:rStyle w:val="CharSectno"/>
        </w:rPr>
        <w:t>42</w:t>
      </w:r>
      <w:r>
        <w:rPr>
          <w:snapToGrid w:val="0"/>
        </w:rPr>
        <w:t>.</w:t>
      </w:r>
      <w:r>
        <w:rPr>
          <w:snapToGrid w:val="0"/>
        </w:rPr>
        <w:tab/>
        <w:t>Duty of dealers to provide samples and information when required</w:t>
      </w:r>
      <w:bookmarkEnd w:id="72"/>
      <w:bookmarkEnd w:id="73"/>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74" w:name="_Toc473298529"/>
      <w:bookmarkStart w:id="75" w:name="_Toc473106763"/>
      <w:r>
        <w:rPr>
          <w:rStyle w:val="CharSectno"/>
        </w:rPr>
        <w:t>42A</w:t>
      </w:r>
      <w:r>
        <w:rPr>
          <w:snapToGrid w:val="0"/>
        </w:rPr>
        <w:t>.</w:t>
      </w:r>
      <w:r>
        <w:rPr>
          <w:snapToGrid w:val="0"/>
        </w:rPr>
        <w:tab/>
        <w:t>Duty of persons to facilitate the operation of Parts IV, V and VA</w:t>
      </w:r>
      <w:bookmarkEnd w:id="74"/>
      <w:bookmarkEnd w:id="75"/>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76" w:name="_Toc473298530"/>
      <w:bookmarkStart w:id="77" w:name="_Toc473106764"/>
      <w:r>
        <w:rPr>
          <w:rStyle w:val="CharSectno"/>
        </w:rPr>
        <w:t>43</w:t>
      </w:r>
      <w:r>
        <w:rPr>
          <w:snapToGrid w:val="0"/>
        </w:rPr>
        <w:t>.</w:t>
      </w:r>
      <w:r>
        <w:rPr>
          <w:snapToGrid w:val="0"/>
        </w:rPr>
        <w:tab/>
        <w:t>Tampering with samples</w:t>
      </w:r>
      <w:bookmarkEnd w:id="76"/>
      <w:bookmarkEnd w:id="77"/>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78" w:name="_Toc473298531"/>
      <w:bookmarkStart w:id="79" w:name="_Toc473106765"/>
      <w:r>
        <w:rPr>
          <w:rStyle w:val="CharSectno"/>
        </w:rPr>
        <w:t>44</w:t>
      </w:r>
      <w:r>
        <w:rPr>
          <w:snapToGrid w:val="0"/>
        </w:rPr>
        <w:t>.</w:t>
      </w:r>
      <w:r>
        <w:rPr>
          <w:snapToGrid w:val="0"/>
        </w:rPr>
        <w:tab/>
        <w:t>Use of samples for prosecutions</w:t>
      </w:r>
      <w:bookmarkEnd w:id="78"/>
      <w:bookmarkEnd w:id="79"/>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80" w:name="_Toc473298532"/>
      <w:bookmarkStart w:id="81" w:name="_Toc473106766"/>
      <w:r>
        <w:rPr>
          <w:rStyle w:val="CharSectno"/>
        </w:rPr>
        <w:t>45</w:t>
      </w:r>
      <w:r>
        <w:rPr>
          <w:snapToGrid w:val="0"/>
        </w:rPr>
        <w:t>.</w:t>
      </w:r>
      <w:r>
        <w:rPr>
          <w:snapToGrid w:val="0"/>
        </w:rPr>
        <w:tab/>
        <w:t>Production of part retained for comparison</w:t>
      </w:r>
      <w:bookmarkEnd w:id="80"/>
      <w:bookmarkEnd w:id="81"/>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82" w:name="_Toc473298533"/>
      <w:bookmarkStart w:id="83" w:name="_Toc473106767"/>
      <w:r>
        <w:rPr>
          <w:rStyle w:val="CharSectno"/>
        </w:rPr>
        <w:t>46</w:t>
      </w:r>
      <w:r>
        <w:rPr>
          <w:snapToGrid w:val="0"/>
        </w:rPr>
        <w:t>.</w:t>
      </w:r>
      <w:r>
        <w:rPr>
          <w:snapToGrid w:val="0"/>
        </w:rPr>
        <w:tab/>
        <w:t>Analysts</w:t>
      </w:r>
      <w:bookmarkEnd w:id="82"/>
      <w:bookmarkEnd w:id="83"/>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84" w:name="_Toc473298534"/>
      <w:bookmarkStart w:id="85" w:name="_Toc473106768"/>
      <w:r>
        <w:rPr>
          <w:rStyle w:val="CharSectno"/>
        </w:rPr>
        <w:t>47</w:t>
      </w:r>
      <w:r>
        <w:rPr>
          <w:snapToGrid w:val="0"/>
        </w:rPr>
        <w:t>.</w:t>
      </w:r>
      <w:r>
        <w:rPr>
          <w:snapToGrid w:val="0"/>
        </w:rPr>
        <w:tab/>
        <w:t>Analysis</w:t>
      </w:r>
      <w:bookmarkEnd w:id="84"/>
      <w:bookmarkEnd w:id="85"/>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86" w:name="_Toc473298535"/>
      <w:bookmarkStart w:id="87" w:name="_Toc473106769"/>
      <w:r>
        <w:rPr>
          <w:rStyle w:val="CharSectno"/>
        </w:rPr>
        <w:t>48</w:t>
      </w:r>
      <w:r>
        <w:rPr>
          <w:snapToGrid w:val="0"/>
        </w:rPr>
        <w:t>.</w:t>
      </w:r>
      <w:r>
        <w:rPr>
          <w:snapToGrid w:val="0"/>
        </w:rPr>
        <w:tab/>
        <w:t>Results of analysis may be published</w:t>
      </w:r>
      <w:bookmarkEnd w:id="86"/>
      <w:bookmarkEnd w:id="87"/>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88" w:name="_Toc473298536"/>
      <w:bookmarkStart w:id="89" w:name="_Toc473106770"/>
      <w:r>
        <w:rPr>
          <w:rStyle w:val="CharSectno"/>
        </w:rPr>
        <w:t>49</w:t>
      </w:r>
      <w:r>
        <w:rPr>
          <w:snapToGrid w:val="0"/>
        </w:rPr>
        <w:t>.</w:t>
      </w:r>
      <w:r>
        <w:rPr>
          <w:snapToGrid w:val="0"/>
        </w:rPr>
        <w:tab/>
        <w:t>Evidence of analysis and relation of sample to bulk</w:t>
      </w:r>
      <w:bookmarkEnd w:id="88"/>
      <w:bookmarkEnd w:id="89"/>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90" w:name="_Toc473298537"/>
      <w:bookmarkStart w:id="91" w:name="_Toc473106771"/>
      <w:r>
        <w:rPr>
          <w:rStyle w:val="CharSectno"/>
        </w:rPr>
        <w:t>50</w:t>
      </w:r>
      <w:r>
        <w:rPr>
          <w:snapToGrid w:val="0"/>
        </w:rPr>
        <w:t>.</w:t>
      </w:r>
      <w:r>
        <w:rPr>
          <w:snapToGrid w:val="0"/>
        </w:rPr>
        <w:tab/>
        <w:t>Omissions not to prejudice proceedings</w:t>
      </w:r>
      <w:bookmarkEnd w:id="90"/>
      <w:bookmarkEnd w:id="91"/>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92" w:name="_Toc473106772"/>
      <w:bookmarkStart w:id="93" w:name="_Toc473298538"/>
      <w:r>
        <w:rPr>
          <w:rStyle w:val="CharPartNo"/>
        </w:rPr>
        <w:t>Part VII</w:t>
      </w:r>
      <w:r>
        <w:rPr>
          <w:rStyle w:val="CharDivNo"/>
        </w:rPr>
        <w:t> </w:t>
      </w:r>
      <w:r>
        <w:t>—</w:t>
      </w:r>
      <w:r>
        <w:rPr>
          <w:rStyle w:val="CharDivText"/>
        </w:rPr>
        <w:t> </w:t>
      </w:r>
      <w:r>
        <w:rPr>
          <w:rStyle w:val="CharPartText"/>
        </w:rPr>
        <w:t>Packaging, labelling and standards</w:t>
      </w:r>
      <w:bookmarkEnd w:id="92"/>
      <w:bookmarkEnd w:id="93"/>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94" w:name="_Toc473298539"/>
      <w:bookmarkStart w:id="95" w:name="_Toc473106773"/>
      <w:r>
        <w:rPr>
          <w:rStyle w:val="CharSectno"/>
        </w:rPr>
        <w:t>52</w:t>
      </w:r>
      <w:r>
        <w:rPr>
          <w:snapToGrid w:val="0"/>
        </w:rPr>
        <w:t>.</w:t>
      </w:r>
      <w:r>
        <w:rPr>
          <w:snapToGrid w:val="0"/>
        </w:rPr>
        <w:tab/>
        <w:t>Regulations</w:t>
      </w:r>
      <w:bookmarkEnd w:id="94"/>
      <w:bookmarkEnd w:id="95"/>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96" w:name="_Toc473298540"/>
      <w:bookmarkStart w:id="97" w:name="_Toc473106774"/>
      <w:r>
        <w:rPr>
          <w:rStyle w:val="CharSectno"/>
        </w:rPr>
        <w:t>53</w:t>
      </w:r>
      <w:r>
        <w:rPr>
          <w:snapToGrid w:val="0"/>
        </w:rPr>
        <w:t>.</w:t>
      </w:r>
      <w:r>
        <w:rPr>
          <w:snapToGrid w:val="0"/>
        </w:rPr>
        <w:tab/>
        <w:t>Offences relating to labelling</w:t>
      </w:r>
      <w:bookmarkEnd w:id="96"/>
      <w:bookmarkEnd w:id="97"/>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98" w:name="_Toc473106775"/>
      <w:bookmarkStart w:id="99" w:name="_Toc473298541"/>
      <w:r>
        <w:rPr>
          <w:rStyle w:val="CharPartNo"/>
        </w:rPr>
        <w:t>Part VIII</w:t>
      </w:r>
      <w:r>
        <w:rPr>
          <w:rStyle w:val="CharDivNo"/>
        </w:rPr>
        <w:t> </w:t>
      </w:r>
      <w:r>
        <w:t>—</w:t>
      </w:r>
      <w:r>
        <w:rPr>
          <w:rStyle w:val="CharDivText"/>
        </w:rPr>
        <w:t> </w:t>
      </w:r>
      <w:r>
        <w:rPr>
          <w:rStyle w:val="CharPartText"/>
        </w:rPr>
        <w:t>Advertisements</w:t>
      </w:r>
      <w:bookmarkEnd w:id="98"/>
      <w:bookmarkEnd w:id="99"/>
      <w:r>
        <w:rPr>
          <w:rStyle w:val="CharPartText"/>
        </w:rPr>
        <w:t xml:space="preserve"> </w:t>
      </w:r>
    </w:p>
    <w:p>
      <w:pPr>
        <w:pStyle w:val="Heading5"/>
        <w:rPr>
          <w:snapToGrid w:val="0"/>
        </w:rPr>
      </w:pPr>
      <w:bookmarkStart w:id="100" w:name="_Toc473298542"/>
      <w:bookmarkStart w:id="101" w:name="_Toc473106776"/>
      <w:r>
        <w:rPr>
          <w:rStyle w:val="CharSectno"/>
        </w:rPr>
        <w:t>54</w:t>
      </w:r>
      <w:r>
        <w:rPr>
          <w:snapToGrid w:val="0"/>
        </w:rPr>
        <w:t>.</w:t>
      </w:r>
      <w:r>
        <w:rPr>
          <w:snapToGrid w:val="0"/>
        </w:rPr>
        <w:tab/>
        <w:t>Advertisements</w:t>
      </w:r>
      <w:bookmarkEnd w:id="100"/>
      <w:bookmarkEnd w:id="101"/>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102" w:name="_Toc473298543"/>
      <w:bookmarkStart w:id="103" w:name="_Toc473106777"/>
      <w:r>
        <w:rPr>
          <w:rStyle w:val="CharSectno"/>
        </w:rPr>
        <w:t>55</w:t>
      </w:r>
      <w:r>
        <w:rPr>
          <w:snapToGrid w:val="0"/>
        </w:rPr>
        <w:t>.</w:t>
      </w:r>
      <w:r>
        <w:rPr>
          <w:snapToGrid w:val="0"/>
        </w:rPr>
        <w:tab/>
        <w:t>Prohibited statements</w:t>
      </w:r>
      <w:bookmarkEnd w:id="102"/>
      <w:bookmarkEnd w:id="103"/>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104" w:name="_Toc473106778"/>
      <w:bookmarkStart w:id="105" w:name="_Toc473298544"/>
      <w:r>
        <w:rPr>
          <w:rStyle w:val="CharPartNo"/>
        </w:rPr>
        <w:t>Part IX</w:t>
      </w:r>
      <w:r>
        <w:rPr>
          <w:rStyle w:val="CharDivNo"/>
        </w:rPr>
        <w:t> </w:t>
      </w:r>
      <w:r>
        <w:t>—</w:t>
      </w:r>
      <w:r>
        <w:rPr>
          <w:rStyle w:val="CharDivText"/>
        </w:rPr>
        <w:t> </w:t>
      </w:r>
      <w:r>
        <w:rPr>
          <w:rStyle w:val="CharPartText"/>
        </w:rPr>
        <w:t>Invoices and warranties</w:t>
      </w:r>
      <w:bookmarkEnd w:id="104"/>
      <w:bookmarkEnd w:id="105"/>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106" w:name="_Toc473298545"/>
      <w:bookmarkStart w:id="107" w:name="_Toc473106779"/>
      <w:r>
        <w:rPr>
          <w:rStyle w:val="CharSectno"/>
        </w:rPr>
        <w:t>57</w:t>
      </w:r>
      <w:r>
        <w:rPr>
          <w:snapToGrid w:val="0"/>
        </w:rPr>
        <w:t>.</w:t>
      </w:r>
      <w:r>
        <w:rPr>
          <w:snapToGrid w:val="0"/>
        </w:rPr>
        <w:tab/>
        <w:t>Invoices</w:t>
      </w:r>
      <w:bookmarkEnd w:id="106"/>
      <w:bookmarkEnd w:id="107"/>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108" w:name="_Toc473298546"/>
      <w:bookmarkStart w:id="109" w:name="_Toc473106780"/>
      <w:r>
        <w:rPr>
          <w:rStyle w:val="CharSectno"/>
        </w:rPr>
        <w:t>58</w:t>
      </w:r>
      <w:r>
        <w:rPr>
          <w:snapToGrid w:val="0"/>
        </w:rPr>
        <w:t>.</w:t>
      </w:r>
      <w:r>
        <w:rPr>
          <w:snapToGrid w:val="0"/>
        </w:rPr>
        <w:tab/>
        <w:t>Warranties</w:t>
      </w:r>
      <w:bookmarkEnd w:id="108"/>
      <w:bookmarkEnd w:id="109"/>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110" w:name="_Toc473298547"/>
      <w:bookmarkStart w:id="111" w:name="_Toc473106781"/>
      <w:r>
        <w:rPr>
          <w:rStyle w:val="CharSectno"/>
        </w:rPr>
        <w:t>59</w:t>
      </w:r>
      <w:r>
        <w:rPr>
          <w:snapToGrid w:val="0"/>
        </w:rPr>
        <w:t>.</w:t>
      </w:r>
      <w:r>
        <w:rPr>
          <w:snapToGrid w:val="0"/>
        </w:rPr>
        <w:tab/>
        <w:t>Breach of duty by seller is an offence</w:t>
      </w:r>
      <w:bookmarkEnd w:id="110"/>
      <w:bookmarkEnd w:id="111"/>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112" w:name="_Toc473106782"/>
      <w:bookmarkStart w:id="113" w:name="_Toc473298548"/>
      <w:r>
        <w:rPr>
          <w:rStyle w:val="CharPartNo"/>
        </w:rPr>
        <w:t>Part X</w:t>
      </w:r>
      <w:r>
        <w:rPr>
          <w:rStyle w:val="CharDivNo"/>
        </w:rPr>
        <w:t> </w:t>
      </w:r>
      <w:r>
        <w:t>—</w:t>
      </w:r>
      <w:r>
        <w:rPr>
          <w:rStyle w:val="CharDivText"/>
        </w:rPr>
        <w:t> </w:t>
      </w:r>
      <w:r>
        <w:rPr>
          <w:rStyle w:val="CharPartText"/>
        </w:rPr>
        <w:t>Miscellaneous and general</w:t>
      </w:r>
      <w:bookmarkEnd w:id="112"/>
      <w:bookmarkEnd w:id="113"/>
    </w:p>
    <w:p>
      <w:pPr>
        <w:pStyle w:val="Heading5"/>
        <w:rPr>
          <w:snapToGrid w:val="0"/>
        </w:rPr>
      </w:pPr>
      <w:bookmarkStart w:id="114" w:name="_Toc473298549"/>
      <w:bookmarkStart w:id="115" w:name="_Toc473106783"/>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114"/>
      <w:bookmarkEnd w:id="115"/>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116" w:name="_Toc473298550"/>
      <w:bookmarkStart w:id="117" w:name="_Toc473106784"/>
      <w:r>
        <w:rPr>
          <w:rStyle w:val="CharSectno"/>
        </w:rPr>
        <w:t>60</w:t>
      </w:r>
      <w:r>
        <w:rPr>
          <w:snapToGrid w:val="0"/>
        </w:rPr>
        <w:t>.</w:t>
      </w:r>
      <w:r>
        <w:rPr>
          <w:snapToGrid w:val="0"/>
        </w:rPr>
        <w:tab/>
        <w:t>Persons obstructing execution of this Act</w:t>
      </w:r>
      <w:bookmarkEnd w:id="116"/>
      <w:bookmarkEnd w:id="11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118" w:name="_Toc473298551"/>
      <w:bookmarkStart w:id="119" w:name="_Toc473106785"/>
      <w:r>
        <w:rPr>
          <w:rStyle w:val="CharSectno"/>
        </w:rPr>
        <w:t>61</w:t>
      </w:r>
      <w:r>
        <w:rPr>
          <w:snapToGrid w:val="0"/>
        </w:rPr>
        <w:t>.</w:t>
      </w:r>
      <w:r>
        <w:rPr>
          <w:snapToGrid w:val="0"/>
        </w:rPr>
        <w:tab/>
        <w:t>Vicarious liability</w:t>
      </w:r>
      <w:bookmarkEnd w:id="118"/>
      <w:bookmarkEnd w:id="119"/>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120" w:name="_Toc473298552"/>
      <w:bookmarkStart w:id="121" w:name="_Toc473106786"/>
      <w:r>
        <w:rPr>
          <w:rStyle w:val="CharSectno"/>
        </w:rPr>
        <w:t>62</w:t>
      </w:r>
      <w:r>
        <w:rPr>
          <w:snapToGrid w:val="0"/>
        </w:rPr>
        <w:t>.</w:t>
      </w:r>
      <w:r>
        <w:rPr>
          <w:snapToGrid w:val="0"/>
        </w:rPr>
        <w:tab/>
        <w:t>Forfeiture</w:t>
      </w:r>
      <w:bookmarkEnd w:id="120"/>
      <w:bookmarkEnd w:id="121"/>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122" w:name="_Toc473298553"/>
      <w:bookmarkStart w:id="123" w:name="_Toc473106787"/>
      <w:r>
        <w:rPr>
          <w:rStyle w:val="CharSectno"/>
        </w:rPr>
        <w:t>63</w:t>
      </w:r>
      <w:r>
        <w:rPr>
          <w:snapToGrid w:val="0"/>
        </w:rPr>
        <w:t>.</w:t>
      </w:r>
      <w:r>
        <w:rPr>
          <w:snapToGrid w:val="0"/>
        </w:rPr>
        <w:tab/>
        <w:t>Offences and penalties</w:t>
      </w:r>
      <w:bookmarkEnd w:id="122"/>
      <w:bookmarkEnd w:id="12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124" w:name="_Toc473298554"/>
      <w:bookmarkStart w:id="125" w:name="_Toc473106788"/>
      <w:r>
        <w:rPr>
          <w:rStyle w:val="CharSectno"/>
        </w:rPr>
        <w:t>64</w:t>
      </w:r>
      <w:r>
        <w:rPr>
          <w:snapToGrid w:val="0"/>
        </w:rPr>
        <w:t>.</w:t>
      </w:r>
      <w:r>
        <w:rPr>
          <w:snapToGrid w:val="0"/>
        </w:rPr>
        <w:tab/>
        <w:t>Proceedings for offences</w:t>
      </w:r>
      <w:bookmarkEnd w:id="124"/>
      <w:bookmarkEnd w:id="125"/>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126" w:name="_Toc473298555"/>
      <w:bookmarkStart w:id="127" w:name="_Toc473106789"/>
      <w:r>
        <w:rPr>
          <w:rStyle w:val="CharSectno"/>
        </w:rPr>
        <w:t>65</w:t>
      </w:r>
      <w:r>
        <w:rPr>
          <w:snapToGrid w:val="0"/>
        </w:rPr>
        <w:t>.</w:t>
      </w:r>
      <w:r>
        <w:rPr>
          <w:snapToGrid w:val="0"/>
        </w:rPr>
        <w:tab/>
        <w:t>Evidence of qualifications</w:t>
      </w:r>
      <w:bookmarkEnd w:id="126"/>
      <w:bookmarkEnd w:id="127"/>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No. 35 of 2010 s. 160.] </w:t>
      </w:r>
    </w:p>
    <w:p>
      <w:pPr>
        <w:pStyle w:val="Heading5"/>
        <w:rPr>
          <w:snapToGrid w:val="0"/>
        </w:rPr>
      </w:pPr>
      <w:bookmarkStart w:id="128" w:name="_Toc473298556"/>
      <w:bookmarkStart w:id="129" w:name="_Toc473106790"/>
      <w:r>
        <w:rPr>
          <w:rStyle w:val="CharSectno"/>
        </w:rPr>
        <w:t>66</w:t>
      </w:r>
      <w:r>
        <w:rPr>
          <w:snapToGrid w:val="0"/>
        </w:rPr>
        <w:t>.</w:t>
      </w:r>
      <w:r>
        <w:rPr>
          <w:snapToGrid w:val="0"/>
        </w:rPr>
        <w:tab/>
        <w:t>Onus of proof</w:t>
      </w:r>
      <w:bookmarkEnd w:id="128"/>
      <w:bookmarkEnd w:id="129"/>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130" w:name="_Toc473298557"/>
      <w:bookmarkStart w:id="131" w:name="_Toc473106791"/>
      <w:r>
        <w:rPr>
          <w:rStyle w:val="CharSectno"/>
        </w:rPr>
        <w:t>67</w:t>
      </w:r>
      <w:r>
        <w:rPr>
          <w:snapToGrid w:val="0"/>
        </w:rPr>
        <w:t>.</w:t>
      </w:r>
      <w:r>
        <w:rPr>
          <w:snapToGrid w:val="0"/>
        </w:rPr>
        <w:tab/>
        <w:t>Protection from liability</w:t>
      </w:r>
      <w:bookmarkEnd w:id="130"/>
      <w:bookmarkEnd w:id="131"/>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132" w:name="_Toc473298558"/>
      <w:bookmarkStart w:id="133" w:name="_Toc473106792"/>
      <w:r>
        <w:rPr>
          <w:rStyle w:val="CharSectno"/>
        </w:rPr>
        <w:t>68</w:t>
      </w:r>
      <w:r>
        <w:rPr>
          <w:snapToGrid w:val="0"/>
        </w:rPr>
        <w:t>.</w:t>
      </w:r>
      <w:r>
        <w:rPr>
          <w:snapToGrid w:val="0"/>
        </w:rPr>
        <w:tab/>
        <w:t>Regulations</w:t>
      </w:r>
      <w:bookmarkEnd w:id="132"/>
      <w:bookmarkEnd w:id="133"/>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34" w:name="_Toc473106793"/>
      <w:bookmarkStart w:id="135" w:name="_Toc473298559"/>
      <w:r>
        <w:t>Notes</w:t>
      </w:r>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6" w:name="_Toc473298560"/>
      <w:bookmarkStart w:id="137" w:name="_Toc473106794"/>
      <w:r>
        <w:rPr>
          <w:snapToGrid w:val="0"/>
        </w:rPr>
        <w:t>Compilation table</w:t>
      </w:r>
      <w:bookmarkEnd w:id="136"/>
      <w:bookmarkEnd w:id="137"/>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w:t>
            </w:r>
            <w:r>
              <w:rPr>
                <w:vertAlign w:val="superscript"/>
              </w:rPr>
              <w:t>2</w:t>
            </w:r>
          </w:p>
        </w:tc>
        <w:tc>
          <w:tcPr>
            <w:tcW w:w="1134" w:type="dxa"/>
          </w:tcPr>
          <w:p>
            <w:pPr>
              <w:pStyle w:val="nTable"/>
              <w:spacing w:after="40"/>
            </w:pPr>
            <w:r>
              <w:t>56 of 1976</w:t>
            </w:r>
          </w:p>
        </w:tc>
        <w:tc>
          <w:tcPr>
            <w:tcW w:w="1134"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4"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3</w:t>
            </w:r>
          </w:p>
        </w:tc>
        <w:tc>
          <w:tcPr>
            <w:tcW w:w="1134" w:type="dxa"/>
          </w:tcPr>
          <w:p>
            <w:pPr>
              <w:pStyle w:val="nTable"/>
              <w:spacing w:after="40"/>
            </w:pPr>
            <w:r>
              <w:t>19 of 1990</w:t>
            </w:r>
          </w:p>
        </w:tc>
        <w:tc>
          <w:tcPr>
            <w:tcW w:w="1134"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4" w:type="dxa"/>
          </w:tcPr>
          <w:p>
            <w:pPr>
              <w:pStyle w:val="nTable"/>
              <w:spacing w:after="40"/>
            </w:pPr>
            <w:r>
              <w:t>9 Dec 1993</w:t>
            </w:r>
          </w:p>
        </w:tc>
        <w:tc>
          <w:tcPr>
            <w:tcW w:w="2551" w:type="dxa"/>
          </w:tcPr>
          <w:p>
            <w:pPr>
              <w:pStyle w:val="nTable"/>
              <w:spacing w:after="40"/>
            </w:pPr>
            <w:r>
              <w:t xml:space="preserve">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4"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4</w:t>
            </w:r>
          </w:p>
        </w:tc>
        <w:tc>
          <w:tcPr>
            <w:tcW w:w="1134" w:type="dxa"/>
          </w:tcPr>
          <w:p>
            <w:pPr>
              <w:pStyle w:val="nTable"/>
              <w:spacing w:after="40"/>
            </w:pPr>
            <w:r>
              <w:t>9 of 1998</w:t>
            </w:r>
          </w:p>
        </w:tc>
        <w:tc>
          <w:tcPr>
            <w:tcW w:w="1134"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4"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4"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4"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r>
              <w:rPr>
                <w:snapToGrid w:val="0"/>
                <w:vertAlign w:val="superscript"/>
              </w:rPr>
              <w:t> </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 17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Pr>
          <w:p>
            <w:pPr>
              <w:pStyle w:val="nTable"/>
              <w:spacing w:after="40"/>
              <w:rPr>
                <w:snapToGrid w:val="0"/>
              </w:rPr>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ins w:id="138" w:author="svcMRProcess" w:date="2020-02-20T07:00:00Z"/>
        </w:trPr>
        <w:tc>
          <w:tcPr>
            <w:tcW w:w="2268" w:type="dxa"/>
            <w:shd w:val="clear" w:color="auto" w:fill="auto"/>
          </w:tcPr>
          <w:p>
            <w:pPr>
              <w:pStyle w:val="nTable"/>
              <w:spacing w:after="40"/>
              <w:ind w:right="113"/>
              <w:rPr>
                <w:ins w:id="139" w:author="svcMRProcess" w:date="2020-02-20T07:00:00Z"/>
                <w:i/>
                <w:noProof/>
                <w:snapToGrid w:val="0"/>
              </w:rPr>
            </w:pPr>
            <w:ins w:id="140" w:author="svcMRProcess" w:date="2020-02-20T07:00:00Z">
              <w:r>
                <w:rPr>
                  <w:i/>
                  <w:noProof/>
                  <w:snapToGrid w:val="0"/>
                </w:rPr>
                <w:t>Medicines and Poisons Act 2014</w:t>
              </w:r>
              <w:r>
                <w:rPr>
                  <w:noProof/>
                  <w:snapToGrid w:val="0"/>
                </w:rPr>
                <w:t xml:space="preserve"> s. 190</w:t>
              </w:r>
            </w:ins>
          </w:p>
        </w:tc>
        <w:tc>
          <w:tcPr>
            <w:tcW w:w="1134" w:type="dxa"/>
            <w:shd w:val="clear" w:color="auto" w:fill="auto"/>
          </w:tcPr>
          <w:p>
            <w:pPr>
              <w:pStyle w:val="nTable"/>
              <w:spacing w:after="40"/>
              <w:rPr>
                <w:ins w:id="141" w:author="svcMRProcess" w:date="2020-02-20T07:00:00Z"/>
              </w:rPr>
            </w:pPr>
            <w:ins w:id="142" w:author="svcMRProcess" w:date="2020-02-20T07:00:00Z">
              <w:r>
                <w:t>13 of 2014</w:t>
              </w:r>
            </w:ins>
          </w:p>
        </w:tc>
        <w:tc>
          <w:tcPr>
            <w:tcW w:w="1136" w:type="dxa"/>
            <w:shd w:val="clear" w:color="auto" w:fill="auto"/>
          </w:tcPr>
          <w:p>
            <w:pPr>
              <w:pStyle w:val="nTable"/>
              <w:spacing w:after="40"/>
              <w:rPr>
                <w:ins w:id="143" w:author="svcMRProcess" w:date="2020-02-20T07:00:00Z"/>
              </w:rPr>
            </w:pPr>
            <w:ins w:id="144" w:author="svcMRProcess" w:date="2020-02-20T07:00:00Z">
              <w:r>
                <w:t>2 Jul 2014</w:t>
              </w:r>
            </w:ins>
          </w:p>
        </w:tc>
        <w:tc>
          <w:tcPr>
            <w:tcW w:w="2551" w:type="dxa"/>
            <w:shd w:val="clear" w:color="auto" w:fill="auto"/>
          </w:tcPr>
          <w:p>
            <w:pPr>
              <w:pStyle w:val="nTable"/>
              <w:spacing w:after="40"/>
              <w:rPr>
                <w:ins w:id="145" w:author="svcMRProcess" w:date="2020-02-20T07:00:00Z"/>
              </w:rPr>
            </w:pPr>
            <w:ins w:id="146" w:author="svcMRProcess" w:date="2020-02-20T07:00:00Z">
              <w:r>
                <w:t xml:space="preserve">30 Jan 2017 (see s. 2(b) and </w:t>
              </w:r>
              <w:r>
                <w:rPr>
                  <w:i/>
                </w:rPr>
                <w:t>Gazette</w:t>
              </w:r>
              <w:r>
                <w:t xml:space="preserve"> 17 Jan 2017 p. 403)</w:t>
              </w:r>
            </w:ins>
          </w:p>
        </w:tc>
      </w:tr>
      <w:tr>
        <w:tc>
          <w:tcPr>
            <w:tcW w:w="2268" w:type="dxa"/>
            <w:tcBorders>
              <w:bottom w:val="single" w:sz="4" w:space="0" w:color="auto"/>
            </w:tcBorders>
          </w:tcPr>
          <w:p>
            <w:pPr>
              <w:pStyle w:val="nTable"/>
              <w:spacing w:after="40"/>
              <w:rPr>
                <w:i/>
                <w:snapToGrid w:val="0"/>
              </w:rPr>
            </w:pPr>
            <w:r>
              <w:rPr>
                <w:i/>
                <w:snapToGrid w:val="0"/>
              </w:rPr>
              <w:t xml:space="preserve">Public Health (Consequential Provisions) Act 2016 </w:t>
            </w:r>
            <w:r>
              <w:rPr>
                <w:snapToGrid w:val="0"/>
              </w:rPr>
              <w:t>s. 101</w:t>
            </w:r>
          </w:p>
        </w:tc>
        <w:tc>
          <w:tcPr>
            <w:tcW w:w="1134" w:type="dxa"/>
            <w:tcBorders>
              <w:bottom w:val="single" w:sz="4" w:space="0" w:color="auto"/>
            </w:tcBorders>
          </w:tcPr>
          <w:p>
            <w:pPr>
              <w:pStyle w:val="nTable"/>
              <w:spacing w:after="40"/>
              <w:rPr>
                <w:snapToGrid w:val="0"/>
              </w:rPr>
            </w:pPr>
            <w:r>
              <w:rPr>
                <w:snapToGrid w:val="0"/>
              </w:rPr>
              <w:t>19 of 2016</w:t>
            </w:r>
          </w:p>
        </w:tc>
        <w:tc>
          <w:tcPr>
            <w:tcW w:w="1134" w:type="dxa"/>
            <w:tcBorders>
              <w:bottom w:val="single" w:sz="4" w:space="0" w:color="auto"/>
            </w:tcBorders>
          </w:tcPr>
          <w:p>
            <w:pPr>
              <w:pStyle w:val="nTable"/>
              <w:spacing w:after="40"/>
              <w:rPr>
                <w:snapToGrid w:val="0"/>
              </w:rPr>
            </w:pPr>
            <w:r>
              <w:rPr>
                <w:snapToGrid w:val="0"/>
              </w:rPr>
              <w:t>25 Jul 2016</w:t>
            </w:r>
          </w:p>
        </w:tc>
        <w:tc>
          <w:tcPr>
            <w:tcW w:w="2551" w:type="dxa"/>
            <w:tcBorders>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7" w:name="_Toc473298561"/>
      <w:bookmarkStart w:id="148" w:name="_Toc473106795"/>
      <w:r>
        <w:rPr>
          <w:snapToGrid w:val="0"/>
        </w:rPr>
        <w:t>Provisions that have not come into operation</w:t>
      </w:r>
      <w:bookmarkEnd w:id="147"/>
      <w:bookmarkEnd w:id="148"/>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spacing w:after="40"/>
              <w:rPr>
                <w:b/>
                <w:bCs/>
              </w:rPr>
            </w:pPr>
            <w:r>
              <w:rPr>
                <w:b/>
                <w:bCs/>
              </w:rPr>
              <w:t>Short title</w:t>
            </w:r>
          </w:p>
        </w:tc>
        <w:tc>
          <w:tcPr>
            <w:tcW w:w="1136" w:type="dxa"/>
            <w:tcBorders>
              <w:top w:val="single" w:sz="8" w:space="0" w:color="auto"/>
              <w:bottom w:val="single" w:sz="8" w:space="0" w:color="auto"/>
            </w:tcBorders>
          </w:tcPr>
          <w:p>
            <w:pPr>
              <w:pStyle w:val="nTable"/>
              <w:spacing w:after="40"/>
              <w:rPr>
                <w:b/>
                <w:bCs/>
              </w:rPr>
            </w:pPr>
            <w:r>
              <w:rPr>
                <w:b/>
                <w:bCs/>
              </w:rPr>
              <w:t>Number and year</w:t>
            </w:r>
          </w:p>
        </w:tc>
        <w:tc>
          <w:tcPr>
            <w:tcW w:w="1136" w:type="dxa"/>
            <w:tcBorders>
              <w:top w:val="single" w:sz="8" w:space="0" w:color="auto"/>
              <w:bottom w:val="single" w:sz="8" w:space="0" w:color="auto"/>
            </w:tcBorders>
          </w:tcPr>
          <w:p>
            <w:pPr>
              <w:pStyle w:val="nTable"/>
              <w:spacing w:after="40"/>
              <w:rPr>
                <w:b/>
                <w:bCs/>
              </w:rPr>
            </w:pPr>
            <w:r>
              <w:rPr>
                <w:b/>
                <w:bCs/>
              </w:rPr>
              <w:t>Assent</w:t>
            </w:r>
          </w:p>
        </w:tc>
        <w:tc>
          <w:tcPr>
            <w:tcW w:w="2544" w:type="dxa"/>
            <w:tcBorders>
              <w:top w:val="single" w:sz="8" w:space="0" w:color="auto"/>
              <w:bottom w:val="single" w:sz="8" w:space="0" w:color="auto"/>
            </w:tcBorders>
          </w:tcPr>
          <w:p>
            <w:pPr>
              <w:pStyle w:val="nTable"/>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spacing w:before="100"/>
              <w:rPr>
                <w:i/>
                <w:iCs/>
                <w:snapToGrid w:val="0"/>
                <w:vertAlign w:val="superscript"/>
              </w:rPr>
            </w:pPr>
            <w:r>
              <w:rPr>
                <w:i/>
                <w:snapToGrid w:val="0"/>
              </w:rPr>
              <w:t>Biosecurity and Agriculture Management (Repeal and Consequential Provisions) Act 2007</w:t>
            </w:r>
            <w:r>
              <w:rPr>
                <w:iCs/>
                <w:snapToGrid w:val="0"/>
              </w:rPr>
              <w:t xml:space="preserve"> s. 82 </w:t>
            </w:r>
            <w:r>
              <w:rPr>
                <w:iCs/>
                <w:snapToGrid w:val="0"/>
                <w:vertAlign w:val="superscript"/>
              </w:rPr>
              <w:t>7</w:t>
            </w:r>
          </w:p>
        </w:tc>
        <w:tc>
          <w:tcPr>
            <w:tcW w:w="1136" w:type="dxa"/>
            <w:tcBorders>
              <w:top w:val="single" w:sz="8" w:space="0" w:color="auto"/>
            </w:tcBorders>
          </w:tcPr>
          <w:p>
            <w:pPr>
              <w:pStyle w:val="nTable"/>
              <w:spacing w:before="100"/>
              <w:rPr>
                <w:snapToGrid w:val="0"/>
              </w:rPr>
            </w:pPr>
            <w:r>
              <w:rPr>
                <w:snapToGrid w:val="0"/>
              </w:rPr>
              <w:t>24 of 2007</w:t>
            </w:r>
          </w:p>
        </w:tc>
        <w:tc>
          <w:tcPr>
            <w:tcW w:w="1136" w:type="dxa"/>
            <w:tcBorders>
              <w:top w:val="single" w:sz="8" w:space="0" w:color="auto"/>
            </w:tcBorders>
          </w:tcPr>
          <w:p>
            <w:pPr>
              <w:pStyle w:val="nTable"/>
              <w:spacing w:before="100"/>
            </w:pPr>
            <w:r>
              <w:rPr>
                <w:snapToGrid w:val="0"/>
              </w:rPr>
              <w:t>12 Oct 2007</w:t>
            </w:r>
          </w:p>
        </w:tc>
        <w:tc>
          <w:tcPr>
            <w:tcW w:w="2544" w:type="dxa"/>
            <w:tcBorders>
              <w:top w:val="single" w:sz="8" w:space="0" w:color="auto"/>
            </w:tcBorders>
          </w:tcPr>
          <w:p>
            <w:pPr>
              <w:pStyle w:val="nTable"/>
              <w:spacing w:before="100"/>
              <w:rPr>
                <w:snapToGrid w:val="0"/>
              </w:rPr>
            </w:pPr>
            <w:r>
              <w:rPr>
                <w:snapToGrid w:val="0"/>
              </w:rPr>
              <w:t>To be proclaimed (s. 2(2))</w:t>
            </w:r>
          </w:p>
        </w:tc>
      </w:tr>
      <w:tr>
        <w:trPr>
          <w:gridBefore w:val="1"/>
          <w:wBefore w:w="12" w:type="dxa"/>
          <w:del w:id="149" w:author="svcMRProcess" w:date="2020-02-20T07:00:00Z"/>
        </w:trPr>
        <w:tc>
          <w:tcPr>
            <w:tcW w:w="2265" w:type="dxa"/>
            <w:gridSpan w:val="2"/>
          </w:tcPr>
          <w:p>
            <w:pPr>
              <w:pStyle w:val="nSubsection"/>
              <w:tabs>
                <w:tab w:val="clear" w:pos="454"/>
              </w:tabs>
              <w:spacing w:before="40" w:after="40"/>
              <w:ind w:left="0" w:firstLine="0"/>
              <w:rPr>
                <w:del w:id="150" w:author="svcMRProcess" w:date="2020-02-20T07:00:00Z"/>
                <w:sz w:val="19"/>
                <w:szCs w:val="19"/>
                <w:vertAlign w:val="superscript"/>
              </w:rPr>
            </w:pPr>
            <w:del w:id="151" w:author="svcMRProcess" w:date="2020-02-20T07:00:00Z">
              <w:r>
                <w:rPr>
                  <w:i/>
                  <w:noProof/>
                  <w:snapToGrid w:val="0"/>
                  <w:sz w:val="19"/>
                  <w:szCs w:val="19"/>
                </w:rPr>
                <w:delText>Medicines and Poisons Act 2014</w:delText>
              </w:r>
              <w:r>
                <w:rPr>
                  <w:noProof/>
                  <w:snapToGrid w:val="0"/>
                  <w:sz w:val="19"/>
                  <w:szCs w:val="19"/>
                </w:rPr>
                <w:delText xml:space="preserve"> s. 190 </w:delText>
              </w:r>
              <w:r>
                <w:rPr>
                  <w:noProof/>
                  <w:snapToGrid w:val="0"/>
                  <w:sz w:val="19"/>
                  <w:szCs w:val="19"/>
                  <w:vertAlign w:val="superscript"/>
                </w:rPr>
                <w:delText>8</w:delText>
              </w:r>
            </w:del>
          </w:p>
        </w:tc>
        <w:tc>
          <w:tcPr>
            <w:tcW w:w="1136" w:type="dxa"/>
          </w:tcPr>
          <w:p>
            <w:pPr>
              <w:pStyle w:val="nTable"/>
              <w:spacing w:after="40"/>
              <w:rPr>
                <w:del w:id="152" w:author="svcMRProcess" w:date="2020-02-20T07:00:00Z"/>
              </w:rPr>
            </w:pPr>
            <w:del w:id="153" w:author="svcMRProcess" w:date="2020-02-20T07:00:00Z">
              <w:r>
                <w:delText>13 of 2014</w:delText>
              </w:r>
            </w:del>
          </w:p>
        </w:tc>
        <w:tc>
          <w:tcPr>
            <w:tcW w:w="1136" w:type="dxa"/>
          </w:tcPr>
          <w:p>
            <w:pPr>
              <w:pStyle w:val="nTable"/>
              <w:spacing w:after="40"/>
              <w:rPr>
                <w:del w:id="154" w:author="svcMRProcess" w:date="2020-02-20T07:00:00Z"/>
              </w:rPr>
            </w:pPr>
            <w:del w:id="155" w:author="svcMRProcess" w:date="2020-02-20T07:00:00Z">
              <w:r>
                <w:delText>2 Jul 2014</w:delText>
              </w:r>
            </w:del>
          </w:p>
        </w:tc>
        <w:tc>
          <w:tcPr>
            <w:tcW w:w="2544" w:type="dxa"/>
          </w:tcPr>
          <w:p>
            <w:pPr>
              <w:pStyle w:val="nTable"/>
              <w:spacing w:after="40"/>
              <w:rPr>
                <w:del w:id="156" w:author="svcMRProcess" w:date="2020-02-20T07:00:00Z"/>
                <w:snapToGrid w:val="0"/>
              </w:rPr>
            </w:pPr>
            <w:del w:id="157" w:author="svcMRProcess" w:date="2020-02-20T07:00:00Z">
              <w:r>
                <w:rPr>
                  <w:snapToGrid w:val="0"/>
                </w:rPr>
                <w:delText>To be proclaimed (see s. 2(b))</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Pt. 5 Div. 25</w:t>
            </w:r>
            <w:r>
              <w:rPr>
                <w:vertAlign w:val="superscript"/>
              </w:rPr>
              <w:t> 9</w:t>
            </w:r>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MiscClose"/>
      </w:pPr>
      <w:r>
        <w:t>”.</w:t>
      </w:r>
    </w:p>
    <w:p/>
    <w:p>
      <w:pPr>
        <w:pStyle w:val="nSubsection"/>
        <w:keepLines/>
        <w:spacing w:before="0"/>
        <w:rPr>
          <w:del w:id="158" w:author="svcMRProcess" w:date="2020-02-20T07:00:00Z"/>
          <w:snapToGrid w:val="0"/>
        </w:rPr>
      </w:pPr>
      <w:del w:id="159" w:author="svcMRProcess" w:date="2020-02-20T07:00: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190 </w:delText>
        </w:r>
        <w:r>
          <w:rPr>
            <w:snapToGrid w:val="0"/>
          </w:rPr>
          <w:delText>had not come into operation.  It reads as follows:</w:delText>
        </w:r>
      </w:del>
    </w:p>
    <w:p>
      <w:pPr>
        <w:pStyle w:val="BlankOpen"/>
        <w:rPr>
          <w:del w:id="160" w:author="svcMRProcess" w:date="2020-02-20T07:00:00Z"/>
        </w:rPr>
      </w:pPr>
    </w:p>
    <w:p>
      <w:pPr>
        <w:pStyle w:val="nzHeading5"/>
        <w:rPr>
          <w:del w:id="161" w:author="svcMRProcess" w:date="2020-02-20T07:00:00Z"/>
        </w:rPr>
      </w:pPr>
      <w:del w:id="162" w:author="svcMRProcess" w:date="2020-02-20T07:00:00Z">
        <w:r>
          <w:rPr>
            <w:rStyle w:val="CharSectno"/>
          </w:rPr>
          <w:delText>190</w:delText>
        </w:r>
        <w:r>
          <w:delText>.</w:delText>
        </w:r>
        <w:r>
          <w:tab/>
        </w:r>
        <w:r>
          <w:rPr>
            <w:i/>
            <w:iCs/>
          </w:rPr>
          <w:delText>Veterinary Chemical Control and Animal Feeding Stuffs Act 1976</w:delText>
        </w:r>
        <w:r>
          <w:rPr>
            <w:iCs/>
          </w:rPr>
          <w:delText xml:space="preserve"> </w:delText>
        </w:r>
        <w:r>
          <w:delText>amended</w:delText>
        </w:r>
      </w:del>
    </w:p>
    <w:p>
      <w:pPr>
        <w:pStyle w:val="nzSubsection"/>
        <w:rPr>
          <w:del w:id="163" w:author="svcMRProcess" w:date="2020-02-20T07:00:00Z"/>
        </w:rPr>
      </w:pPr>
      <w:del w:id="164" w:author="svcMRProcess" w:date="2020-02-20T07:00:00Z">
        <w:r>
          <w:tab/>
          <w:delText>(1)</w:delText>
        </w:r>
        <w:r>
          <w:tab/>
          <w:delText xml:space="preserve">This section amends the </w:delText>
        </w:r>
        <w:r>
          <w:rPr>
            <w:i/>
            <w:iCs/>
          </w:rPr>
          <w:delText>Veterinary Chemical Control and Animal Feeding Stuffs Act 1976</w:delText>
        </w:r>
        <w:r>
          <w:delText>.</w:delText>
        </w:r>
      </w:del>
    </w:p>
    <w:p>
      <w:pPr>
        <w:pStyle w:val="nzSubsection"/>
        <w:rPr>
          <w:del w:id="165" w:author="svcMRProcess" w:date="2020-02-20T07:00:00Z"/>
        </w:rPr>
      </w:pPr>
      <w:del w:id="166" w:author="svcMRProcess" w:date="2020-02-20T07:00:00Z">
        <w:r>
          <w:tab/>
          <w:delText>(2)</w:delText>
        </w:r>
        <w:r>
          <w:tab/>
          <w:delText>In section 9 delete “</w:delText>
        </w:r>
        <w:r>
          <w:rPr>
            <w:i/>
            <w:iCs/>
          </w:rPr>
          <w:delText>Poisons Act 1964</w:delText>
        </w:r>
        <w:r>
          <w:rPr>
            <w:iCs/>
          </w:rPr>
          <w:delText>,</w:delText>
        </w:r>
        <w:r>
          <w:delText>” (each occurrence) and insert:</w:delText>
        </w:r>
      </w:del>
    </w:p>
    <w:p>
      <w:pPr>
        <w:pStyle w:val="BlankOpen"/>
        <w:rPr>
          <w:del w:id="167" w:author="svcMRProcess" w:date="2020-02-20T07:00:00Z"/>
        </w:rPr>
      </w:pPr>
    </w:p>
    <w:p>
      <w:pPr>
        <w:pStyle w:val="nzSubsection"/>
        <w:rPr>
          <w:del w:id="168" w:author="svcMRProcess" w:date="2020-02-20T07:00:00Z"/>
        </w:rPr>
      </w:pPr>
      <w:del w:id="169" w:author="svcMRProcess" w:date="2020-02-20T07:00:00Z">
        <w:r>
          <w:tab/>
        </w:r>
        <w:r>
          <w:tab/>
        </w:r>
        <w:r>
          <w:rPr>
            <w:i/>
            <w:snapToGrid w:val="0"/>
          </w:rPr>
          <w:delText>Medicines and Poisons Act 2014</w:delText>
        </w:r>
        <w:r>
          <w:rPr>
            <w:snapToGrid w:val="0"/>
          </w:rPr>
          <w:delText>,</w:delText>
        </w:r>
      </w:del>
    </w:p>
    <w:p>
      <w:pPr>
        <w:pStyle w:val="BlankClose"/>
        <w:rPr>
          <w:del w:id="170" w:author="svcMRProcess" w:date="2020-02-20T07:00:00Z"/>
        </w:rPr>
      </w:pPr>
    </w:p>
    <w:p>
      <w:pPr>
        <w:pStyle w:val="nSubsection"/>
        <w:keepLines/>
        <w:spacing w:before="0"/>
        <w:rPr>
          <w:ins w:id="171" w:author="svcMRProcess" w:date="2020-02-20T07:00:00Z"/>
        </w:rPr>
      </w:pPr>
      <w:ins w:id="172" w:author="svcMRProcess" w:date="2020-02-20T07:00:00Z">
        <w:r>
          <w:rPr>
            <w:snapToGrid w:val="0"/>
            <w:vertAlign w:val="superscript"/>
          </w:rPr>
          <w:t>8</w:t>
        </w:r>
        <w:r>
          <w:rPr>
            <w:snapToGrid w:val="0"/>
          </w:rPr>
          <w:tab/>
          <w:t>Footnote no longer applicable.</w:t>
        </w:r>
        <w:r>
          <w:t xml:space="preserve"> </w:t>
        </w:r>
      </w:ins>
    </w:p>
    <w:p>
      <w:pPr>
        <w:pStyle w:val="nSubsection"/>
        <w:rPr>
          <w:snapToGrid w:val="0"/>
        </w:rPr>
      </w:pPr>
      <w:r>
        <w:rPr>
          <w:snapToGrid w:val="0"/>
          <w:vertAlign w:val="superscript"/>
        </w:rPr>
        <w:t>9</w:t>
      </w:r>
      <w:r>
        <w:rPr>
          <w:snapToGrid w:val="0"/>
        </w:rPr>
        <w:tab/>
        <w:t xml:space="preserve">On the date as at which this compilation was prepared, the </w:t>
      </w:r>
      <w:r>
        <w:rPr>
          <w:i/>
        </w:rPr>
        <w:t>Public Health (Consequential Provisions) Act 2016</w:t>
      </w:r>
      <w:r>
        <w:t xml:space="preserve"> Pt. 5 Div. 25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25</w:t>
      </w:r>
      <w:r>
        <w:t> — </w:t>
      </w:r>
      <w:r>
        <w:rPr>
          <w:rStyle w:val="CharDivText"/>
          <w:i/>
        </w:rPr>
        <w:t>Veterinary Chemical Control and Animal Feeding Stuffs Act 1976 </w:t>
      </w:r>
      <w:r>
        <w:rPr>
          <w:rStyle w:val="CharDivText"/>
        </w:rPr>
        <w:t>amended</w:t>
      </w:r>
    </w:p>
    <w:p>
      <w:pPr>
        <w:pStyle w:val="nzHeading5"/>
      </w:pPr>
      <w:r>
        <w:rPr>
          <w:rStyle w:val="CharSectno"/>
        </w:rPr>
        <w:t>333</w:t>
      </w:r>
      <w:r>
        <w:t>.</w:t>
      </w:r>
      <w:r>
        <w:tab/>
        <w:t xml:space="preserve">Act </w:t>
      </w:r>
      <w:r>
        <w:rPr>
          <w:iCs/>
        </w:rPr>
        <w:t>amended</w:t>
      </w:r>
    </w:p>
    <w:p>
      <w:pPr>
        <w:pStyle w:val="nzSubsection"/>
      </w:pPr>
      <w:r>
        <w:tab/>
      </w:r>
      <w:r>
        <w:tab/>
        <w:t xml:space="preserve">This Division amends the </w:t>
      </w:r>
      <w:r>
        <w:rPr>
          <w:i/>
        </w:rPr>
        <w:t>Veterinary Chemical Control and Animal Feeding Stuffs Act 1976</w:t>
      </w:r>
      <w:r>
        <w:t>.</w:t>
      </w:r>
    </w:p>
    <w:p>
      <w:pPr>
        <w:pStyle w:val="nzHeading5"/>
      </w:pPr>
      <w:r>
        <w:rPr>
          <w:rStyle w:val="CharSectno"/>
        </w:rPr>
        <w:t>334</w:t>
      </w:r>
      <w:r>
        <w:t>.</w:t>
      </w:r>
      <w:r>
        <w:tab/>
        <w:t>Section 9 amended</w:t>
      </w:r>
    </w:p>
    <w:p>
      <w:pPr>
        <w:pStyle w:val="nzSubsection"/>
      </w:pPr>
      <w:r>
        <w:tab/>
      </w:r>
      <w:r>
        <w:tab/>
        <w:t>In section 9 after “</w:t>
      </w:r>
      <w:r>
        <w:rPr>
          <w:i/>
        </w:rPr>
        <w:t>Health (Miscellaneous Provisions) Act 1911</w:t>
      </w:r>
      <w:r>
        <w:t>,” (each occurrence) insert:</w:t>
      </w:r>
    </w:p>
    <w:p>
      <w:pPr>
        <w:pStyle w:val="BlankOpen"/>
      </w:pPr>
    </w:p>
    <w:p>
      <w:pPr>
        <w:pStyle w:val="nzSubsection"/>
      </w:pPr>
      <w:r>
        <w:tab/>
      </w:r>
      <w:r>
        <w:tab/>
        <w:t xml:space="preserve">the </w:t>
      </w:r>
      <w:r>
        <w:rPr>
          <w:i/>
        </w:rPr>
        <w:t>Food Act 2008</w:t>
      </w:r>
      <w:r>
        <w:t xml:space="preserve">, the </w:t>
      </w:r>
      <w:r>
        <w:rPr>
          <w:i/>
        </w:rPr>
        <w:t>Public Health Act 2016</w:t>
      </w:r>
    </w:p>
    <w:p>
      <w:pPr>
        <w:pStyle w:val="BlankClose"/>
      </w:pPr>
    </w:p>
    <w:p>
      <w:pPr>
        <w:pStyle w:val="nzHeading5"/>
      </w:pPr>
      <w:r>
        <w:rPr>
          <w:rStyle w:val="CharSectno"/>
        </w:rPr>
        <w:t>335</w:t>
      </w:r>
      <w:r>
        <w:t>.</w:t>
      </w:r>
      <w:r>
        <w:tab/>
        <w:t>Section 9 replaced</w:t>
      </w:r>
    </w:p>
    <w:p>
      <w:pPr>
        <w:pStyle w:val="nzSubsection"/>
      </w:pPr>
      <w:r>
        <w:tab/>
      </w:r>
      <w:r>
        <w:tab/>
        <w:t>Delete section 9 and insert:</w:t>
      </w:r>
    </w:p>
    <w:p>
      <w:pPr>
        <w:pStyle w:val="BlankOpen"/>
      </w:pPr>
    </w:p>
    <w:p>
      <w:pPr>
        <w:pStyle w:val="nzHeading5"/>
      </w:pPr>
      <w:r>
        <w:t>9.</w:t>
      </w:r>
      <w:r>
        <w:tab/>
        <w:t xml:space="preserve">Act to be construed subject to certain laws </w:t>
      </w:r>
    </w:p>
    <w:p>
      <w:pPr>
        <w:pStyle w:val="nzSubsection"/>
      </w:pPr>
      <w:r>
        <w:tab/>
        <w:t>(1)</w:t>
      </w:r>
      <w:r>
        <w:tab/>
        <w:t xml:space="preserve">This Act is in addition to, and not in derogation of, the following — </w:t>
      </w:r>
    </w:p>
    <w:p>
      <w:pPr>
        <w:pStyle w:val="nzIndenta"/>
      </w:pPr>
      <w:r>
        <w:tab/>
        <w:t>(a)</w:t>
      </w:r>
      <w:r>
        <w:tab/>
        <w:t xml:space="preserve">the </w:t>
      </w:r>
      <w:r>
        <w:rPr>
          <w:i/>
          <w:iCs/>
        </w:rPr>
        <w:t>Health (Miscellaneous Provisions) Act 1911</w:t>
      </w:r>
      <w:r>
        <w:t>;</w:t>
      </w:r>
    </w:p>
    <w:p>
      <w:pPr>
        <w:pStyle w:val="nzIndenta"/>
      </w:pPr>
      <w:r>
        <w:tab/>
        <w:t>(b)</w:t>
      </w:r>
      <w:r>
        <w:tab/>
        <w:t xml:space="preserve">the </w:t>
      </w:r>
      <w:r>
        <w:rPr>
          <w:i/>
        </w:rPr>
        <w:t>Food Act 2008</w:t>
      </w:r>
      <w:r>
        <w:t>;</w:t>
      </w:r>
    </w:p>
    <w:p>
      <w:pPr>
        <w:pStyle w:val="nzIndenta"/>
      </w:pPr>
      <w:r>
        <w:tab/>
        <w:t>(c)</w:t>
      </w:r>
      <w:r>
        <w:tab/>
        <w:t xml:space="preserve">the </w:t>
      </w:r>
      <w:r>
        <w:rPr>
          <w:i/>
        </w:rPr>
        <w:t>Medicines and Poisons Act 2014</w:t>
      </w:r>
      <w:r>
        <w:t>;</w:t>
      </w:r>
    </w:p>
    <w:p>
      <w:pPr>
        <w:pStyle w:val="nzIndenta"/>
      </w:pPr>
      <w:r>
        <w:tab/>
        <w:t>(d)</w:t>
      </w:r>
      <w:r>
        <w:tab/>
        <w:t xml:space="preserve">the </w:t>
      </w:r>
      <w:r>
        <w:rPr>
          <w:i/>
          <w:iCs/>
        </w:rPr>
        <w:t>Public Health Act 2016</w:t>
      </w:r>
      <w:r>
        <w:t>.</w:t>
      </w:r>
    </w:p>
    <w:p>
      <w:pPr>
        <w:pStyle w:val="nz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BlankClose"/>
      </w:pPr>
    </w:p>
    <w:p>
      <w:pPr>
        <w:pStyle w:val="BlankClose"/>
      </w:pPr>
    </w:p>
    <w:p>
      <w:pPr>
        <w:rPr>
          <w:vertAlign w:val="superscript"/>
        </w:rPr>
      </w:pPr>
    </w:p>
    <w:p>
      <w:pPr>
        <w:sectPr>
          <w:headerReference w:type="even" r:id="rId21"/>
          <w:headerReference w:type="default" r:id="rId22"/>
          <w:headerReference w:type="first" r:id="rId23"/>
          <w:pgSz w:w="11907" w:h="16840" w:code="9"/>
          <w:pgMar w:top="2376" w:right="2405" w:bottom="3542" w:left="2405" w:header="706" w:footer="3528" w:gutter="0"/>
          <w:cols w:space="720"/>
          <w:noEndnote/>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 w:name="Coversheet"/>
    <w:bookmarkEnd w:id="1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Introductory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Introductory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9"/>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2546"/>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13897</Words>
  <Characters>65041</Characters>
  <Application>Microsoft Office Word</Application>
  <DocSecurity>0</DocSecurity>
  <Lines>1806</Lines>
  <Paragraphs>858</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78080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02-k0-00 - 02-l0-00</dc:title>
  <dc:subject/>
  <dc:creator/>
  <cp:keywords/>
  <dc:description/>
  <cp:lastModifiedBy>svcMRProcess</cp:lastModifiedBy>
  <cp:revision>2</cp:revision>
  <cp:lastPrinted>2006-02-01T01:13:00Z</cp:lastPrinted>
  <dcterms:created xsi:type="dcterms:W3CDTF">2020-02-19T23:00:00Z</dcterms:created>
  <dcterms:modified xsi:type="dcterms:W3CDTF">2020-02-19T23:00:00Z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No">
    <vt:lpwstr>2</vt:lpwstr>
  </property>
  <property fmtid="{D5CDD505-2E9C-101B-9397-08002B2CF9AE}" pid="6" name="CommencementDate">
    <vt:lpwstr>20170130</vt:lpwstr>
  </property>
  <property fmtid="{D5CDD505-2E9C-101B-9397-08002B2CF9AE}" pid="7" name="FromSuffix">
    <vt:lpwstr>02-k0-00</vt:lpwstr>
  </property>
  <property fmtid="{D5CDD505-2E9C-101B-9397-08002B2CF9AE}" pid="8" name="FromAsAtDate">
    <vt:lpwstr>24 Jan 2017</vt:lpwstr>
  </property>
  <property fmtid="{D5CDD505-2E9C-101B-9397-08002B2CF9AE}" pid="9" name="ToSuffix">
    <vt:lpwstr>02-l0-00</vt:lpwstr>
  </property>
  <property fmtid="{D5CDD505-2E9C-101B-9397-08002B2CF9AE}" pid="10" name="ToAsAtDate">
    <vt:lpwstr>30 Jan 2017</vt:lpwstr>
  </property>
</Properties>
</file>