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0:55:00Z"/>
        </w:trPr>
        <w:tc>
          <w:tcPr>
            <w:tcW w:w="2434" w:type="dxa"/>
            <w:vMerge w:val="restart"/>
          </w:tcPr>
          <w:p>
            <w:pPr>
              <w:rPr>
                <w:del w:id="2" w:author="Master Repository Process" w:date="2021-09-18T10:55:00Z"/>
              </w:rPr>
            </w:pPr>
          </w:p>
        </w:tc>
        <w:tc>
          <w:tcPr>
            <w:tcW w:w="2434" w:type="dxa"/>
            <w:vMerge w:val="restart"/>
          </w:tcPr>
          <w:p>
            <w:pPr>
              <w:jc w:val="center"/>
              <w:rPr>
                <w:del w:id="3" w:author="Master Repository Process" w:date="2021-09-18T10:55:00Z"/>
              </w:rPr>
            </w:pPr>
            <w:del w:id="4" w:author="Master Repository Process" w:date="2021-09-18T10: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0:55:00Z"/>
              </w:rPr>
            </w:pPr>
            <w:del w:id="6" w:author="Master Repository Process" w:date="2021-09-18T10:5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10:55:00Z"/>
        </w:trPr>
        <w:tc>
          <w:tcPr>
            <w:tcW w:w="2434" w:type="dxa"/>
            <w:vMerge/>
          </w:tcPr>
          <w:p>
            <w:pPr>
              <w:rPr>
                <w:del w:id="8" w:author="Master Repository Process" w:date="2021-09-18T10:55:00Z"/>
              </w:rPr>
            </w:pPr>
          </w:p>
        </w:tc>
        <w:tc>
          <w:tcPr>
            <w:tcW w:w="2434" w:type="dxa"/>
            <w:vMerge/>
          </w:tcPr>
          <w:p>
            <w:pPr>
              <w:jc w:val="center"/>
              <w:rPr>
                <w:del w:id="9" w:author="Master Repository Process" w:date="2021-09-18T10:55:00Z"/>
              </w:rPr>
            </w:pPr>
          </w:p>
        </w:tc>
        <w:tc>
          <w:tcPr>
            <w:tcW w:w="2434" w:type="dxa"/>
          </w:tcPr>
          <w:p>
            <w:pPr>
              <w:keepNext/>
              <w:rPr>
                <w:del w:id="10" w:author="Master Repository Process" w:date="2021-09-18T10:55:00Z"/>
                <w:b/>
                <w:sz w:val="22"/>
              </w:rPr>
            </w:pPr>
            <w:del w:id="11" w:author="Master Repository Process" w:date="2021-09-18T10:55:00Z">
              <w:r>
                <w:rPr>
                  <w:b/>
                  <w:sz w:val="22"/>
                </w:rPr>
                <w:delText>at 12 July 2013</w:delText>
              </w:r>
            </w:del>
          </w:p>
        </w:tc>
      </w:tr>
    </w:tbl>
    <w:p>
      <w:pPr>
        <w:pStyle w:val="WA"/>
      </w:pPr>
      <w:r>
        <w:t>Western Australia</w:t>
      </w:r>
    </w:p>
    <w:p>
      <w:pPr>
        <w:pStyle w:val="PrincipalActReg"/>
        <w:spacing w:before="240" w:after="600"/>
      </w:pPr>
      <w:r>
        <w:t>Veterinary Chemical Control and Animal Feeding Stuffs Act 1976</w:t>
      </w:r>
    </w:p>
    <w:p>
      <w:pPr>
        <w:pStyle w:val="NameofActReg"/>
        <w:spacing w:before="600" w:after="840"/>
      </w:pPr>
      <w:r>
        <w:t>Veterinary Chemical Control Regulations 2006</w:t>
      </w:r>
    </w:p>
    <w:p>
      <w:pPr>
        <w:pStyle w:val="Heading2"/>
        <w:pageBreakBefore w:val="0"/>
        <w:spacing w:before="240"/>
      </w:pPr>
      <w:bookmarkStart w:id="12" w:name="_Toc377395494"/>
      <w:bookmarkStart w:id="13" w:name="_Toc425250202"/>
      <w:bookmarkStart w:id="14" w:name="_Toc473279112"/>
      <w:bookmarkStart w:id="15" w:name="_Toc47329438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377395495"/>
      <w:bookmarkStart w:id="18" w:name="_Toc473294389"/>
      <w:bookmarkStart w:id="19" w:name="_Toc425250203"/>
      <w:r>
        <w:rPr>
          <w:rStyle w:val="CharSectno"/>
        </w:rPr>
        <w:t>1</w:t>
      </w:r>
      <w:r>
        <w:t>.</w:t>
      </w:r>
      <w:r>
        <w:tab/>
        <w:t>Citation</w:t>
      </w:r>
      <w:bookmarkEnd w:id="17"/>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Veterinary Chemical Control Regulations 2006</w:t>
      </w:r>
      <w:r>
        <w:rPr>
          <w:iCs/>
        </w:rPr>
        <w:t> </w:t>
      </w:r>
      <w:r>
        <w:rPr>
          <w:iCs/>
          <w:vertAlign w:val="superscript"/>
        </w:rPr>
        <w:t>1</w:t>
      </w:r>
      <w:r>
        <w:t>.</w:t>
      </w:r>
    </w:p>
    <w:p>
      <w:pPr>
        <w:pStyle w:val="Footnotesection"/>
      </w:pPr>
      <w:r>
        <w:tab/>
        <w:t>[Regulation 1 amended</w:t>
      </w:r>
      <w:del w:id="21" w:author="Master Repository Process" w:date="2021-09-18T10:55:00Z">
        <w:r>
          <w:delText xml:space="preserve"> in</w:delText>
        </w:r>
      </w:del>
      <w:ins w:id="22" w:author="Master Repository Process" w:date="2021-09-18T10:55:00Z">
        <w:r>
          <w:t>:</w:t>
        </w:r>
      </w:ins>
      <w:r>
        <w:t xml:space="preserve"> Gazette 5 Feb 2013 p. 830.]</w:t>
      </w:r>
    </w:p>
    <w:p>
      <w:pPr>
        <w:pStyle w:val="Heading5"/>
        <w:spacing w:before="240"/>
      </w:pPr>
      <w:bookmarkStart w:id="23" w:name="_Toc377395496"/>
      <w:bookmarkStart w:id="24" w:name="_Toc473294390"/>
      <w:bookmarkStart w:id="25" w:name="_Toc425250204"/>
      <w:r>
        <w:rPr>
          <w:rStyle w:val="CharSectno"/>
        </w:rPr>
        <w:t>2</w:t>
      </w:r>
      <w:r>
        <w:t>.</w:t>
      </w:r>
      <w:r>
        <w:tab/>
        <w:t>Terms used</w:t>
      </w:r>
      <w:bookmarkEnd w:id="23"/>
      <w:bookmarkEnd w:id="24"/>
      <w:bookmarkEnd w:id="25"/>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tab/>
      </w:r>
      <w:r>
        <w:rPr>
          <w:rStyle w:val="CharDefText"/>
        </w:rPr>
        <w:t>prescribe</w:t>
      </w:r>
      <w:r>
        <w:t xml:space="preserve">, in relation to a veterinary chemical product, means </w:t>
      </w:r>
      <w:del w:id="26" w:author="Master Repository Process" w:date="2021-09-18T10:55:00Z">
        <w:r>
          <w:delText xml:space="preserve">give </w:delText>
        </w:r>
      </w:del>
      <w:r>
        <w:t xml:space="preserve">to </w:t>
      </w:r>
      <w:ins w:id="27" w:author="Master Repository Process" w:date="2021-09-18T10:55:00Z">
        <w:r>
          <w:t xml:space="preserve">issue </w:t>
        </w:r>
      </w:ins>
      <w:r>
        <w:t xml:space="preserve">a </w:t>
      </w:r>
      <w:del w:id="28" w:author="Master Repository Process" w:date="2021-09-18T10:55:00Z">
        <w:r>
          <w:delText>person a written instruction</w:delText>
        </w:r>
      </w:del>
      <w:ins w:id="29" w:author="Master Repository Process" w:date="2021-09-18T10:55:00Z">
        <w:r>
          <w:t xml:space="preserve">prescription in accordance with the </w:t>
        </w:r>
        <w:r>
          <w:rPr>
            <w:i/>
          </w:rPr>
          <w:t>Medicines and Poisons Act 2014</w:t>
        </w:r>
      </w:ins>
      <w:r>
        <w:t xml:space="preserve"> for the </w:t>
      </w:r>
      <w:del w:id="30" w:author="Master Repository Process" w:date="2021-09-18T10:55:00Z">
        <w:r>
          <w:delText xml:space="preserve">supply to that person of the veterinary chemical </w:delText>
        </w:r>
      </w:del>
      <w:r>
        <w:t>product</w:t>
      </w:r>
      <w:del w:id="31" w:author="Master Repository Process" w:date="2021-09-18T10:55:00Z">
        <w:r>
          <w:delText xml:space="preserve"> by — </w:delText>
        </w:r>
      </w:del>
      <w:ins w:id="32" w:author="Master Repository Process" w:date="2021-09-18T10:55:00Z">
        <w:r>
          <w:t>;</w:t>
        </w:r>
      </w:ins>
    </w:p>
    <w:p>
      <w:pPr>
        <w:pStyle w:val="Defpara"/>
        <w:rPr>
          <w:del w:id="33" w:author="Master Repository Process" w:date="2021-09-18T10:55:00Z"/>
        </w:rPr>
      </w:pPr>
      <w:del w:id="34" w:author="Master Repository Process" w:date="2021-09-18T10:55:00Z">
        <w:r>
          <w:tab/>
          <w:delText>(a)</w:delText>
        </w:r>
        <w:r>
          <w:tab/>
          <w:delText>a pharmacist; or</w:delText>
        </w:r>
      </w:del>
    </w:p>
    <w:p>
      <w:pPr>
        <w:pStyle w:val="Defpara"/>
        <w:rPr>
          <w:del w:id="35" w:author="Master Repository Process" w:date="2021-09-18T10:55:00Z"/>
        </w:rPr>
      </w:pPr>
      <w:del w:id="36" w:author="Master Repository Process" w:date="2021-09-18T10:55:00Z">
        <w:r>
          <w:tab/>
          <w:delText>(b)</w:delText>
        </w:r>
        <w:r>
          <w:tab/>
          <w:delText xml:space="preserve">another person licensed or authorised under the </w:delText>
        </w:r>
        <w:r>
          <w:rPr>
            <w:i/>
            <w:iCs/>
          </w:rPr>
          <w:delText>Poisons Act 1964</w:delText>
        </w:r>
        <w:r>
          <w:delText xml:space="preserve"> to supply a poison, as defined in that Act, that is a veterinary chemical product;</w:delText>
        </w:r>
      </w:del>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trade species animal</w:t>
      </w:r>
      <w:r>
        <w:t xml:space="preserve"> means — </w:t>
      </w:r>
    </w:p>
    <w:p>
      <w:pPr>
        <w:pStyle w:val="Defpara"/>
        <w:spacing w:before="60"/>
      </w:pPr>
      <w:r>
        <w:tab/>
        <w:t>(a)</w:t>
      </w:r>
      <w:r>
        <w:tab/>
        <w:t>cattle, sheep, pig, domestic poultry (for example, chickens, turkeys, ducks, geese), ostrich, emu, deer, goat, bee and aquaculture species; or</w:t>
      </w:r>
    </w:p>
    <w:p>
      <w:pPr>
        <w:pStyle w:val="Defpara"/>
        <w:spacing w:before="60"/>
      </w:pPr>
      <w:r>
        <w:tab/>
        <w:t>(b)</w:t>
      </w:r>
      <w:r>
        <w:tab/>
        <w:t>an animal kept or used to produce hide, hair or fleece; or</w:t>
      </w:r>
    </w:p>
    <w:p>
      <w:pPr>
        <w:pStyle w:val="Defpara"/>
        <w:spacing w:before="60"/>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spacing w:before="60"/>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ind w:left="890" w:hanging="890"/>
      </w:pPr>
      <w:r>
        <w:tab/>
        <w:t>[Regulation 2 amended</w:t>
      </w:r>
      <w:del w:id="37" w:author="Master Repository Process" w:date="2021-09-18T10:55:00Z">
        <w:r>
          <w:delText xml:space="preserve"> in</w:delText>
        </w:r>
      </w:del>
      <w:ins w:id="38" w:author="Master Repository Process" w:date="2021-09-18T10:55:00Z">
        <w:r>
          <w:t>:</w:t>
        </w:r>
      </w:ins>
      <w:r>
        <w:t xml:space="preserve"> Gazette 5 Feb 2013 p. 830</w:t>
      </w:r>
      <w:ins w:id="39" w:author="Master Repository Process" w:date="2021-09-18T10:55:00Z">
        <w:r>
          <w:t>; 17 Jan 2017 p. 405</w:t>
        </w:r>
      </w:ins>
      <w:r>
        <w:t>.]</w:t>
      </w:r>
    </w:p>
    <w:p>
      <w:pPr>
        <w:pStyle w:val="Heading2"/>
      </w:pPr>
      <w:bookmarkStart w:id="40" w:name="_Toc377395497"/>
      <w:bookmarkStart w:id="41" w:name="_Toc425250205"/>
      <w:bookmarkStart w:id="42" w:name="_Toc473279115"/>
      <w:bookmarkStart w:id="43" w:name="_Toc473294391"/>
      <w:r>
        <w:rPr>
          <w:rStyle w:val="CharPartNo"/>
        </w:rPr>
        <w:t>Part 2</w:t>
      </w:r>
      <w:r>
        <w:t> — </w:t>
      </w:r>
      <w:r>
        <w:rPr>
          <w:rStyle w:val="CharPartText"/>
        </w:rPr>
        <w:t>Veterinary chemical products</w:t>
      </w:r>
      <w:bookmarkEnd w:id="40"/>
      <w:bookmarkEnd w:id="41"/>
      <w:bookmarkEnd w:id="42"/>
      <w:bookmarkEnd w:id="43"/>
    </w:p>
    <w:p>
      <w:pPr>
        <w:pStyle w:val="Heading3"/>
      </w:pPr>
      <w:bookmarkStart w:id="44" w:name="_Toc377395498"/>
      <w:bookmarkStart w:id="45" w:name="_Toc425250206"/>
      <w:bookmarkStart w:id="46" w:name="_Toc473279116"/>
      <w:bookmarkStart w:id="47" w:name="_Toc473294392"/>
      <w:r>
        <w:rPr>
          <w:rStyle w:val="CharDivNo"/>
        </w:rPr>
        <w:t>Division 1</w:t>
      </w:r>
      <w:r>
        <w:t> — </w:t>
      </w:r>
      <w:r>
        <w:rPr>
          <w:rStyle w:val="CharDivText"/>
        </w:rPr>
        <w:t>Use of veterinary chemical products by veterinary surgeons</w:t>
      </w:r>
      <w:bookmarkEnd w:id="44"/>
      <w:bookmarkEnd w:id="45"/>
      <w:bookmarkEnd w:id="46"/>
      <w:bookmarkEnd w:id="47"/>
    </w:p>
    <w:p>
      <w:pPr>
        <w:pStyle w:val="Heading5"/>
      </w:pPr>
      <w:bookmarkStart w:id="48" w:name="_Toc377395499"/>
      <w:bookmarkStart w:id="49" w:name="_Toc473294393"/>
      <w:bookmarkStart w:id="50" w:name="_Toc425250207"/>
      <w:r>
        <w:rPr>
          <w:rStyle w:val="CharSectno"/>
        </w:rPr>
        <w:t>3</w:t>
      </w:r>
      <w:r>
        <w:t>.</w:t>
      </w:r>
      <w:r>
        <w:tab/>
        <w:t>Use by injection of registered veterinary chemical product</w:t>
      </w:r>
      <w:bookmarkEnd w:id="48"/>
      <w:bookmarkEnd w:id="49"/>
      <w:bookmarkEnd w:id="50"/>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51" w:name="_Toc377395500"/>
      <w:bookmarkStart w:id="52" w:name="_Toc473294394"/>
      <w:bookmarkStart w:id="53" w:name="_Toc425250208"/>
      <w:r>
        <w:rPr>
          <w:rStyle w:val="CharSectno"/>
        </w:rPr>
        <w:t>4</w:t>
      </w:r>
      <w:r>
        <w:t>.</w:t>
      </w:r>
      <w:r>
        <w:tab/>
        <w:t>Use by veterinary surgeon of registered veterinary chemical product</w:t>
      </w:r>
      <w:bookmarkEnd w:id="51"/>
      <w:bookmarkEnd w:id="52"/>
      <w:bookmarkEnd w:id="53"/>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spacing w:before="180"/>
      </w:pPr>
      <w:bookmarkStart w:id="54" w:name="_Toc377395501"/>
      <w:bookmarkStart w:id="55" w:name="_Toc473294395"/>
      <w:bookmarkStart w:id="56" w:name="_Toc425250209"/>
      <w:r>
        <w:rPr>
          <w:rStyle w:val="CharSectno"/>
        </w:rPr>
        <w:t>5</w:t>
      </w:r>
      <w:r>
        <w:t>.</w:t>
      </w:r>
      <w:r>
        <w:tab/>
        <w:t>Use by veterinary surgeon of unregistered veterinary chemical product</w:t>
      </w:r>
      <w:bookmarkEnd w:id="54"/>
      <w:bookmarkEnd w:id="55"/>
      <w:bookmarkEnd w:id="56"/>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spacing w:before="180"/>
      </w:pPr>
      <w:bookmarkStart w:id="57" w:name="_Toc377395502"/>
      <w:bookmarkStart w:id="58" w:name="_Toc473294396"/>
      <w:bookmarkStart w:id="59" w:name="_Toc425250210"/>
      <w:r>
        <w:rPr>
          <w:rStyle w:val="CharSectno"/>
        </w:rPr>
        <w:t>6</w:t>
      </w:r>
      <w:r>
        <w:t>.</w:t>
      </w:r>
      <w:r>
        <w:tab/>
        <w:t>Authorised use of low risk chemical by veterinary surgeon</w:t>
      </w:r>
      <w:bookmarkEnd w:id="57"/>
      <w:bookmarkEnd w:id="58"/>
      <w:bookmarkEnd w:id="59"/>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60" w:name="_Toc377395503"/>
      <w:bookmarkStart w:id="61" w:name="_Toc473294397"/>
      <w:bookmarkStart w:id="62" w:name="_Toc425250211"/>
      <w:r>
        <w:rPr>
          <w:rStyle w:val="CharSectno"/>
        </w:rPr>
        <w:t>7</w:t>
      </w:r>
      <w:r>
        <w:t>.</w:t>
      </w:r>
      <w:r>
        <w:tab/>
        <w:t>Use by veterinary surgeon with authority of CVO</w:t>
      </w:r>
      <w:bookmarkEnd w:id="60"/>
      <w:bookmarkEnd w:id="61"/>
      <w:bookmarkEnd w:id="62"/>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63" w:name="_Toc377395504"/>
      <w:bookmarkStart w:id="64" w:name="_Toc473294398"/>
      <w:bookmarkStart w:id="65" w:name="_Toc425250212"/>
      <w:r>
        <w:rPr>
          <w:rStyle w:val="CharSectno"/>
        </w:rPr>
        <w:t>8</w:t>
      </w:r>
      <w:r>
        <w:t>.</w:t>
      </w:r>
      <w:r>
        <w:tab/>
        <w:t>Supply of veterinary chemical product by veterinary surgeon</w:t>
      </w:r>
      <w:bookmarkEnd w:id="63"/>
      <w:bookmarkEnd w:id="64"/>
      <w:bookmarkEnd w:id="65"/>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66" w:name="_Toc377395505"/>
      <w:bookmarkStart w:id="67" w:name="_Toc473294399"/>
      <w:bookmarkStart w:id="68" w:name="_Toc425250213"/>
      <w:r>
        <w:rPr>
          <w:rStyle w:val="CharSectno"/>
        </w:rPr>
        <w:t>9</w:t>
      </w:r>
      <w:r>
        <w:t>.</w:t>
      </w:r>
      <w:r>
        <w:tab/>
        <w:t>Use of antibiotics on bees</w:t>
      </w:r>
      <w:bookmarkEnd w:id="66"/>
      <w:bookmarkEnd w:id="67"/>
      <w:bookmarkEnd w:id="68"/>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69" w:name="_Toc377395506"/>
      <w:bookmarkStart w:id="70" w:name="_Toc473294400"/>
      <w:bookmarkStart w:id="71" w:name="_Toc425250214"/>
      <w:r>
        <w:rPr>
          <w:rStyle w:val="CharSectno"/>
        </w:rPr>
        <w:t>10</w:t>
      </w:r>
      <w:r>
        <w:t>.</w:t>
      </w:r>
      <w:r>
        <w:tab/>
        <w:t>Statement to be given by veterinary surgeon</w:t>
      </w:r>
      <w:bookmarkEnd w:id="69"/>
      <w:bookmarkEnd w:id="70"/>
      <w:bookmarkEnd w:id="71"/>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spacing w:before="180"/>
      </w:pPr>
      <w:bookmarkStart w:id="72" w:name="_Toc377395507"/>
      <w:bookmarkStart w:id="73" w:name="_Toc473294401"/>
      <w:bookmarkStart w:id="74" w:name="_Toc425250215"/>
      <w:r>
        <w:rPr>
          <w:rStyle w:val="CharSectno"/>
        </w:rPr>
        <w:t>11</w:t>
      </w:r>
      <w:r>
        <w:t>.</w:t>
      </w:r>
      <w:r>
        <w:tab/>
        <w:t>Production of statements</w:t>
      </w:r>
      <w:bookmarkEnd w:id="72"/>
      <w:bookmarkEnd w:id="73"/>
      <w:bookmarkEnd w:id="74"/>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75" w:name="_Toc377395508"/>
      <w:bookmarkStart w:id="76" w:name="_Toc425250216"/>
      <w:bookmarkStart w:id="77" w:name="_Toc473279126"/>
      <w:bookmarkStart w:id="78" w:name="_Toc473294402"/>
      <w:r>
        <w:rPr>
          <w:rStyle w:val="CharDivNo"/>
        </w:rPr>
        <w:t>Division 2</w:t>
      </w:r>
      <w:r>
        <w:t> — </w:t>
      </w:r>
      <w:r>
        <w:rPr>
          <w:rStyle w:val="CharDivText"/>
        </w:rPr>
        <w:t>Use of veterinary chemical products by persons who are not veterinary surgeons</w:t>
      </w:r>
      <w:bookmarkEnd w:id="75"/>
      <w:bookmarkEnd w:id="76"/>
      <w:bookmarkEnd w:id="77"/>
      <w:bookmarkEnd w:id="78"/>
    </w:p>
    <w:p>
      <w:pPr>
        <w:pStyle w:val="Heading5"/>
        <w:spacing w:before="180"/>
      </w:pPr>
      <w:bookmarkStart w:id="79" w:name="_Toc377395509"/>
      <w:bookmarkStart w:id="80" w:name="_Toc473294403"/>
      <w:bookmarkStart w:id="81" w:name="_Toc425250217"/>
      <w:r>
        <w:rPr>
          <w:rStyle w:val="CharSectno"/>
        </w:rPr>
        <w:t>12</w:t>
      </w:r>
      <w:r>
        <w:t>.</w:t>
      </w:r>
      <w:r>
        <w:tab/>
        <w:t>Use of registered veterinary chemical product by person who is not veterinary surgeon</w:t>
      </w:r>
      <w:bookmarkEnd w:id="79"/>
      <w:bookmarkEnd w:id="80"/>
      <w:bookmarkEnd w:id="81"/>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spacing w:before="180"/>
      </w:pPr>
      <w:bookmarkStart w:id="82" w:name="_Toc377395510"/>
      <w:bookmarkStart w:id="83" w:name="_Toc473294404"/>
      <w:bookmarkStart w:id="84" w:name="_Toc425250218"/>
      <w:r>
        <w:rPr>
          <w:rStyle w:val="CharSectno"/>
        </w:rPr>
        <w:t>13</w:t>
      </w:r>
      <w:r>
        <w:t>.</w:t>
      </w:r>
      <w:r>
        <w:tab/>
        <w:t>Use of unregistered veterinary chemical product by person who is not veterinary surgeon</w:t>
      </w:r>
      <w:bookmarkEnd w:id="82"/>
      <w:bookmarkEnd w:id="83"/>
      <w:bookmarkEnd w:id="84"/>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spacing w:before="180"/>
      </w:pPr>
      <w:bookmarkStart w:id="85" w:name="_Toc377395511"/>
      <w:bookmarkStart w:id="86" w:name="_Toc473294405"/>
      <w:bookmarkStart w:id="87" w:name="_Toc425250219"/>
      <w:r>
        <w:rPr>
          <w:rStyle w:val="CharSectno"/>
        </w:rPr>
        <w:t>14</w:t>
      </w:r>
      <w:r>
        <w:t>.</w:t>
      </w:r>
      <w:r>
        <w:tab/>
        <w:t>Use of registered veterinary chemical product in way stated in veterinary surgeon’s statement</w:t>
      </w:r>
      <w:bookmarkEnd w:id="85"/>
      <w:bookmarkEnd w:id="86"/>
      <w:bookmarkEnd w:id="87"/>
    </w:p>
    <w:p>
      <w:pPr>
        <w:pStyle w:val="Subsection"/>
        <w:spacing w:before="120"/>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spacing w:before="120"/>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spacing w:before="120"/>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spacing w:before="120"/>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spacing w:before="60"/>
      </w:pPr>
      <w:r>
        <w:tab/>
        <w:t>(a)</w:t>
      </w:r>
      <w:r>
        <w:tab/>
        <w:t>instructions for use on a major trade species animal are mentioned on the label; and</w:t>
      </w:r>
    </w:p>
    <w:p>
      <w:pPr>
        <w:pStyle w:val="Indenta"/>
        <w:spacing w:before="60"/>
      </w:pPr>
      <w:r>
        <w:tab/>
        <w:t>(b)</w:t>
      </w:r>
      <w:r>
        <w:tab/>
        <w:t>the person uses the product on a trade species animal which is not a major trade species animal.</w:t>
      </w:r>
    </w:p>
    <w:p>
      <w:pPr>
        <w:pStyle w:val="Subsection"/>
        <w:spacing w:before="120"/>
      </w:pPr>
      <w:r>
        <w:tab/>
        <w:t>(5)</w:t>
      </w:r>
      <w:r>
        <w:tab/>
        <w:t xml:space="preserve">Subregulation (4) does not allow a use — </w:t>
      </w:r>
    </w:p>
    <w:p>
      <w:pPr>
        <w:pStyle w:val="Indenta"/>
        <w:spacing w:before="60"/>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spacing w:before="180"/>
      </w:pPr>
      <w:bookmarkStart w:id="88" w:name="_Toc377395512"/>
      <w:bookmarkStart w:id="89" w:name="_Toc473294406"/>
      <w:bookmarkStart w:id="90" w:name="_Toc425250220"/>
      <w:r>
        <w:rPr>
          <w:rStyle w:val="CharSectno"/>
        </w:rPr>
        <w:t>15</w:t>
      </w:r>
      <w:r>
        <w:t>.</w:t>
      </w:r>
      <w:r>
        <w:tab/>
        <w:t>Statement to be given to person in charge of animal</w:t>
      </w:r>
      <w:bookmarkEnd w:id="88"/>
      <w:bookmarkEnd w:id="89"/>
      <w:bookmarkEnd w:id="90"/>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spacing w:before="180"/>
      </w:pPr>
      <w:bookmarkStart w:id="91" w:name="_Toc377395513"/>
      <w:bookmarkStart w:id="92" w:name="_Toc473294407"/>
      <w:bookmarkStart w:id="93" w:name="_Toc425250221"/>
      <w:r>
        <w:rPr>
          <w:rStyle w:val="CharSectno"/>
        </w:rPr>
        <w:t>16</w:t>
      </w:r>
      <w:r>
        <w:t>.</w:t>
      </w:r>
      <w:r>
        <w:tab/>
        <w:t>Statement must be kept, and produced if required</w:t>
      </w:r>
      <w:bookmarkEnd w:id="91"/>
      <w:bookmarkEnd w:id="92"/>
      <w:bookmarkEnd w:id="93"/>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spacing w:before="120"/>
      </w:pPr>
      <w:r>
        <w:tab/>
        <w:t>(3)</w:t>
      </w:r>
      <w:r>
        <w:tab/>
        <w:t>A person must comply with a requirement under subregulation (2).</w:t>
      </w:r>
    </w:p>
    <w:p>
      <w:pPr>
        <w:pStyle w:val="Penstart"/>
      </w:pPr>
      <w:r>
        <w:tab/>
        <w:t>Penalty: a fine of $1 000.</w:t>
      </w:r>
    </w:p>
    <w:p>
      <w:pPr>
        <w:pStyle w:val="Heading5"/>
        <w:keepNext w:val="0"/>
        <w:keepLines w:val="0"/>
        <w:spacing w:before="180"/>
      </w:pPr>
      <w:bookmarkStart w:id="94" w:name="_Toc377395514"/>
      <w:bookmarkStart w:id="95" w:name="_Toc473294408"/>
      <w:bookmarkStart w:id="96" w:name="_Toc425250222"/>
      <w:r>
        <w:rPr>
          <w:rStyle w:val="CharSectno"/>
        </w:rPr>
        <w:t>17</w:t>
      </w:r>
      <w:r>
        <w:t>.</w:t>
      </w:r>
      <w:r>
        <w:tab/>
        <w:t>Record requirement</w:t>
      </w:r>
      <w:bookmarkEnd w:id="94"/>
      <w:bookmarkEnd w:id="95"/>
      <w:bookmarkEnd w:id="96"/>
    </w:p>
    <w:p>
      <w:pPr>
        <w:pStyle w:val="Subsection"/>
        <w:spacing w:before="120"/>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spacing w:before="60"/>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(3)</w:t>
      </w:r>
      <w:r>
        <w:tab/>
        <w:t>The person must keep the record of treatment for 3 years.</w:t>
      </w:r>
    </w:p>
    <w:p>
      <w:pPr>
        <w:pStyle w:val="Penstart"/>
      </w:pPr>
      <w:r>
        <w:tab/>
        <w:t>Penalty: a fine of $5 000.</w:t>
      </w:r>
    </w:p>
    <w:p>
      <w:pPr>
        <w:pStyle w:val="Subsection"/>
        <w:spacing w:before="120"/>
      </w:pPr>
      <w:r>
        <w:tab/>
        <w:t>(4)</w:t>
      </w:r>
      <w:r>
        <w:tab/>
        <w:t xml:space="preserve">An inspector may — </w:t>
      </w:r>
    </w:p>
    <w:p>
      <w:pPr>
        <w:pStyle w:val="Indenta"/>
        <w:spacing w:before="60"/>
      </w:pPr>
      <w:r>
        <w:tab/>
        <w:t>(a)</w:t>
      </w:r>
      <w:r>
        <w:tab/>
        <w:t>require a person to produce for inspection records required to be kept by that person under subregulation (3); and</w:t>
      </w:r>
    </w:p>
    <w:p>
      <w:pPr>
        <w:pStyle w:val="Indenta"/>
        <w:spacing w:before="60"/>
      </w:pPr>
      <w:r>
        <w:tab/>
        <w:t>(b)</w:t>
      </w:r>
      <w:r>
        <w:tab/>
        <w:t>inspect and take copies of the records.</w:t>
      </w:r>
    </w:p>
    <w:p>
      <w:pPr>
        <w:pStyle w:val="Subsection"/>
        <w:spacing w:before="120"/>
      </w:pPr>
      <w:r>
        <w:tab/>
        <w:t>(5)</w:t>
      </w:r>
      <w:r>
        <w:tab/>
        <w:t>A person must comply with a requirement under subregulation (4).</w:t>
      </w:r>
    </w:p>
    <w:p>
      <w:pPr>
        <w:pStyle w:val="Penstart"/>
      </w:pPr>
      <w:r>
        <w:tab/>
        <w:t>Penalty: a fine of $1 000.</w:t>
      </w:r>
    </w:p>
    <w:p>
      <w:pPr>
        <w:pStyle w:val="Heading3"/>
      </w:pPr>
      <w:bookmarkStart w:id="97" w:name="_Toc377395515"/>
      <w:bookmarkStart w:id="98" w:name="_Toc425250223"/>
      <w:bookmarkStart w:id="99" w:name="_Toc473279133"/>
      <w:bookmarkStart w:id="100" w:name="_Toc473294409"/>
      <w:r>
        <w:rPr>
          <w:rStyle w:val="CharDivNo"/>
        </w:rPr>
        <w:t>Division 3</w:t>
      </w:r>
      <w:r>
        <w:t> — </w:t>
      </w:r>
      <w:r>
        <w:rPr>
          <w:rStyle w:val="CharDivText"/>
        </w:rPr>
        <w:t>Withholding periods</w:t>
      </w:r>
      <w:bookmarkEnd w:id="97"/>
      <w:bookmarkEnd w:id="98"/>
      <w:bookmarkEnd w:id="99"/>
      <w:bookmarkEnd w:id="100"/>
    </w:p>
    <w:p>
      <w:pPr>
        <w:pStyle w:val="Heading5"/>
        <w:spacing w:before="180"/>
      </w:pPr>
      <w:bookmarkStart w:id="101" w:name="_Toc377395516"/>
      <w:bookmarkStart w:id="102" w:name="_Toc473294410"/>
      <w:bookmarkStart w:id="103" w:name="_Toc425250224"/>
      <w:r>
        <w:rPr>
          <w:rStyle w:val="CharSectno"/>
        </w:rPr>
        <w:t>18</w:t>
      </w:r>
      <w:r>
        <w:t>.</w:t>
      </w:r>
      <w:r>
        <w:tab/>
        <w:t>Applicable withholding period</w:t>
      </w:r>
      <w:bookmarkEnd w:id="101"/>
      <w:bookmarkEnd w:id="102"/>
      <w:bookmarkEnd w:id="103"/>
    </w:p>
    <w:p>
      <w:pPr>
        <w:pStyle w:val="Subsection"/>
        <w:spacing w:before="120"/>
      </w:pPr>
      <w:r>
        <w:tab/>
        <w:t>(1)</w:t>
      </w:r>
      <w:r>
        <w:tab/>
        <w:t xml:space="preserve">For the purposes of this Division a withholding period applies in relation to the use of a veterinary chemical product if — </w:t>
      </w:r>
    </w:p>
    <w:p>
      <w:pPr>
        <w:pStyle w:val="Indenta"/>
        <w:widowControl w:val="0"/>
        <w:spacing w:before="60"/>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104" w:name="_Toc377395517"/>
      <w:bookmarkStart w:id="105" w:name="_Toc473294411"/>
      <w:bookmarkStart w:id="106" w:name="_Toc425250225"/>
      <w:r>
        <w:rPr>
          <w:rStyle w:val="CharSectno"/>
        </w:rPr>
        <w:t>19</w:t>
      </w:r>
      <w:r>
        <w:t>.</w:t>
      </w:r>
      <w:r>
        <w:tab/>
        <w:t>Identification of animal to which withholding period applies</w:t>
      </w:r>
      <w:bookmarkEnd w:id="104"/>
      <w:bookmarkEnd w:id="105"/>
      <w:bookmarkEnd w:id="106"/>
    </w:p>
    <w:p>
      <w:pPr>
        <w:pStyle w:val="Subsection"/>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keepNext/>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107" w:name="_Toc377395518"/>
      <w:bookmarkStart w:id="108" w:name="_Toc473294412"/>
      <w:bookmarkStart w:id="109" w:name="_Toc425250226"/>
      <w:r>
        <w:rPr>
          <w:rStyle w:val="CharSectno"/>
        </w:rPr>
        <w:t>20</w:t>
      </w:r>
      <w:r>
        <w:t>.</w:t>
      </w:r>
      <w:r>
        <w:tab/>
        <w:t>Buyer of trade species animal to be informed of withholding period</w:t>
      </w:r>
      <w:bookmarkEnd w:id="107"/>
      <w:bookmarkEnd w:id="108"/>
      <w:bookmarkEnd w:id="109"/>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keepNext/>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110" w:name="_Toc377395519"/>
      <w:bookmarkStart w:id="111" w:name="_Toc473294413"/>
      <w:bookmarkStart w:id="112" w:name="_Toc425250227"/>
      <w:r>
        <w:rPr>
          <w:rStyle w:val="CharSectno"/>
        </w:rPr>
        <w:t>21</w:t>
      </w:r>
      <w:r>
        <w:t>.</w:t>
      </w:r>
      <w:r>
        <w:tab/>
        <w:t>Observance of withholding period</w:t>
      </w:r>
      <w:bookmarkEnd w:id="110"/>
      <w:bookmarkEnd w:id="111"/>
      <w:bookmarkEnd w:id="112"/>
    </w:p>
    <w:p>
      <w:pPr>
        <w:pStyle w:val="Subsection"/>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113" w:name="_Toc377395520"/>
      <w:bookmarkStart w:id="114" w:name="_Toc425250228"/>
      <w:bookmarkStart w:id="115" w:name="_Toc473279138"/>
      <w:bookmarkStart w:id="116" w:name="_Toc473294414"/>
      <w:r>
        <w:rPr>
          <w:rStyle w:val="CharDivNo"/>
        </w:rPr>
        <w:t>Division 4</w:t>
      </w:r>
      <w:r>
        <w:t> — </w:t>
      </w:r>
      <w:r>
        <w:rPr>
          <w:rStyle w:val="CharDivText"/>
        </w:rPr>
        <w:t>Miscellaneous</w:t>
      </w:r>
      <w:bookmarkEnd w:id="113"/>
      <w:bookmarkEnd w:id="114"/>
      <w:bookmarkEnd w:id="115"/>
      <w:bookmarkEnd w:id="116"/>
    </w:p>
    <w:p>
      <w:pPr>
        <w:pStyle w:val="Heading5"/>
      </w:pPr>
      <w:bookmarkStart w:id="117" w:name="_Toc377395521"/>
      <w:bookmarkStart w:id="118" w:name="_Toc473294415"/>
      <w:bookmarkStart w:id="119" w:name="_Toc425250229"/>
      <w:r>
        <w:rPr>
          <w:rStyle w:val="CharSectno"/>
        </w:rPr>
        <w:t>22</w:t>
      </w:r>
      <w:r>
        <w:t>.</w:t>
      </w:r>
      <w:r>
        <w:tab/>
        <w:t>Exemption for authorised use</w:t>
      </w:r>
      <w:bookmarkEnd w:id="117"/>
      <w:bookmarkEnd w:id="118"/>
      <w:bookmarkEnd w:id="119"/>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w:t>
      </w:r>
      <w:del w:id="120" w:author="Master Repository Process" w:date="2021-09-18T10:55:00Z">
        <w:r>
          <w:delText xml:space="preserve"> in</w:delText>
        </w:r>
      </w:del>
      <w:ins w:id="121" w:author="Master Repository Process" w:date="2021-09-18T10:55:00Z">
        <w:r>
          <w:t>:</w:t>
        </w:r>
      </w:ins>
      <w:r>
        <w:t xml:space="preserve"> Gazette 30 Aug 2011 p. 3504.]</w:t>
      </w:r>
    </w:p>
    <w:p>
      <w:pPr>
        <w:pStyle w:val="Ednotepart"/>
        <w:rPr>
          <w:i w:val="0"/>
        </w:rPr>
      </w:pPr>
      <w:r>
        <w:t>[Parts 3 and 4 (r. 23-48) deleted</w:t>
      </w:r>
      <w:del w:id="122" w:author="Master Repository Process" w:date="2021-09-18T10:55:00Z">
        <w:r>
          <w:delText xml:space="preserve"> in</w:delText>
        </w:r>
      </w:del>
      <w:ins w:id="123" w:author="Master Repository Process" w:date="2021-09-18T10:55:00Z">
        <w:r>
          <w:t>:</w:t>
        </w:r>
      </w:ins>
      <w:r>
        <w:t xml:space="preserve"> Gazette 5 Feb 2013 p. 830.]</w:t>
      </w:r>
    </w:p>
    <w:p>
      <w:pPr>
        <w:pStyle w:val="Heading2"/>
      </w:pPr>
      <w:bookmarkStart w:id="124" w:name="_Toc377395522"/>
      <w:bookmarkStart w:id="125" w:name="_Toc425250230"/>
      <w:bookmarkStart w:id="126" w:name="_Toc473279140"/>
      <w:bookmarkStart w:id="127" w:name="_Toc473294416"/>
      <w:r>
        <w:rPr>
          <w:rStyle w:val="CharPartNo"/>
        </w:rPr>
        <w:t>Part 5</w:t>
      </w:r>
      <w:r>
        <w:rPr>
          <w:rStyle w:val="CharDivNo"/>
        </w:rPr>
        <w:t> </w:t>
      </w:r>
      <w:r>
        <w:t>—</w:t>
      </w:r>
      <w:r>
        <w:rPr>
          <w:rStyle w:val="CharDivText"/>
        </w:rPr>
        <w:t> </w:t>
      </w:r>
      <w:r>
        <w:rPr>
          <w:rStyle w:val="CharPartText"/>
        </w:rPr>
        <w:t>General provisions</w:t>
      </w:r>
      <w:bookmarkEnd w:id="124"/>
      <w:bookmarkEnd w:id="125"/>
      <w:bookmarkEnd w:id="126"/>
      <w:bookmarkEnd w:id="127"/>
    </w:p>
    <w:p>
      <w:pPr>
        <w:pStyle w:val="Heading5"/>
      </w:pPr>
      <w:bookmarkStart w:id="128" w:name="_Toc377395523"/>
      <w:bookmarkStart w:id="129" w:name="_Toc473294417"/>
      <w:bookmarkStart w:id="130" w:name="_Toc425250231"/>
      <w:r>
        <w:rPr>
          <w:rStyle w:val="CharSectno"/>
        </w:rPr>
        <w:t>49</w:t>
      </w:r>
      <w:r>
        <w:t>.</w:t>
      </w:r>
      <w:r>
        <w:tab/>
        <w:t>Certificate of appointment of inspector (section 37)</w:t>
      </w:r>
      <w:bookmarkEnd w:id="128"/>
      <w:bookmarkEnd w:id="129"/>
      <w:bookmarkEnd w:id="130"/>
    </w:p>
    <w:p>
      <w:pPr>
        <w:pStyle w:val="Subsection"/>
      </w:pPr>
      <w:r>
        <w:tab/>
      </w:r>
      <w:r>
        <w:tab/>
        <w:t>For the purposes of section 37(2) of the Act, a certificate of appointment as an inspector must be in the form of Form 3.</w:t>
      </w:r>
    </w:p>
    <w:p>
      <w:pPr>
        <w:pStyle w:val="Heading5"/>
      </w:pPr>
      <w:bookmarkStart w:id="131" w:name="_Toc377395524"/>
      <w:bookmarkStart w:id="132" w:name="_Toc473294418"/>
      <w:bookmarkStart w:id="133" w:name="_Toc425250232"/>
      <w:r>
        <w:rPr>
          <w:rStyle w:val="CharSectno"/>
        </w:rPr>
        <w:t>50</w:t>
      </w:r>
      <w:r>
        <w:t>.</w:t>
      </w:r>
      <w:r>
        <w:tab/>
        <w:t>Certificate of analysis (section 47)</w:t>
      </w:r>
      <w:bookmarkEnd w:id="131"/>
      <w:bookmarkEnd w:id="132"/>
      <w:bookmarkEnd w:id="133"/>
    </w:p>
    <w:p>
      <w:pPr>
        <w:pStyle w:val="Subsection"/>
      </w:pPr>
      <w:r>
        <w:tab/>
      </w:r>
      <w:r>
        <w:tab/>
        <w:t>For the purposes of section 47 of the Act, a certificate of the results of an analysis must be in the form of Form 4.</w:t>
      </w:r>
    </w:p>
    <w:p>
      <w:pPr>
        <w:pStyle w:val="Heading2"/>
      </w:pPr>
      <w:bookmarkStart w:id="134" w:name="_Toc377395525"/>
      <w:bookmarkStart w:id="135" w:name="_Toc425250233"/>
      <w:bookmarkStart w:id="136" w:name="_Toc473279143"/>
      <w:bookmarkStart w:id="137" w:name="_Toc473294419"/>
      <w:r>
        <w:rPr>
          <w:rStyle w:val="CharPartNo"/>
        </w:rPr>
        <w:t>Part 6</w:t>
      </w:r>
      <w:r>
        <w:rPr>
          <w:rStyle w:val="CharDivNo"/>
        </w:rPr>
        <w:t> </w:t>
      </w:r>
      <w:r>
        <w:t>—</w:t>
      </w:r>
      <w:r>
        <w:rPr>
          <w:rStyle w:val="CharDivText"/>
        </w:rPr>
        <w:t> </w:t>
      </w:r>
      <w:r>
        <w:rPr>
          <w:rStyle w:val="CharPartText"/>
        </w:rPr>
        <w:t>Repeal and transitional provision</w:t>
      </w:r>
      <w:bookmarkEnd w:id="134"/>
      <w:bookmarkEnd w:id="135"/>
      <w:bookmarkEnd w:id="136"/>
      <w:bookmarkEnd w:id="137"/>
    </w:p>
    <w:p>
      <w:pPr>
        <w:pStyle w:val="Heading5"/>
      </w:pPr>
      <w:bookmarkStart w:id="138" w:name="_Toc377395526"/>
      <w:bookmarkStart w:id="139" w:name="_Toc473294420"/>
      <w:bookmarkStart w:id="140" w:name="_Toc425250234"/>
      <w:r>
        <w:rPr>
          <w:rStyle w:val="CharSectno"/>
        </w:rPr>
        <w:t>51</w:t>
      </w:r>
      <w:r>
        <w:t>.</w:t>
      </w:r>
      <w:r>
        <w:tab/>
        <w:t>Repeals</w:t>
      </w:r>
      <w:bookmarkEnd w:id="138"/>
      <w:bookmarkEnd w:id="139"/>
      <w:bookmarkEnd w:id="140"/>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41" w:name="_Toc377395527"/>
      <w:bookmarkStart w:id="142" w:name="_Toc473294421"/>
      <w:bookmarkStart w:id="143" w:name="_Toc425250235"/>
      <w:r>
        <w:rPr>
          <w:rStyle w:val="CharSectno"/>
        </w:rPr>
        <w:t>52</w:t>
      </w:r>
      <w:r>
        <w:t>.</w:t>
      </w:r>
      <w:r>
        <w:tab/>
        <w:t>Transitional: documents and other matters under former regulations</w:t>
      </w:r>
      <w:bookmarkEnd w:id="141"/>
      <w:bookmarkEnd w:id="142"/>
      <w:bookmarkEnd w:id="143"/>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p>
    <w:p>
      <w:pPr>
        <w:pStyle w:val="yEdnoteschedule"/>
        <w:spacing w:before="160"/>
      </w:pPr>
      <w:r>
        <w:t>[Schedules 1-5 deleted</w:t>
      </w:r>
      <w:del w:id="144" w:author="Master Repository Process" w:date="2021-09-18T10:55:00Z">
        <w:r>
          <w:delText xml:space="preserve"> in</w:delText>
        </w:r>
      </w:del>
      <w:ins w:id="145" w:author="Master Repository Process" w:date="2021-09-18T10:55:00Z">
        <w:r>
          <w:t>:</w:t>
        </w:r>
      </w:ins>
      <w:r>
        <w:t xml:space="preserve"> Gazette 5 Feb 2013 p. 830.]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6" w:name="_Toc377395528"/>
      <w:bookmarkStart w:id="147" w:name="_Toc425250236"/>
      <w:bookmarkStart w:id="148" w:name="_Toc473279146"/>
      <w:bookmarkStart w:id="149" w:name="_Toc473294422"/>
      <w:r>
        <w:rPr>
          <w:rStyle w:val="CharSchNo"/>
        </w:rPr>
        <w:t>Schedule 6</w:t>
      </w:r>
      <w:r>
        <w:rPr>
          <w:rStyle w:val="CharSDivNo"/>
        </w:rPr>
        <w:t> </w:t>
      </w:r>
      <w:r>
        <w:t>—</w:t>
      </w:r>
      <w:r>
        <w:rPr>
          <w:rStyle w:val="CharSDivText"/>
        </w:rPr>
        <w:t> </w:t>
      </w:r>
      <w:r>
        <w:rPr>
          <w:rStyle w:val="CharSchText"/>
        </w:rPr>
        <w:t>Forms</w:t>
      </w:r>
      <w:bookmarkEnd w:id="146"/>
      <w:bookmarkEnd w:id="147"/>
      <w:bookmarkEnd w:id="148"/>
      <w:bookmarkEnd w:id="149"/>
    </w:p>
    <w:p>
      <w:pPr>
        <w:pStyle w:val="yEdnotedivision"/>
        <w:rPr>
          <w:i w:val="0"/>
        </w:rPr>
      </w:pPr>
      <w:r>
        <w:t>[Forms 1 and 2 deleted</w:t>
      </w:r>
      <w:del w:id="150" w:author="Master Repository Process" w:date="2021-09-18T10:55:00Z">
        <w:r>
          <w:delText xml:space="preserve"> in</w:delText>
        </w:r>
      </w:del>
      <w:ins w:id="151" w:author="Master Repository Process" w:date="2021-09-18T10:55:00Z">
        <w:r>
          <w:t>:</w:t>
        </w:r>
      </w:ins>
      <w:r>
        <w:t xml:space="preserve"> Gazette 5 Feb 2013 p. 830.]</w:t>
      </w:r>
    </w:p>
    <w:p>
      <w:pPr>
        <w:pStyle w:val="yMiscellaneousBody"/>
        <w:jc w:val="center"/>
        <w:rPr>
          <w:rStyle w:val="CharSClsNo"/>
          <w:b/>
        </w:rPr>
      </w:pPr>
      <w:r>
        <w:rPr>
          <w:rStyle w:val="CharSClsNo"/>
          <w:b/>
        </w:rPr>
        <w:t>FORM 3</w:t>
      </w:r>
    </w:p>
    <w:p>
      <w:pPr>
        <w:pStyle w:val="yMiscellaneousHeading"/>
      </w:pPr>
      <w:r>
        <w:rPr>
          <w:i/>
        </w:rPr>
        <w:t>Veterinary Chemical Control and Animal Feeding Stuffs Act 1976</w:t>
      </w:r>
    </w:p>
    <w:p>
      <w:pPr>
        <w:pStyle w:val="yMiscellaneousHeading"/>
        <w:rPr>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w:t>
      </w:r>
      <w:del w:id="152" w:author="Master Repository Process" w:date="2021-09-18T10:55:00Z">
        <w:r>
          <w:delText xml:space="preserve"> in</w:delText>
        </w:r>
      </w:del>
      <w:ins w:id="153" w:author="Master Repository Process" w:date="2021-09-18T10:55:00Z">
        <w:r>
          <w:t>:</w:t>
        </w:r>
      </w:ins>
      <w:r>
        <w:t xml:space="preserve"> Gazette 5 Feb 2013 p. 831.]</w:t>
      </w:r>
    </w:p>
    <w:p>
      <w:pPr>
        <w:pStyle w:val="yMiscellaneousHeading"/>
        <w:keepLines/>
        <w:spacing w:before="120"/>
        <w:rPr>
          <w:rStyle w:val="CharSClsNo"/>
          <w:b/>
        </w:rPr>
      </w:pPr>
      <w:r>
        <w:rPr>
          <w:rStyle w:val="CharSClsNo"/>
          <w:b/>
        </w:rPr>
        <w:t>FORM 4</w:t>
      </w:r>
    </w:p>
    <w:p>
      <w:pPr>
        <w:pStyle w:val="yMiscellaneousBody"/>
        <w:keepNext/>
        <w:keepLines/>
        <w:jc w:val="center"/>
      </w:pPr>
      <w:r>
        <w:rPr>
          <w:i/>
        </w:rPr>
        <w:t>Veterinary Chemical Control and Animal Feeding Stuffs Act 1976</w:t>
      </w:r>
    </w:p>
    <w:p>
      <w:pPr>
        <w:pStyle w:val="yMiscellaneousHeading"/>
        <w:keepLines/>
        <w:rPr>
          <w:iCs/>
        </w:rPr>
      </w:pPr>
      <w:r>
        <w:rPr>
          <w:i/>
          <w:iCs/>
        </w:rPr>
        <w:t>Veterinary Chemical Control</w:t>
      </w:r>
      <w:r>
        <w:rPr>
          <w:i/>
          <w:szCs w:val="22"/>
        </w:rPr>
        <w:t xml:space="preserve"> Regulations 2006</w:t>
      </w:r>
    </w:p>
    <w:p>
      <w:pPr>
        <w:pStyle w:val="yMiscellaneousHeading"/>
        <w:keepLines/>
        <w:spacing w:before="240"/>
        <w:rPr>
          <w:b/>
        </w:rPr>
      </w:pPr>
      <w:r>
        <w:rPr>
          <w:b/>
        </w:rPr>
        <w:t>CERTIFICATE OF ANALYSIS</w:t>
      </w:r>
    </w:p>
    <w:p>
      <w:pPr>
        <w:pStyle w:val="yMiscellaneousBody"/>
        <w:keepNext/>
        <w:keepLines/>
        <w:spacing w:before="80"/>
      </w:pPr>
    </w:p>
    <w:p>
      <w:pPr>
        <w:pStyle w:val="yMiscellaneousBody"/>
        <w:keepNext/>
        <w:keepLines/>
        <w:spacing w:before="80"/>
      </w:pPr>
      <w:r>
        <w:t>Chemistry Centre (WA)</w:t>
      </w:r>
      <w:r>
        <w:br/>
      </w:r>
      <w:smartTag w:uri="urn:schemas-microsoft-com:office:smarttags" w:element="place">
        <w:smartTag w:uri="urn:schemas-microsoft-com:office:smarttags" w:element="City">
          <w:r>
            <w:t>PERTH</w:t>
          </w:r>
        </w:smartTag>
      </w:smartTag>
    </w:p>
    <w:p>
      <w:pPr>
        <w:pStyle w:val="yMiscellaneousBody"/>
        <w:keepNext/>
        <w:keepLines/>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w:t>
      </w:r>
      <w:del w:id="154" w:author="Master Repository Process" w:date="2021-09-18T10:55:00Z">
        <w:r>
          <w:delText xml:space="preserve"> in</w:delText>
        </w:r>
      </w:del>
      <w:ins w:id="155" w:author="Master Repository Process" w:date="2021-09-18T10:55:00Z">
        <w:r>
          <w:t>:</w:t>
        </w:r>
      </w:ins>
      <w:r>
        <w:t xml:space="preserve"> Gazette 5 Feb 2013 p. 831.]</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57" w:name="_Toc377395529"/>
      <w:bookmarkStart w:id="158" w:name="_Toc425250237"/>
      <w:bookmarkStart w:id="159" w:name="_Toc473279147"/>
      <w:bookmarkStart w:id="160" w:name="_Toc473294423"/>
      <w:r>
        <w:t>Notes</w:t>
      </w:r>
      <w:bookmarkEnd w:id="157"/>
      <w:bookmarkEnd w:id="158"/>
      <w:bookmarkEnd w:id="159"/>
      <w:bookmarkEnd w:id="160"/>
    </w:p>
    <w:p>
      <w:pPr>
        <w:pStyle w:val="nSubsection"/>
        <w:rPr>
          <w:snapToGrid w:val="0"/>
        </w:rPr>
      </w:pPr>
      <w:r>
        <w:rPr>
          <w:snapToGrid w:val="0"/>
          <w:vertAlign w:val="superscript"/>
        </w:rPr>
        <w:t>1</w:t>
      </w:r>
      <w:r>
        <w:rPr>
          <w:snapToGrid w:val="0"/>
        </w:rPr>
        <w:tab/>
        <w:t xml:space="preserve">This </w:t>
      </w:r>
      <w:del w:id="161" w:author="Master Repository Process" w:date="2021-09-18T10:55:00Z">
        <w:r>
          <w:rPr>
            <w:snapToGrid w:val="0"/>
          </w:rPr>
          <w:delText xml:space="preserve">reprint </w:delText>
        </w:r>
      </w:del>
      <w:r>
        <w:rPr>
          <w:snapToGrid w:val="0"/>
        </w:rPr>
        <w:t>is a compilation</w:t>
      </w:r>
      <w:del w:id="162" w:author="Master Repository Process" w:date="2021-09-18T10:55:00Z">
        <w:r>
          <w:rPr>
            <w:snapToGrid w:val="0"/>
          </w:rPr>
          <w:delText xml:space="preserve"> as at 12 July 2013</w:delText>
        </w:r>
      </w:del>
      <w:r>
        <w:rPr>
          <w:snapToGrid w:val="0"/>
        </w:rPr>
        <w:t xml:space="preserve"> of the </w:t>
      </w:r>
      <w:r>
        <w:rPr>
          <w:i/>
          <w:noProof/>
          <w:snapToGrid w:val="0"/>
        </w:rPr>
        <w:t>Veterinary Chemical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63" w:name="_Toc377395530"/>
      <w:bookmarkStart w:id="164" w:name="_Toc473294424"/>
      <w:bookmarkStart w:id="165" w:name="_Toc425250238"/>
      <w:r>
        <w:t>Compilation table</w:t>
      </w:r>
      <w:bookmarkEnd w:id="163"/>
      <w:bookmarkEnd w:id="164"/>
      <w:bookmarkEnd w:id="1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Veterinary Chemical Control and Animal Feeding Stuffs Regulations 2006</w:t>
            </w:r>
            <w:r>
              <w:rPr>
                <w:vertAlign w:val="superscript"/>
              </w:rPr>
              <w:t> 2</w:t>
            </w:r>
          </w:p>
        </w:tc>
        <w:tc>
          <w:tcPr>
            <w:tcW w:w="1276" w:type="dxa"/>
            <w:gridSpan w:val="2"/>
            <w:tcBorders>
              <w:top w:val="single" w:sz="8" w:space="0" w:color="auto"/>
              <w:bottom w:val="nil"/>
            </w:tcBorders>
          </w:tcPr>
          <w:p>
            <w:pPr>
              <w:pStyle w:val="nTable"/>
              <w:spacing w:after="40"/>
            </w:pPr>
            <w:r>
              <w:t>8 Dec 2006 p. 5433</w:t>
            </w:r>
            <w:r>
              <w:noBreakHyphen/>
              <w:t>84</w:t>
            </w:r>
          </w:p>
        </w:tc>
        <w:tc>
          <w:tcPr>
            <w:tcW w:w="2693" w:type="dxa"/>
            <w:gridSpan w:val="2"/>
            <w:tcBorders>
              <w:top w:val="single" w:sz="8" w:space="0" w:color="auto"/>
              <w:bottom w:val="nil"/>
            </w:tcBorders>
          </w:tcPr>
          <w:p>
            <w:pPr>
              <w:pStyle w:val="nTable"/>
              <w:spacing w:after="40"/>
            </w:pPr>
            <w:r>
              <w:t>8 Dec 2006</w:t>
            </w:r>
          </w:p>
        </w:tc>
      </w:tr>
      <w:tr>
        <w:tc>
          <w:tcPr>
            <w:tcW w:w="3118" w:type="dxa"/>
            <w:tcBorders>
              <w:top w:val="nil"/>
              <w:bottom w:val="nil"/>
            </w:tcBorders>
          </w:tcPr>
          <w:p>
            <w:pPr>
              <w:pStyle w:val="nTable"/>
              <w:spacing w:after="40"/>
              <w:rPr>
                <w:i/>
              </w:rPr>
            </w:pPr>
            <w:r>
              <w:rPr>
                <w:i/>
              </w:rPr>
              <w:t>Veterinary Chemical Control and Animal Feeding Stuffs Amendment Regulations 2011</w:t>
            </w:r>
          </w:p>
        </w:tc>
        <w:tc>
          <w:tcPr>
            <w:tcW w:w="1276" w:type="dxa"/>
            <w:gridSpan w:val="2"/>
            <w:tcBorders>
              <w:top w:val="nil"/>
              <w:bottom w:val="nil"/>
            </w:tcBorders>
          </w:tcPr>
          <w:p>
            <w:pPr>
              <w:pStyle w:val="nTable"/>
              <w:spacing w:after="40"/>
            </w:pPr>
            <w:r>
              <w:t>30 Aug 2011 p. 3504-6</w:t>
            </w:r>
          </w:p>
        </w:tc>
        <w:tc>
          <w:tcPr>
            <w:tcW w:w="2693" w:type="dxa"/>
            <w:gridSpan w:val="2"/>
            <w:tcBorders>
              <w:top w:val="nil"/>
              <w:bottom w:val="nil"/>
            </w:tcBorders>
          </w:tcPr>
          <w:p>
            <w:pPr>
              <w:pStyle w:val="nTable"/>
              <w:spacing w:after="40"/>
            </w:pPr>
            <w:r>
              <w:t>r. 1 and 2: 30 Aug 2011 (see r. 2(a));</w:t>
            </w:r>
            <w:r>
              <w:br/>
              <w:t>Regulations other than r. 1 and 2: 31 Aug 2011 (see r. 2(b))</w:t>
            </w:r>
          </w:p>
        </w:tc>
      </w:tr>
      <w:tr>
        <w:tc>
          <w:tcPr>
            <w:tcW w:w="3118" w:type="dxa"/>
            <w:tcBorders>
              <w:top w:val="nil"/>
              <w:bottom w:val="nil"/>
            </w:tcBorders>
          </w:tcPr>
          <w:p>
            <w:pPr>
              <w:pStyle w:val="nTable"/>
              <w:spacing w:after="40"/>
              <w:rPr>
                <w:i/>
              </w:rPr>
            </w:pPr>
            <w:r>
              <w:rPr>
                <w:i/>
              </w:rPr>
              <w:t>Veterinary Chemical Control and Animal Feeding Stuffs Amendment Regulations 2013</w:t>
            </w:r>
          </w:p>
        </w:tc>
        <w:tc>
          <w:tcPr>
            <w:tcW w:w="1276" w:type="dxa"/>
            <w:gridSpan w:val="2"/>
            <w:tcBorders>
              <w:top w:val="nil"/>
              <w:bottom w:val="nil"/>
            </w:tcBorders>
          </w:tcPr>
          <w:p>
            <w:pPr>
              <w:pStyle w:val="nTable"/>
              <w:spacing w:after="40"/>
            </w:pPr>
            <w:r>
              <w:t>5 Feb 2013 p. 829-31</w:t>
            </w:r>
          </w:p>
        </w:tc>
        <w:tc>
          <w:tcPr>
            <w:tcW w:w="2693" w:type="dxa"/>
            <w:gridSpan w:val="2"/>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Veterinary Chemical Control Regulations 2006</w:t>
            </w:r>
            <w:r>
              <w:rPr>
                <w:b/>
              </w:rPr>
              <w:t xml:space="preserve"> as at 12 Jul 2013</w:t>
            </w:r>
            <w:r>
              <w:t xml:space="preserve"> (includes amendments listed above) </w:t>
            </w:r>
          </w:p>
        </w:tc>
      </w:tr>
      <w:tr>
        <w:trPr>
          <w:ins w:id="166" w:author="Master Repository Process" w:date="2021-09-18T10:55:00Z"/>
        </w:trPr>
        <w:tc>
          <w:tcPr>
            <w:tcW w:w="3147" w:type="dxa"/>
            <w:gridSpan w:val="2"/>
            <w:tcBorders>
              <w:top w:val="nil"/>
              <w:bottom w:val="single" w:sz="8" w:space="0" w:color="auto"/>
            </w:tcBorders>
            <w:shd w:val="clear" w:color="auto" w:fill="auto"/>
          </w:tcPr>
          <w:p>
            <w:pPr>
              <w:pStyle w:val="nTable"/>
              <w:spacing w:after="40"/>
              <w:rPr>
                <w:ins w:id="167" w:author="Master Repository Process" w:date="2021-09-18T10:55:00Z"/>
                <w:b/>
              </w:rPr>
            </w:pPr>
            <w:ins w:id="168" w:author="Master Repository Process" w:date="2021-09-18T10:55:00Z">
              <w:r>
                <w:rPr>
                  <w:i/>
                </w:rPr>
                <w:t>Agriculture and Food Regulations Amendment (Poisons) Regulations 2016</w:t>
              </w:r>
              <w:r>
                <w:t xml:space="preserve"> Pt. 5</w:t>
              </w:r>
            </w:ins>
          </w:p>
        </w:tc>
        <w:tc>
          <w:tcPr>
            <w:tcW w:w="1276" w:type="dxa"/>
            <w:gridSpan w:val="2"/>
            <w:tcBorders>
              <w:top w:val="nil"/>
              <w:bottom w:val="single" w:sz="8" w:space="0" w:color="auto"/>
            </w:tcBorders>
            <w:shd w:val="clear" w:color="auto" w:fill="auto"/>
          </w:tcPr>
          <w:p>
            <w:pPr>
              <w:pStyle w:val="nTable"/>
              <w:spacing w:after="40"/>
              <w:rPr>
                <w:ins w:id="169" w:author="Master Repository Process" w:date="2021-09-18T10:55:00Z"/>
                <w:b/>
              </w:rPr>
            </w:pPr>
            <w:ins w:id="170" w:author="Master Repository Process" w:date="2021-09-18T10:55:00Z">
              <w:r>
                <w:t>17 Jan 2017 p. 404</w:t>
              </w:r>
              <w:r>
                <w:noBreakHyphen/>
                <w:t>6</w:t>
              </w:r>
            </w:ins>
          </w:p>
        </w:tc>
        <w:tc>
          <w:tcPr>
            <w:tcW w:w="2664" w:type="dxa"/>
            <w:tcBorders>
              <w:top w:val="nil"/>
              <w:bottom w:val="single" w:sz="8" w:space="0" w:color="auto"/>
            </w:tcBorders>
            <w:shd w:val="clear" w:color="auto" w:fill="auto"/>
          </w:tcPr>
          <w:p>
            <w:pPr>
              <w:pStyle w:val="nTable"/>
              <w:spacing w:after="40"/>
              <w:rPr>
                <w:ins w:id="171" w:author="Master Repository Process" w:date="2021-09-18T10:55:00Z"/>
                <w:b/>
              </w:rPr>
            </w:pPr>
            <w:ins w:id="172" w:author="Master Repository Process" w:date="2021-09-18T10:55:00Z">
              <w:r>
                <w:t xml:space="preserve">30 Jan 2017 (see r. 2(b) and </w:t>
              </w:r>
              <w:r>
                <w:rPr>
                  <w:i/>
                </w:rPr>
                <w:t>Gazette</w:t>
              </w:r>
              <w:r>
                <w:t xml:space="preserve"> 17 Jan 2017 p. 403)</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Veterinary Chemical Control Regulations 2006</w:t>
      </w:r>
      <w:r>
        <w:rPr>
          <w:snapToGrid w:val="0"/>
        </w:rPr>
        <w:t>; citation changed (see note under r. 1).</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Form 4</w:t>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Form 3</w:t>
          </w: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31"/>
    <w:docVar w:name="WAFER_20140113162601" w:val="RemoveTocBookmarks,RemoveUnusedBookmarks,RemoveLanguageTags,UsedStyles,ResetPageSize,UpdateArrangement"/>
    <w:docVar w:name="WAFER_20140113162601_GUID" w:val="77018302-f0c5-4c6a-99b8-05fa35212b47"/>
    <w:docVar w:name="WAFER_20140113165123" w:val="RemoveTocBookmarks,RunningHeaders"/>
    <w:docVar w:name="WAFER_20140113165123_GUID" w:val="ef32200d-bc61-4cd8-8445-7cf2252befbb"/>
    <w:docVar w:name="WAFER_20150721115214" w:val="ResetPageSize,UpdateArrangement,UpdateNTable"/>
    <w:docVar w:name="WAFER_20150721115214_GUID" w:val="502953ca-ee48-4ebf-a99a-35d12d0181ff"/>
    <w:docVar w:name="WAFER_20151112112031" w:val="UpdateStyles,UsedStyles"/>
    <w:docVar w:name="WAFER_20151112112031_GUID" w:val="a90a55c4-1e4f-4e35-92d1-07aa629537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0F114F5-2598-4AFD-B36B-B85D49C6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9C5B-78CA-4F3A-B35E-1EE9EC13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3800</Words>
  <Characters>20217</Characters>
  <Application>Microsoft Office Word</Application>
  <DocSecurity>0</DocSecurity>
  <Lines>577</Lines>
  <Paragraphs>343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01-a0-03 - 01-b0-02</dc:title>
  <dc:subject/>
  <dc:creator/>
  <cp:keywords/>
  <dc:description/>
  <cp:lastModifiedBy>Master Repository Process</cp:lastModifiedBy>
  <cp:revision>2</cp:revision>
  <cp:lastPrinted>2013-08-01T06:37:00Z</cp:lastPrinted>
  <dcterms:created xsi:type="dcterms:W3CDTF">2021-09-18T02:55:00Z</dcterms:created>
  <dcterms:modified xsi:type="dcterms:W3CDTF">2021-09-18T02:55:00Z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OwlsUID">
    <vt:i4>37448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2013-07-11T16:00:00Z</vt:filetime>
  </property>
  <property fmtid="{D5CDD505-2E9C-101B-9397-08002B2CF9AE}" pid="7" name="CommencementDate">
    <vt:lpwstr>20170130</vt:lpwstr>
  </property>
  <property fmtid="{D5CDD505-2E9C-101B-9397-08002B2CF9AE}" pid="8" name="FromSuffix">
    <vt:lpwstr>01-a0-03</vt:lpwstr>
  </property>
  <property fmtid="{D5CDD505-2E9C-101B-9397-08002B2CF9AE}" pid="9" name="FromAsAtDate">
    <vt:lpwstr>12 Jul 2013</vt:lpwstr>
  </property>
  <property fmtid="{D5CDD505-2E9C-101B-9397-08002B2CF9AE}" pid="10" name="ToSuffix">
    <vt:lpwstr>01-b0-02</vt:lpwstr>
  </property>
  <property fmtid="{D5CDD505-2E9C-101B-9397-08002B2CF9AE}" pid="11" name="ToAsAtDate">
    <vt:lpwstr>30 Jan 2017</vt:lpwstr>
  </property>
</Properties>
</file>