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01-h0-05</w:t>
      </w:r>
      <w:r>
        <w:fldChar w:fldCharType="end"/>
      </w:r>
      <w:r>
        <w:t>] and [</w:t>
      </w:r>
      <w:r>
        <w:fldChar w:fldCharType="begin"/>
      </w:r>
      <w:r>
        <w:instrText xml:space="preserve"> DocProperty ToAsAtDate</w:instrText>
      </w:r>
      <w:r>
        <w:fldChar w:fldCharType="separate"/>
      </w:r>
      <w:r>
        <w:t>03 Feb 2017</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1:25:00Z"/>
        </w:trPr>
        <w:tc>
          <w:tcPr>
            <w:tcW w:w="2434" w:type="dxa"/>
            <w:vMerge w:val="restart"/>
          </w:tcPr>
          <w:p>
            <w:pPr>
              <w:rPr>
                <w:ins w:id="2" w:author="Master Repository Process" w:date="2021-09-12T11:25:00Z"/>
              </w:rPr>
            </w:pPr>
          </w:p>
        </w:tc>
        <w:tc>
          <w:tcPr>
            <w:tcW w:w="2434" w:type="dxa"/>
            <w:vMerge w:val="restart"/>
          </w:tcPr>
          <w:p>
            <w:pPr>
              <w:jc w:val="center"/>
              <w:rPr>
                <w:ins w:id="3" w:author="Master Repository Process" w:date="2021-09-12T11:25:00Z"/>
              </w:rPr>
            </w:pPr>
            <w:ins w:id="4" w:author="Master Repository Process" w:date="2021-09-12T11:2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1:25:00Z"/>
              </w:rPr>
            </w:pPr>
            <w:ins w:id="6" w:author="Master Repository Process" w:date="2021-09-12T11:25: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1:25:00Z"/>
        </w:trPr>
        <w:tc>
          <w:tcPr>
            <w:tcW w:w="2434" w:type="dxa"/>
            <w:vMerge/>
          </w:tcPr>
          <w:p>
            <w:pPr>
              <w:rPr>
                <w:ins w:id="8" w:author="Master Repository Process" w:date="2021-09-12T11:25:00Z"/>
              </w:rPr>
            </w:pPr>
          </w:p>
        </w:tc>
        <w:tc>
          <w:tcPr>
            <w:tcW w:w="2434" w:type="dxa"/>
            <w:vMerge/>
          </w:tcPr>
          <w:p>
            <w:pPr>
              <w:jc w:val="center"/>
              <w:rPr>
                <w:ins w:id="9" w:author="Master Repository Process" w:date="2021-09-12T11:25:00Z"/>
              </w:rPr>
            </w:pPr>
          </w:p>
        </w:tc>
        <w:tc>
          <w:tcPr>
            <w:tcW w:w="2434" w:type="dxa"/>
          </w:tcPr>
          <w:p>
            <w:pPr>
              <w:keepNext/>
              <w:rPr>
                <w:ins w:id="10" w:author="Master Repository Process" w:date="2021-09-12T11:25:00Z"/>
                <w:b/>
                <w:sz w:val="22"/>
              </w:rPr>
            </w:pPr>
            <w:ins w:id="11" w:author="Master Repository Process" w:date="2021-09-12T11:25:00Z">
              <w:r>
                <w:rPr>
                  <w:b/>
                  <w:sz w:val="22"/>
                </w:rPr>
                <w:t>at 3 February 2017</w:t>
              </w:r>
            </w:ins>
          </w:p>
        </w:tc>
      </w:tr>
    </w:tbl>
    <w:p>
      <w:pPr>
        <w:pStyle w:val="WA"/>
        <w:spacing w:before="12"/>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12" w:name="_Toc476913801"/>
      <w:bookmarkStart w:id="13" w:name="_Toc414890086"/>
      <w:bookmarkStart w:id="14" w:name="_Toc414973524"/>
      <w:bookmarkStart w:id="15" w:name="_Toc431393560"/>
      <w:bookmarkStart w:id="16" w:name="_Toc431393870"/>
      <w:bookmarkStart w:id="17" w:name="_Toc442446428"/>
      <w:bookmarkStart w:id="18" w:name="_Toc446511761"/>
      <w:bookmarkStart w:id="19" w:name="_Toc446512476"/>
      <w:bookmarkStart w:id="20" w:name="_Toc446514073"/>
      <w:bookmarkStart w:id="21" w:name="_Toc453072134"/>
      <w:bookmarkStart w:id="22" w:name="_Toc455408792"/>
      <w:bookmarkStart w:id="23" w:name="_Toc455476645"/>
      <w:r>
        <w:rPr>
          <w:rStyle w:val="CharPartNo"/>
        </w:rPr>
        <w:t>P</w:t>
      </w:r>
      <w:bookmarkStart w:id="24" w:name="_GoBack"/>
      <w:bookmarkEnd w:id="24"/>
      <w:r>
        <w:rPr>
          <w:rStyle w:val="CharPartNo"/>
        </w:rPr>
        <w:t>art 1</w:t>
      </w:r>
      <w:r>
        <w:rPr>
          <w:b w:val="0"/>
        </w:rPr>
        <w:t> </w:t>
      </w:r>
      <w:r>
        <w:t>—</w:t>
      </w:r>
      <w:r>
        <w:rPr>
          <w:b w:val="0"/>
        </w:rPr>
        <w:t> </w:t>
      </w:r>
      <w:r>
        <w:rPr>
          <w:rStyle w:val="CharPartText"/>
        </w:rPr>
        <w:t>Preliminary matters</w:t>
      </w:r>
      <w:bookmarkEnd w:id="12"/>
      <w:bookmarkEnd w:id="13"/>
      <w:bookmarkEnd w:id="14"/>
      <w:bookmarkEnd w:id="15"/>
      <w:bookmarkEnd w:id="16"/>
      <w:bookmarkEnd w:id="17"/>
      <w:bookmarkEnd w:id="18"/>
      <w:bookmarkEnd w:id="19"/>
      <w:bookmarkEnd w:id="20"/>
      <w:bookmarkEnd w:id="21"/>
      <w:bookmarkEnd w:id="22"/>
      <w:bookmarkEnd w:id="23"/>
    </w:p>
    <w:p>
      <w:pPr>
        <w:pStyle w:val="Footnoteheading"/>
      </w:pPr>
      <w:r>
        <w:tab/>
        <w:t>[Heading inserted in Gazette 24 Mar 2015 p. 993.]</w:t>
      </w:r>
    </w:p>
    <w:p>
      <w:pPr>
        <w:pStyle w:val="Heading5"/>
        <w:rPr>
          <w:snapToGrid w:val="0"/>
        </w:rPr>
      </w:pPr>
      <w:bookmarkStart w:id="25" w:name="_Toc476913802"/>
      <w:bookmarkStart w:id="26" w:name="_Toc383159658"/>
      <w:bookmarkStart w:id="27" w:name="_Toc455476646"/>
      <w:r>
        <w:rPr>
          <w:rStyle w:val="CharSectno"/>
        </w:rPr>
        <w:t>1</w:t>
      </w:r>
      <w:r>
        <w:rPr>
          <w:snapToGrid w:val="0"/>
        </w:rPr>
        <w:t>.</w:t>
      </w:r>
      <w:r>
        <w:rPr>
          <w:snapToGrid w:val="0"/>
        </w:rPr>
        <w:tab/>
        <w:t>Citation</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28" w:name="_Toc476913803"/>
      <w:bookmarkStart w:id="29" w:name="_Toc383159659"/>
      <w:bookmarkStart w:id="30" w:name="_Toc455476647"/>
      <w:r>
        <w:rPr>
          <w:rStyle w:val="CharSectno"/>
        </w:rPr>
        <w:t>2</w:t>
      </w:r>
      <w:r>
        <w:rPr>
          <w:snapToGrid w:val="0"/>
        </w:rPr>
        <w:t>.</w:t>
      </w:r>
      <w:r>
        <w:rPr>
          <w:snapToGrid w:val="0"/>
        </w:rPr>
        <w:tab/>
        <w:t>Commencement</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31" w:name="_Toc476913804"/>
      <w:bookmarkStart w:id="32" w:name="_Toc455476648"/>
      <w:r>
        <w:rPr>
          <w:rStyle w:val="CharSectno"/>
        </w:rPr>
        <w:t>3A</w:t>
      </w:r>
      <w:r>
        <w:t>.</w:t>
      </w:r>
      <w:r>
        <w:tab/>
        <w:t>Payments excluded from premium</w:t>
      </w:r>
      <w:bookmarkEnd w:id="31"/>
      <w:bookmarkEnd w:id="32"/>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33" w:name="_Toc476913805"/>
      <w:bookmarkStart w:id="34" w:name="_Toc455476649"/>
      <w:r>
        <w:rPr>
          <w:rStyle w:val="CharSectno"/>
        </w:rPr>
        <w:t>3</w:t>
      </w:r>
      <w:r>
        <w:t>.</w:t>
      </w:r>
      <w:r>
        <w:tab/>
        <w:t>Memorial prescribed information</w:t>
      </w:r>
      <w:bookmarkEnd w:id="33"/>
      <w:bookmarkEnd w:id="34"/>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2"/>
      </w:pPr>
      <w:bookmarkStart w:id="35" w:name="_Toc476913806"/>
      <w:bookmarkStart w:id="36" w:name="_Toc431393565"/>
      <w:bookmarkStart w:id="37" w:name="_Toc431393875"/>
      <w:bookmarkStart w:id="38" w:name="_Toc442446433"/>
      <w:bookmarkStart w:id="39" w:name="_Toc446511766"/>
      <w:bookmarkStart w:id="40" w:name="_Toc446512481"/>
      <w:bookmarkStart w:id="41" w:name="_Toc446514078"/>
      <w:bookmarkStart w:id="42" w:name="_Toc453072139"/>
      <w:bookmarkStart w:id="43" w:name="_Toc455408797"/>
      <w:bookmarkStart w:id="44" w:name="_Toc455476650"/>
      <w:bookmarkStart w:id="45" w:name="_Toc383159660"/>
      <w:r>
        <w:rPr>
          <w:rStyle w:val="CharPartNo"/>
        </w:rPr>
        <w:t>Part 2</w:t>
      </w:r>
      <w:r>
        <w:rPr>
          <w:b w:val="0"/>
        </w:rPr>
        <w:t> </w:t>
      </w:r>
      <w:r>
        <w:t>—</w:t>
      </w:r>
      <w:r>
        <w:rPr>
          <w:b w:val="0"/>
        </w:rPr>
        <w:t> </w:t>
      </w:r>
      <w:r>
        <w:rPr>
          <w:rStyle w:val="CharPartText"/>
        </w:rPr>
        <w:t>Residence contracts</w:t>
      </w:r>
      <w:bookmarkEnd w:id="35"/>
      <w:bookmarkEnd w:id="36"/>
      <w:bookmarkEnd w:id="37"/>
      <w:bookmarkEnd w:id="38"/>
      <w:bookmarkEnd w:id="39"/>
      <w:bookmarkEnd w:id="40"/>
      <w:bookmarkEnd w:id="41"/>
      <w:bookmarkEnd w:id="42"/>
      <w:bookmarkEnd w:id="43"/>
      <w:bookmarkEnd w:id="44"/>
    </w:p>
    <w:p>
      <w:pPr>
        <w:pStyle w:val="Footnoteheading"/>
      </w:pPr>
      <w:r>
        <w:tab/>
        <w:t>[Heading inserted in Gazette 24 Mar 2015 p. 995.]</w:t>
      </w:r>
    </w:p>
    <w:p>
      <w:pPr>
        <w:pStyle w:val="Heading3"/>
      </w:pPr>
      <w:bookmarkStart w:id="46" w:name="_Toc476913807"/>
      <w:bookmarkStart w:id="47" w:name="_Toc431393566"/>
      <w:bookmarkStart w:id="48" w:name="_Toc431393876"/>
      <w:bookmarkStart w:id="49" w:name="_Toc442446434"/>
      <w:bookmarkStart w:id="50" w:name="_Toc446511767"/>
      <w:bookmarkStart w:id="51" w:name="_Toc446512482"/>
      <w:bookmarkStart w:id="52" w:name="_Toc446514079"/>
      <w:bookmarkStart w:id="53" w:name="_Toc453072140"/>
      <w:bookmarkStart w:id="54" w:name="_Toc455408798"/>
      <w:bookmarkStart w:id="55" w:name="_Toc455476651"/>
      <w:r>
        <w:rPr>
          <w:rStyle w:val="CharDivNo"/>
        </w:rPr>
        <w:t>Division 1</w:t>
      </w:r>
      <w:r>
        <w:t> — </w:t>
      </w:r>
      <w:r>
        <w:rPr>
          <w:rStyle w:val="CharDivText"/>
        </w:rPr>
        <w:t>Preliminary</w:t>
      </w:r>
      <w:bookmarkEnd w:id="46"/>
      <w:bookmarkEnd w:id="47"/>
      <w:bookmarkEnd w:id="48"/>
      <w:bookmarkEnd w:id="49"/>
      <w:bookmarkEnd w:id="50"/>
      <w:bookmarkEnd w:id="51"/>
      <w:bookmarkEnd w:id="52"/>
      <w:bookmarkEnd w:id="53"/>
      <w:bookmarkEnd w:id="54"/>
      <w:bookmarkEnd w:id="55"/>
    </w:p>
    <w:p>
      <w:pPr>
        <w:pStyle w:val="Footnoteheading"/>
      </w:pPr>
      <w:r>
        <w:tab/>
        <w:t>[Heading inserted in Gazette 24 Mar 2015 p. 995.]</w:t>
      </w:r>
    </w:p>
    <w:p>
      <w:pPr>
        <w:pStyle w:val="Heading5"/>
      </w:pPr>
      <w:bookmarkStart w:id="56" w:name="_Toc476913808"/>
      <w:bookmarkStart w:id="57" w:name="_Toc455476652"/>
      <w:r>
        <w:rPr>
          <w:rStyle w:val="CharSectno"/>
        </w:rPr>
        <w:t>4A</w:t>
      </w:r>
      <w:r>
        <w:t>.</w:t>
      </w:r>
      <w:r>
        <w:tab/>
        <w:t>Terms used</w:t>
      </w:r>
      <w:bookmarkEnd w:id="56"/>
      <w:bookmarkEnd w:id="57"/>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in Gazette 24 Mar 2015 p. 995</w:t>
      </w:r>
      <w:r>
        <w:noBreakHyphen/>
        <w:t>6; amended in Gazette 23 Mar 2016 p. 861</w:t>
      </w:r>
      <w:r>
        <w:noBreakHyphen/>
        <w:t>2.]</w:t>
      </w:r>
    </w:p>
    <w:p>
      <w:pPr>
        <w:pStyle w:val="Heading5"/>
        <w:pageBreakBefore/>
        <w:spacing w:before="0"/>
      </w:pPr>
      <w:bookmarkStart w:id="58" w:name="_Toc476913809"/>
      <w:bookmarkStart w:id="59" w:name="_Toc455476653"/>
      <w:r>
        <w:rPr>
          <w:rStyle w:val="CharSectno"/>
        </w:rPr>
        <w:t>4B</w:t>
      </w:r>
      <w:r>
        <w:t>.</w:t>
      </w:r>
      <w:r>
        <w:tab/>
        <w:t>Form of residence contract</w:t>
      </w:r>
      <w:bookmarkEnd w:id="58"/>
      <w:bookmarkEnd w:id="59"/>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in Gazette 24 Mar 2015 p. 996</w:t>
      </w:r>
      <w:r>
        <w:noBreakHyphen/>
        <w:t>7.]</w:t>
      </w:r>
    </w:p>
    <w:p>
      <w:pPr>
        <w:pStyle w:val="Heading3"/>
      </w:pPr>
      <w:bookmarkStart w:id="60" w:name="_Toc476913810"/>
      <w:bookmarkStart w:id="61" w:name="_Toc431393569"/>
      <w:bookmarkStart w:id="62" w:name="_Toc431393879"/>
      <w:bookmarkStart w:id="63" w:name="_Toc442446437"/>
      <w:bookmarkStart w:id="64" w:name="_Toc446511770"/>
      <w:bookmarkStart w:id="65" w:name="_Toc446512485"/>
      <w:bookmarkStart w:id="66" w:name="_Toc446514082"/>
      <w:bookmarkStart w:id="67" w:name="_Toc453072143"/>
      <w:bookmarkStart w:id="68" w:name="_Toc455408801"/>
      <w:bookmarkStart w:id="69" w:name="_Toc455476654"/>
      <w:r>
        <w:rPr>
          <w:rStyle w:val="CharDivNo"/>
        </w:rPr>
        <w:t>Division 2</w:t>
      </w:r>
      <w:r>
        <w:t> — </w:t>
      </w:r>
      <w:r>
        <w:rPr>
          <w:rStyle w:val="CharDivText"/>
        </w:rPr>
        <w:t>Section 13 requirements</w:t>
      </w:r>
      <w:bookmarkEnd w:id="60"/>
      <w:bookmarkEnd w:id="61"/>
      <w:bookmarkEnd w:id="62"/>
      <w:bookmarkEnd w:id="63"/>
      <w:bookmarkEnd w:id="64"/>
      <w:bookmarkEnd w:id="65"/>
      <w:bookmarkEnd w:id="66"/>
      <w:bookmarkEnd w:id="67"/>
      <w:bookmarkEnd w:id="68"/>
      <w:bookmarkEnd w:id="69"/>
    </w:p>
    <w:p>
      <w:pPr>
        <w:pStyle w:val="Footnoteheading"/>
      </w:pPr>
      <w:r>
        <w:tab/>
        <w:t>[Heading inserted in Gazette 24 Mar 2015 p. 997.]</w:t>
      </w:r>
    </w:p>
    <w:p>
      <w:pPr>
        <w:pStyle w:val="Heading5"/>
      </w:pPr>
      <w:bookmarkStart w:id="70" w:name="_Toc476913811"/>
      <w:bookmarkStart w:id="71" w:name="_Toc455476655"/>
      <w:r>
        <w:rPr>
          <w:rStyle w:val="CharSectno"/>
        </w:rPr>
        <w:t>4</w:t>
      </w:r>
      <w:r>
        <w:t>.</w:t>
      </w:r>
      <w:r>
        <w:tab/>
        <w:t>Section 13 statement</w:t>
      </w:r>
      <w:bookmarkEnd w:id="70"/>
      <w:bookmarkEnd w:id="71"/>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in Gazette 23 Mar 2016 p. 862.]</w:t>
      </w:r>
    </w:p>
    <w:p>
      <w:pPr>
        <w:pStyle w:val="Heading5"/>
        <w:rPr>
          <w:snapToGrid w:val="0"/>
        </w:rPr>
      </w:pPr>
      <w:bookmarkStart w:id="72" w:name="_Toc476913812"/>
      <w:bookmarkStart w:id="73" w:name="_Toc383159661"/>
      <w:bookmarkStart w:id="74" w:name="_Toc455476656"/>
      <w:bookmarkEnd w:id="45"/>
      <w:r>
        <w:rPr>
          <w:rStyle w:val="CharSectno"/>
        </w:rPr>
        <w:t>5</w:t>
      </w:r>
      <w:r>
        <w:rPr>
          <w:snapToGrid w:val="0"/>
        </w:rPr>
        <w:t>.</w:t>
      </w:r>
      <w:r>
        <w:rPr>
          <w:snapToGrid w:val="0"/>
        </w:rPr>
        <w:tab/>
        <w:t>Section 13 notice</w:t>
      </w:r>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Heading5"/>
      </w:pPr>
      <w:bookmarkStart w:id="75" w:name="_Toc476913813"/>
      <w:bookmarkStart w:id="76" w:name="_Toc455476657"/>
      <w:r>
        <w:rPr>
          <w:rStyle w:val="CharSectno"/>
        </w:rPr>
        <w:t>6</w:t>
      </w:r>
      <w:r>
        <w:t>.</w:t>
      </w:r>
      <w:r>
        <w:tab/>
        <w:t>Section 13 information</w:t>
      </w:r>
      <w:bookmarkEnd w:id="75"/>
      <w:bookmarkEnd w:id="76"/>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in Gazette 24 Mar 2015 p. 997</w:t>
      </w:r>
      <w:r>
        <w:noBreakHyphen/>
        <w:t>9.]</w:t>
      </w:r>
    </w:p>
    <w:p>
      <w:pPr>
        <w:pStyle w:val="Heading3"/>
      </w:pPr>
      <w:bookmarkStart w:id="77" w:name="_Toc476913814"/>
      <w:bookmarkStart w:id="78" w:name="_Toc431393573"/>
      <w:bookmarkStart w:id="79" w:name="_Toc431393883"/>
      <w:bookmarkStart w:id="80" w:name="_Toc442446441"/>
      <w:bookmarkStart w:id="81" w:name="_Toc446511774"/>
      <w:bookmarkStart w:id="82" w:name="_Toc446512489"/>
      <w:bookmarkStart w:id="83" w:name="_Toc446514086"/>
      <w:bookmarkStart w:id="84" w:name="_Toc453072147"/>
      <w:bookmarkStart w:id="85" w:name="_Toc455408805"/>
      <w:bookmarkStart w:id="86" w:name="_Toc455476658"/>
      <w:r>
        <w:rPr>
          <w:rStyle w:val="CharDivNo"/>
        </w:rPr>
        <w:t>Division 3</w:t>
      </w:r>
      <w:r>
        <w:t> — </w:t>
      </w:r>
      <w:r>
        <w:rPr>
          <w:rStyle w:val="CharDivText"/>
        </w:rPr>
        <w:t>Matters to be included in residence contract</w:t>
      </w:r>
      <w:bookmarkEnd w:id="77"/>
      <w:bookmarkEnd w:id="78"/>
      <w:bookmarkEnd w:id="79"/>
      <w:bookmarkEnd w:id="80"/>
      <w:bookmarkEnd w:id="81"/>
      <w:bookmarkEnd w:id="82"/>
      <w:bookmarkEnd w:id="83"/>
      <w:bookmarkEnd w:id="84"/>
      <w:bookmarkEnd w:id="85"/>
      <w:bookmarkEnd w:id="86"/>
    </w:p>
    <w:p>
      <w:pPr>
        <w:pStyle w:val="Footnoteheading"/>
      </w:pPr>
      <w:r>
        <w:tab/>
        <w:t>[Heading inserted in Gazette 24 Mar 2015 p. 999.]</w:t>
      </w:r>
    </w:p>
    <w:p>
      <w:pPr>
        <w:pStyle w:val="Heading5"/>
      </w:pPr>
      <w:bookmarkStart w:id="87" w:name="_Toc476913815"/>
      <w:bookmarkStart w:id="88" w:name="_Toc455476659"/>
      <w:r>
        <w:rPr>
          <w:rStyle w:val="CharSectno"/>
        </w:rPr>
        <w:t>7A</w:t>
      </w:r>
      <w:r>
        <w:t>.</w:t>
      </w:r>
      <w:r>
        <w:tab/>
        <w:t>General matters to be included in residence contract</w:t>
      </w:r>
      <w:bookmarkEnd w:id="87"/>
      <w:bookmarkEnd w:id="88"/>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in Gazette 24 Mar 2015 p. 999</w:t>
      </w:r>
      <w:r>
        <w:noBreakHyphen/>
        <w:t>1003; amended in Gazette 23 Mar 2016 p. 862</w:t>
      </w:r>
      <w:r>
        <w:noBreakHyphen/>
        <w:t>3.]</w:t>
      </w:r>
    </w:p>
    <w:p>
      <w:pPr>
        <w:pStyle w:val="Heading5"/>
      </w:pPr>
      <w:bookmarkStart w:id="89" w:name="_Toc476913816"/>
      <w:bookmarkStart w:id="90" w:name="_Toc455476660"/>
      <w:r>
        <w:rPr>
          <w:rStyle w:val="CharSectno"/>
        </w:rPr>
        <w:t>7B</w:t>
      </w:r>
      <w:r>
        <w:t>.</w:t>
      </w:r>
      <w:r>
        <w:tab/>
        <w:t>Matters relating to personal amenities to be included in residence contract</w:t>
      </w:r>
      <w:bookmarkEnd w:id="89"/>
      <w:bookmarkEnd w:id="90"/>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in Gazette 24 Mar 2015 p. 1003</w:t>
      </w:r>
      <w:r>
        <w:noBreakHyphen/>
        <w:t>6.]</w:t>
      </w:r>
    </w:p>
    <w:p>
      <w:pPr>
        <w:pStyle w:val="Heading5"/>
      </w:pPr>
      <w:bookmarkStart w:id="91" w:name="_Toc476913817"/>
      <w:bookmarkStart w:id="92" w:name="_Toc455476661"/>
      <w:r>
        <w:rPr>
          <w:rStyle w:val="CharSectno"/>
        </w:rPr>
        <w:t>7C</w:t>
      </w:r>
      <w:r>
        <w:t>.</w:t>
      </w:r>
      <w:r>
        <w:tab/>
        <w:t>Matters relating to communal amenities to be included in residence contract</w:t>
      </w:r>
      <w:bookmarkEnd w:id="91"/>
      <w:bookmarkEnd w:id="92"/>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in Gazette 24 Mar 2015 p. 1006</w:t>
      </w:r>
      <w:r>
        <w:noBreakHyphen/>
        <w:t>7; amended in Gazette 23 Mar 2016 p. 863.]</w:t>
      </w:r>
    </w:p>
    <w:p>
      <w:pPr>
        <w:pStyle w:val="Heading5"/>
      </w:pPr>
      <w:bookmarkStart w:id="93" w:name="_Toc476913818"/>
      <w:bookmarkStart w:id="94" w:name="_Toc455476662"/>
      <w:r>
        <w:rPr>
          <w:rStyle w:val="CharSectno"/>
        </w:rPr>
        <w:t>7D</w:t>
      </w:r>
      <w:r>
        <w:t>.</w:t>
      </w:r>
      <w:r>
        <w:tab/>
        <w:t>Matters relating to personal services to be included in residence contract</w:t>
      </w:r>
      <w:bookmarkEnd w:id="93"/>
      <w:bookmarkEnd w:id="94"/>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del w:id="95" w:author="Master Repository Process" w:date="2021-09-12T11:25:00Z"/>
        </w:trPr>
        <w:tc>
          <w:tcPr>
            <w:tcW w:w="709" w:type="dxa"/>
            <w:tcBorders>
              <w:top w:val="nil"/>
            </w:tcBorders>
          </w:tcPr>
          <w:p>
            <w:pPr>
              <w:pStyle w:val="zTableNAm"/>
              <w:spacing w:before="0"/>
              <w:rPr>
                <w:del w:id="96" w:author="Master Repository Process" w:date="2021-09-12T11:25:00Z"/>
              </w:rPr>
            </w:pPr>
          </w:p>
        </w:tc>
        <w:tc>
          <w:tcPr>
            <w:tcW w:w="4819" w:type="dxa"/>
            <w:tcBorders>
              <w:top w:val="nil"/>
            </w:tcBorders>
          </w:tcPr>
          <w:p>
            <w:pPr>
              <w:pStyle w:val="TableNAm"/>
              <w:ind w:left="551" w:hanging="551"/>
              <w:rPr>
                <w:del w:id="97" w:author="Master Repository Process" w:date="2021-09-12T11:25:00Z"/>
              </w:rPr>
            </w:pP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in Gazette 24 Mar 2015 p. 1008</w:t>
      </w:r>
      <w:r>
        <w:noBreakHyphen/>
        <w:t>10; amended in Gazette 23 Mar 2016 p. 863</w:t>
      </w:r>
      <w:r>
        <w:noBreakHyphen/>
        <w:t>4.]</w:t>
      </w:r>
    </w:p>
    <w:p>
      <w:pPr>
        <w:pStyle w:val="Heading5"/>
      </w:pPr>
      <w:bookmarkStart w:id="98" w:name="_Toc476913819"/>
      <w:bookmarkStart w:id="99" w:name="_Toc455476663"/>
      <w:r>
        <w:rPr>
          <w:rStyle w:val="CharSectno"/>
        </w:rPr>
        <w:t>7E</w:t>
      </w:r>
      <w:r>
        <w:t>.</w:t>
      </w:r>
      <w:r>
        <w:tab/>
        <w:t>Matters relating to communal services to be included in residence contract</w:t>
      </w:r>
      <w:bookmarkEnd w:id="98"/>
      <w:bookmarkEnd w:id="99"/>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in Gazette 24 Mar 2015 p. 1010</w:t>
      </w:r>
      <w:r>
        <w:noBreakHyphen/>
        <w:t>11; amended in Gazette 23 Mar 2016 p. 864.]</w:t>
      </w:r>
    </w:p>
    <w:p>
      <w:pPr>
        <w:pStyle w:val="Heading5"/>
        <w:pageBreakBefore/>
        <w:spacing w:before="0"/>
      </w:pPr>
      <w:bookmarkStart w:id="100" w:name="_Toc476913820"/>
      <w:bookmarkStart w:id="101" w:name="_Toc455476664"/>
      <w:r>
        <w:rPr>
          <w:rStyle w:val="CharSectno"/>
        </w:rPr>
        <w:t>7F</w:t>
      </w:r>
      <w:r>
        <w:t>.</w:t>
      </w:r>
      <w:r>
        <w:tab/>
        <w:t>Financial matters to be included in residence contract</w:t>
      </w:r>
      <w:bookmarkEnd w:id="100"/>
      <w:bookmarkEnd w:id="101"/>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in Gazette 24 Mar 2015 p. 1011</w:t>
      </w:r>
      <w:r>
        <w:noBreakHyphen/>
        <w:t>15; amended in Gazette 23 Mar 2016 p. 865.]</w:t>
      </w:r>
    </w:p>
    <w:p>
      <w:pPr>
        <w:pStyle w:val="Heading5"/>
      </w:pPr>
      <w:bookmarkStart w:id="102" w:name="_Toc476913821"/>
      <w:bookmarkStart w:id="103" w:name="_Toc455476665"/>
      <w:r>
        <w:rPr>
          <w:rStyle w:val="CharSectno"/>
        </w:rPr>
        <w:t>7G</w:t>
      </w:r>
      <w:r>
        <w:t>.</w:t>
      </w:r>
      <w:r>
        <w:tab/>
        <w:t>Matters relating to condition of premises to be included in residence contract</w:t>
      </w:r>
      <w:bookmarkEnd w:id="102"/>
      <w:bookmarkEnd w:id="10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in Gazette 24 Mar 2015 p. 1016</w:t>
      </w:r>
      <w:r>
        <w:noBreakHyphen/>
        <w:t>19; amended in Gazette 23 Mar 2016 p. 865.]</w:t>
      </w:r>
    </w:p>
    <w:p>
      <w:pPr>
        <w:pStyle w:val="Heading5"/>
      </w:pPr>
      <w:bookmarkStart w:id="104" w:name="_Toc476913822"/>
      <w:bookmarkStart w:id="105" w:name="_Toc455476666"/>
      <w:r>
        <w:rPr>
          <w:rStyle w:val="CharSectno"/>
        </w:rPr>
        <w:t>7H</w:t>
      </w:r>
      <w:r>
        <w:t>.</w:t>
      </w:r>
      <w:r>
        <w:tab/>
        <w:t>Matters relating to urgent repairs to be included in residence contract</w:t>
      </w:r>
      <w:bookmarkEnd w:id="104"/>
      <w:bookmarkEnd w:id="105"/>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in Gazette 24 Mar 2015 p. 1020</w:t>
      </w:r>
      <w:r>
        <w:noBreakHyphen/>
        <w:t>1.]</w:t>
      </w:r>
    </w:p>
    <w:p>
      <w:pPr>
        <w:pStyle w:val="Heading3"/>
      </w:pPr>
      <w:bookmarkStart w:id="106" w:name="_Toc476913823"/>
      <w:bookmarkStart w:id="107" w:name="_Toc431393582"/>
      <w:bookmarkStart w:id="108" w:name="_Toc431393892"/>
      <w:bookmarkStart w:id="109" w:name="_Toc442446450"/>
      <w:bookmarkStart w:id="110" w:name="_Toc446511783"/>
      <w:bookmarkStart w:id="111" w:name="_Toc446512498"/>
      <w:bookmarkStart w:id="112" w:name="_Toc446514095"/>
      <w:bookmarkStart w:id="113" w:name="_Toc453072156"/>
      <w:bookmarkStart w:id="114" w:name="_Toc455408814"/>
      <w:bookmarkStart w:id="115" w:name="_Toc455476667"/>
      <w:r>
        <w:rPr>
          <w:rStyle w:val="CharDivNo"/>
        </w:rPr>
        <w:t>Division 4</w:t>
      </w:r>
      <w:r>
        <w:t> — </w:t>
      </w:r>
      <w:r>
        <w:rPr>
          <w:rStyle w:val="CharDivText"/>
        </w:rPr>
        <w:t>Matters not to be included in residence contract</w:t>
      </w:r>
      <w:bookmarkEnd w:id="106"/>
      <w:bookmarkEnd w:id="107"/>
      <w:bookmarkEnd w:id="108"/>
      <w:bookmarkEnd w:id="109"/>
      <w:bookmarkEnd w:id="110"/>
      <w:bookmarkEnd w:id="111"/>
      <w:bookmarkEnd w:id="112"/>
      <w:bookmarkEnd w:id="113"/>
      <w:bookmarkEnd w:id="114"/>
      <w:bookmarkEnd w:id="115"/>
    </w:p>
    <w:p>
      <w:pPr>
        <w:pStyle w:val="Footnoteheading"/>
        <w:keepNext/>
      </w:pPr>
      <w:r>
        <w:tab/>
        <w:t>[Heading inserted in Gazette 24 Mar 2015 p. 1022.]</w:t>
      </w:r>
    </w:p>
    <w:p>
      <w:pPr>
        <w:pStyle w:val="Heading5"/>
      </w:pPr>
      <w:bookmarkStart w:id="116" w:name="_Toc476913824"/>
      <w:bookmarkStart w:id="117" w:name="_Toc455476668"/>
      <w:r>
        <w:rPr>
          <w:rStyle w:val="CharSectno"/>
        </w:rPr>
        <w:t>7I</w:t>
      </w:r>
      <w:r>
        <w:t>.</w:t>
      </w:r>
      <w:r>
        <w:tab/>
        <w:t>Provisions relating to certain powers of attorney not be included in residence contract</w:t>
      </w:r>
      <w:bookmarkEnd w:id="116"/>
      <w:bookmarkEnd w:id="117"/>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in Gazette 24 Mar 2015 p. 1022</w:t>
      </w:r>
      <w:r>
        <w:noBreakHyphen/>
        <w:t>4; amended in Gazette 23 Mar 2016 p. 865</w:t>
      </w:r>
      <w:r>
        <w:noBreakHyphen/>
        <w:t>6.]</w:t>
      </w:r>
    </w:p>
    <w:p>
      <w:pPr>
        <w:pStyle w:val="Heading5"/>
      </w:pPr>
      <w:bookmarkStart w:id="118" w:name="_Toc476913825"/>
      <w:bookmarkStart w:id="119" w:name="_Toc455476669"/>
      <w:r>
        <w:rPr>
          <w:rStyle w:val="CharSectno"/>
        </w:rPr>
        <w:t>7J</w:t>
      </w:r>
      <w:r>
        <w:t>.</w:t>
      </w:r>
      <w:r>
        <w:tab/>
        <w:t>Matters relating to variation and notice not to be included in residence contract</w:t>
      </w:r>
      <w:bookmarkEnd w:id="118"/>
      <w:bookmarkEnd w:id="11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in Gazette 24 Mar 2015 p. 1024</w:t>
      </w:r>
      <w:r>
        <w:noBreakHyphen/>
        <w:t>5.]</w:t>
      </w:r>
    </w:p>
    <w:p>
      <w:pPr>
        <w:pStyle w:val="Heading5"/>
      </w:pPr>
      <w:bookmarkStart w:id="120" w:name="_Toc476913826"/>
      <w:bookmarkStart w:id="121" w:name="_Toc455476670"/>
      <w:r>
        <w:rPr>
          <w:rStyle w:val="CharSectno"/>
        </w:rPr>
        <w:t>7K</w:t>
      </w:r>
      <w:r>
        <w:t>.</w:t>
      </w:r>
      <w:r>
        <w:tab/>
        <w:t>Financial matters not to be included in residence contract</w:t>
      </w:r>
      <w:bookmarkEnd w:id="120"/>
      <w:bookmarkEnd w:id="121"/>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in Gazette 24 Mar 2015 p. 1025</w:t>
      </w:r>
      <w:r>
        <w:noBreakHyphen/>
        <w:t>6.]</w:t>
      </w:r>
    </w:p>
    <w:p>
      <w:pPr>
        <w:pStyle w:val="Heading5"/>
      </w:pPr>
      <w:bookmarkStart w:id="122" w:name="_Toc476913827"/>
      <w:bookmarkStart w:id="123" w:name="_Toc455476671"/>
      <w:r>
        <w:rPr>
          <w:rStyle w:val="CharSectno"/>
        </w:rPr>
        <w:t>7L</w:t>
      </w:r>
      <w:r>
        <w:t>.</w:t>
      </w:r>
      <w:r>
        <w:tab/>
        <w:t>Application of section 6(2) of the Act</w:t>
      </w:r>
      <w:bookmarkEnd w:id="122"/>
      <w:bookmarkEnd w:id="123"/>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in Gazette 24 Mar 2015 p. 1026.]</w:t>
      </w:r>
    </w:p>
    <w:p>
      <w:pPr>
        <w:pStyle w:val="Heading2"/>
      </w:pPr>
      <w:bookmarkStart w:id="124" w:name="_Toc476913828"/>
      <w:bookmarkStart w:id="125" w:name="_Toc414890093"/>
      <w:bookmarkStart w:id="126" w:name="_Toc414973531"/>
      <w:bookmarkStart w:id="127" w:name="_Toc431393587"/>
      <w:bookmarkStart w:id="128" w:name="_Toc431393897"/>
      <w:bookmarkStart w:id="129" w:name="_Toc442446455"/>
      <w:bookmarkStart w:id="130" w:name="_Toc446511788"/>
      <w:bookmarkStart w:id="131" w:name="_Toc446512503"/>
      <w:bookmarkStart w:id="132" w:name="_Toc446514100"/>
      <w:bookmarkStart w:id="133" w:name="_Toc453072161"/>
      <w:bookmarkStart w:id="134" w:name="_Toc455408819"/>
      <w:bookmarkStart w:id="135" w:name="_Toc455476672"/>
      <w:r>
        <w:rPr>
          <w:rStyle w:val="CharPartNo"/>
        </w:rPr>
        <w:t>Part 3</w:t>
      </w:r>
      <w:r>
        <w:rPr>
          <w:rStyle w:val="CharDivNo"/>
        </w:rPr>
        <w:t> </w:t>
      </w:r>
      <w:r>
        <w:t>—</w:t>
      </w:r>
      <w:r>
        <w:rPr>
          <w:rStyle w:val="CharDivText"/>
        </w:rPr>
        <w:t> </w:t>
      </w:r>
      <w:r>
        <w:rPr>
          <w:rStyle w:val="CharPartText"/>
        </w:rPr>
        <w:t>Abandoned goods</w:t>
      </w:r>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rPr>
          <w:snapToGrid w:val="0"/>
        </w:rPr>
      </w:pPr>
      <w:r>
        <w:tab/>
        <w:t>[Heading inserted in Gazette 24 Mar 2015 p. 1026.]</w:t>
      </w:r>
    </w:p>
    <w:p>
      <w:pPr>
        <w:pStyle w:val="Heading5"/>
        <w:rPr>
          <w:snapToGrid w:val="0"/>
        </w:rPr>
      </w:pPr>
      <w:bookmarkStart w:id="136" w:name="_Toc476913829"/>
      <w:bookmarkStart w:id="137" w:name="_Toc383159663"/>
      <w:bookmarkStart w:id="138" w:name="_Toc455476673"/>
      <w:r>
        <w:rPr>
          <w:rStyle w:val="CharSectno"/>
        </w:rPr>
        <w:t>7</w:t>
      </w:r>
      <w:r>
        <w:rPr>
          <w:snapToGrid w:val="0"/>
        </w:rPr>
        <w:t>.</w:t>
      </w:r>
      <w:r>
        <w:rPr>
          <w:snapToGrid w:val="0"/>
        </w:rPr>
        <w:tab/>
        <w:t>Disposal of abandoned goods</w:t>
      </w:r>
      <w:bookmarkEnd w:id="136"/>
      <w:bookmarkEnd w:id="137"/>
      <w:bookmarkEnd w:id="138"/>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pageBreakBefore/>
        <w:spacing w:before="0"/>
        <w:rPr>
          <w:snapToGrid w:val="0"/>
        </w:rPr>
      </w:pPr>
      <w:bookmarkStart w:id="139" w:name="_Toc476913830"/>
      <w:bookmarkStart w:id="140" w:name="_Toc383159664"/>
      <w:bookmarkStart w:id="141" w:name="_Toc455476674"/>
      <w:r>
        <w:rPr>
          <w:rStyle w:val="CharSectno"/>
        </w:rPr>
        <w:t>8</w:t>
      </w:r>
      <w:r>
        <w:rPr>
          <w:snapToGrid w:val="0"/>
        </w:rPr>
        <w:t>.</w:t>
      </w:r>
      <w:r>
        <w:rPr>
          <w:snapToGrid w:val="0"/>
        </w:rPr>
        <w:tab/>
        <w:t>Proceeds of sale of abandoned goods</w:t>
      </w:r>
      <w:bookmarkEnd w:id="139"/>
      <w:bookmarkEnd w:id="140"/>
      <w:bookmarkEnd w:id="141"/>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142" w:name="_Toc476913831"/>
      <w:bookmarkStart w:id="143" w:name="_Toc414890096"/>
      <w:bookmarkStart w:id="144" w:name="_Toc414973534"/>
      <w:bookmarkStart w:id="145" w:name="_Toc431393590"/>
      <w:bookmarkStart w:id="146" w:name="_Toc431393900"/>
      <w:bookmarkStart w:id="147" w:name="_Toc442446458"/>
      <w:bookmarkStart w:id="148" w:name="_Toc446511791"/>
      <w:bookmarkStart w:id="149" w:name="_Toc446512506"/>
      <w:bookmarkStart w:id="150" w:name="_Toc446514103"/>
      <w:bookmarkStart w:id="151" w:name="_Toc453072164"/>
      <w:bookmarkStart w:id="152" w:name="_Toc455408822"/>
      <w:bookmarkStart w:id="153" w:name="_Toc455476675"/>
      <w:r>
        <w:rPr>
          <w:rStyle w:val="CharPartNo"/>
        </w:rPr>
        <w:t>Part 4</w:t>
      </w:r>
      <w:r>
        <w:rPr>
          <w:b w:val="0"/>
        </w:rPr>
        <w:t> </w:t>
      </w:r>
      <w:r>
        <w:t>—</w:t>
      </w:r>
      <w:r>
        <w:rPr>
          <w:b w:val="0"/>
        </w:rPr>
        <w:t> </w:t>
      </w:r>
      <w:r>
        <w:rPr>
          <w:rStyle w:val="CharPartText"/>
        </w:rPr>
        <w:t>Other matters</w:t>
      </w:r>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in Gazette 24 Mar 2015 p. 1026.]</w:t>
      </w:r>
    </w:p>
    <w:p>
      <w:pPr>
        <w:pStyle w:val="Heading5"/>
      </w:pPr>
      <w:bookmarkStart w:id="154" w:name="_Toc476913832"/>
      <w:bookmarkStart w:id="155" w:name="_Toc383159665"/>
      <w:bookmarkStart w:id="156" w:name="_Toc455476676"/>
      <w:r>
        <w:rPr>
          <w:rStyle w:val="CharSectno"/>
        </w:rPr>
        <w:t>9</w:t>
      </w:r>
      <w:r>
        <w:t>.</w:t>
      </w:r>
      <w:r>
        <w:tab/>
        <w:t>Former resident’s liability to pay recurrent charges (Act s. 23(3))</w:t>
      </w:r>
      <w:bookmarkEnd w:id="154"/>
      <w:bookmarkEnd w:id="155"/>
      <w:bookmarkEnd w:id="15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157" w:name="_Toc476913833"/>
      <w:bookmarkStart w:id="158" w:name="_Toc383159666"/>
      <w:bookmarkStart w:id="159" w:name="_Toc455476677"/>
      <w:r>
        <w:rPr>
          <w:rStyle w:val="CharSectno"/>
        </w:rPr>
        <w:t>10</w:t>
      </w:r>
      <w:r>
        <w:t>.</w:t>
      </w:r>
      <w:r>
        <w:tab/>
        <w:t>Interest payable on recurrent charges (Act s. 24(5))</w:t>
      </w:r>
      <w:bookmarkEnd w:id="157"/>
      <w:bookmarkEnd w:id="158"/>
      <w:bookmarkEnd w:id="159"/>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ageBreakBefore/>
        <w:spacing w:before="0"/>
      </w:pPr>
      <w:bookmarkStart w:id="160" w:name="_Toc476913834"/>
      <w:bookmarkStart w:id="161" w:name="_Toc383159667"/>
      <w:bookmarkStart w:id="162" w:name="_Toc455476678"/>
      <w:r>
        <w:rPr>
          <w:rStyle w:val="CharSectno"/>
        </w:rPr>
        <w:t>11</w:t>
      </w:r>
      <w:r>
        <w:t>.</w:t>
      </w:r>
      <w:r>
        <w:tab/>
        <w:t>Matters in respect of which administering body is not to require payment (Act s. 25)</w:t>
      </w:r>
      <w:bookmarkEnd w:id="160"/>
      <w:bookmarkEnd w:id="161"/>
      <w:bookmarkEnd w:id="16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 amended in Gazette 24 Mar 2015 p. 1027.]</w:t>
      </w:r>
    </w:p>
    <w:p>
      <w:pPr>
        <w:pStyle w:val="Heading5"/>
        <w:spacing w:before="180"/>
      </w:pPr>
      <w:bookmarkStart w:id="163" w:name="_Toc476913835"/>
      <w:bookmarkStart w:id="164" w:name="_Toc383159668"/>
      <w:bookmarkStart w:id="165" w:name="_Toc455476679"/>
      <w:r>
        <w:rPr>
          <w:rStyle w:val="CharSectno"/>
        </w:rPr>
        <w:t>12</w:t>
      </w:r>
      <w:r>
        <w:t>.</w:t>
      </w:r>
      <w:r>
        <w:tab/>
        <w:t>Exemption certificates (Act s. 77C)</w:t>
      </w:r>
      <w:bookmarkEnd w:id="163"/>
      <w:bookmarkEnd w:id="164"/>
      <w:bookmarkEnd w:id="165"/>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 amended in Gazette 3 Jun 2016 p. 1772.]</w:t>
      </w:r>
    </w:p>
    <w:p>
      <w:pPr>
        <w:pStyle w:val="Heading5"/>
      </w:pPr>
      <w:bookmarkStart w:id="166" w:name="_Toc476913836"/>
      <w:bookmarkStart w:id="167" w:name="_Toc455476680"/>
      <w:r>
        <w:rPr>
          <w:rStyle w:val="CharSectno"/>
        </w:rPr>
        <w:t>13</w:t>
      </w:r>
      <w:r>
        <w:t>.</w:t>
      </w:r>
      <w:r>
        <w:tab/>
        <w:t>Transitional provision — section 13 statement</w:t>
      </w:r>
      <w:bookmarkEnd w:id="166"/>
      <w:bookmarkEnd w:id="16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in Gazette 23 Mar 2016 p. 866.]</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68" w:name="AautoSch"/>
      <w:bookmarkStart w:id="169" w:name="_Toc476913837"/>
      <w:bookmarkStart w:id="170" w:name="_Toc383093682"/>
      <w:bookmarkStart w:id="171" w:name="_Toc383093698"/>
      <w:bookmarkStart w:id="172" w:name="_Toc383093903"/>
      <w:bookmarkStart w:id="173" w:name="_Toc383159669"/>
      <w:bookmarkStart w:id="174" w:name="_Toc414889010"/>
      <w:bookmarkStart w:id="175" w:name="_Toc414889049"/>
      <w:bookmarkStart w:id="176" w:name="_Toc414890101"/>
      <w:bookmarkStart w:id="177" w:name="_Toc414973539"/>
      <w:bookmarkStart w:id="178" w:name="_Toc431393595"/>
      <w:bookmarkStart w:id="179" w:name="_Toc431393905"/>
      <w:bookmarkStart w:id="180" w:name="_Toc442446464"/>
      <w:bookmarkStart w:id="181" w:name="_Toc446511797"/>
      <w:bookmarkStart w:id="182" w:name="_Toc446512512"/>
      <w:bookmarkStart w:id="183" w:name="_Toc446514109"/>
      <w:bookmarkStart w:id="184" w:name="_Toc453072170"/>
      <w:bookmarkStart w:id="185" w:name="_Toc455408828"/>
      <w:bookmarkStart w:id="186" w:name="_Toc455476681"/>
      <w:bookmarkStart w:id="187" w:name="_Toc383093684"/>
      <w:bookmarkStart w:id="188" w:name="_Toc383093700"/>
      <w:bookmarkStart w:id="189" w:name="_Toc383093905"/>
      <w:bookmarkStart w:id="190" w:name="_Toc383159671"/>
      <w:bookmarkStart w:id="191" w:name="_Toc414889012"/>
      <w:bookmarkStart w:id="192" w:name="_Toc414889051"/>
      <w:bookmarkStart w:id="193" w:name="_Toc414890103"/>
      <w:bookmarkStart w:id="194" w:name="_Toc414973541"/>
      <w:bookmarkStart w:id="195" w:name="_Toc431393601"/>
      <w:bookmarkStart w:id="196" w:name="_Toc431393911"/>
      <w:bookmarkStart w:id="197" w:name="_Toc442446470"/>
      <w:bookmarkStart w:id="198" w:name="_Toc446511803"/>
      <w:bookmarkStart w:id="199" w:name="_Toc446512518"/>
      <w:bookmarkStart w:id="200" w:name="_Toc446514115"/>
      <w:bookmarkStart w:id="201" w:name="_Toc453072176"/>
      <w:bookmarkStart w:id="202" w:name="_Toc455408834"/>
      <w:bookmarkStart w:id="203" w:name="_Toc455476687"/>
      <w:bookmarkEnd w:id="168"/>
      <w:r>
        <w:rPr>
          <w:rStyle w:val="CharSchNo"/>
        </w:rPr>
        <w:t>Schedule 1</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del w:id="204" w:author="Master Repository Process" w:date="2021-09-12T11:25:00Z">
        <w:r>
          <w:delText xml:space="preserve"> </w:delText>
        </w:r>
      </w:del>
    </w:p>
    <w:p>
      <w:pPr>
        <w:pStyle w:val="yHeading2"/>
        <w:rPr>
          <w:b w:val="0"/>
          <w:snapToGrid/>
          <w:sz w:val="24"/>
        </w:rPr>
      </w:pPr>
      <w:bookmarkStart w:id="205" w:name="_Toc476913838"/>
      <w:bookmarkStart w:id="206" w:name="_Toc383093683"/>
      <w:bookmarkStart w:id="207" w:name="_Toc383093699"/>
      <w:bookmarkStart w:id="208" w:name="_Toc383093904"/>
      <w:bookmarkStart w:id="209" w:name="_Toc383159670"/>
      <w:bookmarkStart w:id="210" w:name="_Toc414889011"/>
      <w:bookmarkStart w:id="211" w:name="_Toc414889050"/>
      <w:bookmarkStart w:id="212" w:name="_Toc414890102"/>
      <w:bookmarkStart w:id="213" w:name="_Toc414973540"/>
      <w:bookmarkStart w:id="214" w:name="_Toc431393596"/>
      <w:bookmarkStart w:id="215" w:name="_Toc431393906"/>
      <w:bookmarkStart w:id="216" w:name="_Toc442446465"/>
      <w:bookmarkStart w:id="217" w:name="_Toc446511798"/>
      <w:bookmarkStart w:id="218" w:name="_Toc446512513"/>
      <w:bookmarkStart w:id="219" w:name="_Toc446514110"/>
      <w:bookmarkStart w:id="220" w:name="_Toc453072171"/>
      <w:bookmarkStart w:id="221" w:name="_Toc455408829"/>
      <w:bookmarkStart w:id="222" w:name="_Toc455476682"/>
      <w:r>
        <w:rPr>
          <w:rStyle w:val="CharSchText"/>
        </w:rPr>
        <w:t>Forms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del w:id="223" w:author="Master Repository Process" w:date="2021-09-12T11:25:00Z">
        <w:r>
          <w:rPr>
            <w:b w:val="0"/>
            <w:snapToGrid/>
            <w:sz w:val="24"/>
          </w:rPr>
          <w:delText xml:space="preserve"> </w:delText>
        </w:r>
      </w:del>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6"/>
              </w:numPr>
              <w:tabs>
                <w:tab w:val="clear" w:pos="567"/>
                <w:tab w:val="left" w:pos="394"/>
              </w:tabs>
              <w:ind w:left="408" w:hanging="374"/>
            </w:pPr>
            <w:r>
              <w:t>understand the enclosed information and its implications;</w:t>
            </w:r>
          </w:p>
          <w:p>
            <w:pPr>
              <w:pStyle w:val="yTableNAm"/>
              <w:numPr>
                <w:ilvl w:val="0"/>
                <w:numId w:val="26"/>
              </w:numPr>
              <w:tabs>
                <w:tab w:val="clear" w:pos="567"/>
                <w:tab w:val="left" w:pos="394"/>
              </w:tabs>
              <w:ind w:left="408" w:hanging="374"/>
            </w:pPr>
            <w:r>
              <w:t>read all the terms of the contract;</w:t>
            </w:r>
          </w:p>
          <w:p>
            <w:pPr>
              <w:pStyle w:val="yTableNAm"/>
              <w:numPr>
                <w:ilvl w:val="0"/>
                <w:numId w:val="26"/>
              </w:numPr>
              <w:tabs>
                <w:tab w:val="clear" w:pos="567"/>
                <w:tab w:val="left" w:pos="394"/>
              </w:tabs>
              <w:ind w:left="408" w:hanging="374"/>
            </w:pPr>
            <w:r>
              <w:t>seek independent legal advice, particularly if unsure about any details in the contract;</w:t>
            </w:r>
          </w:p>
          <w:p>
            <w:pPr>
              <w:pStyle w:val="yTableNAm"/>
              <w:numPr>
                <w:ilvl w:val="0"/>
                <w:numId w:val="26"/>
              </w:numPr>
              <w:tabs>
                <w:tab w:val="clear" w:pos="567"/>
                <w:tab w:val="left" w:pos="394"/>
              </w:tabs>
              <w:ind w:left="408" w:hanging="374"/>
            </w:pPr>
            <w:r>
              <w:t>understand the legal basis of occupancy (e.g. a person who signs a lease does not own the premises);</w:t>
            </w:r>
          </w:p>
          <w:p>
            <w:pPr>
              <w:pStyle w:val="yTableNAm"/>
              <w:numPr>
                <w:ilvl w:val="0"/>
                <w:numId w:val="26"/>
              </w:numPr>
              <w:tabs>
                <w:tab w:val="clear" w:pos="567"/>
                <w:tab w:val="left" w:pos="394"/>
              </w:tabs>
              <w:ind w:left="408" w:hanging="374"/>
            </w:pPr>
            <w:r>
              <w:t>understand the financial commitments involved, and in particular entry fees, ongoing costs, and exit fees;</w:t>
            </w:r>
          </w:p>
          <w:p>
            <w:pPr>
              <w:pStyle w:val="yTableNAm"/>
              <w:numPr>
                <w:ilvl w:val="0"/>
                <w:numId w:val="26"/>
              </w:numPr>
              <w:tabs>
                <w:tab w:val="clear" w:pos="567"/>
                <w:tab w:val="left" w:pos="394"/>
              </w:tabs>
              <w:ind w:left="408" w:hanging="374"/>
            </w:pPr>
            <w:r>
              <w:t>consider whether you have had satisfactory responses to any questions you ask;</w:t>
            </w:r>
          </w:p>
          <w:p>
            <w:pPr>
              <w:pStyle w:val="yTableNAm"/>
              <w:numPr>
                <w:ilvl w:val="0"/>
                <w:numId w:val="26"/>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ins w:id="224" w:author="Master Repository Process" w:date="2021-09-12T11:25:00Z">
              <w:r>
                <w:br/>
              </w:r>
              <w:r>
                <w:br/>
              </w:r>
              <w:r>
                <w:br/>
              </w:r>
            </w:ins>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ins w:id="225" w:author="Master Repository Process" w:date="2021-09-12T11:25:00Z">
              <w:r>
                <w:rPr>
                  <w:i/>
                </w:rPr>
                <w:br/>
              </w:r>
              <w:r>
                <w:rPr>
                  <w:i/>
                </w:rPr>
                <w:br/>
              </w:r>
              <w:r>
                <w:rPr>
                  <w:i/>
                </w:rPr>
                <w:br/>
              </w:r>
            </w:ins>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that return the residential premises to a reasonable condition (</w:t>
      </w:r>
      <w:r>
        <w:rPr>
          <w:rFonts w:eastAsiaTheme="minorHAnsi"/>
          <w:i/>
          <w:sz w:val="18"/>
          <w:szCs w:val="18"/>
        </w:rPr>
        <w:t>Fair Trading (Retirement Villages Code) Regulations 2015</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rFonts w:eastAsiaTheme="minorHAnsi"/>
          <w:i/>
          <w:sz w:val="18"/>
          <w:szCs w:val="18"/>
        </w:rPr>
        <w:t xml:space="preserve">Fair Trading (Retirement Villages Interim Code) Regulations (No. 2) 2014 </w:t>
      </w:r>
      <w:r>
        <w:rPr>
          <w:sz w:val="18"/>
        </w:rPr>
        <w:t xml:space="preserve">Schedule 1 </w:t>
      </w:r>
      <w:r>
        <w:rPr>
          <w:rFonts w:eastAsiaTheme="minorHAnsi"/>
          <w:sz w:val="18"/>
          <w:szCs w:val="18"/>
        </w:rPr>
        <w:t xml:space="preserve">clause 5.5(1) or from 1 July 2016 provided under the </w:t>
      </w:r>
      <w:r>
        <w:rPr>
          <w:rFonts w:eastAsiaTheme="minorHAnsi"/>
          <w:i/>
          <w:sz w:val="18"/>
          <w:szCs w:val="18"/>
        </w:rPr>
        <w:t xml:space="preserve">Fair Trading (Retirement Villages Code) Regulations 2015 </w:t>
      </w:r>
      <w:r>
        <w:rPr>
          <w:sz w:val="18"/>
        </w:rPr>
        <w:t xml:space="preserve">Schedule 1 </w:t>
      </w:r>
      <w:r>
        <w:rPr>
          <w:rFonts w:eastAsiaTheme="minorHAnsi"/>
          <w:sz w:val="18"/>
          <w:szCs w:val="18"/>
        </w:rPr>
        <w:t>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as set out in the </w:t>
      </w:r>
      <w:r>
        <w:rPr>
          <w:rFonts w:eastAsiaTheme="minorHAnsi"/>
          <w:i/>
          <w:sz w:val="18"/>
          <w:szCs w:val="18"/>
        </w:rPr>
        <w:t>Fair Trading (Retirement Villages Code) Regulations 2015</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in Gazette 23 Mar 2016 p. 867</w:t>
      </w:r>
      <w:r>
        <w:noBreakHyphen/>
        <w:t>903; amended in Gazette 30 Jun 2016 p. 2717</w:t>
      </w:r>
      <w:r>
        <w:noBreakHyphen/>
        <w:t>24 and 2733</w:t>
      </w:r>
      <w:r>
        <w:noBreakHyphen/>
        <w:t>4.]</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w:t>
      </w:r>
      <w:del w:id="226" w:author="Master Repository Process" w:date="2021-09-12T11:25:00Z">
        <w:r>
          <w:rPr>
            <w:b/>
          </w:rPr>
          <w:delText xml:space="preserve"> </w:delText>
        </w:r>
      </w:del>
      <w:ins w:id="227" w:author="Master Repository Process" w:date="2021-09-12T11:25:00Z">
        <w:r>
          <w:rPr>
            <w:b/>
          </w:rPr>
          <w:t>-</w:t>
        </w:r>
      </w:ins>
      <w:r>
        <w:rPr>
          <w:b/>
        </w:rPr>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7"/>
              </w:numPr>
              <w:ind w:left="576" w:hanging="542"/>
            </w:pPr>
            <w:r>
              <w:t>understand the enclosed information and its implications;</w:t>
            </w:r>
          </w:p>
          <w:p>
            <w:pPr>
              <w:pStyle w:val="yTableNAm"/>
              <w:numPr>
                <w:ilvl w:val="0"/>
                <w:numId w:val="27"/>
              </w:numPr>
              <w:ind w:left="576" w:hanging="542"/>
            </w:pPr>
            <w:r>
              <w:t>read all the terms of the contract;</w:t>
            </w:r>
          </w:p>
          <w:p>
            <w:pPr>
              <w:pStyle w:val="yTableNAm"/>
              <w:numPr>
                <w:ilvl w:val="0"/>
                <w:numId w:val="27"/>
              </w:numPr>
              <w:ind w:left="576" w:hanging="542"/>
            </w:pPr>
            <w:r>
              <w:t>seek independent legal advice, particularly if unsure about any details in the contract;</w:t>
            </w:r>
          </w:p>
          <w:p>
            <w:pPr>
              <w:pStyle w:val="yTableNAm"/>
              <w:numPr>
                <w:ilvl w:val="0"/>
                <w:numId w:val="27"/>
              </w:numPr>
              <w:ind w:left="576" w:hanging="542"/>
            </w:pPr>
            <w:r>
              <w:t>understand the legal basis of occupancy (e.g. a person who signs a lease does not own the premises);</w:t>
            </w:r>
          </w:p>
          <w:p>
            <w:pPr>
              <w:pStyle w:val="yTableNAm"/>
              <w:numPr>
                <w:ilvl w:val="0"/>
                <w:numId w:val="27"/>
              </w:numPr>
              <w:ind w:left="576" w:hanging="542"/>
            </w:pPr>
            <w:r>
              <w:t>understand the financial commitments involved, and in particular entry fees, ongoing costs and exit fees;</w:t>
            </w:r>
          </w:p>
          <w:p>
            <w:pPr>
              <w:pStyle w:val="yTableNAm"/>
              <w:numPr>
                <w:ilvl w:val="0"/>
                <w:numId w:val="27"/>
              </w:numPr>
              <w:ind w:left="576" w:hanging="542"/>
            </w:pPr>
            <w:r>
              <w:t>consider whether you have had satisfactory responses to any questions you ask;</w:t>
            </w:r>
          </w:p>
          <w:p>
            <w:pPr>
              <w:pStyle w:val="yTableNAm"/>
              <w:numPr>
                <w:ilvl w:val="0"/>
                <w:numId w:val="27"/>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Schedule 1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in Gazette 23 Mar 2016 p. 903</w:t>
      </w:r>
      <w:r>
        <w:noBreakHyphen/>
        <w:t>24; amended in Gazette 30 Jun 2016 p. 2724</w:t>
      </w:r>
      <w:r>
        <w:noBreakHyphen/>
        <w:t>32 and 2733</w:t>
      </w:r>
      <w:r>
        <w:noBreakHyphen/>
        <w:t>4.]</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in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2"/>
          <w:headerReference w:type="default" r:id="rId23"/>
          <w:pgSz w:w="11907" w:h="16840" w:code="9"/>
          <w:pgMar w:top="2381" w:right="2410" w:bottom="3544" w:left="2410" w:header="720" w:footer="3544" w:gutter="0"/>
          <w:cols w:space="720"/>
        </w:sectPr>
      </w:pPr>
      <w:bookmarkStart w:id="229" w:name="_Toc431393597"/>
      <w:bookmarkStart w:id="230" w:name="_Toc431393907"/>
      <w:bookmarkStart w:id="231" w:name="_Toc442446466"/>
      <w:bookmarkStart w:id="232" w:name="_Toc446511799"/>
      <w:bookmarkStart w:id="233" w:name="_Toc446512514"/>
      <w:bookmarkStart w:id="234" w:name="_Toc446514111"/>
      <w:bookmarkStart w:id="235" w:name="_Toc453072172"/>
      <w:bookmarkStart w:id="236" w:name="_Toc455408830"/>
      <w:bookmarkStart w:id="237" w:name="_Toc455476683"/>
    </w:p>
    <w:p>
      <w:pPr>
        <w:pStyle w:val="yScheduleHeading"/>
      </w:pPr>
      <w:bookmarkStart w:id="238" w:name="_Toc476913839"/>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238"/>
      <w:bookmarkEnd w:id="229"/>
      <w:bookmarkEnd w:id="230"/>
      <w:bookmarkEnd w:id="231"/>
      <w:bookmarkEnd w:id="232"/>
      <w:bookmarkEnd w:id="233"/>
      <w:bookmarkEnd w:id="234"/>
      <w:bookmarkEnd w:id="235"/>
      <w:bookmarkEnd w:id="236"/>
      <w:bookmarkEnd w:id="237"/>
    </w:p>
    <w:p>
      <w:pPr>
        <w:pStyle w:val="yShoulderClause"/>
      </w:pPr>
      <w:r>
        <w:t>[r. 7A]</w:t>
      </w:r>
    </w:p>
    <w:p>
      <w:pPr>
        <w:pStyle w:val="yFootnoteheading"/>
      </w:pPr>
      <w:r>
        <w:tab/>
        <w:t>[Heading inserted in Gazette 24 Mar 2015 p. 1027.]</w:t>
      </w:r>
    </w:p>
    <w:p>
      <w:pPr>
        <w:pStyle w:val="yHeading5"/>
        <w:spacing w:after="120"/>
      </w:pPr>
      <w:bookmarkStart w:id="239" w:name="_Toc476913840"/>
      <w:bookmarkStart w:id="240" w:name="_Toc455476684"/>
      <w:r>
        <w:rPr>
          <w:rStyle w:val="CharSClsNo"/>
        </w:rPr>
        <w:t>1</w:t>
      </w:r>
      <w:r>
        <w:t>.</w:t>
      </w:r>
      <w:r>
        <w:tab/>
        <w:t>Statement on terms of access to aged care services</w:t>
      </w:r>
      <w:bookmarkEnd w:id="239"/>
      <w:bookmarkEnd w:id="240"/>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241" w:name="_Toc476913841"/>
      <w:bookmarkStart w:id="242" w:name="_Toc455476685"/>
      <w:r>
        <w:rPr>
          <w:rStyle w:val="CharSClsNo"/>
        </w:rPr>
        <w:t>2</w:t>
      </w:r>
      <w:r>
        <w:t>.</w:t>
      </w:r>
      <w:r>
        <w:tab/>
        <w:t>Notes</w:t>
      </w:r>
      <w:bookmarkEnd w:id="241"/>
      <w:bookmarkEnd w:id="24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243" w:name="_Toc476913842"/>
      <w:bookmarkStart w:id="244" w:name="_Toc455476686"/>
      <w:r>
        <w:rPr>
          <w:rStyle w:val="CharSClsNo"/>
        </w:rPr>
        <w:t>3</w:t>
      </w:r>
      <w:r>
        <w:t>.</w:t>
      </w:r>
      <w:r>
        <w:tab/>
        <w:t>Statement about seeking independent legal and financial advice</w:t>
      </w:r>
      <w:bookmarkEnd w:id="243"/>
      <w:bookmarkEnd w:id="244"/>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in Gazette 24 Mar 2015 p. 1027</w:t>
      </w:r>
      <w:r>
        <w:noBreakHyphen/>
        <w:t xml:space="preserve">30.] </w:t>
      </w:r>
    </w:p>
    <w:p>
      <w:pPr>
        <w:pStyle w:val="CentredBaseLine"/>
        <w:jc w:val="center"/>
        <w:rPr>
          <w:ins w:id="245" w:author="Master Repository Process" w:date="2021-09-12T11:25:00Z"/>
        </w:rPr>
      </w:pPr>
      <w:ins w:id="246" w:author="Master Repository Process" w:date="2021-09-12T11:2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47" w:name="_Toc476913843"/>
      <w:r>
        <w:t>Notes</w:t>
      </w:r>
      <w:bookmarkEnd w:id="247"/>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nSubsection"/>
      </w:pPr>
      <w:r>
        <w:rPr>
          <w:vertAlign w:val="superscript"/>
        </w:rPr>
        <w:t>1</w:t>
      </w:r>
      <w:r>
        <w:tab/>
        <w:t xml:space="preserve">This </w:t>
      </w:r>
      <w:ins w:id="248" w:author="Master Repository Process" w:date="2021-09-12T11:25:00Z">
        <w:r>
          <w:t xml:space="preserve">reprint </w:t>
        </w:r>
      </w:ins>
      <w:r>
        <w:t>is a compilation</w:t>
      </w:r>
      <w:ins w:id="249" w:author="Master Repository Process" w:date="2021-09-12T11:25:00Z">
        <w:r>
          <w:t xml:space="preserve"> as at 3 February 2017</w:t>
        </w:r>
      </w:ins>
      <w:r>
        <w:t xml:space="preserve"> of the </w:t>
      </w:r>
      <w:r>
        <w:rPr>
          <w:i/>
          <w:noProof/>
        </w:rPr>
        <w:t>Retirement Villages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250" w:name="_Toc476913844"/>
      <w:bookmarkStart w:id="251" w:name="_Toc383159672"/>
      <w:bookmarkStart w:id="252" w:name="_Toc455476688"/>
      <w:r>
        <w:rPr>
          <w:snapToGrid w:val="0"/>
        </w:rPr>
        <w:t>Compilation table</w:t>
      </w:r>
      <w:bookmarkEnd w:id="250"/>
      <w:bookmarkEnd w:id="251"/>
      <w:bookmarkEnd w:id="2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del w:id="253" w:author="Master Repository Process" w:date="2021-09-12T11:25:00Z">
              <w:r>
                <w:rPr>
                  <w:vertAlign w:val="superscript"/>
                </w:rPr>
                <w:delText>4</w:delText>
              </w:r>
            </w:del>
            <w:ins w:id="254" w:author="Master Repository Process" w:date="2021-09-12T11:25:00Z">
              <w:r>
                <w:rPr>
                  <w:vertAlign w:val="superscript"/>
                </w:rPr>
                <w:t>2</w:t>
              </w:r>
            </w:ins>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r>
            <w:del w:id="255" w:author="Master Repository Process" w:date="2021-09-12T11:25:00Z">
              <w:r>
                <w:delText xml:space="preserve">Regulations other than </w:delText>
              </w:r>
            </w:del>
            <w:r>
              <w:t>r.</w:t>
            </w:r>
            <w:del w:id="256" w:author="Master Repository Process" w:date="2021-09-12T11:25:00Z">
              <w:r>
                <w:delText> 1, 2, 6, 8</w:delText>
              </w:r>
            </w:del>
            <w:ins w:id="257" w:author="Master Repository Process" w:date="2021-09-12T11:25:00Z">
              <w:r>
                <w:t xml:space="preserve"> 3</w:t>
              </w:r>
              <w:r>
                <w:noBreakHyphen/>
                <w:t>5, 7, 9</w:t>
              </w:r>
              <w:r>
                <w:noBreakHyphen/>
                <w:t>11</w:t>
              </w:r>
            </w:ins>
            <w:r>
              <w:t xml:space="preserve"> and </w:t>
            </w:r>
            <w:del w:id="258" w:author="Master Repository Process" w:date="2021-09-12T11:25:00Z">
              <w:r>
                <w:delText>12-14</w:delText>
              </w:r>
            </w:del>
            <w:ins w:id="259" w:author="Master Repository Process" w:date="2021-09-12T11:25:00Z">
              <w:r>
                <w:t>15</w:t>
              </w:r>
            </w:ins>
            <w:r>
              <w:t>: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bl>
    <w:p>
      <w:pPr>
        <w:pStyle w:val="nSubsection"/>
        <w:rPr>
          <w:del w:id="260" w:author="Master Repository Process" w:date="2021-09-12T11:25:00Z"/>
          <w:snapToGrid w:val="0"/>
        </w:rPr>
      </w:pPr>
      <w:del w:id="261" w:author="Master Repository Process" w:date="2021-09-12T11:25:00Z">
        <w:r>
          <w:rPr>
            <w:snapToGrid w:val="0"/>
            <w:vertAlign w:val="superscript"/>
          </w:rPr>
          <w:delText>2</w:delText>
        </w:r>
        <w:r>
          <w:rPr>
            <w:snapToGrid w:val="0"/>
          </w:rPr>
          <w:tab/>
          <w:delText xml:space="preserve">Under the </w:delText>
        </w:r>
        <w:r>
          <w:rPr>
            <w:i/>
            <w:snapToGrid w:val="0"/>
          </w:rPr>
          <w:delText>Alteration of Statutory Designations Order (No. 3) 2001</w:delText>
        </w:r>
        <w:r>
          <w:rPr>
            <w:snapToGrid w:val="0"/>
          </w:rPr>
          <w:delText xml:space="preserve"> a reference in any law to the Department for Community Welfare is read and construed as a reference to the Department for Community Development.</w:delText>
        </w:r>
      </w:del>
    </w:p>
    <w:p>
      <w:pPr>
        <w:pStyle w:val="nSubsection"/>
        <w:rPr>
          <w:del w:id="262" w:author="Master Repository Process" w:date="2021-09-12T11:25:00Z"/>
          <w:snapToGrid w:val="0"/>
        </w:rPr>
      </w:pPr>
      <w:del w:id="263" w:author="Master Repository Process" w:date="2021-09-12T11:25:00Z">
        <w:r>
          <w:rPr>
            <w:snapToGrid w:val="0"/>
            <w:vertAlign w:val="superscript"/>
          </w:rPr>
          <w:delText>3</w:delText>
        </w:r>
        <w:r>
          <w:rPr>
            <w:snapToGrid w:val="0"/>
          </w:rPr>
          <w:tab/>
          <w:delText xml:space="preserve">Repealed by the </w:delText>
        </w:r>
        <w:r>
          <w:rPr>
            <w:i/>
            <w:snapToGrid w:val="0"/>
          </w:rPr>
          <w:delText>Veterans’ Entitlements Act 1986</w:delText>
        </w:r>
        <w:r>
          <w:rPr>
            <w:snapToGrid w:val="0"/>
          </w:rPr>
          <w:delText xml:space="preserve"> of the Commonwealth.</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264" w:author="Master Repository Process" w:date="2021-09-12T11:25:00Z"/>
        </w:trPr>
        <w:tc>
          <w:tcPr>
            <w:tcW w:w="7087" w:type="dxa"/>
            <w:tcBorders>
              <w:top w:val="nil"/>
              <w:bottom w:val="single" w:sz="8" w:space="0" w:color="auto"/>
            </w:tcBorders>
            <w:shd w:val="clear" w:color="auto" w:fill="auto"/>
          </w:tcPr>
          <w:p>
            <w:pPr>
              <w:pStyle w:val="nTable"/>
              <w:spacing w:after="40"/>
              <w:rPr>
                <w:ins w:id="265" w:author="Master Repository Process" w:date="2021-09-12T11:25:00Z"/>
                <w:bCs/>
                <w:snapToGrid w:val="0"/>
                <w:spacing w:val="-2"/>
              </w:rPr>
            </w:pPr>
            <w:del w:id="266" w:author="Master Repository Process" w:date="2021-09-12T11:25:00Z">
              <w:r>
                <w:rPr>
                  <w:snapToGrid w:val="0"/>
                  <w:vertAlign w:val="superscript"/>
                </w:rPr>
                <w:delText>4</w:delText>
              </w:r>
            </w:del>
            <w:ins w:id="267" w:author="Master Repository Process" w:date="2021-09-12T11:25:00Z">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ins>
          </w:p>
        </w:tc>
      </w:tr>
    </w:tbl>
    <w:p>
      <w:pPr>
        <w:pStyle w:val="nSubsection"/>
        <w:keepNext/>
        <w:rPr>
          <w:snapToGrid w:val="0"/>
        </w:rPr>
      </w:pPr>
      <w:ins w:id="268" w:author="Master Repository Process" w:date="2021-09-12T11:25:00Z">
        <w:r>
          <w:rPr>
            <w:snapToGrid w:val="0"/>
            <w:vertAlign w:val="superscript"/>
          </w:rPr>
          <w:t>2</w:t>
        </w:r>
      </w:ins>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9" w:name="Compilation"/>
    <w:bookmarkEnd w:id="26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0" w:name="Coversheet"/>
    <w:bookmarkEnd w:id="2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228" w:name="Schedule"/>
    <w:bookmarkEnd w:id="2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A302E3"/>
    <w:multiLevelType w:val="hybridMultilevel"/>
    <w:tmpl w:val="E60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47D77E5"/>
    <w:multiLevelType w:val="hybridMultilevel"/>
    <w:tmpl w:val="9D8A5664"/>
    <w:lvl w:ilvl="0" w:tplc="97007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80F2F95"/>
    <w:multiLevelType w:val="hybridMultilevel"/>
    <w:tmpl w:val="36F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68F720A6"/>
    <w:multiLevelType w:val="hybridMultilevel"/>
    <w:tmpl w:val="9300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5"/>
  </w:num>
  <w:num w:numId="16">
    <w:abstractNumId w:val="28"/>
  </w:num>
  <w:num w:numId="17">
    <w:abstractNumId w:val="14"/>
  </w:num>
  <w:num w:numId="18">
    <w:abstractNumId w:val="27"/>
  </w:num>
  <w:num w:numId="19">
    <w:abstractNumId w:val="11"/>
  </w:num>
  <w:num w:numId="20">
    <w:abstractNumId w:val="29"/>
  </w:num>
  <w:num w:numId="21">
    <w:abstractNumId w:val="21"/>
  </w:num>
  <w:num w:numId="22">
    <w:abstractNumId w:val="19"/>
  </w:num>
  <w:num w:numId="23">
    <w:abstractNumId w:val="26"/>
  </w:num>
  <w:num w:numId="24">
    <w:abstractNumId w:val="13"/>
  </w:num>
  <w:num w:numId="25">
    <w:abstractNumId w:val="30"/>
  </w:num>
  <w:num w:numId="26">
    <w:abstractNumId w:val="12"/>
  </w:num>
  <w:num w:numId="27">
    <w:abstractNumId w:val="23"/>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10123315"/>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1EA2E1-119C-4C13-A369-E42D38FD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629E-75A4-46EA-A985-3BBC2B13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20316</Words>
  <Characters>104426</Characters>
  <Application>Microsoft Office Word</Application>
  <DocSecurity>0</DocSecurity>
  <Lines>4746</Lines>
  <Paragraphs>2268</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01-h0-05 - 02-a0-04</dc:title>
  <dc:subject/>
  <dc:creator/>
  <cp:keywords/>
  <dc:description/>
  <cp:lastModifiedBy>Master Repository Process</cp:lastModifiedBy>
  <cp:revision>2</cp:revision>
  <cp:lastPrinted>2017-02-16T08:31:00Z</cp:lastPrinted>
  <dcterms:created xsi:type="dcterms:W3CDTF">2021-09-12T03:25:00Z</dcterms:created>
  <dcterms:modified xsi:type="dcterms:W3CDTF">2021-09-12T03:25:00Z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20170203</vt:lpwstr>
  </property>
  <property fmtid="{D5CDD505-2E9C-101B-9397-08002B2CF9AE}" pid="8" name="FromSuffix">
    <vt:lpwstr>01-h0-05</vt:lpwstr>
  </property>
  <property fmtid="{D5CDD505-2E9C-101B-9397-08002B2CF9AE}" pid="9" name="FromAsAtDate">
    <vt:lpwstr>01 Jul 2016</vt:lpwstr>
  </property>
  <property fmtid="{D5CDD505-2E9C-101B-9397-08002B2CF9AE}" pid="10" name="ToSuffix">
    <vt:lpwstr>02-a0-04</vt:lpwstr>
  </property>
  <property fmtid="{D5CDD505-2E9C-101B-9397-08002B2CF9AE}" pid="11" name="ToAsAtDate">
    <vt:lpwstr>03 Feb 2017</vt:lpwstr>
  </property>
</Properties>
</file>