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2017</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600"/>
      </w:pPr>
      <w:r>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476236075"/>
      <w:bookmarkStart w:id="2" w:name="_Toc486411430"/>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 matters</w:t>
      </w:r>
      <w:bookmarkEnd w:id="1"/>
      <w:bookmarkEnd w:id="2"/>
    </w:p>
    <w:p>
      <w:pPr>
        <w:pStyle w:val="Heading5"/>
      </w:pPr>
      <w:bookmarkStart w:id="4" w:name="_Toc486411431"/>
      <w:bookmarkStart w:id="5" w:name="_Toc476236076"/>
      <w:r>
        <w:rPr>
          <w:rStyle w:val="CharSectno"/>
        </w:rPr>
        <w:t>1</w:t>
      </w:r>
      <w:r>
        <w:t>.</w:t>
      </w:r>
      <w:r>
        <w:tab/>
        <w:t>Citation</w:t>
      </w:r>
      <w:bookmarkEnd w:id="4"/>
      <w:bookmarkEnd w:id="5"/>
    </w:p>
    <w:p>
      <w:pPr>
        <w:pStyle w:val="Subsection"/>
        <w:rPr>
          <w:highlight w:val="cyan"/>
        </w:rPr>
      </w:pPr>
      <w:r>
        <w:tab/>
      </w:r>
      <w:r>
        <w:tab/>
      </w:r>
      <w:bookmarkStart w:id="6" w:name="Start_Cursor"/>
      <w:bookmarkEnd w:id="6"/>
      <w:r>
        <w:rPr>
          <w:spacing w:val="-2"/>
        </w:rPr>
        <w:t>These</w:t>
      </w:r>
      <w:r>
        <w:t xml:space="preserve"> </w:t>
      </w:r>
      <w:r>
        <w:rPr>
          <w:spacing w:val="-2"/>
        </w:rPr>
        <w:t>regulations</w:t>
      </w:r>
      <w:r>
        <w:t xml:space="preserve"> are the </w:t>
      </w:r>
      <w:r>
        <w:rPr>
          <w:i/>
        </w:rPr>
        <w:t>Dangerous Goods Safety (Security Sensitive Ammonium Nitrate) Regulations 2007</w:t>
      </w:r>
      <w:r>
        <w:rPr>
          <w:vertAlign w:val="superscript"/>
        </w:rPr>
        <w:t> 1</w:t>
      </w:r>
      <w:r>
        <w:t>.</w:t>
      </w:r>
    </w:p>
    <w:p>
      <w:pPr>
        <w:pStyle w:val="Footnotesection"/>
      </w:pPr>
      <w:r>
        <w:tab/>
        <w:t>[Regulation 1 amended in Gazette 5 Feb 2016 p. 361.]</w:t>
      </w:r>
    </w:p>
    <w:p>
      <w:pPr>
        <w:pStyle w:val="Heading5"/>
      </w:pPr>
      <w:bookmarkStart w:id="7" w:name="_Toc486411432"/>
      <w:bookmarkStart w:id="8" w:name="_Toc476236077"/>
      <w:r>
        <w:rPr>
          <w:rStyle w:val="CharSectno"/>
        </w:rPr>
        <w:t>2</w:t>
      </w:r>
      <w:r>
        <w:t>.</w:t>
      </w:r>
      <w:r>
        <w:tab/>
        <w:t>Commencement</w:t>
      </w:r>
      <w:bookmarkEnd w:id="7"/>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vertAlign w:val="superscript"/>
        </w:rPr>
        <w:t> 1</w:t>
      </w:r>
      <w:r>
        <w:rPr>
          <w:rFonts w:ascii="Times" w:hAnsi="Times"/>
        </w:rPr>
        <w:t>.</w:t>
      </w:r>
    </w:p>
    <w:p>
      <w:pPr>
        <w:pStyle w:val="Heading5"/>
      </w:pPr>
      <w:bookmarkStart w:id="9" w:name="_Toc486411433"/>
      <w:bookmarkStart w:id="10" w:name="_Toc476236078"/>
      <w:r>
        <w:rPr>
          <w:rStyle w:val="CharSectno"/>
        </w:rPr>
        <w:t>3</w:t>
      </w:r>
      <w:r>
        <w:t>.</w:t>
      </w:r>
      <w:r>
        <w:tab/>
        <w:t>Terms used</w:t>
      </w:r>
      <w:bookmarkEnd w:id="9"/>
      <w:bookmarkEnd w:id="10"/>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 xml:space="preserve">(also called the Australian </w:t>
      </w:r>
      <w:r>
        <w:lastRenderedPageBreak/>
        <w:t>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Defsubpara"/>
        <w:keepLines w:val="0"/>
      </w:pPr>
      <w:r>
        <w:tab/>
        <w:t>(ii)</w:t>
      </w:r>
      <w:r>
        <w:tab/>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Defsubpara"/>
        <w:keepLines w:val="0"/>
      </w:pPr>
      <w:r>
        <w:tab/>
        <w:t>(iii)</w:t>
      </w:r>
      <w:r>
        <w:tab/>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Defsubpara"/>
        <w:keepLines w:val="0"/>
      </w:pPr>
      <w:r>
        <w:tab/>
        <w:t>(iv)</w:t>
      </w:r>
      <w:r>
        <w:tab/>
      </w: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r>
        <w:t>;</w:t>
      </w:r>
    </w:p>
    <w:p>
      <w:pPr>
        <w:pStyle w:val="Defsubpara"/>
        <w:keepLines w:val="0"/>
      </w:pPr>
      <w:r>
        <w:tab/>
        <w:t>(v)</w:t>
      </w:r>
      <w:r>
        <w:tab/>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in Gazette 4 Oct 2011 p. 3949; 16 Mar 2012 p. 1260; 2 Dec 2013 p. 5501</w:t>
      </w:r>
      <w:r>
        <w:noBreakHyphen/>
        <w:t>2; 5 Feb 2016 p. 361 and 363; 3 Mar 2017 p. 1476.]</w:t>
      </w:r>
    </w:p>
    <w:p>
      <w:pPr>
        <w:pStyle w:val="Heading5"/>
      </w:pPr>
      <w:bookmarkStart w:id="11" w:name="_Toc486411434"/>
      <w:bookmarkStart w:id="12" w:name="_Toc476236079"/>
      <w:r>
        <w:rPr>
          <w:rStyle w:val="CharSectno"/>
        </w:rPr>
        <w:t>4</w:t>
      </w:r>
      <w:r>
        <w:t>.</w:t>
      </w:r>
      <w:r>
        <w:tab/>
        <w:t>Examples and notes are not part of the law</w:t>
      </w:r>
      <w:bookmarkEnd w:id="11"/>
      <w:bookmarkEnd w:id="12"/>
    </w:p>
    <w:p>
      <w:pPr>
        <w:pStyle w:val="Subsection"/>
      </w:pPr>
      <w:r>
        <w:tab/>
      </w:r>
      <w:r>
        <w:tab/>
        <w:t>Examples and notes in these regulations do not form part of them and are provided to assist understanding.</w:t>
      </w:r>
    </w:p>
    <w:p>
      <w:pPr>
        <w:pStyle w:val="Heading5"/>
      </w:pPr>
      <w:bookmarkStart w:id="13" w:name="_Toc486411435"/>
      <w:bookmarkStart w:id="14" w:name="_Toc476236080"/>
      <w:r>
        <w:rPr>
          <w:rStyle w:val="CharSectno"/>
        </w:rPr>
        <w:t>5</w:t>
      </w:r>
      <w:r>
        <w:t>.</w:t>
      </w:r>
      <w:r>
        <w:tab/>
        <w:t>Supervision and related terms, meaning of</w:t>
      </w:r>
      <w:bookmarkEnd w:id="13"/>
      <w:bookmarkEnd w:id="14"/>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in Gazette 2 Dec 2013 p.</w:t>
      </w:r>
      <w:r>
        <w:rPr>
          <w:sz w:val="19"/>
        </w:rPr>
        <w:t> </w:t>
      </w:r>
      <w:r>
        <w:t>5502; 5 Feb 2016 p. 363.]</w:t>
      </w:r>
    </w:p>
    <w:p>
      <w:pPr>
        <w:pStyle w:val="Heading5"/>
      </w:pPr>
      <w:bookmarkStart w:id="15" w:name="_Toc486411436"/>
      <w:bookmarkStart w:id="16" w:name="_Toc476236081"/>
      <w:r>
        <w:rPr>
          <w:rStyle w:val="CharSectno"/>
        </w:rPr>
        <w:t>6</w:t>
      </w:r>
      <w:r>
        <w:t>.</w:t>
      </w:r>
      <w:r>
        <w:tab/>
        <w:t>Application of these regulations</w:t>
      </w:r>
      <w:bookmarkEnd w:id="15"/>
      <w:bookmarkEnd w:id="16"/>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in Gazette 2 Dec 2013 p.</w:t>
      </w:r>
      <w:r>
        <w:rPr>
          <w:sz w:val="19"/>
        </w:rPr>
        <w:t> </w:t>
      </w:r>
      <w:r>
        <w:t>5502</w:t>
      </w:r>
      <w:r>
        <w:noBreakHyphen/>
        <w:t>3; amended in Gazette 5 Feb 2016 p. 363.]</w:t>
      </w:r>
    </w:p>
    <w:p>
      <w:pPr>
        <w:pStyle w:val="Heading5"/>
      </w:pPr>
      <w:bookmarkStart w:id="17" w:name="_Toc486411437"/>
      <w:bookmarkStart w:id="18" w:name="_Toc476236082"/>
      <w:r>
        <w:rPr>
          <w:rStyle w:val="CharSectno"/>
        </w:rPr>
        <w:t>7</w:t>
      </w:r>
      <w:r>
        <w:t>.</w:t>
      </w:r>
      <w:r>
        <w:tab/>
        <w:t>These regulations prevail over other regulations</w:t>
      </w:r>
      <w:bookmarkEnd w:id="17"/>
      <w:bookmarkEnd w:id="18"/>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19" w:name="_Toc476236083"/>
      <w:bookmarkStart w:id="20" w:name="_Toc486411438"/>
      <w:r>
        <w:rPr>
          <w:rStyle w:val="CharPartNo"/>
        </w:rPr>
        <w:t>Part 2</w:t>
      </w:r>
      <w:r>
        <w:rPr>
          <w:rStyle w:val="CharDivNo"/>
        </w:rPr>
        <w:t> </w:t>
      </w:r>
      <w:r>
        <w:t>—</w:t>
      </w:r>
      <w:r>
        <w:rPr>
          <w:rStyle w:val="CharDivText"/>
        </w:rPr>
        <w:t> </w:t>
      </w:r>
      <w:r>
        <w:rPr>
          <w:rStyle w:val="CharPartText"/>
        </w:rPr>
        <w:t>Administrative matters</w:t>
      </w:r>
      <w:bookmarkEnd w:id="19"/>
      <w:bookmarkEnd w:id="20"/>
    </w:p>
    <w:p>
      <w:pPr>
        <w:pStyle w:val="Heading5"/>
      </w:pPr>
      <w:bookmarkStart w:id="21" w:name="_Toc486411439"/>
      <w:bookmarkStart w:id="22" w:name="_Toc476236084"/>
      <w:r>
        <w:rPr>
          <w:rStyle w:val="CharSectno"/>
        </w:rPr>
        <w:t>8</w:t>
      </w:r>
      <w:r>
        <w:t>.</w:t>
      </w:r>
      <w:r>
        <w:tab/>
        <w:t>Approval of forms</w:t>
      </w:r>
      <w:bookmarkEnd w:id="21"/>
      <w:bookmarkEnd w:id="22"/>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23" w:name="_Toc476236085"/>
      <w:bookmarkStart w:id="24" w:name="_Toc486411440"/>
      <w:r>
        <w:rPr>
          <w:rStyle w:val="CharPartNo"/>
        </w:rPr>
        <w:t>Part 3</w:t>
      </w:r>
      <w:r>
        <w:rPr>
          <w:rStyle w:val="CharDivNo"/>
        </w:rPr>
        <w:t> </w:t>
      </w:r>
      <w:r>
        <w:t>—</w:t>
      </w:r>
      <w:r>
        <w:rPr>
          <w:rStyle w:val="CharDivText"/>
        </w:rPr>
        <w:t> </w:t>
      </w:r>
      <w:r>
        <w:rPr>
          <w:rStyle w:val="CharPartText"/>
        </w:rPr>
        <w:t>Security matters</w:t>
      </w:r>
      <w:bookmarkEnd w:id="23"/>
      <w:bookmarkEnd w:id="24"/>
    </w:p>
    <w:p>
      <w:pPr>
        <w:pStyle w:val="Heading5"/>
      </w:pPr>
      <w:bookmarkStart w:id="25" w:name="_Toc486411441"/>
      <w:bookmarkStart w:id="26" w:name="_Toc476236086"/>
      <w:r>
        <w:rPr>
          <w:rStyle w:val="CharSectno"/>
        </w:rPr>
        <w:t>9</w:t>
      </w:r>
      <w:r>
        <w:t>.</w:t>
      </w:r>
      <w:r>
        <w:tab/>
        <w:t>Licence holder may authorise individuals to have access to SSAN</w:t>
      </w:r>
      <w:bookmarkEnd w:id="25"/>
      <w:bookmarkEnd w:id="26"/>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in Gazette 2 Dec 2013 p.</w:t>
      </w:r>
      <w:r>
        <w:rPr>
          <w:sz w:val="19"/>
        </w:rPr>
        <w:t> </w:t>
      </w:r>
      <w:r>
        <w:t>5503</w:t>
      </w:r>
      <w:r>
        <w:noBreakHyphen/>
        <w:t>5; amended in Gazette 5 Feb 2016 p. 363.]</w:t>
      </w:r>
    </w:p>
    <w:p>
      <w:pPr>
        <w:pStyle w:val="Heading5"/>
      </w:pPr>
      <w:bookmarkStart w:id="27" w:name="_Toc486411442"/>
      <w:bookmarkStart w:id="28" w:name="_Toc476236087"/>
      <w:r>
        <w:rPr>
          <w:rStyle w:val="CharSectno"/>
        </w:rPr>
        <w:t>10</w:t>
      </w:r>
      <w:r>
        <w:t>.</w:t>
      </w:r>
      <w:r>
        <w:tab/>
        <w:t>Licence holder to keep records as to secure nominees</w:t>
      </w:r>
      <w:bookmarkEnd w:id="27"/>
      <w:bookmarkEnd w:id="28"/>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in Gazette 2 Dec 2013 p.</w:t>
      </w:r>
      <w:r>
        <w:rPr>
          <w:sz w:val="19"/>
        </w:rPr>
        <w:t> </w:t>
      </w:r>
      <w:r>
        <w:t>5505</w:t>
      </w:r>
      <w:r>
        <w:noBreakHyphen/>
        <w:t>6.]</w:t>
      </w:r>
    </w:p>
    <w:p>
      <w:pPr>
        <w:pStyle w:val="Heading5"/>
      </w:pPr>
      <w:bookmarkStart w:id="29" w:name="_Toc486411443"/>
      <w:bookmarkStart w:id="30" w:name="_Toc476236088"/>
      <w:r>
        <w:rPr>
          <w:rStyle w:val="CharSectno"/>
        </w:rPr>
        <w:t>11</w:t>
      </w:r>
      <w:r>
        <w:t>.</w:t>
      </w:r>
      <w:r>
        <w:tab/>
        <w:t>Duties of secure nominee</w:t>
      </w:r>
      <w:bookmarkEnd w:id="29"/>
      <w:bookmarkEnd w:id="30"/>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in Gazette 2 Dec 2013 p.</w:t>
      </w:r>
      <w:r>
        <w:rPr>
          <w:sz w:val="19"/>
        </w:rPr>
        <w:t> </w:t>
      </w:r>
      <w:r>
        <w:t>5506; amended in Gazette 5 Feb 2016 p. 363.]</w:t>
      </w:r>
    </w:p>
    <w:p>
      <w:pPr>
        <w:pStyle w:val="Heading2"/>
      </w:pPr>
      <w:bookmarkStart w:id="31" w:name="_Toc476236089"/>
      <w:bookmarkStart w:id="32" w:name="_Toc486411444"/>
      <w:r>
        <w:rPr>
          <w:rStyle w:val="CharPartNo"/>
        </w:rPr>
        <w:t>Part 4</w:t>
      </w:r>
      <w:r>
        <w:rPr>
          <w:rStyle w:val="CharDivNo"/>
        </w:rPr>
        <w:t> </w:t>
      </w:r>
      <w:r>
        <w:t>—</w:t>
      </w:r>
      <w:r>
        <w:rPr>
          <w:rStyle w:val="CharDivText"/>
        </w:rPr>
        <w:t> </w:t>
      </w:r>
      <w:r>
        <w:rPr>
          <w:rStyle w:val="CharPartText"/>
        </w:rPr>
        <w:t>Possession of SSANs</w:t>
      </w:r>
      <w:bookmarkEnd w:id="31"/>
      <w:bookmarkEnd w:id="32"/>
    </w:p>
    <w:p>
      <w:pPr>
        <w:pStyle w:val="Footnoteheading"/>
      </w:pPr>
      <w:r>
        <w:tab/>
        <w:t>[Heading amended in Gazette 5 Feb 2016 p. 365.]</w:t>
      </w:r>
    </w:p>
    <w:p>
      <w:pPr>
        <w:pStyle w:val="Heading5"/>
      </w:pPr>
      <w:bookmarkStart w:id="33" w:name="_Toc486411445"/>
      <w:bookmarkStart w:id="34" w:name="_Toc476236090"/>
      <w:r>
        <w:rPr>
          <w:rStyle w:val="CharSectno"/>
        </w:rPr>
        <w:t>12</w:t>
      </w:r>
      <w:r>
        <w:t>.</w:t>
      </w:r>
      <w:r>
        <w:tab/>
        <w:t>Licensing requirements</w:t>
      </w:r>
      <w:bookmarkEnd w:id="33"/>
      <w:bookmarkEnd w:id="34"/>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in Gazette 4 Oct 2011 p. 3950; 2 Dec 2013 p. 5506</w:t>
      </w:r>
      <w:r>
        <w:noBreakHyphen/>
        <w:t>7; 5 Feb 2016 p. 363.]</w:t>
      </w:r>
    </w:p>
    <w:p>
      <w:pPr>
        <w:pStyle w:val="Heading5"/>
      </w:pPr>
      <w:bookmarkStart w:id="35" w:name="_Toc486411446"/>
      <w:bookmarkStart w:id="36" w:name="_Toc476236091"/>
      <w:r>
        <w:rPr>
          <w:rStyle w:val="CharSectno"/>
        </w:rPr>
        <w:t>13</w:t>
      </w:r>
      <w:r>
        <w:t>.</w:t>
      </w:r>
      <w:r>
        <w:tab/>
        <w:t>Licences etc. to be carried</w:t>
      </w:r>
      <w:bookmarkEnd w:id="35"/>
      <w:bookmarkEnd w:id="36"/>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in Gazette 5 Feb 2016 p. 363</w:t>
      </w:r>
      <w:r>
        <w:noBreakHyphen/>
        <w:t>4.]</w:t>
      </w:r>
    </w:p>
    <w:p>
      <w:pPr>
        <w:pStyle w:val="Heading5"/>
      </w:pPr>
      <w:bookmarkStart w:id="37" w:name="_Toc486411447"/>
      <w:bookmarkStart w:id="38" w:name="_Toc476236092"/>
      <w:r>
        <w:rPr>
          <w:rStyle w:val="CharSectno"/>
        </w:rPr>
        <w:t>14</w:t>
      </w:r>
      <w:r>
        <w:t>.</w:t>
      </w:r>
      <w:r>
        <w:tab/>
        <w:t>Duties to keep SSAN secure</w:t>
      </w:r>
      <w:bookmarkEnd w:id="37"/>
      <w:bookmarkEnd w:id="38"/>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in Gazette 5 Feb 2016 p. 363</w:t>
      </w:r>
      <w:r>
        <w:noBreakHyphen/>
        <w:t>4.]</w:t>
      </w:r>
    </w:p>
    <w:p>
      <w:pPr>
        <w:pStyle w:val="Heading2"/>
      </w:pPr>
      <w:bookmarkStart w:id="39" w:name="_Toc476236093"/>
      <w:bookmarkStart w:id="40" w:name="_Toc486411448"/>
      <w:r>
        <w:rPr>
          <w:rStyle w:val="CharPartNo"/>
        </w:rPr>
        <w:t>Part 5</w:t>
      </w:r>
      <w:r>
        <w:rPr>
          <w:rStyle w:val="CharDivNo"/>
        </w:rPr>
        <w:t> </w:t>
      </w:r>
      <w:r>
        <w:t>—</w:t>
      </w:r>
      <w:r>
        <w:rPr>
          <w:rStyle w:val="CharDivText"/>
        </w:rPr>
        <w:t> </w:t>
      </w:r>
      <w:r>
        <w:rPr>
          <w:rStyle w:val="CharPartText"/>
        </w:rPr>
        <w:t>Import and export of SSANs</w:t>
      </w:r>
      <w:bookmarkEnd w:id="39"/>
      <w:bookmarkEnd w:id="40"/>
    </w:p>
    <w:p>
      <w:pPr>
        <w:pStyle w:val="Footnoteheading"/>
      </w:pPr>
      <w:r>
        <w:tab/>
        <w:t>[Heading amended in Gazette 5 Feb 2016 p. 365.]</w:t>
      </w:r>
    </w:p>
    <w:p>
      <w:pPr>
        <w:pStyle w:val="Heading5"/>
      </w:pPr>
      <w:bookmarkStart w:id="41" w:name="_Toc486411449"/>
      <w:bookmarkStart w:id="42" w:name="_Toc476236094"/>
      <w:r>
        <w:rPr>
          <w:rStyle w:val="CharSectno"/>
        </w:rPr>
        <w:t>15</w:t>
      </w:r>
      <w:r>
        <w:t>.</w:t>
      </w:r>
      <w:r>
        <w:tab/>
        <w:t>Terms used</w:t>
      </w:r>
      <w:bookmarkEnd w:id="41"/>
      <w:bookmarkEnd w:id="42"/>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Heading5"/>
      </w:pPr>
      <w:bookmarkStart w:id="43" w:name="_Toc486411450"/>
      <w:bookmarkStart w:id="44" w:name="_Toc476236095"/>
      <w:r>
        <w:rPr>
          <w:rStyle w:val="CharSectno"/>
        </w:rPr>
        <w:t>16</w:t>
      </w:r>
      <w:r>
        <w:t>.</w:t>
      </w:r>
      <w:r>
        <w:tab/>
        <w:t>Licensing requirements</w:t>
      </w:r>
      <w:bookmarkEnd w:id="43"/>
      <w:bookmarkEnd w:id="4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in Gazette 5 Feb 2016 p. 363</w:t>
      </w:r>
      <w:r>
        <w:noBreakHyphen/>
        <w:t>4.]</w:t>
      </w:r>
    </w:p>
    <w:p>
      <w:pPr>
        <w:pStyle w:val="Heading5"/>
      </w:pPr>
      <w:bookmarkStart w:id="45" w:name="_Toc486411451"/>
      <w:bookmarkStart w:id="46" w:name="_Toc476236096"/>
      <w:r>
        <w:rPr>
          <w:rStyle w:val="CharSectno"/>
        </w:rPr>
        <w:t>17</w:t>
      </w:r>
      <w:r>
        <w:t>.</w:t>
      </w:r>
      <w:r>
        <w:tab/>
        <w:t>Import and export, requirements prior to</w:t>
      </w:r>
      <w:bookmarkEnd w:id="45"/>
      <w:bookmarkEnd w:id="46"/>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pPr>
      <w:r>
        <w:tab/>
        <w:t>(c)</w:t>
      </w:r>
      <w:r>
        <w:tab/>
        <w:t>an SDS for the SSAN.</w:t>
      </w:r>
    </w:p>
    <w:p>
      <w:pPr>
        <w:pStyle w:val="Penstart"/>
      </w:pPr>
      <w:r>
        <w:tab/>
        <w:t>Penalty: a level 2 fine.</w:t>
      </w:r>
    </w:p>
    <w:p>
      <w:pPr>
        <w:pStyle w:val="Footnotesection"/>
      </w:pPr>
      <w:r>
        <w:tab/>
        <w:t>[Regulation 17 amended in Gazette 4 Oct 2011 p. 3950; 5 Feb 2016 p. 363</w:t>
      </w:r>
      <w:r>
        <w:noBreakHyphen/>
        <w:t>4; 3 Mar 2017 p. 1476.]</w:t>
      </w:r>
    </w:p>
    <w:p>
      <w:pPr>
        <w:pStyle w:val="Heading5"/>
      </w:pPr>
      <w:bookmarkStart w:id="47" w:name="_Toc486411452"/>
      <w:bookmarkStart w:id="48" w:name="_Toc476236097"/>
      <w:r>
        <w:rPr>
          <w:rStyle w:val="CharSectno"/>
        </w:rPr>
        <w:t>18</w:t>
      </w:r>
      <w:r>
        <w:t>.</w:t>
      </w:r>
      <w:r>
        <w:tab/>
        <w:t>Import and export notices, form and content of</w:t>
      </w:r>
      <w:bookmarkEnd w:id="47"/>
      <w:bookmarkEnd w:id="48"/>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in Gazette 4 Oct 2011 p. 3950; 5 Feb 2016 p. 363</w:t>
      </w:r>
      <w:r>
        <w:noBreakHyphen/>
        <w:t>4.]</w:t>
      </w:r>
    </w:p>
    <w:p>
      <w:pPr>
        <w:pStyle w:val="Heading5"/>
      </w:pPr>
      <w:bookmarkStart w:id="49" w:name="_Toc486411453"/>
      <w:bookmarkStart w:id="50" w:name="_Toc476236098"/>
      <w:r>
        <w:rPr>
          <w:rStyle w:val="CharSectno"/>
        </w:rPr>
        <w:t>19</w:t>
      </w:r>
      <w:r>
        <w:t>.</w:t>
      </w:r>
      <w:r>
        <w:tab/>
        <w:t>Chief Officer may direct that SSAN be analysed</w:t>
      </w:r>
      <w:bookmarkEnd w:id="49"/>
      <w:bookmarkEnd w:id="50"/>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in Gazette 5 Feb 2016 p. 363</w:t>
      </w:r>
      <w:r>
        <w:noBreakHyphen/>
        <w:t>4 and 365.]</w:t>
      </w:r>
    </w:p>
    <w:p>
      <w:pPr>
        <w:pStyle w:val="Heading2"/>
      </w:pPr>
      <w:bookmarkStart w:id="51" w:name="_Toc476236099"/>
      <w:bookmarkStart w:id="52" w:name="_Toc486411454"/>
      <w:r>
        <w:rPr>
          <w:rStyle w:val="CharPartNo"/>
        </w:rPr>
        <w:t>Part 6</w:t>
      </w:r>
      <w:r>
        <w:rPr>
          <w:rStyle w:val="CharDivNo"/>
        </w:rPr>
        <w:t> </w:t>
      </w:r>
      <w:r>
        <w:t>—</w:t>
      </w:r>
      <w:r>
        <w:rPr>
          <w:rStyle w:val="CharDivText"/>
        </w:rPr>
        <w:t> </w:t>
      </w:r>
      <w:r>
        <w:rPr>
          <w:rStyle w:val="CharPartText"/>
        </w:rPr>
        <w:t>Manufacture of SSANs</w:t>
      </w:r>
      <w:bookmarkEnd w:id="51"/>
      <w:bookmarkEnd w:id="52"/>
    </w:p>
    <w:p>
      <w:pPr>
        <w:pStyle w:val="Footnoteheading"/>
      </w:pPr>
      <w:r>
        <w:tab/>
        <w:t>[Heading amended in Gazette 5 Feb 2016 p. 365.]</w:t>
      </w:r>
    </w:p>
    <w:p>
      <w:pPr>
        <w:pStyle w:val="Heading5"/>
        <w:spacing w:before="240"/>
      </w:pPr>
      <w:bookmarkStart w:id="53" w:name="_Toc486411455"/>
      <w:bookmarkStart w:id="54" w:name="_Toc476236100"/>
      <w:r>
        <w:rPr>
          <w:rStyle w:val="CharSectno"/>
        </w:rPr>
        <w:t>20</w:t>
      </w:r>
      <w:r>
        <w:t>.</w:t>
      </w:r>
      <w:r>
        <w:tab/>
        <w:t>Term used: manufacture</w:t>
      </w:r>
      <w:bookmarkEnd w:id="53"/>
      <w:bookmarkEnd w:id="54"/>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in Gazette 5 Feb 2016 p. 363</w:t>
      </w:r>
      <w:r>
        <w:noBreakHyphen/>
        <w:t>4.]</w:t>
      </w:r>
    </w:p>
    <w:p>
      <w:pPr>
        <w:pStyle w:val="Heading5"/>
        <w:spacing w:before="240"/>
      </w:pPr>
      <w:bookmarkStart w:id="55" w:name="_Toc486411456"/>
      <w:bookmarkStart w:id="56" w:name="_Toc476236101"/>
      <w:r>
        <w:rPr>
          <w:rStyle w:val="CharSectno"/>
        </w:rPr>
        <w:t>21</w:t>
      </w:r>
      <w:r>
        <w:t>.</w:t>
      </w:r>
      <w:r>
        <w:tab/>
        <w:t>Licensing requirements</w:t>
      </w:r>
      <w:bookmarkEnd w:id="55"/>
      <w:bookmarkEnd w:id="56"/>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in Gazette 4 Oct 2011 p. 3951; 2 Dec 2013 p. 5507; 5 Feb 2016 p. 363</w:t>
      </w:r>
      <w:r>
        <w:noBreakHyphen/>
        <w:t>4.]</w:t>
      </w:r>
    </w:p>
    <w:p>
      <w:pPr>
        <w:pStyle w:val="Heading2"/>
      </w:pPr>
      <w:bookmarkStart w:id="57" w:name="_Toc476236102"/>
      <w:bookmarkStart w:id="58" w:name="_Toc486411457"/>
      <w:r>
        <w:rPr>
          <w:rStyle w:val="CharPartNo"/>
        </w:rPr>
        <w:t>Part 7</w:t>
      </w:r>
      <w:r>
        <w:rPr>
          <w:rStyle w:val="CharDivNo"/>
        </w:rPr>
        <w:t> </w:t>
      </w:r>
      <w:r>
        <w:t>—</w:t>
      </w:r>
      <w:r>
        <w:rPr>
          <w:rStyle w:val="CharDivText"/>
        </w:rPr>
        <w:t> </w:t>
      </w:r>
      <w:r>
        <w:rPr>
          <w:rStyle w:val="CharPartText"/>
        </w:rPr>
        <w:t>Storage of SSANs</w:t>
      </w:r>
      <w:bookmarkEnd w:id="57"/>
      <w:bookmarkEnd w:id="58"/>
    </w:p>
    <w:p>
      <w:pPr>
        <w:pStyle w:val="Footnoteheading"/>
      </w:pPr>
      <w:r>
        <w:tab/>
        <w:t>[Heading amended in Gazette 5 Feb 2016 p. 365.]</w:t>
      </w:r>
    </w:p>
    <w:p>
      <w:pPr>
        <w:pStyle w:val="Heading5"/>
        <w:spacing w:before="180"/>
      </w:pPr>
      <w:bookmarkStart w:id="59" w:name="_Toc486411458"/>
      <w:bookmarkStart w:id="60" w:name="_Toc476236103"/>
      <w:r>
        <w:rPr>
          <w:rStyle w:val="CharSectno"/>
        </w:rPr>
        <w:t>22</w:t>
      </w:r>
      <w:r>
        <w:t>.</w:t>
      </w:r>
      <w:r>
        <w:tab/>
        <w:t>Licensing requirements</w:t>
      </w:r>
      <w:bookmarkEnd w:id="59"/>
      <w:bookmarkEnd w:id="60"/>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spacing w:before="120"/>
      </w:pPr>
      <w:r>
        <w:tab/>
        <w:t>(4)</w:t>
      </w:r>
      <w:r>
        <w:tab/>
        <w:t>A person does not have to hold a licence referred to in subregulation (1) to store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in Gazette 4 Oct 2011 p. 3951; 5 Feb 2016 p. 363</w:t>
      </w:r>
      <w:r>
        <w:noBreakHyphen/>
        <w:t>4.]</w:t>
      </w:r>
    </w:p>
    <w:p>
      <w:pPr>
        <w:pStyle w:val="Heading5"/>
      </w:pPr>
      <w:bookmarkStart w:id="61" w:name="_Toc486411459"/>
      <w:bookmarkStart w:id="62" w:name="_Toc476236104"/>
      <w:r>
        <w:rPr>
          <w:rStyle w:val="CharSectno"/>
        </w:rPr>
        <w:t>23</w:t>
      </w:r>
      <w:r>
        <w:t>.</w:t>
      </w:r>
      <w:r>
        <w:tab/>
        <w:t>Storage requirements, specific</w:t>
      </w:r>
      <w:bookmarkEnd w:id="61"/>
      <w:bookmarkEnd w:id="62"/>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in Gazette 5 Feb 2016 p. 363</w:t>
      </w:r>
      <w:r>
        <w:noBreakHyphen/>
        <w:t>4 and 365.]</w:t>
      </w:r>
    </w:p>
    <w:p>
      <w:pPr>
        <w:pStyle w:val="Heading2"/>
      </w:pPr>
      <w:bookmarkStart w:id="63" w:name="_Toc476236105"/>
      <w:bookmarkStart w:id="64" w:name="_Toc486411460"/>
      <w:r>
        <w:rPr>
          <w:rStyle w:val="CharPartNo"/>
        </w:rPr>
        <w:t>Part 8</w:t>
      </w:r>
      <w:r>
        <w:rPr>
          <w:rStyle w:val="CharDivNo"/>
        </w:rPr>
        <w:t> </w:t>
      </w:r>
      <w:r>
        <w:t>—</w:t>
      </w:r>
      <w:r>
        <w:rPr>
          <w:rStyle w:val="CharDivText"/>
        </w:rPr>
        <w:t> </w:t>
      </w:r>
      <w:r>
        <w:rPr>
          <w:rStyle w:val="CharPartText"/>
        </w:rPr>
        <w:t>Transport of SSANs</w:t>
      </w:r>
      <w:bookmarkEnd w:id="63"/>
      <w:bookmarkEnd w:id="64"/>
    </w:p>
    <w:p>
      <w:pPr>
        <w:pStyle w:val="Footnoteheading"/>
      </w:pPr>
      <w:r>
        <w:tab/>
        <w:t>[Heading amended in Gazette 5 Feb 2016 p. 365.]</w:t>
      </w:r>
    </w:p>
    <w:p>
      <w:pPr>
        <w:pStyle w:val="Heading5"/>
      </w:pPr>
      <w:bookmarkStart w:id="65" w:name="_Toc486411461"/>
      <w:bookmarkStart w:id="66" w:name="_Toc476236106"/>
      <w:r>
        <w:rPr>
          <w:rStyle w:val="CharSectno"/>
        </w:rPr>
        <w:t>24</w:t>
      </w:r>
      <w:r>
        <w:t>.</w:t>
      </w:r>
      <w:r>
        <w:tab/>
        <w:t>Licensing requirements</w:t>
      </w:r>
      <w:bookmarkEnd w:id="65"/>
      <w:bookmarkEnd w:id="66"/>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in Gazette 2 Dec 2013 p.</w:t>
      </w:r>
      <w:r>
        <w:rPr>
          <w:sz w:val="19"/>
        </w:rPr>
        <w:t> </w:t>
      </w:r>
      <w:r>
        <w:t>5507; 5 Feb 2016 p. 363</w:t>
      </w:r>
      <w:r>
        <w:noBreakHyphen/>
        <w:t>4.]</w:t>
      </w:r>
    </w:p>
    <w:p>
      <w:pPr>
        <w:pStyle w:val="Heading5"/>
      </w:pPr>
      <w:bookmarkStart w:id="67" w:name="_Toc486411462"/>
      <w:bookmarkStart w:id="68" w:name="_Toc476236107"/>
      <w:r>
        <w:rPr>
          <w:rStyle w:val="CharSectno"/>
        </w:rPr>
        <w:t>25</w:t>
      </w:r>
      <w:r>
        <w:t>.</w:t>
      </w:r>
      <w:r>
        <w:tab/>
        <w:t>Interstate licences, compliance with etc.</w:t>
      </w:r>
      <w:bookmarkEnd w:id="67"/>
      <w:bookmarkEnd w:id="68"/>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in Gazette 4 Oct 2011 p. 3951; 5 Feb 2016 p. 363</w:t>
      </w:r>
      <w:r>
        <w:noBreakHyphen/>
        <w:t>4.]</w:t>
      </w:r>
    </w:p>
    <w:p>
      <w:pPr>
        <w:pStyle w:val="Heading5"/>
      </w:pPr>
      <w:bookmarkStart w:id="69" w:name="_Toc486411463"/>
      <w:bookmarkStart w:id="70" w:name="_Toc476236108"/>
      <w:r>
        <w:rPr>
          <w:rStyle w:val="CharSectno"/>
        </w:rPr>
        <w:t>26</w:t>
      </w:r>
      <w:r>
        <w:t>.</w:t>
      </w:r>
      <w:r>
        <w:tab/>
        <w:t>Security breach, duty to report</w:t>
      </w:r>
      <w:bookmarkEnd w:id="69"/>
      <w:bookmarkEnd w:id="70"/>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in Gazette 5 Feb 2016 p. 363</w:t>
      </w:r>
      <w:r>
        <w:noBreakHyphen/>
        <w:t>4.]</w:t>
      </w:r>
    </w:p>
    <w:p>
      <w:pPr>
        <w:pStyle w:val="Heading2"/>
      </w:pPr>
      <w:bookmarkStart w:id="71" w:name="_Toc476236109"/>
      <w:bookmarkStart w:id="72" w:name="_Toc486411464"/>
      <w:r>
        <w:rPr>
          <w:rStyle w:val="CharPartNo"/>
        </w:rPr>
        <w:t>Part 9</w:t>
      </w:r>
      <w:r>
        <w:rPr>
          <w:rStyle w:val="CharDivNo"/>
        </w:rPr>
        <w:t> </w:t>
      </w:r>
      <w:r>
        <w:t>—</w:t>
      </w:r>
      <w:r>
        <w:rPr>
          <w:rStyle w:val="CharDivText"/>
        </w:rPr>
        <w:t> </w:t>
      </w:r>
      <w:r>
        <w:rPr>
          <w:rStyle w:val="CharPartText"/>
        </w:rPr>
        <w:t>Supply of SSANs</w:t>
      </w:r>
      <w:bookmarkEnd w:id="71"/>
      <w:bookmarkEnd w:id="72"/>
    </w:p>
    <w:p>
      <w:pPr>
        <w:pStyle w:val="Footnoteheading"/>
      </w:pPr>
      <w:r>
        <w:tab/>
        <w:t>[Heading amended in Gazette 5 Feb 2016 p. 365.]</w:t>
      </w:r>
    </w:p>
    <w:p>
      <w:pPr>
        <w:pStyle w:val="Heading5"/>
      </w:pPr>
      <w:bookmarkStart w:id="73" w:name="_Toc486411465"/>
      <w:bookmarkStart w:id="74" w:name="_Toc476236110"/>
      <w:r>
        <w:rPr>
          <w:rStyle w:val="CharSectno"/>
        </w:rPr>
        <w:t>27</w:t>
      </w:r>
      <w:r>
        <w:t>.</w:t>
      </w:r>
      <w:r>
        <w:tab/>
        <w:t>Licensing requirements</w:t>
      </w:r>
      <w:bookmarkEnd w:id="73"/>
      <w:bookmarkEnd w:id="74"/>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in Gazette 4 Oct 2011 p. 3951; 2 Dec 2013 p. 5508; 5 Feb 2016 p. 363</w:t>
      </w:r>
      <w:r>
        <w:noBreakHyphen/>
        <w:t>4.]</w:t>
      </w:r>
    </w:p>
    <w:p>
      <w:pPr>
        <w:pStyle w:val="Heading5"/>
      </w:pPr>
      <w:bookmarkStart w:id="75" w:name="_Toc486411466"/>
      <w:bookmarkStart w:id="76" w:name="_Toc476236111"/>
      <w:r>
        <w:rPr>
          <w:rStyle w:val="CharSectno"/>
        </w:rPr>
        <w:t>28</w:t>
      </w:r>
      <w:r>
        <w:t>.</w:t>
      </w:r>
      <w:r>
        <w:tab/>
        <w:t>Suppliers, duties of</w:t>
      </w:r>
      <w:bookmarkEnd w:id="75"/>
      <w:bookmarkEnd w:id="76"/>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in Gazette 4 Oct 2011 p. 3951</w:t>
      </w:r>
      <w:r>
        <w:noBreakHyphen/>
        <w:t>2; 5 Feb 2016 p. 362 and 363</w:t>
      </w:r>
      <w:r>
        <w:noBreakHyphen/>
        <w:t>4.]</w:t>
      </w:r>
    </w:p>
    <w:p>
      <w:pPr>
        <w:pStyle w:val="Heading2"/>
      </w:pPr>
      <w:bookmarkStart w:id="77" w:name="_Toc476236112"/>
      <w:bookmarkStart w:id="78" w:name="_Toc486411467"/>
      <w:r>
        <w:rPr>
          <w:rStyle w:val="CharPartNo"/>
        </w:rPr>
        <w:t>Part 10</w:t>
      </w:r>
      <w:r>
        <w:t> — </w:t>
      </w:r>
      <w:r>
        <w:rPr>
          <w:rStyle w:val="CharPartText"/>
        </w:rPr>
        <w:t>Licences</w:t>
      </w:r>
      <w:bookmarkEnd w:id="77"/>
      <w:bookmarkEnd w:id="78"/>
    </w:p>
    <w:p>
      <w:pPr>
        <w:pStyle w:val="Heading3"/>
      </w:pPr>
      <w:bookmarkStart w:id="79" w:name="_Toc476236113"/>
      <w:bookmarkStart w:id="80" w:name="_Toc486411468"/>
      <w:r>
        <w:rPr>
          <w:rStyle w:val="CharDivNo"/>
        </w:rPr>
        <w:t>Division 1</w:t>
      </w:r>
      <w:r>
        <w:t> — </w:t>
      </w:r>
      <w:r>
        <w:rPr>
          <w:rStyle w:val="CharDivText"/>
        </w:rPr>
        <w:t>Preliminary</w:t>
      </w:r>
      <w:bookmarkEnd w:id="79"/>
      <w:bookmarkEnd w:id="80"/>
    </w:p>
    <w:p>
      <w:pPr>
        <w:pStyle w:val="Heading5"/>
      </w:pPr>
      <w:bookmarkStart w:id="81" w:name="_Toc486411469"/>
      <w:bookmarkStart w:id="82" w:name="_Toc476236114"/>
      <w:r>
        <w:rPr>
          <w:rStyle w:val="CharSectno"/>
        </w:rPr>
        <w:t>29</w:t>
      </w:r>
      <w:r>
        <w:t>.</w:t>
      </w:r>
      <w:r>
        <w:tab/>
        <w:t>Terms used</w:t>
      </w:r>
      <w:bookmarkEnd w:id="81"/>
      <w:bookmarkEnd w:id="82"/>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in Gazette 5 Feb 2016 p. 363</w:t>
      </w:r>
      <w:r>
        <w:noBreakHyphen/>
        <w:t>4.]</w:t>
      </w:r>
    </w:p>
    <w:p>
      <w:pPr>
        <w:pStyle w:val="Heading3"/>
      </w:pPr>
      <w:bookmarkStart w:id="83" w:name="_Toc476236115"/>
      <w:bookmarkStart w:id="84" w:name="_Toc486411470"/>
      <w:r>
        <w:rPr>
          <w:rStyle w:val="CharDivNo"/>
        </w:rPr>
        <w:t>Division 2</w:t>
      </w:r>
      <w:r>
        <w:t> — </w:t>
      </w:r>
      <w:r>
        <w:rPr>
          <w:rStyle w:val="CharDivText"/>
        </w:rPr>
        <w:t>General provisions</w:t>
      </w:r>
      <w:bookmarkEnd w:id="83"/>
      <w:bookmarkEnd w:id="84"/>
    </w:p>
    <w:p>
      <w:pPr>
        <w:pStyle w:val="Heading5"/>
      </w:pPr>
      <w:bookmarkStart w:id="85" w:name="_Toc486411471"/>
      <w:bookmarkStart w:id="86" w:name="_Toc476236116"/>
      <w:r>
        <w:rPr>
          <w:rStyle w:val="CharSectno"/>
        </w:rPr>
        <w:t>30</w:t>
      </w:r>
      <w:r>
        <w:t>.</w:t>
      </w:r>
      <w:r>
        <w:tab/>
        <w:t>Applying for a licence</w:t>
      </w:r>
      <w:bookmarkEnd w:id="85"/>
      <w:bookmarkEnd w:id="86"/>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in Gazette 16 Mar 2012 p. 1260; 2 Dec 2013 p. 5508</w:t>
      </w:r>
      <w:r>
        <w:noBreakHyphen/>
        <w:t>9; 5 Feb 2016 p. 363</w:t>
      </w:r>
      <w:r>
        <w:noBreakHyphen/>
        <w:t>4.]</w:t>
      </w:r>
    </w:p>
    <w:p>
      <w:pPr>
        <w:pStyle w:val="Heading5"/>
      </w:pPr>
      <w:bookmarkStart w:id="87" w:name="_Toc486411472"/>
      <w:bookmarkStart w:id="88" w:name="_Toc476236117"/>
      <w:r>
        <w:rPr>
          <w:rStyle w:val="CharSectno"/>
        </w:rPr>
        <w:t>31</w:t>
      </w:r>
      <w:r>
        <w:t>.</w:t>
      </w:r>
      <w:r>
        <w:tab/>
        <w:t>Security plans</w:t>
      </w:r>
      <w:bookmarkEnd w:id="87"/>
      <w:bookmarkEnd w:id="88"/>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in Gazette 4 Oct 2011 p. 3952; 2 Dec 2013 p. 5510; 5 Feb 2016 p. 363</w:t>
      </w:r>
      <w:r>
        <w:noBreakHyphen/>
        <w:t>4.]</w:t>
      </w:r>
    </w:p>
    <w:p>
      <w:pPr>
        <w:pStyle w:val="Heading5"/>
      </w:pPr>
      <w:bookmarkStart w:id="89" w:name="_Toc486411473"/>
      <w:bookmarkStart w:id="90" w:name="_Toc476236118"/>
      <w:r>
        <w:rPr>
          <w:rStyle w:val="CharSectno"/>
        </w:rPr>
        <w:t>32</w:t>
      </w:r>
      <w:r>
        <w:t>.</w:t>
      </w:r>
      <w:r>
        <w:tab/>
        <w:t>Dealing with applications</w:t>
      </w:r>
      <w:bookmarkEnd w:id="89"/>
      <w:bookmarkEnd w:id="90"/>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in Gazette 16 Mar 2012 p. 1260; 2 Dec 2013 p. 5510; 5 Feb 2016 p. 362 and 363</w:t>
      </w:r>
      <w:r>
        <w:noBreakHyphen/>
        <w:t>4.]</w:t>
      </w:r>
    </w:p>
    <w:p>
      <w:pPr>
        <w:pStyle w:val="Heading5"/>
      </w:pPr>
      <w:bookmarkStart w:id="91" w:name="_Toc486411474"/>
      <w:bookmarkStart w:id="92" w:name="_Toc476236119"/>
      <w:r>
        <w:rPr>
          <w:rStyle w:val="CharSectno"/>
        </w:rPr>
        <w:t>33</w:t>
      </w:r>
      <w:r>
        <w:t>.</w:t>
      </w:r>
      <w:r>
        <w:tab/>
        <w:t>Body corporate and partnership to have qualified officer</w:t>
      </w:r>
      <w:bookmarkEnd w:id="91"/>
      <w:bookmarkEnd w:id="92"/>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in Gazette 2 Dec 2013 p.</w:t>
      </w:r>
      <w:r>
        <w:rPr>
          <w:sz w:val="19"/>
        </w:rPr>
        <w:t> </w:t>
      </w:r>
      <w:r>
        <w:t>5510</w:t>
      </w:r>
      <w:r>
        <w:noBreakHyphen/>
        <w:t>12; amended in Gazette 5 Feb 2016 p. 362 and 363</w:t>
      </w:r>
      <w:r>
        <w:noBreakHyphen/>
        <w:t>4.]</w:t>
      </w:r>
    </w:p>
    <w:p>
      <w:pPr>
        <w:pStyle w:val="Heading5"/>
      </w:pPr>
      <w:bookmarkStart w:id="93" w:name="_Toc486411475"/>
      <w:bookmarkStart w:id="94" w:name="_Toc476236120"/>
      <w:r>
        <w:rPr>
          <w:rStyle w:val="CharSectno"/>
        </w:rPr>
        <w:t>34</w:t>
      </w:r>
      <w:r>
        <w:t>.</w:t>
      </w:r>
      <w:r>
        <w:tab/>
        <w:t>Conditions of licences</w:t>
      </w:r>
      <w:bookmarkEnd w:id="93"/>
      <w:bookmarkEnd w:id="94"/>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in Gazette 5 Feb 2016 p. 362 and 363</w:t>
      </w:r>
      <w:r>
        <w:noBreakHyphen/>
        <w:t>4.]</w:t>
      </w:r>
    </w:p>
    <w:p>
      <w:pPr>
        <w:pStyle w:val="Heading5"/>
      </w:pPr>
      <w:bookmarkStart w:id="95" w:name="_Toc486411476"/>
      <w:bookmarkStart w:id="96" w:name="_Toc476236121"/>
      <w:r>
        <w:rPr>
          <w:rStyle w:val="CharSectno"/>
        </w:rPr>
        <w:t>35</w:t>
      </w:r>
      <w:r>
        <w:t>.</w:t>
      </w:r>
      <w:r>
        <w:tab/>
        <w:t>Duration of licences</w:t>
      </w:r>
      <w:bookmarkEnd w:id="95"/>
      <w:bookmarkEnd w:id="96"/>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in Gazette 16 Mar 2012 p. 1260.]</w:t>
      </w:r>
    </w:p>
    <w:p>
      <w:pPr>
        <w:pStyle w:val="Heading5"/>
      </w:pPr>
      <w:bookmarkStart w:id="97" w:name="_Toc486411477"/>
      <w:bookmarkStart w:id="98" w:name="_Toc476236122"/>
      <w:r>
        <w:rPr>
          <w:rStyle w:val="CharSectno"/>
        </w:rPr>
        <w:t>36</w:t>
      </w:r>
      <w:r>
        <w:t>.</w:t>
      </w:r>
      <w:r>
        <w:tab/>
        <w:t>Form of licences</w:t>
      </w:r>
      <w:bookmarkEnd w:id="97"/>
      <w:bookmarkEnd w:id="98"/>
    </w:p>
    <w:p>
      <w:pPr>
        <w:pStyle w:val="Subsection"/>
      </w:pPr>
      <w:r>
        <w:tab/>
      </w:r>
      <w:r>
        <w:tab/>
        <w:t>A licence must be in writing in such form as the Chief Officer decides.</w:t>
      </w:r>
    </w:p>
    <w:p>
      <w:pPr>
        <w:pStyle w:val="Heading5"/>
      </w:pPr>
      <w:bookmarkStart w:id="99" w:name="_Toc486411478"/>
      <w:bookmarkStart w:id="100" w:name="_Toc476236123"/>
      <w:r>
        <w:rPr>
          <w:rStyle w:val="CharSectno"/>
        </w:rPr>
        <w:t>37</w:t>
      </w:r>
      <w:r>
        <w:t>.</w:t>
      </w:r>
      <w:r>
        <w:tab/>
        <w:t>Licences not transferable etc.</w:t>
      </w:r>
      <w:bookmarkEnd w:id="99"/>
      <w:bookmarkEnd w:id="100"/>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pPr>
      <w:r>
        <w:tab/>
        <w:t>(4)</w:t>
      </w:r>
      <w:r>
        <w:tab/>
        <w:t>A licence that relates to a maximum quantity of an SSAN specified in it is valid only for that quantity.</w:t>
      </w:r>
    </w:p>
    <w:p>
      <w:pPr>
        <w:pStyle w:val="Footnotesection"/>
      </w:pPr>
      <w:r>
        <w:tab/>
        <w:t>[Regulation 37 amended in Gazette 5 Feb 2016 p. 363</w:t>
      </w:r>
      <w:r>
        <w:noBreakHyphen/>
        <w:t>4.]</w:t>
      </w:r>
    </w:p>
    <w:p>
      <w:pPr>
        <w:pStyle w:val="Heading5"/>
      </w:pPr>
      <w:bookmarkStart w:id="101" w:name="_Toc486411479"/>
      <w:bookmarkStart w:id="102" w:name="_Toc476236124"/>
      <w:r>
        <w:rPr>
          <w:rStyle w:val="CharSectno"/>
        </w:rPr>
        <w:t>38</w:t>
      </w:r>
      <w:r>
        <w:t>.</w:t>
      </w:r>
      <w:r>
        <w:tab/>
        <w:t>Licences may be surrendered</w:t>
      </w:r>
      <w:bookmarkEnd w:id="101"/>
      <w:bookmarkEnd w:id="10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03" w:name="_Toc486411480"/>
      <w:bookmarkStart w:id="104" w:name="_Toc476236125"/>
      <w:r>
        <w:rPr>
          <w:rStyle w:val="CharSectno"/>
        </w:rPr>
        <w:t>39</w:t>
      </w:r>
      <w:r>
        <w:t>.</w:t>
      </w:r>
      <w:r>
        <w:tab/>
        <w:t>Lost licences may be replaced</w:t>
      </w:r>
      <w:bookmarkEnd w:id="103"/>
      <w:bookmarkEnd w:id="104"/>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05" w:name="_Toc486411481"/>
      <w:bookmarkStart w:id="106" w:name="_Toc476236126"/>
      <w:r>
        <w:rPr>
          <w:rStyle w:val="CharSectno"/>
        </w:rPr>
        <w:t>40</w:t>
      </w:r>
      <w:r>
        <w:t>.</w:t>
      </w:r>
      <w:r>
        <w:tab/>
        <w:t>Amending licences</w:t>
      </w:r>
      <w:bookmarkEnd w:id="105"/>
      <w:bookmarkEnd w:id="106"/>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in Gazette 2 Dec 2013 p. 5512.]</w:t>
      </w:r>
    </w:p>
    <w:p>
      <w:pPr>
        <w:pStyle w:val="Heading5"/>
      </w:pPr>
      <w:bookmarkStart w:id="107" w:name="_Toc486411482"/>
      <w:bookmarkStart w:id="108" w:name="_Toc476236127"/>
      <w:r>
        <w:rPr>
          <w:rStyle w:val="CharSectno"/>
        </w:rPr>
        <w:t>41</w:t>
      </w:r>
      <w:r>
        <w:t>.</w:t>
      </w:r>
      <w:r>
        <w:tab/>
        <w:t>Licences, renewal of</w:t>
      </w:r>
      <w:bookmarkEnd w:id="107"/>
      <w:bookmarkEnd w:id="108"/>
    </w:p>
    <w:p>
      <w:pPr>
        <w:pStyle w:val="Subsection"/>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in Gazette 16 Mar 2012 p. 1261.]</w:t>
      </w:r>
    </w:p>
    <w:p>
      <w:pPr>
        <w:pStyle w:val="Heading3"/>
      </w:pPr>
      <w:bookmarkStart w:id="109" w:name="_Toc476236128"/>
      <w:bookmarkStart w:id="110" w:name="_Toc486411483"/>
      <w:r>
        <w:rPr>
          <w:rStyle w:val="CharDivNo"/>
        </w:rPr>
        <w:t>Division 3</w:t>
      </w:r>
      <w:r>
        <w:t> — </w:t>
      </w:r>
      <w:r>
        <w:rPr>
          <w:rStyle w:val="CharDivText"/>
        </w:rPr>
        <w:t>Suspending and cancelling licences</w:t>
      </w:r>
      <w:bookmarkEnd w:id="109"/>
      <w:bookmarkEnd w:id="110"/>
    </w:p>
    <w:p>
      <w:pPr>
        <w:pStyle w:val="Heading5"/>
      </w:pPr>
      <w:bookmarkStart w:id="111" w:name="_Toc486411484"/>
      <w:bookmarkStart w:id="112" w:name="_Toc476236129"/>
      <w:r>
        <w:rPr>
          <w:rStyle w:val="CharSectno"/>
        </w:rPr>
        <w:t>42</w:t>
      </w:r>
      <w:r>
        <w:t>.</w:t>
      </w:r>
      <w:r>
        <w:tab/>
        <w:t>Suspending or cancelling licences, grounds for</w:t>
      </w:r>
      <w:bookmarkEnd w:id="111"/>
      <w:bookmarkEnd w:id="112"/>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pPr>
      <w:r>
        <w:tab/>
        <w:t>(2)</w:t>
      </w:r>
      <w:r>
        <w:tab/>
        <w:t>Grounds to suspend or cancel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in Gazette 16 Mar 2012 p. 1261; 2 Dec 2013 p. 5513.]</w:t>
      </w:r>
    </w:p>
    <w:p>
      <w:pPr>
        <w:pStyle w:val="Heading5"/>
      </w:pPr>
      <w:bookmarkStart w:id="113" w:name="_Toc486411485"/>
      <w:bookmarkStart w:id="114" w:name="_Toc476236130"/>
      <w:r>
        <w:rPr>
          <w:rStyle w:val="CharSectno"/>
        </w:rPr>
        <w:t>43</w:t>
      </w:r>
      <w:r>
        <w:t>.</w:t>
      </w:r>
      <w:r>
        <w:tab/>
        <w:t>Suspending or cancelling licences, procedure for</w:t>
      </w:r>
      <w:bookmarkEnd w:id="113"/>
      <w:bookmarkEnd w:id="114"/>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15" w:name="_Toc486411486"/>
      <w:bookmarkStart w:id="116" w:name="_Toc476236131"/>
      <w:r>
        <w:rPr>
          <w:rStyle w:val="CharSectno"/>
        </w:rPr>
        <w:t>44</w:t>
      </w:r>
      <w:r>
        <w:t>.</w:t>
      </w:r>
      <w:r>
        <w:tab/>
        <w:t>Suspension in urgent circumstances</w:t>
      </w:r>
      <w:bookmarkEnd w:id="115"/>
      <w:bookmarkEnd w:id="116"/>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in Gazette 5 Feb 2016 p. 363</w:t>
      </w:r>
      <w:r>
        <w:noBreakHyphen/>
        <w:t>4.]</w:t>
      </w:r>
    </w:p>
    <w:p>
      <w:pPr>
        <w:pStyle w:val="Heading5"/>
      </w:pPr>
      <w:bookmarkStart w:id="117" w:name="_Toc486411487"/>
      <w:bookmarkStart w:id="118" w:name="_Toc476236132"/>
      <w:r>
        <w:rPr>
          <w:rStyle w:val="CharSectno"/>
        </w:rPr>
        <w:t>45</w:t>
      </w:r>
      <w:r>
        <w:t>.</w:t>
      </w:r>
      <w:r>
        <w:tab/>
        <w:t>Suspension or cancellation, general matters</w:t>
      </w:r>
      <w:bookmarkEnd w:id="117"/>
      <w:bookmarkEnd w:id="118"/>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19" w:name="_Toc476236133"/>
      <w:bookmarkStart w:id="120" w:name="_Toc486411488"/>
      <w:r>
        <w:rPr>
          <w:rStyle w:val="CharDivNo"/>
        </w:rPr>
        <w:t>Division 4</w:t>
      </w:r>
      <w:r>
        <w:t> — </w:t>
      </w:r>
      <w:r>
        <w:rPr>
          <w:rStyle w:val="CharDivText"/>
        </w:rPr>
        <w:t>Duties of licence holders</w:t>
      </w:r>
      <w:bookmarkEnd w:id="119"/>
      <w:bookmarkEnd w:id="120"/>
    </w:p>
    <w:p>
      <w:pPr>
        <w:pStyle w:val="Heading5"/>
      </w:pPr>
      <w:bookmarkStart w:id="121" w:name="_Toc486411489"/>
      <w:bookmarkStart w:id="122" w:name="_Toc476236134"/>
      <w:r>
        <w:rPr>
          <w:rStyle w:val="CharSectno"/>
        </w:rPr>
        <w:t>46A</w:t>
      </w:r>
      <w:r>
        <w:t>.</w:t>
      </w:r>
      <w:r>
        <w:tab/>
        <w:t>Annual fees for licences</w:t>
      </w:r>
      <w:bookmarkEnd w:id="121"/>
      <w:bookmarkEnd w:id="122"/>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w:t>
      </w:r>
      <w:del w:id="123" w:author="Master Repository Process" w:date="2021-08-01T04:03:00Z">
        <w:r>
          <w:rPr>
            <w:szCs w:val="24"/>
          </w:rPr>
          <w:delText>36.50</w:delText>
        </w:r>
      </w:del>
      <w:ins w:id="124" w:author="Master Repository Process" w:date="2021-08-01T04:03:00Z">
        <w:r>
          <w:t>37.00</w:t>
        </w:r>
      </w:ins>
      <w:r>
        <w:t>.</w:t>
      </w:r>
    </w:p>
    <w:p>
      <w:pPr>
        <w:pStyle w:val="Footnotesection"/>
      </w:pPr>
      <w:r>
        <w:tab/>
        <w:t>[Regulation 46A inserted in Gazette 16 Mar 2012 p. 1261</w:t>
      </w:r>
      <w:r>
        <w:noBreakHyphen/>
        <w:t>2; amended in Gazette 2 Dec 2013 p. 5513</w:t>
      </w:r>
      <w:r>
        <w:noBreakHyphen/>
        <w:t>14; 26 Jun 2015 p. 2264; 24 Jun 2016 p. 2328</w:t>
      </w:r>
      <w:ins w:id="125" w:author="Master Repository Process" w:date="2021-08-01T04:03:00Z">
        <w:r>
          <w:t>; 23 Jun 2017 p. 3289</w:t>
        </w:r>
      </w:ins>
      <w:r>
        <w:t>.]</w:t>
      </w:r>
    </w:p>
    <w:p>
      <w:pPr>
        <w:pStyle w:val="Heading5"/>
      </w:pPr>
      <w:bookmarkStart w:id="126" w:name="_Toc486411490"/>
      <w:bookmarkStart w:id="127" w:name="_Toc476236135"/>
      <w:r>
        <w:rPr>
          <w:rStyle w:val="CharSectno"/>
        </w:rPr>
        <w:t>46</w:t>
      </w:r>
      <w:r>
        <w:t>.</w:t>
      </w:r>
      <w:r>
        <w:tab/>
        <w:t>Licence holder to notify Chief Officer of certain convictions and charges</w:t>
      </w:r>
      <w:bookmarkEnd w:id="126"/>
      <w:bookmarkEnd w:id="127"/>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in Gazette 2 Dec 2013 p.</w:t>
      </w:r>
      <w:r>
        <w:rPr>
          <w:sz w:val="19"/>
        </w:rPr>
        <w:t> </w:t>
      </w:r>
      <w:r>
        <w:t>5514.]</w:t>
      </w:r>
    </w:p>
    <w:p>
      <w:pPr>
        <w:pStyle w:val="Heading5"/>
      </w:pPr>
      <w:bookmarkStart w:id="128" w:name="_Toc486411491"/>
      <w:bookmarkStart w:id="129" w:name="_Toc476236136"/>
      <w:r>
        <w:rPr>
          <w:rStyle w:val="CharSectno"/>
        </w:rPr>
        <w:t>47</w:t>
      </w:r>
      <w:r>
        <w:t>.</w:t>
      </w:r>
      <w:r>
        <w:tab/>
        <w:t>Condition of licence, contravening</w:t>
      </w:r>
      <w:bookmarkEnd w:id="128"/>
      <w:bookmarkEnd w:id="129"/>
    </w:p>
    <w:p>
      <w:pPr>
        <w:pStyle w:val="Subsection"/>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in Gazette 4 Oct 2011 p. 3952.]</w:t>
      </w:r>
    </w:p>
    <w:p>
      <w:pPr>
        <w:pStyle w:val="Heading2"/>
      </w:pPr>
      <w:bookmarkStart w:id="130" w:name="_Toc476236137"/>
      <w:bookmarkStart w:id="131" w:name="_Toc486411492"/>
      <w:r>
        <w:rPr>
          <w:rStyle w:val="CharPartNo"/>
        </w:rPr>
        <w:t>Part 11</w:t>
      </w:r>
      <w:r>
        <w:rPr>
          <w:rStyle w:val="CharDivNo"/>
        </w:rPr>
        <w:t> </w:t>
      </w:r>
      <w:r>
        <w:t>—</w:t>
      </w:r>
      <w:r>
        <w:rPr>
          <w:rStyle w:val="CharDivText"/>
        </w:rPr>
        <w:t> </w:t>
      </w:r>
      <w:r>
        <w:rPr>
          <w:rStyle w:val="CharPartText"/>
        </w:rPr>
        <w:t>Miscellaneous matters</w:t>
      </w:r>
      <w:bookmarkEnd w:id="130"/>
      <w:bookmarkEnd w:id="131"/>
    </w:p>
    <w:p>
      <w:pPr>
        <w:pStyle w:val="Heading5"/>
      </w:pPr>
      <w:bookmarkStart w:id="132" w:name="_Toc486411493"/>
      <w:bookmarkStart w:id="133" w:name="_Toc476236138"/>
      <w:r>
        <w:rPr>
          <w:rStyle w:val="CharSectno"/>
        </w:rPr>
        <w:t>48</w:t>
      </w:r>
      <w:r>
        <w:t>.</w:t>
      </w:r>
      <w:r>
        <w:tab/>
        <w:t>Safety management document prescribed (Act s. 3)</w:t>
      </w:r>
      <w:bookmarkEnd w:id="132"/>
      <w:bookmarkEnd w:id="133"/>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34" w:name="_Toc486411494"/>
      <w:bookmarkStart w:id="135" w:name="_Toc476236139"/>
      <w:r>
        <w:rPr>
          <w:rStyle w:val="CharSectno"/>
        </w:rPr>
        <w:t>49</w:t>
      </w:r>
      <w:r>
        <w:t>.</w:t>
      </w:r>
      <w:r>
        <w:tab/>
        <w:t>False or misleading information, offences</w:t>
      </w:r>
      <w:bookmarkEnd w:id="134"/>
      <w:bookmarkEnd w:id="135"/>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in Gazette 2 Dec 2013 p.</w:t>
      </w:r>
      <w:r>
        <w:rPr>
          <w:sz w:val="19"/>
        </w:rPr>
        <w:t> </w:t>
      </w:r>
      <w:r>
        <w:t>5514</w:t>
      </w:r>
      <w:r>
        <w:noBreakHyphen/>
        <w:t>15.]</w:t>
      </w:r>
    </w:p>
    <w:p>
      <w:pPr>
        <w:pStyle w:val="Heading5"/>
      </w:pPr>
      <w:bookmarkStart w:id="136" w:name="_Toc486411495"/>
      <w:bookmarkStart w:id="137" w:name="_Toc476236140"/>
      <w:r>
        <w:rPr>
          <w:rStyle w:val="CharSectno"/>
        </w:rPr>
        <w:t>50</w:t>
      </w:r>
      <w:r>
        <w:t>.</w:t>
      </w:r>
      <w:r>
        <w:tab/>
        <w:t>Security plan, duties in respect of</w:t>
      </w:r>
      <w:bookmarkEnd w:id="136"/>
      <w:bookmarkEnd w:id="137"/>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Ednotesubsection"/>
      </w:pPr>
      <w:r>
        <w:tab/>
        <w:t>[(5)</w:t>
      </w:r>
      <w:r>
        <w:tab/>
        <w:t>deleted]</w:t>
      </w:r>
    </w:p>
    <w:p>
      <w:pPr>
        <w:pStyle w:val="Footnotesection"/>
      </w:pPr>
      <w:r>
        <w:tab/>
        <w:t>[Regulation 50 amended in Gazette 2 Dec 2013 p.</w:t>
      </w:r>
      <w:r>
        <w:rPr>
          <w:sz w:val="19"/>
        </w:rPr>
        <w:t> </w:t>
      </w:r>
      <w:r>
        <w:t>5515; 5 Feb 2016 p. 362.]</w:t>
      </w:r>
    </w:p>
    <w:p>
      <w:pPr>
        <w:pStyle w:val="Heading5"/>
      </w:pPr>
      <w:bookmarkStart w:id="138" w:name="_Toc486411496"/>
      <w:bookmarkStart w:id="139" w:name="_Toc476236141"/>
      <w:r>
        <w:rPr>
          <w:rStyle w:val="CharSectno"/>
        </w:rPr>
        <w:t>51</w:t>
      </w:r>
      <w:r>
        <w:t>.</w:t>
      </w:r>
      <w:r>
        <w:tab/>
        <w:t>Prescribed offences and modified penalties (Act s. 56)</w:t>
      </w:r>
      <w:bookmarkEnd w:id="138"/>
      <w:bookmarkEnd w:id="139"/>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part"/>
      </w:pPr>
      <w:r>
        <w:t>[Part 12 (r. 52-53) deleted in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0" w:name="_Toc482954511"/>
      <w:bookmarkStart w:id="141" w:name="_Toc482954575"/>
      <w:bookmarkStart w:id="142" w:name="_Toc482954725"/>
      <w:bookmarkStart w:id="143" w:name="_Toc482969289"/>
      <w:bookmarkStart w:id="144" w:name="_Toc482969353"/>
      <w:bookmarkStart w:id="145" w:name="_Toc482969417"/>
      <w:bookmarkStart w:id="146" w:name="_Toc486411497"/>
      <w:bookmarkStart w:id="147" w:name="_Toc476236142"/>
      <w:r>
        <w:rPr>
          <w:rStyle w:val="CharSchNo"/>
        </w:rPr>
        <w:t>Schedule</w:t>
      </w:r>
      <w:del w:id="148" w:author="Master Repository Process" w:date="2021-08-01T04:03:00Z">
        <w:r>
          <w:rPr>
            <w:rStyle w:val="CharSchNo"/>
          </w:rPr>
          <w:delText xml:space="preserve"> </w:delText>
        </w:r>
      </w:del>
      <w:ins w:id="149" w:author="Master Repository Process" w:date="2021-08-01T04:03:00Z">
        <w:r>
          <w:rPr>
            <w:rStyle w:val="CharSchNo"/>
          </w:rPr>
          <w:t> </w:t>
        </w:r>
      </w:ins>
      <w:r>
        <w:rPr>
          <w:rStyle w:val="CharSchNo"/>
        </w:rPr>
        <w:t>1</w:t>
      </w:r>
      <w:r>
        <w:rPr>
          <w:rStyle w:val="CharSDivNo"/>
          <w:sz w:val="26"/>
        </w:rPr>
        <w:t> </w:t>
      </w:r>
      <w:r>
        <w:t>—</w:t>
      </w:r>
      <w:r>
        <w:rPr>
          <w:rStyle w:val="CharSDivText"/>
        </w:rPr>
        <w:t> </w:t>
      </w:r>
      <w:r>
        <w:rPr>
          <w:rStyle w:val="CharSchText"/>
        </w:rPr>
        <w:t>Annual fees</w:t>
      </w:r>
      <w:bookmarkEnd w:id="140"/>
      <w:bookmarkEnd w:id="141"/>
      <w:bookmarkEnd w:id="142"/>
      <w:bookmarkEnd w:id="143"/>
      <w:bookmarkEnd w:id="144"/>
      <w:bookmarkEnd w:id="145"/>
      <w:bookmarkEnd w:id="146"/>
    </w:p>
    <w:p>
      <w:pPr>
        <w:pStyle w:val="yShoulderClause"/>
      </w:pPr>
      <w:r>
        <w:t>[r.</w:t>
      </w:r>
      <w:del w:id="150" w:author="Master Repository Process" w:date="2021-08-01T04:03:00Z">
        <w:r>
          <w:delText xml:space="preserve"> </w:delText>
        </w:r>
      </w:del>
      <w:ins w:id="151" w:author="Master Repository Process" w:date="2021-08-01T04:03:00Z">
        <w:r>
          <w:t> </w:t>
        </w:r>
      </w:ins>
      <w:r>
        <w:t>3]</w:t>
      </w:r>
    </w:p>
    <w:p>
      <w:pPr>
        <w:pStyle w:val="yFootnoteheading"/>
        <w:spacing w:after="60"/>
      </w:pPr>
      <w:r>
        <w:tab/>
        <w:t xml:space="preserve">[Heading inserted in Gazette </w:t>
      </w:r>
      <w:del w:id="152" w:author="Master Repository Process" w:date="2021-08-01T04:03:00Z">
        <w:r>
          <w:delText>16 Mar 2012</w:delText>
        </w:r>
      </w:del>
      <w:ins w:id="153" w:author="Master Repository Process" w:date="2021-08-01T04:03:00Z">
        <w:r>
          <w:t>23 Jun 2017</w:t>
        </w:r>
      </w:ins>
      <w:r>
        <w:t xml:space="preserve"> p. </w:t>
      </w:r>
      <w:del w:id="154" w:author="Master Repository Process" w:date="2021-08-01T04:03:00Z">
        <w:r>
          <w:delText>1262</w:delText>
        </w:r>
      </w:del>
      <w:ins w:id="155" w:author="Master Repository Process" w:date="2021-08-01T04:03:00Z">
        <w:r>
          <w:t>3289</w:t>
        </w:r>
      </w:ins>
      <w:r>
        <w:t>.]</w:t>
      </w: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134"/>
        <w:gridCol w:w="4962"/>
        <w:gridCol w:w="992"/>
      </w:tblGrid>
      <w:tr>
        <w:tc>
          <w:tcPr>
            <w:tcW w:w="1134" w:type="dxa"/>
            <w:tcBorders>
              <w:top w:val="single" w:sz="4" w:space="0" w:color="auto"/>
              <w:bottom w:val="single" w:sz="4" w:space="0" w:color="auto"/>
            </w:tcBorders>
          </w:tcPr>
          <w:p>
            <w:pPr>
              <w:rPr>
                <w:b/>
              </w:rPr>
            </w:pPr>
            <w:r>
              <w:rPr>
                <w:b/>
              </w:rPr>
              <w:t>Item</w:t>
            </w:r>
          </w:p>
        </w:tc>
        <w:tc>
          <w:tcPr>
            <w:tcW w:w="4962" w:type="dxa"/>
            <w:tcBorders>
              <w:top w:val="single" w:sz="4" w:space="0" w:color="auto"/>
              <w:bottom w:val="single" w:sz="4" w:space="0" w:color="auto"/>
            </w:tcBorders>
          </w:tcPr>
          <w:p>
            <w:pPr>
              <w:rPr>
                <w:b/>
              </w:rPr>
            </w:pPr>
            <w:r>
              <w:rPr>
                <w:b/>
              </w:rPr>
              <w:t>Annual fee</w:t>
            </w:r>
          </w:p>
        </w:tc>
        <w:tc>
          <w:tcPr>
            <w:tcW w:w="992" w:type="dxa"/>
            <w:tcBorders>
              <w:top w:val="single" w:sz="4" w:space="0" w:color="auto"/>
              <w:bottom w:val="single" w:sz="4" w:space="0" w:color="auto"/>
            </w:tcBorders>
          </w:tcPr>
          <w:p>
            <w:pPr>
              <w:rPr>
                <w:b/>
              </w:rPr>
            </w:pPr>
            <w:r>
              <w:rPr>
                <w:b/>
              </w:rPr>
              <w:t>Fee ($)</w:t>
            </w:r>
          </w:p>
        </w:tc>
      </w:tr>
      <w:tr>
        <w:tc>
          <w:tcPr>
            <w:tcW w:w="1134" w:type="dxa"/>
            <w:tcBorders>
              <w:top w:val="single" w:sz="4" w:space="0" w:color="auto"/>
            </w:tcBorders>
          </w:tcPr>
          <w:p>
            <w:pPr>
              <w:pStyle w:val="yTableNAm"/>
            </w:pPr>
            <w:r>
              <w:t>1.</w:t>
            </w:r>
          </w:p>
        </w:tc>
        <w:tc>
          <w:tcPr>
            <w:tcW w:w="4962" w:type="dxa"/>
            <w:tcBorders>
              <w:top w:val="single" w:sz="4" w:space="0" w:color="auto"/>
            </w:tcBorders>
          </w:tcPr>
          <w:p>
            <w:pPr>
              <w:pStyle w:val="yTableNAm"/>
            </w:pPr>
            <w:r>
              <w:t>Annual fee for a licence (r.</w:t>
            </w:r>
            <w:del w:id="156" w:author="Master Repository Process" w:date="2021-08-01T04:03:00Z">
              <w:r>
                <w:delText xml:space="preserve"> </w:delText>
              </w:r>
            </w:del>
            <w:ins w:id="157" w:author="Master Repository Process" w:date="2021-08-01T04:03:00Z">
              <w:r>
                <w:t> </w:t>
              </w:r>
            </w:ins>
            <w:r>
              <w:t>30(1)(c) and 46A) —</w:t>
            </w:r>
          </w:p>
        </w:tc>
        <w:tc>
          <w:tcPr>
            <w:tcW w:w="992" w:type="dxa"/>
            <w:tcBorders>
              <w:top w:val="single" w:sz="4" w:space="0" w:color="auto"/>
            </w:tcBorders>
          </w:tcPr>
          <w:p>
            <w:pPr>
              <w:pStyle w:val="yTableNAm"/>
            </w:pPr>
          </w:p>
        </w:tc>
      </w:tr>
      <w:tr>
        <w:tc>
          <w:tcPr>
            <w:tcW w:w="1134" w:type="dxa"/>
          </w:tcPr>
          <w:p>
            <w:pPr>
              <w:pStyle w:val="yTableNAm"/>
            </w:pPr>
          </w:p>
        </w:tc>
        <w:tc>
          <w:tcPr>
            <w:tcW w:w="4962" w:type="dxa"/>
          </w:tcPr>
          <w:p>
            <w:pPr>
              <w:pStyle w:val="yTableNAm"/>
            </w:pPr>
            <w:r>
              <w:t>(a)</w:t>
            </w:r>
            <w:r>
              <w:tab/>
              <w:t>SSAN import/export licence</w:t>
            </w:r>
          </w:p>
        </w:tc>
        <w:tc>
          <w:tcPr>
            <w:tcW w:w="992" w:type="dxa"/>
          </w:tcPr>
          <w:p>
            <w:pPr>
              <w:pStyle w:val="yTableNAm"/>
            </w:pPr>
            <w:del w:id="158" w:author="Master Repository Process" w:date="2021-08-01T04:03:00Z">
              <w:r>
                <w:rPr>
                  <w:szCs w:val="22"/>
                </w:rPr>
                <w:delText>169</w:delText>
              </w:r>
            </w:del>
            <w:ins w:id="159" w:author="Master Repository Process" w:date="2021-08-01T04:03:00Z">
              <w:r>
                <w:rPr>
                  <w:szCs w:val="22"/>
                </w:rPr>
                <w:t>172</w:t>
              </w:r>
            </w:ins>
            <w:r>
              <w:rPr>
                <w:szCs w:val="22"/>
              </w:rPr>
              <w:t>.00</w:t>
            </w:r>
          </w:p>
        </w:tc>
      </w:tr>
      <w:tr>
        <w:tc>
          <w:tcPr>
            <w:tcW w:w="1134" w:type="dxa"/>
          </w:tcPr>
          <w:p>
            <w:pPr>
              <w:pStyle w:val="yTableNAm"/>
            </w:pPr>
          </w:p>
        </w:tc>
        <w:tc>
          <w:tcPr>
            <w:tcW w:w="4962" w:type="dxa"/>
          </w:tcPr>
          <w:p>
            <w:pPr>
              <w:pStyle w:val="yTableNAm"/>
            </w:pPr>
            <w:r>
              <w:t>(b)</w:t>
            </w:r>
            <w:r>
              <w:tab/>
              <w:t>SSAN manufacture licence</w:t>
            </w:r>
          </w:p>
        </w:tc>
        <w:tc>
          <w:tcPr>
            <w:tcW w:w="992" w:type="dxa"/>
          </w:tcPr>
          <w:p>
            <w:pPr>
              <w:pStyle w:val="yTableNAm"/>
            </w:pPr>
            <w:del w:id="160" w:author="Master Repository Process" w:date="2021-08-01T04:03:00Z">
              <w:r>
                <w:rPr>
                  <w:szCs w:val="22"/>
                </w:rPr>
                <w:delText>317</w:delText>
              </w:r>
            </w:del>
            <w:ins w:id="161" w:author="Master Repository Process" w:date="2021-08-01T04:03:00Z">
              <w:r>
                <w:rPr>
                  <w:szCs w:val="22"/>
                </w:rPr>
                <w:t>323</w:t>
              </w:r>
            </w:ins>
            <w:r>
              <w:rPr>
                <w:szCs w:val="22"/>
              </w:rPr>
              <w:t>.00</w:t>
            </w:r>
          </w:p>
        </w:tc>
      </w:tr>
      <w:tr>
        <w:tc>
          <w:tcPr>
            <w:tcW w:w="1134" w:type="dxa"/>
          </w:tcPr>
          <w:p>
            <w:pPr>
              <w:pStyle w:val="yTableNAm"/>
            </w:pPr>
          </w:p>
        </w:tc>
        <w:tc>
          <w:tcPr>
            <w:tcW w:w="4962" w:type="dxa"/>
          </w:tcPr>
          <w:p>
            <w:pPr>
              <w:pStyle w:val="yTableNAm"/>
            </w:pPr>
            <w:r>
              <w:t>(c)</w:t>
            </w:r>
            <w:r>
              <w:tab/>
              <w:t>SSAN storage licence</w:t>
            </w:r>
          </w:p>
        </w:tc>
        <w:tc>
          <w:tcPr>
            <w:tcW w:w="992" w:type="dxa"/>
          </w:tcPr>
          <w:p>
            <w:pPr>
              <w:pStyle w:val="yTableNAm"/>
            </w:pPr>
            <w:del w:id="162" w:author="Master Repository Process" w:date="2021-08-01T04:03:00Z">
              <w:r>
                <w:rPr>
                  <w:szCs w:val="22"/>
                </w:rPr>
                <w:delText>149</w:delText>
              </w:r>
            </w:del>
            <w:ins w:id="163" w:author="Master Repository Process" w:date="2021-08-01T04:03:00Z">
              <w:r>
                <w:rPr>
                  <w:szCs w:val="22"/>
                </w:rPr>
                <w:t>152</w:t>
              </w:r>
            </w:ins>
            <w:r>
              <w:rPr>
                <w:szCs w:val="22"/>
              </w:rPr>
              <w:t>.00</w:t>
            </w:r>
          </w:p>
        </w:tc>
      </w:tr>
      <w:tr>
        <w:tc>
          <w:tcPr>
            <w:tcW w:w="1134" w:type="dxa"/>
          </w:tcPr>
          <w:p>
            <w:pPr>
              <w:pStyle w:val="yTableNAm"/>
            </w:pPr>
          </w:p>
        </w:tc>
        <w:tc>
          <w:tcPr>
            <w:tcW w:w="4962" w:type="dxa"/>
          </w:tcPr>
          <w:p>
            <w:pPr>
              <w:pStyle w:val="yTableNAm"/>
            </w:pPr>
            <w:r>
              <w:t>(d)</w:t>
            </w:r>
            <w:r>
              <w:tab/>
              <w:t>SSAN transport licence</w:t>
            </w:r>
          </w:p>
        </w:tc>
        <w:tc>
          <w:tcPr>
            <w:tcW w:w="992" w:type="dxa"/>
          </w:tcPr>
          <w:p>
            <w:pPr>
              <w:pStyle w:val="yTableNAm"/>
            </w:pPr>
            <w:del w:id="164" w:author="Master Repository Process" w:date="2021-08-01T04:03:00Z">
              <w:r>
                <w:rPr>
                  <w:szCs w:val="22"/>
                </w:rPr>
                <w:delText>159</w:delText>
              </w:r>
            </w:del>
            <w:ins w:id="165" w:author="Master Repository Process" w:date="2021-08-01T04:03:00Z">
              <w:r>
                <w:rPr>
                  <w:szCs w:val="22"/>
                </w:rPr>
                <w:t>162</w:t>
              </w:r>
            </w:ins>
            <w:r>
              <w:rPr>
                <w:szCs w:val="22"/>
              </w:rPr>
              <w:t>.00</w:t>
            </w:r>
          </w:p>
        </w:tc>
      </w:tr>
      <w:tr>
        <w:tc>
          <w:tcPr>
            <w:tcW w:w="1134" w:type="dxa"/>
          </w:tcPr>
          <w:p>
            <w:pPr>
              <w:pStyle w:val="yTableNAm"/>
            </w:pPr>
          </w:p>
        </w:tc>
        <w:tc>
          <w:tcPr>
            <w:tcW w:w="4962" w:type="dxa"/>
          </w:tcPr>
          <w:p>
            <w:pPr>
              <w:pStyle w:val="yTableNAm"/>
            </w:pPr>
            <w:r>
              <w:t>(e)</w:t>
            </w:r>
            <w:r>
              <w:tab/>
              <w:t>SSAN supply licence</w:t>
            </w:r>
          </w:p>
        </w:tc>
        <w:tc>
          <w:tcPr>
            <w:tcW w:w="992" w:type="dxa"/>
          </w:tcPr>
          <w:p>
            <w:pPr>
              <w:pStyle w:val="yTableNAm"/>
            </w:pPr>
            <w:del w:id="166" w:author="Master Repository Process" w:date="2021-08-01T04:03:00Z">
              <w:r>
                <w:rPr>
                  <w:szCs w:val="22"/>
                </w:rPr>
                <w:delText>138</w:delText>
              </w:r>
            </w:del>
            <w:ins w:id="167" w:author="Master Repository Process" w:date="2021-08-01T04:03:00Z">
              <w:r>
                <w:rPr>
                  <w:szCs w:val="22"/>
                </w:rPr>
                <w:t>140</w:t>
              </w:r>
            </w:ins>
            <w:r>
              <w:rPr>
                <w:szCs w:val="22"/>
              </w:rPr>
              <w:t>.00</w:t>
            </w:r>
          </w:p>
        </w:tc>
      </w:tr>
      <w:tr>
        <w:tc>
          <w:tcPr>
            <w:tcW w:w="1134" w:type="dxa"/>
            <w:tcBorders>
              <w:bottom w:val="single" w:sz="4" w:space="0" w:color="auto"/>
            </w:tcBorders>
          </w:tcPr>
          <w:p>
            <w:pPr>
              <w:pStyle w:val="yTableNAm"/>
            </w:pPr>
          </w:p>
        </w:tc>
        <w:tc>
          <w:tcPr>
            <w:tcW w:w="4962" w:type="dxa"/>
            <w:tcBorders>
              <w:bottom w:val="single" w:sz="4" w:space="0" w:color="auto"/>
            </w:tcBorders>
          </w:tcPr>
          <w:p>
            <w:pPr>
              <w:pStyle w:val="yTableNAm"/>
            </w:pPr>
            <w:r>
              <w:t>(f)</w:t>
            </w:r>
            <w:r>
              <w:tab/>
              <w:t>SSAN fertiliser licence</w:t>
            </w:r>
          </w:p>
        </w:tc>
        <w:tc>
          <w:tcPr>
            <w:tcW w:w="992" w:type="dxa"/>
            <w:tcBorders>
              <w:bottom w:val="single" w:sz="4" w:space="0" w:color="auto"/>
            </w:tcBorders>
          </w:tcPr>
          <w:p>
            <w:pPr>
              <w:pStyle w:val="yTableNAm"/>
            </w:pPr>
            <w:del w:id="168" w:author="Master Repository Process" w:date="2021-08-01T04:03:00Z">
              <w:r>
                <w:rPr>
                  <w:szCs w:val="22"/>
                </w:rPr>
                <w:delText>52</w:delText>
              </w:r>
            </w:del>
            <w:ins w:id="169" w:author="Master Repository Process" w:date="2021-08-01T04:03:00Z">
              <w:r>
                <w:rPr>
                  <w:szCs w:val="22"/>
                </w:rPr>
                <w:t>53</w:t>
              </w:r>
            </w:ins>
            <w:r>
              <w:rPr>
                <w:szCs w:val="22"/>
              </w:rPr>
              <w:t>.50</w:t>
            </w:r>
          </w:p>
        </w:tc>
      </w:tr>
    </w:tbl>
    <w:p>
      <w:pPr>
        <w:pStyle w:val="yFootnotesection"/>
      </w:pPr>
      <w:r>
        <w:tab/>
        <w:t>[Schedule</w:t>
      </w:r>
      <w:del w:id="170" w:author="Master Repository Process" w:date="2021-08-01T04:03:00Z">
        <w:r>
          <w:delText xml:space="preserve"> </w:delText>
        </w:r>
      </w:del>
      <w:ins w:id="171" w:author="Master Repository Process" w:date="2021-08-01T04:03:00Z">
        <w:r>
          <w:t> </w:t>
        </w:r>
      </w:ins>
      <w:r>
        <w:t xml:space="preserve">1 inserted in Gazette </w:t>
      </w:r>
      <w:del w:id="172" w:author="Master Repository Process" w:date="2021-08-01T04:03:00Z">
        <w:r>
          <w:delText>16 Mar 2012 p. 1262; amended in Gazette 26</w:delText>
        </w:r>
      </w:del>
      <w:ins w:id="173" w:author="Master Repository Process" w:date="2021-08-01T04:03:00Z">
        <w:r>
          <w:t>23</w:t>
        </w:r>
      </w:ins>
      <w:r>
        <w:t> Jun </w:t>
      </w:r>
      <w:del w:id="174" w:author="Master Repository Process" w:date="2021-08-01T04:03:00Z">
        <w:r>
          <w:delText>2015 p. 2264; 5 Feb 2016 p. 363</w:delText>
        </w:r>
        <w:r>
          <w:noBreakHyphen/>
          <w:delText>4; 24 Jun 2016 p. 2328</w:delText>
        </w:r>
      </w:del>
      <w:ins w:id="175" w:author="Master Repository Process" w:date="2021-08-01T04:03:00Z">
        <w:r>
          <w:t>2017 p. 3289</w:t>
        </w:r>
      </w:ins>
      <w:r>
        <w:t>.]</w:t>
      </w:r>
    </w:p>
    <w:bookmarkEnd w:id="147"/>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7" w:name="_Toc476236143"/>
      <w:bookmarkStart w:id="178" w:name="_Toc486411498"/>
      <w:r>
        <w:rPr>
          <w:rStyle w:val="CharSchNo"/>
        </w:rPr>
        <w:t>Schedule 2</w:t>
      </w:r>
      <w:r>
        <w:rPr>
          <w:rStyle w:val="CharSDivNo"/>
        </w:rPr>
        <w:t> </w:t>
      </w:r>
      <w:r>
        <w:t>—</w:t>
      </w:r>
      <w:r>
        <w:rPr>
          <w:rStyle w:val="CharSDivText"/>
        </w:rPr>
        <w:t> </w:t>
      </w:r>
      <w:r>
        <w:rPr>
          <w:rStyle w:val="CharSchText"/>
        </w:rPr>
        <w:t>Security sensitive ammonium nitrate</w:t>
      </w:r>
      <w:bookmarkEnd w:id="177"/>
      <w:bookmarkEnd w:id="178"/>
    </w:p>
    <w:p>
      <w:pPr>
        <w:pStyle w:val="yShoulderClause"/>
      </w:pPr>
      <w:r>
        <w:t>[r. 3]</w:t>
      </w:r>
    </w:p>
    <w:p>
      <w:pPr>
        <w:pStyle w:val="yFootnoteheading"/>
      </w:pPr>
      <w:r>
        <w:tab/>
        <w:t>[Heading amended in Gazette 5 Feb 2016 p. 363.]</w:t>
      </w:r>
    </w:p>
    <w:p>
      <w:pPr>
        <w:pStyle w:val="yHeading5"/>
      </w:pPr>
      <w:bookmarkStart w:id="179" w:name="_Toc486411499"/>
      <w:bookmarkStart w:id="180" w:name="_Toc476236144"/>
      <w:r>
        <w:rPr>
          <w:rStyle w:val="CharSClsNo"/>
        </w:rPr>
        <w:t>1</w:t>
      </w:r>
      <w:r>
        <w:t>.</w:t>
      </w:r>
      <w:r>
        <w:tab/>
        <w:t>Ammonium nitrate, substances containing</w:t>
      </w:r>
      <w:bookmarkEnd w:id="179"/>
      <w:bookmarkEnd w:id="180"/>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in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181" w:name="_Toc476236145"/>
      <w:bookmarkStart w:id="182" w:name="_Toc486411500"/>
      <w:r>
        <w:t>Notes</w:t>
      </w:r>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Dangerous Goods Safety </w:t>
      </w:r>
      <w:r>
        <w:rPr>
          <w:i/>
        </w:rPr>
        <w:t xml:space="preserve">(Security Sensitive Ammonium Nitrate) </w:t>
      </w:r>
      <w:r>
        <w:rPr>
          <w:i/>
          <w:noProof/>
          <w:snapToGrid w:val="0"/>
        </w:rPr>
        <w:t>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83" w:name="_Toc486411501"/>
      <w:bookmarkStart w:id="184" w:name="_Toc476236146"/>
      <w:r>
        <w:t>Compilation table</w:t>
      </w:r>
      <w:bookmarkEnd w:id="183"/>
      <w:bookmarkEnd w:id="18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Dangerous Goods Safety (Security Risk Substances) Regulations 2007</w:t>
            </w:r>
            <w:r>
              <w:rPr>
                <w:vertAlign w:val="superscript"/>
              </w:rPr>
              <w:t> 2</w:t>
            </w:r>
          </w:p>
        </w:tc>
        <w:tc>
          <w:tcPr>
            <w:tcW w:w="1276" w:type="dxa"/>
            <w:gridSpan w:val="2"/>
            <w:tcBorders>
              <w:top w:val="single" w:sz="8" w:space="0" w:color="auto"/>
              <w:bottom w:val="nil"/>
            </w:tcBorders>
          </w:tcPr>
          <w:p>
            <w:pPr>
              <w:pStyle w:val="nTable"/>
              <w:spacing w:after="40"/>
            </w:pPr>
            <w:r>
              <w:t>31 Dec 2007 p. 6719-75</w:t>
            </w:r>
          </w:p>
        </w:tc>
        <w:tc>
          <w:tcPr>
            <w:tcW w:w="2693" w:type="dxa"/>
            <w:gridSpan w:val="2"/>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8" w:type="dxa"/>
            <w:tcBorders>
              <w:top w:val="nil"/>
              <w:bottom w:val="nil"/>
            </w:tcBorders>
          </w:tcPr>
          <w:p>
            <w:pPr>
              <w:pStyle w:val="nTable"/>
              <w:spacing w:after="40"/>
              <w:rPr>
                <w:i/>
              </w:rPr>
            </w:pPr>
            <w:r>
              <w:rPr>
                <w:i/>
              </w:rPr>
              <w:t>Dangerous Goods Safety (Security Risk Substances) Amendment Regulations (No. 2) 2010</w:t>
            </w:r>
          </w:p>
        </w:tc>
        <w:tc>
          <w:tcPr>
            <w:tcW w:w="1276" w:type="dxa"/>
            <w:gridSpan w:val="2"/>
            <w:tcBorders>
              <w:top w:val="nil"/>
              <w:bottom w:val="nil"/>
            </w:tcBorders>
          </w:tcPr>
          <w:p>
            <w:pPr>
              <w:pStyle w:val="nTable"/>
              <w:spacing w:after="40"/>
            </w:pPr>
            <w:r>
              <w:t>25 Jun 2010 p. 2877-8</w:t>
            </w:r>
          </w:p>
        </w:tc>
        <w:tc>
          <w:tcPr>
            <w:tcW w:w="2693" w:type="dxa"/>
            <w:gridSpan w:val="2"/>
            <w:tcBorders>
              <w:top w:val="nil"/>
              <w:bottom w:val="nil"/>
            </w:tcBorders>
          </w:tcPr>
          <w:p>
            <w:pPr>
              <w:pStyle w:val="nTable"/>
              <w:spacing w:after="40"/>
            </w:pPr>
            <w:r>
              <w:t>r. 1 and 2: 25 Jun 2010 (see r. 2(a));</w:t>
            </w:r>
            <w:r>
              <w:br/>
              <w:t>Regulations other than r. 1 and 2: 1 Jul 2010 (see r. 2(b))</w:t>
            </w:r>
          </w:p>
        </w:tc>
      </w:tr>
      <w:tr>
        <w:tc>
          <w:tcPr>
            <w:tcW w:w="3118" w:type="dxa"/>
            <w:tcBorders>
              <w:top w:val="nil"/>
              <w:bottom w:val="nil"/>
            </w:tcBorders>
          </w:tcPr>
          <w:p>
            <w:pPr>
              <w:pStyle w:val="nTable"/>
              <w:spacing w:after="40"/>
              <w:rPr>
                <w:i/>
              </w:rPr>
            </w:pPr>
            <w:r>
              <w:rPr>
                <w:i/>
              </w:rPr>
              <w:t>Dangerous Goods Safety (Security Risk Substances) Amendment Regulations 2011</w:t>
            </w:r>
          </w:p>
        </w:tc>
        <w:tc>
          <w:tcPr>
            <w:tcW w:w="1276" w:type="dxa"/>
            <w:gridSpan w:val="2"/>
            <w:tcBorders>
              <w:top w:val="nil"/>
              <w:bottom w:val="nil"/>
            </w:tcBorders>
          </w:tcPr>
          <w:p>
            <w:pPr>
              <w:pStyle w:val="nTable"/>
              <w:spacing w:after="40"/>
            </w:pPr>
            <w:r>
              <w:t>4 Oct 2011 p. 3949</w:t>
            </w:r>
            <w:r>
              <w:noBreakHyphen/>
              <w:t>52</w:t>
            </w:r>
          </w:p>
        </w:tc>
        <w:tc>
          <w:tcPr>
            <w:tcW w:w="2693" w:type="dxa"/>
            <w:gridSpan w:val="2"/>
            <w:tcBorders>
              <w:top w:val="nil"/>
              <w:bottom w:val="nil"/>
            </w:tcBorders>
          </w:tcPr>
          <w:p>
            <w:pPr>
              <w:pStyle w:val="nTable"/>
              <w:spacing w:after="40"/>
            </w:pPr>
            <w:r>
              <w:t>r. 1 and 2: 4 Oct 2011 (see r. 2(a));</w:t>
            </w:r>
            <w:r>
              <w:br/>
              <w:t>Regulations other than r. 1 and 2: 5 Oct 2011 (see r. 2(b))</w:t>
            </w:r>
          </w:p>
        </w:tc>
      </w:tr>
      <w:tr>
        <w:tc>
          <w:tcPr>
            <w:tcW w:w="3118" w:type="dxa"/>
            <w:tcBorders>
              <w:top w:val="nil"/>
              <w:bottom w:val="nil"/>
            </w:tcBorders>
          </w:tcPr>
          <w:p>
            <w:pPr>
              <w:pStyle w:val="nTable"/>
              <w:spacing w:after="40"/>
              <w:rPr>
                <w:i/>
              </w:rPr>
            </w:pPr>
            <w:r>
              <w:rPr>
                <w:i/>
              </w:rPr>
              <w:t>Dangerous Goods Safety (Security Risk Substances) Amendment Regulations (No. 2) 2012</w:t>
            </w:r>
          </w:p>
        </w:tc>
        <w:tc>
          <w:tcPr>
            <w:tcW w:w="1276" w:type="dxa"/>
            <w:gridSpan w:val="2"/>
            <w:tcBorders>
              <w:top w:val="nil"/>
              <w:bottom w:val="nil"/>
            </w:tcBorders>
          </w:tcPr>
          <w:p>
            <w:pPr>
              <w:pStyle w:val="nTable"/>
              <w:spacing w:after="40"/>
            </w:pPr>
            <w:r>
              <w:t>16 Mar 2012 p. 1259</w:t>
            </w:r>
            <w:r>
              <w:noBreakHyphen/>
              <w:t>62</w:t>
            </w:r>
          </w:p>
        </w:tc>
        <w:tc>
          <w:tcPr>
            <w:tcW w:w="2693" w:type="dxa"/>
            <w:gridSpan w:val="2"/>
            <w:tcBorders>
              <w:top w:val="nil"/>
              <w:bottom w:val="nil"/>
            </w:tcBorders>
          </w:tcPr>
          <w:p>
            <w:pPr>
              <w:pStyle w:val="nTable"/>
              <w:spacing w:after="40"/>
            </w:pPr>
            <w:r>
              <w:t>r. 1 and 2: 16 Mar 2012 (see r. 2(a));</w:t>
            </w:r>
            <w:r>
              <w:br/>
              <w:t>Regulations other than r. 1 and 2: 1 Apr 2012 (see r. 2(b))</w:t>
            </w:r>
          </w:p>
        </w:tc>
      </w:tr>
      <w:tr>
        <w:tc>
          <w:tcPr>
            <w:tcW w:w="3118"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gridSpan w:val="2"/>
            <w:tcBorders>
              <w:top w:val="nil"/>
              <w:left w:val="nil"/>
              <w:bottom w:val="nil"/>
              <w:right w:val="nil"/>
            </w:tcBorders>
          </w:tcPr>
          <w:p>
            <w:pPr>
              <w:pStyle w:val="nTable"/>
              <w:spacing w:after="40"/>
            </w:pPr>
            <w:r>
              <w:t>2 Dec 2013 p. 5499</w:t>
            </w:r>
            <w:r>
              <w:noBreakHyphen/>
              <w:t>515</w:t>
            </w:r>
          </w:p>
        </w:tc>
        <w:tc>
          <w:tcPr>
            <w:tcW w:w="2693" w:type="dxa"/>
            <w:gridSpan w:val="2"/>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c>
          <w:tcPr>
            <w:tcW w:w="7087" w:type="dxa"/>
            <w:gridSpan w:val="5"/>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gridSpan w:val="2"/>
            <w:tcBorders>
              <w:top w:val="nil"/>
              <w:bottom w:val="nil"/>
            </w:tcBorders>
            <w:shd w:val="clear" w:color="auto" w:fill="auto"/>
          </w:tcPr>
          <w:p>
            <w:pPr>
              <w:pStyle w:val="nTable"/>
              <w:spacing w:after="40"/>
              <w:rPr>
                <w:b/>
                <w:bCs/>
                <w:snapToGrid w:val="0"/>
              </w:rPr>
            </w:pPr>
            <w:r>
              <w:t>26 Jun 2015 p. 2263</w:t>
            </w:r>
            <w:r>
              <w:noBreakHyphen/>
              <w:t>4</w:t>
            </w:r>
          </w:p>
        </w:tc>
        <w:tc>
          <w:tcPr>
            <w:tcW w:w="2664"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c>
          <w:tcPr>
            <w:tcW w:w="3147" w:type="dxa"/>
            <w:gridSpan w:val="2"/>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gridSpan w:val="2"/>
            <w:tcBorders>
              <w:top w:val="nil"/>
              <w:bottom w:val="nil"/>
            </w:tcBorders>
            <w:shd w:val="clear" w:color="auto" w:fill="auto"/>
          </w:tcPr>
          <w:p>
            <w:pPr>
              <w:pStyle w:val="nTable"/>
              <w:spacing w:after="40"/>
            </w:pPr>
            <w:r>
              <w:t>5 Feb 2016 p. 343</w:t>
            </w:r>
            <w:r>
              <w:noBreakHyphen/>
              <w:t>68</w:t>
            </w:r>
          </w:p>
        </w:tc>
        <w:tc>
          <w:tcPr>
            <w:tcW w:w="2664" w:type="dxa"/>
            <w:tcBorders>
              <w:top w:val="nil"/>
              <w:bottom w:val="nil"/>
            </w:tcBorders>
            <w:shd w:val="clear" w:color="auto" w:fill="auto"/>
          </w:tcPr>
          <w:p>
            <w:pPr>
              <w:pStyle w:val="nTable"/>
              <w:spacing w:after="40"/>
              <w:rPr>
                <w:bCs/>
                <w:snapToGrid w:val="0"/>
              </w:rPr>
            </w:pPr>
            <w:r>
              <w:rPr>
                <w:bCs/>
                <w:snapToGrid w:val="0"/>
              </w:rPr>
              <w:t>6 Feb 2016 (see r. 2(b))</w:t>
            </w:r>
          </w:p>
        </w:tc>
      </w:tr>
      <w:tr>
        <w:tc>
          <w:tcPr>
            <w:tcW w:w="3147" w:type="dxa"/>
            <w:gridSpan w:val="2"/>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gridSpan w:val="2"/>
            <w:tcBorders>
              <w:top w:val="nil"/>
              <w:bottom w:val="nil"/>
            </w:tcBorders>
            <w:shd w:val="clear" w:color="auto" w:fill="auto"/>
          </w:tcPr>
          <w:p>
            <w:pPr>
              <w:pStyle w:val="nTable"/>
              <w:spacing w:after="40"/>
            </w:pPr>
            <w:r>
              <w:t>24 Jun 2016 p. 2325-34</w:t>
            </w:r>
          </w:p>
        </w:tc>
        <w:tc>
          <w:tcPr>
            <w:tcW w:w="2664" w:type="dxa"/>
            <w:tcBorders>
              <w:top w:val="nil"/>
              <w:bottom w:val="nil"/>
            </w:tcBorders>
            <w:shd w:val="clear" w:color="auto" w:fill="auto"/>
          </w:tcPr>
          <w:p>
            <w:pPr>
              <w:pStyle w:val="nTable"/>
              <w:spacing w:after="40"/>
              <w:rPr>
                <w:bCs/>
                <w:snapToGrid w:val="0"/>
              </w:rPr>
            </w:pPr>
            <w:r>
              <w:rPr>
                <w:bCs/>
                <w:snapToGrid w:val="0"/>
              </w:rPr>
              <w:t>1 Jul 2016 (see r. 2(b))</w:t>
            </w:r>
          </w:p>
        </w:tc>
      </w:tr>
      <w:tr>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gridSpan w:val="2"/>
            <w:tcBorders>
              <w:top w:val="nil"/>
              <w:bottom w:val="nil"/>
            </w:tcBorders>
          </w:tcPr>
          <w:p>
            <w:pPr>
              <w:pStyle w:val="nTable"/>
              <w:keepNext/>
              <w:spacing w:after="40"/>
            </w:pPr>
            <w:r>
              <w:t>3 Mar 2017 p. 1474-82</w:t>
            </w:r>
          </w:p>
        </w:tc>
        <w:tc>
          <w:tcPr>
            <w:tcW w:w="2693" w:type="dxa"/>
            <w:gridSpan w:val="2"/>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4 Mar 2017 (see r. 2(b))</w:t>
            </w:r>
          </w:p>
        </w:tc>
      </w:tr>
      <w:tr>
        <w:trPr>
          <w:ins w:id="185" w:author="Master Repository Process" w:date="2021-08-01T04:03:00Z"/>
        </w:trPr>
        <w:tc>
          <w:tcPr>
            <w:tcW w:w="3119" w:type="dxa"/>
            <w:tcBorders>
              <w:top w:val="nil"/>
              <w:bottom w:val="single" w:sz="4" w:space="0" w:color="auto"/>
            </w:tcBorders>
          </w:tcPr>
          <w:p>
            <w:pPr>
              <w:pStyle w:val="nTable"/>
              <w:spacing w:after="40"/>
              <w:rPr>
                <w:ins w:id="186" w:author="Master Repository Process" w:date="2021-08-01T04:03:00Z"/>
              </w:rPr>
            </w:pPr>
            <w:ins w:id="187" w:author="Master Repository Process" w:date="2021-08-01T04:03:00Z">
              <w:r>
                <w:rPr>
                  <w:i/>
                </w:rPr>
                <w:t>Mines and Petroleum Regulations Amendment (Fees and Charges) Regulations 2017</w:t>
              </w:r>
              <w:r>
                <w:t xml:space="preserve"> Pt. 5</w:t>
              </w:r>
            </w:ins>
          </w:p>
        </w:tc>
        <w:tc>
          <w:tcPr>
            <w:tcW w:w="1276" w:type="dxa"/>
            <w:gridSpan w:val="2"/>
            <w:tcBorders>
              <w:top w:val="nil"/>
              <w:bottom w:val="single" w:sz="4" w:space="0" w:color="auto"/>
            </w:tcBorders>
          </w:tcPr>
          <w:p>
            <w:pPr>
              <w:pStyle w:val="nTable"/>
              <w:spacing w:after="40"/>
              <w:rPr>
                <w:ins w:id="188" w:author="Master Repository Process" w:date="2021-08-01T04:03:00Z"/>
              </w:rPr>
            </w:pPr>
            <w:ins w:id="189" w:author="Master Repository Process" w:date="2021-08-01T04:03:00Z">
              <w:r>
                <w:t>23 Jun 2017 p. 3279</w:t>
              </w:r>
              <w:r>
                <w:noBreakHyphen/>
                <w:t>309</w:t>
              </w:r>
            </w:ins>
          </w:p>
        </w:tc>
        <w:tc>
          <w:tcPr>
            <w:tcW w:w="2693" w:type="dxa"/>
            <w:gridSpan w:val="2"/>
            <w:tcBorders>
              <w:top w:val="nil"/>
              <w:bottom w:val="single" w:sz="4" w:space="0" w:color="auto"/>
            </w:tcBorders>
          </w:tcPr>
          <w:p>
            <w:pPr>
              <w:pStyle w:val="nTable"/>
              <w:spacing w:after="40"/>
              <w:rPr>
                <w:ins w:id="190" w:author="Master Repository Process" w:date="2021-08-01T04:03:00Z"/>
                <w:rFonts w:ascii="Times" w:hAnsi="Times"/>
                <w:bCs/>
                <w:snapToGrid w:val="0"/>
                <w:spacing w:val="-2"/>
              </w:rPr>
            </w:pPr>
            <w:ins w:id="191" w:author="Master Repository Process" w:date="2021-08-01T04:03:00Z">
              <w:r>
                <w:rPr>
                  <w:rFonts w:ascii="Times" w:hAnsi="Times"/>
                  <w:bCs/>
                  <w:snapToGrid w:val="0"/>
                  <w:spacing w:val="-2"/>
                </w:rPr>
                <w:t>1 Jul 2017 (see r. 2(b))</w:t>
              </w:r>
            </w:ins>
          </w:p>
        </w:tc>
      </w:tr>
    </w:tbl>
    <w:p>
      <w:pPr>
        <w:pStyle w:val="nSubsection"/>
      </w:pPr>
      <w:r>
        <w:rPr>
          <w:vertAlign w:val="superscript"/>
        </w:rPr>
        <w:t>2</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3" w:name="Coversheet"/>
    <w:bookmarkEnd w:id="1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302142453"/>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3BDED6B9-163A-46A5-8B0F-F26C7AED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218B7-F729-4875-88A5-B7F98BFC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12139</Words>
  <Characters>56570</Characters>
  <Application>Microsoft Office Word</Application>
  <DocSecurity>0</DocSecurity>
  <Lines>1616</Lines>
  <Paragraphs>1025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01-e0-00 - 01-f0-00</dc:title>
  <dc:subject/>
  <dc:creator/>
  <cp:keywords/>
  <dc:description/>
  <cp:lastModifiedBy>Master Repository Process</cp:lastModifiedBy>
  <cp:revision>2</cp:revision>
  <cp:lastPrinted>2014-02-17T02:34:00Z</cp:lastPrinted>
  <dcterms:created xsi:type="dcterms:W3CDTF">2021-07-31T20:02:00Z</dcterms:created>
  <dcterms:modified xsi:type="dcterms:W3CDTF">2021-07-31T20:03:00Z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2014-02-20T16:00:00Z</vt:filetime>
  </property>
  <property fmtid="{D5CDD505-2E9C-101B-9397-08002B2CF9AE}" pid="7" name="CommencementDate">
    <vt:lpwstr>20170701</vt:lpwstr>
  </property>
  <property fmtid="{D5CDD505-2E9C-101B-9397-08002B2CF9AE}" pid="8" name="FromSuffix">
    <vt:lpwstr>01-e0-00</vt:lpwstr>
  </property>
  <property fmtid="{D5CDD505-2E9C-101B-9397-08002B2CF9AE}" pid="9" name="FromAsAtDate">
    <vt:lpwstr>04 Mar 2017</vt:lpwstr>
  </property>
  <property fmtid="{D5CDD505-2E9C-101B-9397-08002B2CF9AE}" pid="10" name="ToSuffix">
    <vt:lpwstr>01-f0-00</vt:lpwstr>
  </property>
  <property fmtid="{D5CDD505-2E9C-101B-9397-08002B2CF9AE}" pid="11" name="ToAsAtDate">
    <vt:lpwstr>01 Jul 2017</vt:lpwstr>
  </property>
</Properties>
</file>