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Management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2003</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Conservation and Land Management Act 1984</w:t>
      </w:r>
    </w:p>
    <w:p>
      <w:pPr>
        <w:pStyle w:val="NameofActReg"/>
      </w:pPr>
      <w:r>
        <w:t>Forest Management Regulations 1993</w:t>
      </w:r>
    </w:p>
    <w:p>
      <w:pPr>
        <w:pStyle w:val="Heading2"/>
        <w:pageBreakBefore w:val="0"/>
      </w:pPr>
      <w:bookmarkStart w:id="0" w:name="_Toc154984311"/>
      <w:bookmarkStart w:id="1" w:name="_Toc155067116"/>
      <w:bookmarkStart w:id="2" w:name="_Toc155067977"/>
      <w:bookmarkStart w:id="3" w:name="_Toc17020941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38372737"/>
      <w:bookmarkStart w:id="6" w:name="_Toc8187885"/>
      <w:bookmarkStart w:id="7" w:name="_Toc155067978"/>
      <w:bookmarkStart w:id="8" w:name="_Toc170209416"/>
      <w:r>
        <w:rPr>
          <w:rStyle w:val="CharSectno"/>
        </w:rPr>
        <w:t>1</w:t>
      </w:r>
      <w:r>
        <w:rPr>
          <w:snapToGrid w:val="0"/>
        </w:rPr>
        <w:t>.</w:t>
      </w:r>
      <w:r>
        <w:rPr>
          <w:snapToGrid w:val="0"/>
        </w:rPr>
        <w:tab/>
        <w:t>Citation</w:t>
      </w:r>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vertAlign w:val="superscript"/>
        </w:rPr>
        <w:t xml:space="preserve"> 1</w:t>
      </w:r>
      <w:r>
        <w:rPr>
          <w:snapToGrid w:val="0"/>
        </w:rPr>
        <w:t>.</w:t>
      </w:r>
    </w:p>
    <w:p>
      <w:pPr>
        <w:pStyle w:val="Heading5"/>
        <w:rPr>
          <w:snapToGrid w:val="0"/>
        </w:rPr>
      </w:pPr>
      <w:bookmarkStart w:id="9" w:name="_Toc438372738"/>
      <w:bookmarkStart w:id="10" w:name="_Toc8187886"/>
      <w:bookmarkStart w:id="11" w:name="_Toc155067979"/>
      <w:bookmarkStart w:id="12" w:name="_Toc170209417"/>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3" w:author="Master Repository Process" w:date="2021-08-01T15:45:00Z">
        <w:r>
          <w:rPr>
            <w:b/>
          </w:rPr>
          <w:delText>“</w:delText>
        </w:r>
      </w:del>
      <w:r>
        <w:rPr>
          <w:rStyle w:val="CharDefText"/>
        </w:rPr>
        <w:t>apiary site permit</w:t>
      </w:r>
      <w:del w:id="14" w:author="Master Repository Process" w:date="2021-08-01T15:45:00Z">
        <w:r>
          <w:rPr>
            <w:b/>
          </w:rPr>
          <w:delText>”</w:delText>
        </w:r>
      </w:del>
      <w:r>
        <w:t xml:space="preserve"> means a permit referred to in regulation 73(1);</w:t>
      </w:r>
    </w:p>
    <w:p>
      <w:pPr>
        <w:pStyle w:val="Defstart"/>
      </w:pPr>
      <w:r>
        <w:rPr>
          <w:b/>
        </w:rPr>
        <w:tab/>
      </w:r>
      <w:del w:id="15" w:author="Master Repository Process" w:date="2021-08-01T15:45:00Z">
        <w:r>
          <w:rPr>
            <w:b/>
          </w:rPr>
          <w:delText>“</w:delText>
        </w:r>
      </w:del>
      <w:r>
        <w:rPr>
          <w:rStyle w:val="CharDefText"/>
        </w:rPr>
        <w:t>bush landing</w:t>
      </w:r>
      <w:del w:id="16" w:author="Master Repository Process" w:date="2021-08-01T15:45:00Z">
        <w:r>
          <w:rPr>
            <w:b/>
          </w:rPr>
          <w:delText>”</w:delText>
        </w:r>
        <w:r>
          <w:delText>,</w:delText>
        </w:r>
      </w:del>
      <w:ins w:id="17" w:author="Master Repository Process" w:date="2021-08-01T15:45:00Z">
        <w:r>
          <w:t>,</w:t>
        </w:r>
      </w:ins>
      <w:r>
        <w:t xml:space="preserve"> in relation to log timber, means the place in a State forest or timber reserve where the timber is first loaded onto a vehicle for transport or removal after the timber has been felled;</w:t>
      </w:r>
    </w:p>
    <w:p>
      <w:pPr>
        <w:pStyle w:val="Defstart"/>
      </w:pPr>
      <w:r>
        <w:rPr>
          <w:b/>
        </w:rPr>
        <w:tab/>
      </w:r>
      <w:del w:id="18" w:author="Master Repository Process" w:date="2021-08-01T15:45:00Z">
        <w:r>
          <w:rPr>
            <w:b/>
          </w:rPr>
          <w:delText>“</w:delText>
        </w:r>
      </w:del>
      <w:r>
        <w:rPr>
          <w:rStyle w:val="CharDefText"/>
        </w:rPr>
        <w:t>buyer</w:t>
      </w:r>
      <w:del w:id="19" w:author="Master Repository Process" w:date="2021-08-01T15:45:00Z">
        <w:r>
          <w:rPr>
            <w:b/>
          </w:rPr>
          <w:delText>”</w:delText>
        </w:r>
        <w:r>
          <w:delText>,</w:delText>
        </w:r>
      </w:del>
      <w:ins w:id="20" w:author="Master Repository Process" w:date="2021-08-01T15:45:00Z">
        <w:r>
          <w:t>,</w:t>
        </w:r>
      </w:ins>
      <w:r>
        <w:t xml:space="preserve"> in relation to log timber, means the buyer of that timber under a contract of sale;</w:t>
      </w:r>
    </w:p>
    <w:p>
      <w:pPr>
        <w:pStyle w:val="Defstart"/>
      </w:pPr>
      <w:r>
        <w:rPr>
          <w:b/>
        </w:rPr>
        <w:tab/>
      </w:r>
      <w:del w:id="21" w:author="Master Repository Process" w:date="2021-08-01T15:45:00Z">
        <w:r>
          <w:rPr>
            <w:b/>
          </w:rPr>
          <w:delText>“</w:delText>
        </w:r>
      </w:del>
      <w:r>
        <w:rPr>
          <w:rStyle w:val="CharDefText"/>
        </w:rPr>
        <w:t>contract of sale</w:t>
      </w:r>
      <w:del w:id="22" w:author="Master Repository Process" w:date="2021-08-01T15:45:00Z">
        <w:r>
          <w:rPr>
            <w:b/>
          </w:rPr>
          <w:delText>”</w:delText>
        </w:r>
      </w:del>
      <w:r>
        <w:t xml:space="preserve"> means a contract under section 88(1)(b)(i) of the Act in which the Executive Director contracts with any person for the sale of forest produce on or from Crown land;</w:t>
      </w:r>
    </w:p>
    <w:p>
      <w:pPr>
        <w:pStyle w:val="Defstart"/>
      </w:pPr>
      <w:r>
        <w:rPr>
          <w:b/>
        </w:rPr>
        <w:tab/>
      </w:r>
      <w:del w:id="23" w:author="Master Repository Process" w:date="2021-08-01T15:45:00Z">
        <w:r>
          <w:rPr>
            <w:b/>
          </w:rPr>
          <w:delText>“</w:delText>
        </w:r>
      </w:del>
      <w:r>
        <w:rPr>
          <w:rStyle w:val="CharDefText"/>
        </w:rPr>
        <w:t>contract to harvest and deliver</w:t>
      </w:r>
      <w:del w:id="24" w:author="Master Repository Process" w:date="2021-08-01T15:45:00Z">
        <w:r>
          <w:rPr>
            <w:b/>
          </w:rPr>
          <w:delText>”</w:delText>
        </w:r>
      </w:del>
      <w:r>
        <w:t xml:space="preserve"> means a contract under section 88(1)(b)(ii) of the Act in which the Executive Director contracts with any person for that person to harvest log timber on Crown land and to deliver that timber to the buyer;</w:t>
      </w:r>
    </w:p>
    <w:p>
      <w:pPr>
        <w:pStyle w:val="Defstart"/>
      </w:pPr>
      <w:r>
        <w:rPr>
          <w:b/>
        </w:rPr>
        <w:lastRenderedPageBreak/>
        <w:tab/>
      </w:r>
      <w:del w:id="25" w:author="Master Repository Process" w:date="2021-08-01T15:45:00Z">
        <w:r>
          <w:rPr>
            <w:b/>
          </w:rPr>
          <w:delText>“</w:delText>
        </w:r>
      </w:del>
      <w:r>
        <w:rPr>
          <w:rStyle w:val="CharDefText"/>
        </w:rPr>
        <w:t>contractor</w:t>
      </w:r>
      <w:del w:id="26" w:author="Master Repository Process" w:date="2021-08-01T15:45:00Z">
        <w:r>
          <w:rPr>
            <w:b/>
          </w:rPr>
          <w:delText>”</w:delText>
        </w:r>
        <w:r>
          <w:delText>,</w:delText>
        </w:r>
      </w:del>
      <w:ins w:id="27" w:author="Master Repository Process" w:date="2021-08-01T15:45:00Z">
        <w:r>
          <w:t>,</w:t>
        </w:r>
      </w:ins>
      <w:r>
        <w:t xml:space="preserve"> in relation to a contract to harvest and deliver, means the person contracting with the Executive Director under that contract;</w:t>
      </w:r>
    </w:p>
    <w:p>
      <w:pPr>
        <w:pStyle w:val="Defstart"/>
      </w:pPr>
      <w:r>
        <w:rPr>
          <w:b/>
        </w:rPr>
        <w:tab/>
      </w:r>
      <w:del w:id="28" w:author="Master Repository Process" w:date="2021-08-01T15:45:00Z">
        <w:r>
          <w:rPr>
            <w:b/>
          </w:rPr>
          <w:delText>“</w:delText>
        </w:r>
      </w:del>
      <w:r>
        <w:rPr>
          <w:rStyle w:val="CharDefText"/>
        </w:rPr>
        <w:t>coupe</w:t>
      </w:r>
      <w:del w:id="29" w:author="Master Repository Process" w:date="2021-08-01T15:45:00Z">
        <w:r>
          <w:rPr>
            <w:b/>
          </w:rPr>
          <w:delText>”</w:delText>
        </w:r>
      </w:del>
      <w:r>
        <w:t xml:space="preserve"> means an area in a State forest or timber reserve that is set aside for the purpose of logging in a logging plan;</w:t>
      </w:r>
    </w:p>
    <w:p>
      <w:pPr>
        <w:pStyle w:val="Defstart"/>
      </w:pPr>
      <w:r>
        <w:rPr>
          <w:b/>
        </w:rPr>
        <w:tab/>
      </w:r>
      <w:del w:id="30" w:author="Master Repository Process" w:date="2021-08-01T15:45:00Z">
        <w:r>
          <w:rPr>
            <w:b/>
          </w:rPr>
          <w:delText>“</w:delText>
        </w:r>
      </w:del>
      <w:r>
        <w:rPr>
          <w:rStyle w:val="CharDefText"/>
        </w:rPr>
        <w:t>Crown land</w:t>
      </w:r>
      <w:del w:id="31" w:author="Master Repository Process" w:date="2021-08-01T15:45:00Z">
        <w:r>
          <w:rPr>
            <w:b/>
          </w:rPr>
          <w:delText>”</w:delText>
        </w:r>
      </w:del>
      <w:r>
        <w:t xml:space="preserve"> has the same meaning as in section 87 of the Act;</w:t>
      </w:r>
    </w:p>
    <w:p>
      <w:pPr>
        <w:pStyle w:val="Defstart"/>
      </w:pPr>
      <w:r>
        <w:rPr>
          <w:b/>
        </w:rPr>
        <w:tab/>
      </w:r>
      <w:del w:id="32" w:author="Master Repository Process" w:date="2021-08-01T15:45:00Z">
        <w:r>
          <w:rPr>
            <w:b/>
          </w:rPr>
          <w:delText>“</w:delText>
        </w:r>
      </w:del>
      <w:r>
        <w:rPr>
          <w:rStyle w:val="CharDefText"/>
        </w:rPr>
        <w:t>district</w:t>
      </w:r>
      <w:del w:id="33" w:author="Master Repository Process" w:date="2021-08-01T15:45:00Z">
        <w:r>
          <w:rPr>
            <w:b/>
          </w:rPr>
          <w:delText>”</w:delText>
        </w:r>
      </w:del>
      <w:r>
        <w:t xml:space="preserve"> means a district designated by the Executive Director for the administrative purposes of the Department;</w:t>
      </w:r>
    </w:p>
    <w:p>
      <w:pPr>
        <w:pStyle w:val="Defstart"/>
      </w:pPr>
      <w:r>
        <w:rPr>
          <w:b/>
        </w:rPr>
        <w:tab/>
      </w:r>
      <w:del w:id="34" w:author="Master Repository Process" w:date="2021-08-01T15:45:00Z">
        <w:r>
          <w:rPr>
            <w:b/>
          </w:rPr>
          <w:delText>“</w:delText>
        </w:r>
      </w:del>
      <w:r>
        <w:rPr>
          <w:rStyle w:val="CharDefText"/>
        </w:rPr>
        <w:t>fell</w:t>
      </w:r>
      <w:del w:id="35" w:author="Master Repository Process" w:date="2021-08-01T15:45:00Z">
        <w:r>
          <w:rPr>
            <w:b/>
          </w:rPr>
          <w:delText>”</w:delText>
        </w:r>
      </w:del>
      <w:r>
        <w:t xml:space="preserve"> includes fell by machine;</w:t>
      </w:r>
    </w:p>
    <w:p>
      <w:pPr>
        <w:pStyle w:val="Defstart"/>
      </w:pPr>
      <w:r>
        <w:rPr>
          <w:b/>
        </w:rPr>
        <w:tab/>
      </w:r>
      <w:del w:id="36" w:author="Master Repository Process" w:date="2021-08-01T15:45:00Z">
        <w:r>
          <w:rPr>
            <w:b/>
          </w:rPr>
          <w:delText>“</w:delText>
        </w:r>
      </w:del>
      <w:r>
        <w:rPr>
          <w:rStyle w:val="CharDefText"/>
        </w:rPr>
        <w:t>feller’s identification code</w:t>
      </w:r>
      <w:del w:id="37" w:author="Master Repository Process" w:date="2021-08-01T15:45:00Z">
        <w:r>
          <w:rPr>
            <w:b/>
          </w:rPr>
          <w:delText>”</w:delText>
        </w:r>
      </w:del>
      <w:r>
        <w:t xml:space="preserve"> means an identification code registered in respect of a feller under regulation 26;</w:t>
      </w:r>
    </w:p>
    <w:p>
      <w:pPr>
        <w:pStyle w:val="Defstart"/>
      </w:pPr>
      <w:r>
        <w:rPr>
          <w:b/>
        </w:rPr>
        <w:tab/>
      </w:r>
      <w:del w:id="38" w:author="Master Repository Process" w:date="2021-08-01T15:45:00Z">
        <w:r>
          <w:rPr>
            <w:b/>
          </w:rPr>
          <w:delText>“</w:delText>
        </w:r>
      </w:del>
      <w:r>
        <w:rPr>
          <w:rStyle w:val="CharDefText"/>
        </w:rPr>
        <w:t>forest produce licence</w:t>
      </w:r>
      <w:del w:id="39" w:author="Master Repository Process" w:date="2021-08-01T15:45:00Z">
        <w:r>
          <w:rPr>
            <w:b/>
          </w:rPr>
          <w:delText>”</w:delText>
        </w:r>
      </w:del>
      <w:r>
        <w:t xml:space="preserve"> means a licence granted by the Executive Director under section 88(1)(a) of the Act to take forest produce on or from Crown land;</w:t>
      </w:r>
    </w:p>
    <w:p>
      <w:pPr>
        <w:pStyle w:val="Defstart"/>
      </w:pPr>
      <w:r>
        <w:rPr>
          <w:b/>
        </w:rPr>
        <w:tab/>
      </w:r>
      <w:del w:id="40" w:author="Master Repository Process" w:date="2021-08-01T15:45:00Z">
        <w:r>
          <w:rPr>
            <w:b/>
          </w:rPr>
          <w:delText>“</w:delText>
        </w:r>
      </w:del>
      <w:r>
        <w:rPr>
          <w:rStyle w:val="CharDefText"/>
        </w:rPr>
        <w:t>log delivery note</w:t>
      </w:r>
      <w:del w:id="41" w:author="Master Repository Process" w:date="2021-08-01T15:45:00Z">
        <w:r>
          <w:rPr>
            <w:b/>
          </w:rPr>
          <w:delText>”</w:delText>
        </w:r>
      </w:del>
      <w:r>
        <w:t xml:space="preserve"> means a log delivery note referred to in Part 5;</w:t>
      </w:r>
    </w:p>
    <w:p>
      <w:pPr>
        <w:pStyle w:val="Defstart"/>
      </w:pPr>
      <w:r>
        <w:rPr>
          <w:b/>
        </w:rPr>
        <w:tab/>
      </w:r>
      <w:del w:id="42" w:author="Master Repository Process" w:date="2021-08-01T15:45:00Z">
        <w:r>
          <w:rPr>
            <w:b/>
          </w:rPr>
          <w:delText>“</w:delText>
        </w:r>
      </w:del>
      <w:r>
        <w:rPr>
          <w:rStyle w:val="CharDefText"/>
        </w:rPr>
        <w:t>logging plan</w:t>
      </w:r>
      <w:del w:id="43" w:author="Master Repository Process" w:date="2021-08-01T15:45:00Z">
        <w:r>
          <w:rPr>
            <w:b/>
          </w:rPr>
          <w:delText>”</w:delText>
        </w:r>
      </w:del>
      <w:r>
        <w:t xml:space="preserve"> means a plan formulated by the Department for the logging of timber in State forests and timber reserves in a district;</w:t>
      </w:r>
    </w:p>
    <w:p>
      <w:pPr>
        <w:pStyle w:val="Defstart"/>
      </w:pPr>
      <w:r>
        <w:rPr>
          <w:b/>
        </w:rPr>
        <w:tab/>
      </w:r>
      <w:del w:id="44" w:author="Master Repository Process" w:date="2021-08-01T15:45:00Z">
        <w:r>
          <w:rPr>
            <w:b/>
          </w:rPr>
          <w:delText>“</w:delText>
        </w:r>
      </w:del>
      <w:r>
        <w:rPr>
          <w:rStyle w:val="CharDefText"/>
        </w:rPr>
        <w:t>manager</w:t>
      </w:r>
      <w:del w:id="45" w:author="Master Repository Process" w:date="2021-08-01T15:45:00Z">
        <w:r>
          <w:rPr>
            <w:b/>
          </w:rPr>
          <w:delText>”</w:delText>
        </w:r>
        <w:r>
          <w:delText>,</w:delText>
        </w:r>
      </w:del>
      <w:ins w:id="46" w:author="Master Repository Process" w:date="2021-08-01T15:45:00Z">
        <w:r>
          <w:t>,</w:t>
        </w:r>
      </w:ins>
      <w:r>
        <w:t xml:space="preserve"> in relation to a sawmill, means a person having the immediate charge and direction of operations at a sawmill;</w:t>
      </w:r>
    </w:p>
    <w:p>
      <w:pPr>
        <w:pStyle w:val="Defstart"/>
      </w:pPr>
      <w:r>
        <w:rPr>
          <w:b/>
        </w:rPr>
        <w:tab/>
      </w:r>
      <w:del w:id="47" w:author="Master Repository Process" w:date="2021-08-01T15:45:00Z">
        <w:r>
          <w:rPr>
            <w:b/>
          </w:rPr>
          <w:delText>“</w:delText>
        </w:r>
      </w:del>
      <w:r>
        <w:rPr>
          <w:rStyle w:val="CharDefText"/>
        </w:rPr>
        <w:t>owner</w:t>
      </w:r>
      <w:del w:id="48" w:author="Master Repository Process" w:date="2021-08-01T15:45:00Z">
        <w:r>
          <w:rPr>
            <w:b/>
          </w:rPr>
          <w:delText>”</w:delText>
        </w:r>
        <w:r>
          <w:delText>,</w:delText>
        </w:r>
      </w:del>
      <w:ins w:id="49" w:author="Master Repository Process" w:date="2021-08-01T15:45:00Z">
        <w:r>
          <w:t>,</w:t>
        </w:r>
      </w:ins>
      <w:r>
        <w:t xml:space="preserve"> in relation to private land, means any person who is registered as the proprietor of an estate in fee simple in that land;</w:t>
      </w:r>
    </w:p>
    <w:p>
      <w:pPr>
        <w:pStyle w:val="Defstart"/>
      </w:pPr>
      <w:r>
        <w:rPr>
          <w:b/>
        </w:rPr>
        <w:tab/>
      </w:r>
      <w:del w:id="50" w:author="Master Repository Process" w:date="2021-08-01T15:45:00Z">
        <w:r>
          <w:rPr>
            <w:b/>
          </w:rPr>
          <w:delText>“</w:delText>
        </w:r>
      </w:del>
      <w:r>
        <w:rPr>
          <w:rStyle w:val="CharDefText"/>
        </w:rPr>
        <w:t>owner</w:t>
      </w:r>
      <w:del w:id="51" w:author="Master Repository Process" w:date="2021-08-01T15:45:00Z">
        <w:r>
          <w:rPr>
            <w:b/>
          </w:rPr>
          <w:delText>”</w:delText>
        </w:r>
        <w:r>
          <w:delText>,</w:delText>
        </w:r>
      </w:del>
      <w:ins w:id="52" w:author="Master Repository Process" w:date="2021-08-01T15:45:00Z">
        <w:r>
          <w:t>,</w:t>
        </w:r>
      </w:ins>
      <w:r>
        <w:t xml:space="preserve"> in relation to a sawmill, means any person who is the proprietor, lessee or occupier of the sawmill and includes a person in occupation under contract with the owner or under a subcontract;</w:t>
      </w:r>
    </w:p>
    <w:p>
      <w:pPr>
        <w:pStyle w:val="Defstart"/>
      </w:pPr>
      <w:r>
        <w:rPr>
          <w:b/>
        </w:rPr>
        <w:tab/>
      </w:r>
      <w:del w:id="53" w:author="Master Repository Process" w:date="2021-08-01T15:45:00Z">
        <w:r>
          <w:rPr>
            <w:b/>
          </w:rPr>
          <w:delText>“</w:delText>
        </w:r>
      </w:del>
      <w:r>
        <w:rPr>
          <w:rStyle w:val="CharDefText"/>
        </w:rPr>
        <w:t>owner’s identification code</w:t>
      </w:r>
      <w:del w:id="54" w:author="Master Repository Process" w:date="2021-08-01T15:45:00Z">
        <w:r>
          <w:rPr>
            <w:b/>
          </w:rPr>
          <w:delText>”</w:delText>
        </w:r>
      </w:del>
      <w:r>
        <w:t xml:space="preserve"> means an identification code registered in respect of the owner or owners of private land under regulation 29;</w:t>
      </w:r>
    </w:p>
    <w:p>
      <w:pPr>
        <w:pStyle w:val="Defstart"/>
      </w:pPr>
      <w:r>
        <w:rPr>
          <w:b/>
        </w:rPr>
        <w:tab/>
      </w:r>
      <w:del w:id="55" w:author="Master Repository Process" w:date="2021-08-01T15:45:00Z">
        <w:r>
          <w:rPr>
            <w:b/>
          </w:rPr>
          <w:delText>“</w:delText>
        </w:r>
      </w:del>
      <w:r>
        <w:rPr>
          <w:rStyle w:val="CharDefText"/>
        </w:rPr>
        <w:t>permit</w:t>
      </w:r>
      <w:del w:id="56" w:author="Master Repository Process" w:date="2021-08-01T15:45:00Z">
        <w:r>
          <w:rPr>
            <w:b/>
          </w:rPr>
          <w:delText>”</w:delText>
        </w:r>
      </w:del>
      <w:r>
        <w:t xml:space="preserve"> means a permit granted by the Executive Director under section 88(1)(a) of the Act to take forest produce on or from Crown land;</w:t>
      </w:r>
    </w:p>
    <w:p>
      <w:pPr>
        <w:pStyle w:val="Defstart"/>
      </w:pPr>
      <w:r>
        <w:rPr>
          <w:b/>
        </w:rPr>
        <w:tab/>
      </w:r>
      <w:del w:id="57" w:author="Master Repository Process" w:date="2021-08-01T15:45:00Z">
        <w:r>
          <w:rPr>
            <w:b/>
          </w:rPr>
          <w:delText>“</w:delText>
        </w:r>
      </w:del>
      <w:r>
        <w:rPr>
          <w:rStyle w:val="CharDefText"/>
        </w:rPr>
        <w:t>private land</w:t>
      </w:r>
      <w:del w:id="58" w:author="Master Repository Process" w:date="2021-08-01T15:45:00Z">
        <w:r>
          <w:rPr>
            <w:b/>
          </w:rPr>
          <w:delText>”</w:delText>
        </w:r>
      </w:del>
      <w:r>
        <w:t xml:space="preserve"> means land other than public land;</w:t>
      </w:r>
    </w:p>
    <w:p>
      <w:pPr>
        <w:pStyle w:val="Defstart"/>
      </w:pPr>
      <w:r>
        <w:rPr>
          <w:b/>
        </w:rPr>
        <w:tab/>
      </w:r>
      <w:del w:id="59" w:author="Master Repository Process" w:date="2021-08-01T15:45:00Z">
        <w:r>
          <w:rPr>
            <w:b/>
          </w:rPr>
          <w:delText>“</w:delText>
        </w:r>
      </w:del>
      <w:r>
        <w:rPr>
          <w:rStyle w:val="CharDefText"/>
        </w:rPr>
        <w:t>product type</w:t>
      </w:r>
      <w:del w:id="60" w:author="Master Repository Process" w:date="2021-08-01T15:45:00Z">
        <w:r>
          <w:rPr>
            <w:b/>
          </w:rPr>
          <w:delText>”</w:delText>
        </w:r>
        <w:r>
          <w:delText>,</w:delText>
        </w:r>
      </w:del>
      <w:ins w:id="61" w:author="Master Repository Process" w:date="2021-08-01T15:45:00Z">
        <w:r>
          <w:t>,</w:t>
        </w:r>
      </w:ins>
      <w:r>
        <w:t xml:space="preserve">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del w:id="62" w:author="Master Repository Process" w:date="2021-08-01T15:45:00Z">
        <w:r>
          <w:rPr>
            <w:b/>
          </w:rPr>
          <w:delText>“</w:delText>
        </w:r>
      </w:del>
      <w:r>
        <w:rPr>
          <w:rStyle w:val="CharDefText"/>
        </w:rPr>
        <w:t>public land</w:t>
      </w:r>
      <w:del w:id="63" w:author="Master Repository Process" w:date="2021-08-01T15:45:00Z">
        <w:r>
          <w:rPr>
            <w:b/>
          </w:rPr>
          <w:delText>”</w:delText>
        </w:r>
      </w:del>
      <w:r>
        <w:t xml:space="preserve"> has the same meaning as in section 81 of the Act;</w:t>
      </w:r>
    </w:p>
    <w:p>
      <w:pPr>
        <w:pStyle w:val="Defstart"/>
      </w:pPr>
      <w:r>
        <w:rPr>
          <w:b/>
        </w:rPr>
        <w:tab/>
      </w:r>
      <w:del w:id="64" w:author="Master Repository Process" w:date="2021-08-01T15:45:00Z">
        <w:r>
          <w:rPr>
            <w:b/>
          </w:rPr>
          <w:delText>“</w:delText>
        </w:r>
      </w:del>
      <w:r>
        <w:rPr>
          <w:rStyle w:val="CharDefText"/>
        </w:rPr>
        <w:t>receival record</w:t>
      </w:r>
      <w:del w:id="65" w:author="Master Repository Process" w:date="2021-08-01T15:45:00Z">
        <w:r>
          <w:rPr>
            <w:b/>
          </w:rPr>
          <w:delText>”</w:delText>
        </w:r>
      </w:del>
      <w:r>
        <w:t xml:space="preserve"> means a record referred to in Part 8;</w:t>
      </w:r>
    </w:p>
    <w:p>
      <w:pPr>
        <w:pStyle w:val="Defstart"/>
      </w:pPr>
      <w:r>
        <w:tab/>
      </w:r>
      <w:del w:id="66" w:author="Master Repository Process" w:date="2021-08-01T15:45:00Z">
        <w:r>
          <w:rPr>
            <w:b/>
          </w:rPr>
          <w:delText>“</w:delText>
        </w:r>
      </w:del>
      <w:r>
        <w:rPr>
          <w:rStyle w:val="CharDefText"/>
        </w:rPr>
        <w:t>repealed Act</w:t>
      </w:r>
      <w:del w:id="67" w:author="Master Repository Process" w:date="2021-08-01T15:45:00Z">
        <w:r>
          <w:rPr>
            <w:b/>
          </w:rPr>
          <w:delText>”</w:delText>
        </w:r>
      </w:del>
      <w:r>
        <w:t xml:space="preserve"> means the </w:t>
      </w:r>
      <w:r>
        <w:rPr>
          <w:i/>
        </w:rPr>
        <w:t>Forests Act 1918</w:t>
      </w:r>
      <w:r>
        <w:t xml:space="preserve"> repealed by section 147 of the </w:t>
      </w:r>
      <w:r>
        <w:rPr>
          <w:i/>
        </w:rPr>
        <w:t>Conservation and Land Management Act 1984</w:t>
      </w:r>
      <w:r>
        <w:t>;</w:t>
      </w:r>
    </w:p>
    <w:p>
      <w:pPr>
        <w:pStyle w:val="Defstart"/>
        <w:keepNext/>
      </w:pPr>
      <w:r>
        <w:rPr>
          <w:b/>
        </w:rPr>
        <w:tab/>
      </w:r>
      <w:del w:id="68" w:author="Master Repository Process" w:date="2021-08-01T15:45:00Z">
        <w:r>
          <w:rPr>
            <w:b/>
          </w:rPr>
          <w:delText>“</w:delText>
        </w:r>
      </w:del>
      <w:r>
        <w:rPr>
          <w:rStyle w:val="CharDefText"/>
        </w:rPr>
        <w:t>repealed regulations</w:t>
      </w:r>
      <w:del w:id="69" w:author="Master Repository Process" w:date="2021-08-01T15:45:00Z">
        <w:r>
          <w:rPr>
            <w:b/>
          </w:rPr>
          <w:delText>”</w:delText>
        </w:r>
      </w:del>
      <w:r>
        <w:t xml:space="preserve"> means — </w:t>
      </w:r>
    </w:p>
    <w:p>
      <w:pPr>
        <w:pStyle w:val="Defpara"/>
      </w:pPr>
      <w:r>
        <w:tab/>
        <w:t>(a)</w:t>
      </w:r>
      <w:r>
        <w:tab/>
        <w:t xml:space="preserve">the </w:t>
      </w:r>
      <w:r>
        <w:rPr>
          <w:i/>
        </w:rPr>
        <w:t>Forest Regulations 1957</w:t>
      </w:r>
      <w:r>
        <w:t xml:space="preserve"> repealed by regulation 153(1); or</w:t>
      </w:r>
    </w:p>
    <w:p>
      <w:pPr>
        <w:pStyle w:val="Defpara"/>
      </w:pPr>
      <w:r>
        <w:tab/>
        <w:t>(b)</w:t>
      </w:r>
      <w:r>
        <w:tab/>
        <w:t xml:space="preserve">the </w:t>
      </w:r>
      <w:r>
        <w:rPr>
          <w:i/>
        </w:rPr>
        <w:t xml:space="preserve">Forest Diseases Regulations 1975 </w:t>
      </w:r>
      <w:r>
        <w:t xml:space="preserve">repealed by regulation 153(2); </w:t>
      </w:r>
    </w:p>
    <w:p>
      <w:pPr>
        <w:pStyle w:val="Defstart"/>
      </w:pPr>
      <w:r>
        <w:tab/>
      </w:r>
      <w:del w:id="70" w:author="Master Repository Process" w:date="2021-08-01T15:45:00Z">
        <w:r>
          <w:rPr>
            <w:b/>
          </w:rPr>
          <w:delText>“</w:delText>
        </w:r>
      </w:del>
      <w:r>
        <w:rPr>
          <w:rStyle w:val="CharDefText"/>
        </w:rPr>
        <w:t>sawmill</w:t>
      </w:r>
      <w:del w:id="71" w:author="Master Repository Process" w:date="2021-08-01T15:45:00Z">
        <w:r>
          <w:rPr>
            <w:b/>
          </w:rPr>
          <w:delText>”</w:delText>
        </w:r>
      </w:del>
      <w:r>
        <w:t xml:space="preserve"> means a sawmill registered under the </w:t>
      </w:r>
      <w:r>
        <w:rPr>
          <w:i/>
        </w:rPr>
        <w:t>Timber Industry Regulation Act 1926</w:t>
      </w:r>
      <w:r>
        <w:t xml:space="preserve"> and includes any land or buildings in the vicinity of the sawmill that are used for the storage of log timber or for other purposes ancillary to the use of the sawmill;</w:t>
      </w:r>
    </w:p>
    <w:p>
      <w:pPr>
        <w:pStyle w:val="Defstart"/>
      </w:pPr>
      <w:r>
        <w:rPr>
          <w:b/>
        </w:rPr>
        <w:tab/>
      </w:r>
      <w:del w:id="72" w:author="Master Repository Process" w:date="2021-08-01T15:45:00Z">
        <w:r>
          <w:rPr>
            <w:b/>
          </w:rPr>
          <w:delText>“</w:delText>
        </w:r>
      </w:del>
      <w:r>
        <w:rPr>
          <w:rStyle w:val="CharDefText"/>
        </w:rPr>
        <w:t>softwood</w:t>
      </w:r>
      <w:del w:id="73" w:author="Master Repository Process" w:date="2021-08-01T15:45:00Z">
        <w:r>
          <w:rPr>
            <w:b/>
          </w:rPr>
          <w:delText>”</w:delText>
        </w:r>
      </w:del>
      <w:r>
        <w:t xml:space="preserve"> means timber of the class </w:t>
      </w:r>
      <w:r>
        <w:rPr>
          <w:i/>
        </w:rPr>
        <w:t>Coniferae</w:t>
      </w:r>
      <w:r>
        <w:t xml:space="preserve"> (Conifers);</w:t>
      </w:r>
    </w:p>
    <w:p>
      <w:pPr>
        <w:pStyle w:val="Defstart"/>
      </w:pPr>
      <w:r>
        <w:rPr>
          <w:b/>
        </w:rPr>
        <w:tab/>
      </w:r>
      <w:del w:id="74" w:author="Master Repository Process" w:date="2021-08-01T15:45:00Z">
        <w:r>
          <w:rPr>
            <w:b/>
          </w:rPr>
          <w:delText>“</w:delText>
        </w:r>
      </w:del>
      <w:r>
        <w:rPr>
          <w:rStyle w:val="CharDefText"/>
        </w:rPr>
        <w:t>State forest</w:t>
      </w:r>
      <w:del w:id="75" w:author="Master Repository Process" w:date="2021-08-01T15:45:00Z">
        <w:r>
          <w:rPr>
            <w:b/>
          </w:rPr>
          <w:delText>”</w:delText>
        </w:r>
      </w:del>
      <w:r>
        <w:t xml:space="preserve"> includes land to which section 131 of the Act applies;</w:t>
      </w:r>
    </w:p>
    <w:p>
      <w:pPr>
        <w:pStyle w:val="Defstart"/>
      </w:pPr>
      <w:r>
        <w:rPr>
          <w:b/>
        </w:rPr>
        <w:tab/>
      </w:r>
      <w:del w:id="76" w:author="Master Repository Process" w:date="2021-08-01T15:45:00Z">
        <w:r>
          <w:rPr>
            <w:b/>
          </w:rPr>
          <w:delText>“</w:delText>
        </w:r>
      </w:del>
      <w:r>
        <w:rPr>
          <w:rStyle w:val="CharDefText"/>
        </w:rPr>
        <w:t>timber harvesting</w:t>
      </w:r>
      <w:del w:id="77" w:author="Master Repository Process" w:date="2021-08-01T15:45:00Z">
        <w:r>
          <w:rPr>
            <w:b/>
          </w:rPr>
          <w:delText>”</w:delText>
        </w:r>
      </w:del>
      <w:r>
        <w:t xml:space="preserve"> means the felling, trimming, docking, splitting, debarking, extracting, sorting or loading of timber and includes the supervision of any of those activities;</w:t>
      </w:r>
    </w:p>
    <w:p>
      <w:pPr>
        <w:pStyle w:val="Defstart"/>
      </w:pPr>
      <w:r>
        <w:rPr>
          <w:b/>
        </w:rPr>
        <w:tab/>
      </w:r>
      <w:del w:id="78" w:author="Master Repository Process" w:date="2021-08-01T15:45:00Z">
        <w:r>
          <w:rPr>
            <w:b/>
          </w:rPr>
          <w:delText>“</w:delText>
        </w:r>
      </w:del>
      <w:r>
        <w:rPr>
          <w:rStyle w:val="CharDefText"/>
        </w:rPr>
        <w:t>tree</w:t>
      </w:r>
      <w:del w:id="79" w:author="Master Repository Process" w:date="2021-08-01T15:45:00Z">
        <w:r>
          <w:rPr>
            <w:b/>
          </w:rPr>
          <w:delText>”</w:delText>
        </w:r>
      </w:del>
      <w:r>
        <w:t xml:space="preserve"> includes a tree that is dead provided the tree is still standing;</w:t>
      </w:r>
    </w:p>
    <w:p>
      <w:pPr>
        <w:pStyle w:val="Defstart"/>
      </w:pPr>
      <w:r>
        <w:rPr>
          <w:b/>
        </w:rPr>
        <w:tab/>
      </w:r>
      <w:del w:id="80" w:author="Master Repository Process" w:date="2021-08-01T15:45:00Z">
        <w:r>
          <w:rPr>
            <w:b/>
          </w:rPr>
          <w:delText>“</w:delText>
        </w:r>
      </w:del>
      <w:r>
        <w:rPr>
          <w:rStyle w:val="CharDefText"/>
        </w:rPr>
        <w:t>working day</w:t>
      </w:r>
      <w:del w:id="81" w:author="Master Repository Process" w:date="2021-08-01T15:45:00Z">
        <w:r>
          <w:rPr>
            <w:b/>
          </w:rPr>
          <w:delText>”</w:delText>
        </w:r>
      </w:del>
      <w:r>
        <w:t xml:space="preserve"> means a day other than a Saturday, Sunday, public service holiday or a bank holiday or public holiday (either throughout the State or in the part of the State relevant to the event, act or thing concerned).</w:t>
      </w:r>
    </w:p>
    <w:p>
      <w:pPr>
        <w:pStyle w:val="Footnotesection"/>
      </w:pPr>
      <w:r>
        <w:tab/>
        <w:t xml:space="preserve">[Regulation 2 amended in Gazette 29 March 1996 p.1505; 21 April 1998 p.2113; 3 May 2002 p.2294.] </w:t>
      </w:r>
    </w:p>
    <w:p>
      <w:pPr>
        <w:pStyle w:val="Heading5"/>
        <w:rPr>
          <w:snapToGrid w:val="0"/>
        </w:rPr>
      </w:pPr>
      <w:bookmarkStart w:id="82" w:name="_Toc438372739"/>
      <w:bookmarkStart w:id="83" w:name="_Toc8187887"/>
      <w:bookmarkStart w:id="84" w:name="_Toc155067980"/>
      <w:bookmarkStart w:id="85" w:name="_Toc170209418"/>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86" w:name="_Toc154984315"/>
      <w:bookmarkStart w:id="87" w:name="_Toc155067120"/>
      <w:bookmarkStart w:id="88" w:name="_Toc155067981"/>
      <w:bookmarkStart w:id="89" w:name="_Toc170209419"/>
      <w:r>
        <w:rPr>
          <w:rStyle w:val="CharPartNo"/>
        </w:rPr>
        <w:t>Part 2</w:t>
      </w:r>
      <w:r>
        <w:rPr>
          <w:rStyle w:val="CharDivNo"/>
        </w:rPr>
        <w:t> </w:t>
      </w:r>
      <w:r>
        <w:t>—</w:t>
      </w:r>
      <w:r>
        <w:rPr>
          <w:rStyle w:val="CharDivText"/>
        </w:rPr>
        <w:t> </w:t>
      </w:r>
      <w:r>
        <w:rPr>
          <w:rStyle w:val="CharPartText"/>
        </w:rPr>
        <w:t>Registration of timber workers</w:t>
      </w:r>
      <w:bookmarkEnd w:id="86"/>
      <w:bookmarkEnd w:id="87"/>
      <w:bookmarkEnd w:id="88"/>
      <w:bookmarkEnd w:id="89"/>
      <w:r>
        <w:rPr>
          <w:rStyle w:val="CharPartText"/>
        </w:rPr>
        <w:t xml:space="preserve"> </w:t>
      </w:r>
    </w:p>
    <w:p>
      <w:pPr>
        <w:pStyle w:val="Heading5"/>
        <w:rPr>
          <w:snapToGrid w:val="0"/>
        </w:rPr>
      </w:pPr>
      <w:bookmarkStart w:id="90" w:name="_Toc438372740"/>
      <w:bookmarkStart w:id="91" w:name="_Toc8187888"/>
      <w:bookmarkStart w:id="92" w:name="_Toc155067982"/>
      <w:bookmarkStart w:id="93" w:name="_Toc170209420"/>
      <w:r>
        <w:rPr>
          <w:rStyle w:val="CharSectno"/>
        </w:rPr>
        <w:t>4</w:t>
      </w:r>
      <w:r>
        <w:rPr>
          <w:snapToGrid w:val="0"/>
        </w:rPr>
        <w:t>.</w:t>
      </w:r>
      <w:r>
        <w:rPr>
          <w:snapToGrid w:val="0"/>
        </w:rPr>
        <w:tab/>
        <w:t>Interpretation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94" w:author="Master Repository Process" w:date="2021-08-01T15:45:00Z">
        <w:r>
          <w:rPr>
            <w:b/>
          </w:rPr>
          <w:delText>“</w:delText>
        </w:r>
      </w:del>
      <w:r>
        <w:rPr>
          <w:rStyle w:val="CharDefText"/>
        </w:rPr>
        <w:t>certificate of registration</w:t>
      </w:r>
      <w:del w:id="95" w:author="Master Repository Process" w:date="2021-08-01T15:45:00Z">
        <w:r>
          <w:rPr>
            <w:b/>
          </w:rPr>
          <w:delText>”</w:delText>
        </w:r>
      </w:del>
      <w:r>
        <w:t xml:space="preserve"> means a certificate of registration issued under regulation 13;</w:t>
      </w:r>
    </w:p>
    <w:p>
      <w:pPr>
        <w:pStyle w:val="Defstart"/>
      </w:pPr>
      <w:r>
        <w:rPr>
          <w:b/>
        </w:rPr>
        <w:tab/>
      </w:r>
      <w:del w:id="96" w:author="Master Repository Process" w:date="2021-08-01T15:45:00Z">
        <w:r>
          <w:rPr>
            <w:b/>
          </w:rPr>
          <w:delText>“</w:delText>
        </w:r>
      </w:del>
      <w:r>
        <w:rPr>
          <w:rStyle w:val="CharDefText"/>
        </w:rPr>
        <w:t>registration</w:t>
      </w:r>
      <w:del w:id="97" w:author="Master Repository Process" w:date="2021-08-01T15:45:00Z">
        <w:r>
          <w:rPr>
            <w:b/>
          </w:rPr>
          <w:delText>”</w:delText>
        </w:r>
      </w:del>
      <w:r>
        <w:t xml:space="preserve"> means registration under this Part as a timber worker.</w:t>
      </w:r>
    </w:p>
    <w:p>
      <w:pPr>
        <w:pStyle w:val="Heading5"/>
        <w:rPr>
          <w:snapToGrid w:val="0"/>
        </w:rPr>
      </w:pPr>
      <w:bookmarkStart w:id="98" w:name="_Toc438372741"/>
      <w:bookmarkStart w:id="99" w:name="_Toc8187889"/>
      <w:bookmarkStart w:id="100" w:name="_Toc155067983"/>
      <w:bookmarkStart w:id="101" w:name="_Toc170209421"/>
      <w:r>
        <w:rPr>
          <w:rStyle w:val="CharSectno"/>
        </w:rPr>
        <w:t>5</w:t>
      </w:r>
      <w:r>
        <w:rPr>
          <w:snapToGrid w:val="0"/>
        </w:rPr>
        <w:t>.</w:t>
      </w:r>
      <w:r>
        <w:rPr>
          <w:snapToGrid w:val="0"/>
        </w:rPr>
        <w:tab/>
        <w:t>Unregistered person not to engage in timber harvesting etc.</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Except as provided in regulation 7, a person shall not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102" w:name="_Toc438372742"/>
      <w:bookmarkStart w:id="103" w:name="_Toc8187890"/>
      <w:bookmarkStart w:id="104" w:name="_Toc155067984"/>
      <w:bookmarkStart w:id="105" w:name="_Toc170209422"/>
      <w:r>
        <w:rPr>
          <w:rStyle w:val="CharSectno"/>
        </w:rPr>
        <w:t>6</w:t>
      </w:r>
      <w:r>
        <w:rPr>
          <w:snapToGrid w:val="0"/>
        </w:rPr>
        <w:t>.</w:t>
      </w:r>
      <w:r>
        <w:rPr>
          <w:snapToGrid w:val="0"/>
        </w:rPr>
        <w:tab/>
        <w:t>Person not to employ unregistered person to engage in timber harvesting etc.</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Except as provided in regulation 7, a person shall not employ or remunerate a person to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106" w:name="_Toc438372743"/>
      <w:bookmarkStart w:id="107" w:name="_Toc8187891"/>
      <w:bookmarkStart w:id="108" w:name="_Toc155067985"/>
      <w:bookmarkStart w:id="109" w:name="_Toc170209423"/>
      <w:r>
        <w:rPr>
          <w:rStyle w:val="CharSectno"/>
        </w:rPr>
        <w:t>7</w:t>
      </w:r>
      <w:r>
        <w:rPr>
          <w:snapToGrid w:val="0"/>
        </w:rPr>
        <w:t>.</w:t>
      </w:r>
      <w:r>
        <w:rPr>
          <w:snapToGrid w:val="0"/>
        </w:rPr>
        <w:tab/>
        <w:t>Exceptions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forest produce from a State forest or timber reserve pursuant to a forest produce licence;</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110" w:name="_Toc438372744"/>
      <w:bookmarkStart w:id="111" w:name="_Toc8187892"/>
      <w:bookmarkStart w:id="112" w:name="_Toc155067986"/>
      <w:bookmarkStart w:id="113" w:name="_Toc170209424"/>
      <w:r>
        <w:rPr>
          <w:rStyle w:val="CharSectno"/>
        </w:rPr>
        <w:t>8</w:t>
      </w:r>
      <w:r>
        <w:rPr>
          <w:snapToGrid w:val="0"/>
        </w:rPr>
        <w:t>.</w:t>
      </w:r>
      <w:r>
        <w:rPr>
          <w:snapToGrid w:val="0"/>
        </w:rPr>
        <w:tab/>
        <w:t>Application for registration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 application for registration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Subsection"/>
        <w:rPr>
          <w:snapToGrid w:val="0"/>
        </w:rPr>
      </w:pPr>
      <w:r>
        <w:rPr>
          <w:snapToGrid w:val="0"/>
        </w:rPr>
        <w:tab/>
        <w:t>(3)</w:t>
      </w:r>
      <w:r>
        <w:rPr>
          <w:snapToGrid w:val="0"/>
        </w:rPr>
        <w:tab/>
        <w:t>An application for registration may be delivered to — </w:t>
      </w:r>
    </w:p>
    <w:p>
      <w:pPr>
        <w:pStyle w:val="Indenta"/>
        <w:rPr>
          <w:snapToGrid w:val="0"/>
        </w:rPr>
      </w:pPr>
      <w:r>
        <w:rPr>
          <w:snapToGrid w:val="0"/>
        </w:rPr>
        <w:tab/>
        <w:t>(a)</w:t>
      </w:r>
      <w:r>
        <w:rPr>
          <w:snapToGrid w:val="0"/>
        </w:rPr>
        <w:tab/>
        <w:t>the Executive Director; or</w:t>
      </w:r>
    </w:p>
    <w:p>
      <w:pPr>
        <w:pStyle w:val="Indenta"/>
        <w:rPr>
          <w:snapToGrid w:val="0"/>
        </w:rPr>
      </w:pPr>
      <w:r>
        <w:rPr>
          <w:snapToGrid w:val="0"/>
        </w:rPr>
        <w:tab/>
        <w:t>(b)</w:t>
      </w:r>
      <w:r>
        <w:rPr>
          <w:snapToGrid w:val="0"/>
        </w:rPr>
        <w:tab/>
        <w:t>the forest officer in charge of a district in which the applicant intends to work.</w:t>
      </w:r>
    </w:p>
    <w:p>
      <w:pPr>
        <w:pStyle w:val="Heading5"/>
        <w:rPr>
          <w:snapToGrid w:val="0"/>
        </w:rPr>
      </w:pPr>
      <w:bookmarkStart w:id="114" w:name="_Toc438372745"/>
      <w:bookmarkStart w:id="115" w:name="_Toc8187893"/>
      <w:bookmarkStart w:id="116" w:name="_Toc155067987"/>
      <w:bookmarkStart w:id="117" w:name="_Toc170209425"/>
      <w:r>
        <w:rPr>
          <w:rStyle w:val="CharSectno"/>
        </w:rPr>
        <w:t>9</w:t>
      </w:r>
      <w:r>
        <w:rPr>
          <w:snapToGrid w:val="0"/>
        </w:rPr>
        <w:t>.</w:t>
      </w:r>
      <w:r>
        <w:rPr>
          <w:snapToGrid w:val="0"/>
        </w:rPr>
        <w:tab/>
        <w:t>Registration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subregulations (2) and (3), the Executive Director shall, on payment of the fee specified in item 1 of Schedule 5, register the applicant under this Part as a timber worker.</w:t>
      </w:r>
    </w:p>
    <w:p>
      <w:pPr>
        <w:pStyle w:val="Subsection"/>
        <w:rPr>
          <w:snapToGrid w:val="0"/>
        </w:rPr>
      </w:pPr>
      <w:r>
        <w:rPr>
          <w:snapToGrid w:val="0"/>
        </w:rPr>
        <w:tab/>
        <w:t>(2)</w:t>
      </w:r>
      <w:r>
        <w:rPr>
          <w:snapToGrid w:val="0"/>
        </w:rPr>
        <w:tab/>
        <w:t>The Executive Director may refuse an application for registration on the grounds that —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Executive Director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The Executive Director shall not register a person other than a natural person as a timber worker under this Part.</w:t>
      </w:r>
    </w:p>
    <w:p>
      <w:pPr>
        <w:pStyle w:val="Heading5"/>
        <w:rPr>
          <w:snapToGrid w:val="0"/>
        </w:rPr>
      </w:pPr>
      <w:bookmarkStart w:id="118" w:name="_Toc438372746"/>
      <w:bookmarkStart w:id="119" w:name="_Toc8187894"/>
      <w:bookmarkStart w:id="120" w:name="_Toc155067988"/>
      <w:bookmarkStart w:id="121" w:name="_Toc170209426"/>
      <w:r>
        <w:rPr>
          <w:rStyle w:val="CharSectno"/>
        </w:rPr>
        <w:t>10</w:t>
      </w:r>
      <w:r>
        <w:rPr>
          <w:snapToGrid w:val="0"/>
        </w:rPr>
        <w:t>.</w:t>
      </w:r>
      <w:r>
        <w:rPr>
          <w:snapToGrid w:val="0"/>
        </w:rPr>
        <w:tab/>
        <w:t>Duration of registration</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April 1995 p.1459.]</w:t>
      </w:r>
    </w:p>
    <w:p>
      <w:pPr>
        <w:pStyle w:val="Heading5"/>
        <w:rPr>
          <w:snapToGrid w:val="0"/>
        </w:rPr>
      </w:pPr>
      <w:bookmarkStart w:id="122" w:name="_Toc438372747"/>
      <w:bookmarkStart w:id="123" w:name="_Toc8187895"/>
      <w:bookmarkStart w:id="124" w:name="_Toc155067989"/>
      <w:bookmarkStart w:id="125" w:name="_Toc170209427"/>
      <w:r>
        <w:rPr>
          <w:rStyle w:val="CharSectno"/>
        </w:rPr>
        <w:t>11</w:t>
      </w:r>
      <w:r>
        <w:rPr>
          <w:snapToGrid w:val="0"/>
        </w:rPr>
        <w:t>.</w:t>
      </w:r>
      <w:r>
        <w:rPr>
          <w:snapToGrid w:val="0"/>
        </w:rPr>
        <w:tab/>
        <w:t>Renewal of registration</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Subject to regulation 17, the Executive Director may, on payment of the fee specified in item 2 of Schedule 5, renew the registration of any person for a further period of 3 years.</w:t>
      </w:r>
    </w:p>
    <w:p>
      <w:pPr>
        <w:pStyle w:val="Footnotesection"/>
      </w:pPr>
      <w:r>
        <w:tab/>
        <w:t>[Regulation 11 amended in Gazette 28 April 1995 p.1460.]</w:t>
      </w:r>
    </w:p>
    <w:p>
      <w:pPr>
        <w:pStyle w:val="Heading5"/>
        <w:rPr>
          <w:snapToGrid w:val="0"/>
        </w:rPr>
      </w:pPr>
      <w:bookmarkStart w:id="126" w:name="_Toc438372748"/>
      <w:bookmarkStart w:id="127" w:name="_Toc8187896"/>
      <w:bookmarkStart w:id="128" w:name="_Toc155067990"/>
      <w:bookmarkStart w:id="129" w:name="_Toc170209428"/>
      <w:r>
        <w:rPr>
          <w:rStyle w:val="CharSectno"/>
        </w:rPr>
        <w:t>12</w:t>
      </w:r>
      <w:r>
        <w:rPr>
          <w:snapToGrid w:val="0"/>
        </w:rPr>
        <w:t>.</w:t>
      </w:r>
      <w:r>
        <w:rPr>
          <w:snapToGrid w:val="0"/>
        </w:rPr>
        <w:tab/>
        <w:t>Conditions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Executive Director may impose such conditions or restrictions upon the grant or renewal of registration as the Executive Director 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Heading5"/>
        <w:rPr>
          <w:snapToGrid w:val="0"/>
        </w:rPr>
      </w:pPr>
      <w:bookmarkStart w:id="130" w:name="_Toc438372749"/>
      <w:bookmarkStart w:id="131" w:name="_Toc8187897"/>
      <w:bookmarkStart w:id="132" w:name="_Toc155067991"/>
      <w:bookmarkStart w:id="133" w:name="_Toc170209429"/>
      <w:r>
        <w:rPr>
          <w:rStyle w:val="CharSectno"/>
        </w:rPr>
        <w:t>13</w:t>
      </w:r>
      <w:r>
        <w:rPr>
          <w:snapToGrid w:val="0"/>
        </w:rPr>
        <w:t>.</w:t>
      </w:r>
      <w:r>
        <w:rPr>
          <w:snapToGrid w:val="0"/>
        </w:rPr>
        <w:tab/>
        <w:t>Certificates of registration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Executive Director shall on the grant or renewal of registration issue a certificate of registration to the applicant.</w:t>
      </w:r>
    </w:p>
    <w:p>
      <w:pPr>
        <w:pStyle w:val="Subsection"/>
        <w:rPr>
          <w:snapToGrid w:val="0"/>
        </w:rPr>
      </w:pPr>
      <w:r>
        <w:rPr>
          <w:snapToGrid w:val="0"/>
        </w:rPr>
        <w:tab/>
        <w:t>(2)</w:t>
      </w:r>
      <w:r>
        <w:rPr>
          <w:snapToGrid w:val="0"/>
        </w:rPr>
        <w:tab/>
        <w:t>The Executive Director shall endorse on the certificate of registration —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such other information as the Executive Director thinks fit.</w:t>
      </w:r>
    </w:p>
    <w:p>
      <w:pPr>
        <w:pStyle w:val="Heading5"/>
        <w:rPr>
          <w:snapToGrid w:val="0"/>
        </w:rPr>
      </w:pPr>
      <w:bookmarkStart w:id="134" w:name="_Toc438372750"/>
      <w:bookmarkStart w:id="135" w:name="_Toc8187898"/>
      <w:bookmarkStart w:id="136" w:name="_Toc155067992"/>
      <w:bookmarkStart w:id="137" w:name="_Toc170209430"/>
      <w:r>
        <w:rPr>
          <w:rStyle w:val="CharSectno"/>
        </w:rPr>
        <w:t>14</w:t>
      </w:r>
      <w:r>
        <w:rPr>
          <w:snapToGrid w:val="0"/>
        </w:rPr>
        <w:t>.</w:t>
      </w:r>
      <w:r>
        <w:rPr>
          <w:snapToGrid w:val="0"/>
        </w:rPr>
        <w:tab/>
        <w:t>Register</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Executive Director shall cause to be compiled and maintained a register of all persons who are registered under this Part showing in respect of each person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any conditions or restrictions imposed by the Executive Director 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such other information as the Executive Director determines to be relevant.</w:t>
      </w:r>
    </w:p>
    <w:p>
      <w:pPr>
        <w:pStyle w:val="Heading5"/>
        <w:rPr>
          <w:snapToGrid w:val="0"/>
        </w:rPr>
      </w:pPr>
      <w:bookmarkStart w:id="138" w:name="_Toc438372751"/>
      <w:bookmarkStart w:id="139" w:name="_Toc8187899"/>
      <w:bookmarkStart w:id="140" w:name="_Toc155067993"/>
      <w:bookmarkStart w:id="141" w:name="_Toc170209431"/>
      <w:r>
        <w:rPr>
          <w:rStyle w:val="CharSectno"/>
        </w:rPr>
        <w:t>15</w:t>
      </w:r>
      <w:r>
        <w:rPr>
          <w:snapToGrid w:val="0"/>
        </w:rPr>
        <w:t>.</w:t>
      </w:r>
      <w:r>
        <w:rPr>
          <w:snapToGrid w:val="0"/>
        </w:rPr>
        <w:tab/>
        <w:t>Production of certificate of registration</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person registered under this Part as a timber worker shall — </w:t>
      </w:r>
    </w:p>
    <w:p>
      <w:pPr>
        <w:pStyle w:val="Indenta"/>
        <w:rPr>
          <w:snapToGrid w:val="0"/>
        </w:rPr>
      </w:pPr>
      <w:r>
        <w:rPr>
          <w:snapToGrid w:val="0"/>
        </w:rPr>
        <w:tab/>
        <w:t>(a)</w:t>
      </w:r>
      <w:r>
        <w:rPr>
          <w:snapToGrid w:val="0"/>
        </w:rPr>
        <w:tab/>
        <w:t xml:space="preserve">carry his or her certificate of registration or a copy of that certificate of registration at all times while engaged in timber harvesting in a State forest or timber reserve or in the transport of log timber harvested in a State forest or timber reserve; and </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142" w:name="_Toc438372752"/>
      <w:bookmarkStart w:id="143" w:name="_Toc8187900"/>
      <w:bookmarkStart w:id="144" w:name="_Toc155067994"/>
      <w:bookmarkStart w:id="145" w:name="_Toc170209432"/>
      <w:r>
        <w:rPr>
          <w:rStyle w:val="CharSectno"/>
        </w:rPr>
        <w:t>16</w:t>
      </w:r>
      <w:r>
        <w:rPr>
          <w:snapToGrid w:val="0"/>
        </w:rPr>
        <w:t>.</w:t>
      </w:r>
      <w:r>
        <w:rPr>
          <w:snapToGrid w:val="0"/>
        </w:rPr>
        <w:tab/>
        <w:t>Notification of change in particulars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registered under this Part as a timber worker shall notify the Executive Director in writing of any change — </w:t>
      </w:r>
    </w:p>
    <w:p>
      <w:pPr>
        <w:pStyle w:val="Indenta"/>
        <w:rPr>
          <w:snapToGrid w:val="0"/>
        </w:rPr>
      </w:pPr>
      <w:r>
        <w:rPr>
          <w:snapToGrid w:val="0"/>
        </w:rPr>
        <w:tab/>
        <w:t>(a)</w:t>
      </w:r>
      <w:r>
        <w:rPr>
          <w:snapToGrid w:val="0"/>
        </w:rPr>
        <w:tab/>
        <w:t>in the qualifications held by the person;</w:t>
      </w:r>
    </w:p>
    <w:p>
      <w:pPr>
        <w:pStyle w:val="Indenta"/>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Executive Director shall cause —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details of any change notified to the Executive Director under subregulation (1).</w:t>
      </w:r>
    </w:p>
    <w:p>
      <w:pPr>
        <w:pStyle w:val="Heading5"/>
        <w:rPr>
          <w:snapToGrid w:val="0"/>
        </w:rPr>
      </w:pPr>
      <w:bookmarkStart w:id="146" w:name="_Toc438372753"/>
      <w:bookmarkStart w:id="147" w:name="_Toc8187901"/>
      <w:bookmarkStart w:id="148" w:name="_Toc155067995"/>
      <w:bookmarkStart w:id="149" w:name="_Toc170209433"/>
      <w:r>
        <w:rPr>
          <w:rStyle w:val="CharSectno"/>
        </w:rPr>
        <w:t>17</w:t>
      </w:r>
      <w:r>
        <w:rPr>
          <w:snapToGrid w:val="0"/>
        </w:rPr>
        <w:t>.</w:t>
      </w:r>
      <w:r>
        <w:rPr>
          <w:snapToGrid w:val="0"/>
        </w:rPr>
        <w:tab/>
        <w:t>Executive Director may cancel, suspend, refuse to renew, etc. registration</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this regulation, the Executive Director may cancel, suspend for any period, or refuse to renew, the registration of any person on the grounds that — </w:t>
      </w:r>
    </w:p>
    <w:p>
      <w:pPr>
        <w:pStyle w:val="Indenta"/>
        <w:rPr>
          <w:snapToGrid w:val="0"/>
        </w:rPr>
      </w:pPr>
      <w:r>
        <w:rPr>
          <w:snapToGrid w:val="0"/>
        </w:rPr>
        <w:tab/>
        <w:t>(a)</w:t>
      </w:r>
      <w:r>
        <w:rPr>
          <w:snapToGrid w:val="0"/>
        </w:rPr>
        <w:tab/>
        <w:t>the person has been convicted of an offence against the Act, these regulations or the repealed regulations;</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If the Executive Director proposes to cancel, suspend, or refuse to renew the registration of a person, the Executive Director shall give to the person notice in writing of the proposal and the Executive Director’s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Executive Director concerning the matter, and the Executive Director shall not determine the matter without considering any representations received within that period of 21 days.</w:t>
      </w:r>
    </w:p>
    <w:p>
      <w:pPr>
        <w:pStyle w:val="Subsection"/>
        <w:rPr>
          <w:snapToGrid w:val="0"/>
        </w:rPr>
      </w:pPr>
      <w:r>
        <w:rPr>
          <w:snapToGrid w:val="0"/>
        </w:rPr>
        <w:tab/>
        <w:t>(3a)</w:t>
      </w:r>
      <w:r>
        <w:rPr>
          <w:snapToGrid w:val="0"/>
        </w:rPr>
        <w:tab/>
        <w:t>If the Executive Director proposes to cancel, suspend, or refuse to renew the registration of a person, the Executive Director shall give to the person’s employer notice in writing of the proposal.</w:t>
      </w:r>
    </w:p>
    <w:p>
      <w:pPr>
        <w:pStyle w:val="Subsection"/>
        <w:rPr>
          <w:snapToGrid w:val="0"/>
        </w:rPr>
      </w:pPr>
      <w:r>
        <w:rPr>
          <w:snapToGrid w:val="0"/>
        </w:rPr>
        <w:tab/>
        <w:t>(4)</w:t>
      </w:r>
      <w:r>
        <w:rPr>
          <w:snapToGrid w:val="0"/>
        </w:rPr>
        <w:tab/>
        <w:t>If the Executive Director cancels, suspends, or refuses to renew, the registration of a person under this regulation, the Executive Director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Executive Director or a forest officer may exercise under a contract to harvest and deliver.</w:t>
      </w:r>
    </w:p>
    <w:p>
      <w:pPr>
        <w:pStyle w:val="Footnotesection"/>
      </w:pPr>
      <w:r>
        <w:tab/>
        <w:t>[Regulation 17 amended in Gazette 28 April 1995 p.1460.]</w:t>
      </w:r>
    </w:p>
    <w:p>
      <w:pPr>
        <w:pStyle w:val="Heading5"/>
        <w:rPr>
          <w:snapToGrid w:val="0"/>
        </w:rPr>
      </w:pPr>
      <w:bookmarkStart w:id="150" w:name="_Toc438372754"/>
      <w:bookmarkStart w:id="151" w:name="_Toc8187902"/>
      <w:bookmarkStart w:id="152" w:name="_Toc155067996"/>
      <w:bookmarkStart w:id="153" w:name="_Toc170209434"/>
      <w:r>
        <w:rPr>
          <w:rStyle w:val="CharSectno"/>
        </w:rPr>
        <w:t>18</w:t>
      </w:r>
      <w:r>
        <w:rPr>
          <w:snapToGrid w:val="0"/>
        </w:rPr>
        <w:t>.</w:t>
      </w:r>
      <w:r>
        <w:rPr>
          <w:snapToGrid w:val="0"/>
        </w:rPr>
        <w:tab/>
        <w:t>Return of certificate of registration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Executive Director may require the holder of a certificate of registration to return the certificate to the Executive Director where —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Executive Director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Executive Director.</w:t>
      </w:r>
    </w:p>
    <w:p>
      <w:pPr>
        <w:pStyle w:val="Penstart"/>
        <w:rPr>
          <w:snapToGrid w:val="0"/>
        </w:rPr>
      </w:pPr>
      <w:r>
        <w:rPr>
          <w:snapToGrid w:val="0"/>
        </w:rPr>
        <w:tab/>
        <w:t>Penalty: $100.</w:t>
      </w:r>
    </w:p>
    <w:p>
      <w:pPr>
        <w:pStyle w:val="Heading2"/>
      </w:pPr>
      <w:bookmarkStart w:id="154" w:name="_Toc154984331"/>
      <w:bookmarkStart w:id="155" w:name="_Toc155067136"/>
      <w:bookmarkStart w:id="156" w:name="_Toc155067997"/>
      <w:bookmarkStart w:id="157" w:name="_Toc170209435"/>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154"/>
      <w:bookmarkEnd w:id="155"/>
      <w:bookmarkEnd w:id="156"/>
      <w:bookmarkEnd w:id="157"/>
      <w:r>
        <w:rPr>
          <w:rStyle w:val="CharPartText"/>
        </w:rPr>
        <w:t xml:space="preserve"> </w:t>
      </w:r>
    </w:p>
    <w:p>
      <w:pPr>
        <w:pStyle w:val="Heading5"/>
        <w:spacing w:before="260"/>
        <w:rPr>
          <w:snapToGrid w:val="0"/>
        </w:rPr>
      </w:pPr>
      <w:bookmarkStart w:id="158" w:name="_Toc438372755"/>
      <w:bookmarkStart w:id="159" w:name="_Toc8187903"/>
      <w:bookmarkStart w:id="160" w:name="_Toc155067998"/>
      <w:bookmarkStart w:id="161" w:name="_Toc170209436"/>
      <w:r>
        <w:rPr>
          <w:rStyle w:val="CharSectno"/>
        </w:rPr>
        <w:t>19</w:t>
      </w:r>
      <w:r>
        <w:rPr>
          <w:snapToGrid w:val="0"/>
        </w:rPr>
        <w:t>.</w:t>
      </w:r>
      <w:r>
        <w:rPr>
          <w:snapToGrid w:val="0"/>
        </w:rPr>
        <w:tab/>
        <w:t>Felling of trees outside coupes generally prohibited</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Except as provided in regulation 20, a person shall not fell any tree in a State forest or timber reserve unless —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(1)(b), a tree in a coupe has been designated for retention if —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60"/>
        <w:rPr>
          <w:snapToGrid w:val="0"/>
        </w:rPr>
      </w:pPr>
      <w:bookmarkStart w:id="162" w:name="_Toc438372756"/>
      <w:bookmarkStart w:id="163" w:name="_Toc8187904"/>
      <w:bookmarkStart w:id="164" w:name="_Toc155067999"/>
      <w:bookmarkStart w:id="165" w:name="_Toc170209437"/>
      <w:r>
        <w:rPr>
          <w:rStyle w:val="CharSectno"/>
        </w:rPr>
        <w:t>20</w:t>
      </w:r>
      <w:r>
        <w:rPr>
          <w:snapToGrid w:val="0"/>
        </w:rPr>
        <w:t>.</w:t>
      </w:r>
      <w:r>
        <w:rPr>
          <w:snapToGrid w:val="0"/>
        </w:rPr>
        <w:tab/>
        <w:t>Authorization to fell individual trees outside coupes</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Notwithstanding regulation 19, a person may fell a tree in a State forest or timber reserve that is not in a coupe if — </w:t>
      </w:r>
    </w:p>
    <w:p>
      <w:pPr>
        <w:pStyle w:val="Indenta"/>
        <w:rPr>
          <w:snapToGrid w:val="0"/>
        </w:rPr>
      </w:pPr>
      <w:r>
        <w:rPr>
          <w:snapToGrid w:val="0"/>
        </w:rPr>
        <w:tab/>
        <w:t>(a)</w:t>
      </w:r>
      <w:r>
        <w:rPr>
          <w:snapToGrid w:val="0"/>
        </w:rPr>
        <w:tab/>
        <w:t>the forest officer in charge of the district in which the tree is located has specifically authorized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166" w:name="_Toc438372757"/>
      <w:bookmarkStart w:id="167" w:name="_Toc8187905"/>
      <w:bookmarkStart w:id="168" w:name="_Toc155068000"/>
      <w:bookmarkStart w:id="169" w:name="_Toc170209438"/>
      <w:r>
        <w:rPr>
          <w:rStyle w:val="CharSectno"/>
        </w:rPr>
        <w:t>21</w:t>
      </w:r>
      <w:r>
        <w:rPr>
          <w:snapToGrid w:val="0"/>
        </w:rPr>
        <w:t>.</w:t>
      </w:r>
      <w:r>
        <w:rPr>
          <w:snapToGrid w:val="0"/>
        </w:rPr>
        <w:tab/>
        <w:t>Record to be made by forest officer of coupes etc. allocated</w:t>
      </w:r>
      <w:bookmarkEnd w:id="166"/>
      <w:bookmarkEnd w:id="167"/>
      <w:bookmarkEnd w:id="168"/>
      <w:bookmarkEnd w:id="169"/>
      <w:r>
        <w:rPr>
          <w:snapToGrid w:val="0"/>
        </w:rPr>
        <w:t xml:space="preserve"> </w:t>
      </w:r>
    </w:p>
    <w:p>
      <w:pPr>
        <w:pStyle w:val="Subsection"/>
        <w:keepNext/>
        <w:keepLines/>
        <w:spacing w:before="120"/>
        <w:rPr>
          <w:snapToGrid w:val="0"/>
        </w:rPr>
      </w:pPr>
      <w:r>
        <w:rPr>
          <w:snapToGrid w:val="0"/>
        </w:rPr>
        <w:tab/>
      </w:r>
      <w:r>
        <w:rPr>
          <w:snapToGrid w:val="0"/>
        </w:rPr>
        <w:tab/>
        <w:t>The forest officer in charge of a district shall ensure that a record is made in writing of —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authorization that is given to fell a tree in a State forest or timber reserve in the district that does not form part of a coupe,</w:t>
      </w:r>
    </w:p>
    <w:p>
      <w:pPr>
        <w:pStyle w:val="Subsection"/>
        <w:keepNext/>
        <w:keepLines/>
        <w:spacing w:before="120"/>
        <w:rPr>
          <w:snapToGrid w:val="0"/>
        </w:rPr>
      </w:pPr>
      <w:r>
        <w:rPr>
          <w:snapToGrid w:val="0"/>
        </w:rPr>
        <w:tab/>
      </w:r>
      <w:r>
        <w:rPr>
          <w:snapToGrid w:val="0"/>
        </w:rPr>
        <w:tab/>
        <w:t>and the record shall include details of — </w:t>
      </w:r>
    </w:p>
    <w:p>
      <w:pPr>
        <w:pStyle w:val="Indenta"/>
        <w:rPr>
          <w:snapToGrid w:val="0"/>
        </w:rPr>
      </w:pPr>
      <w:r>
        <w:rPr>
          <w:snapToGrid w:val="0"/>
        </w:rPr>
        <w:tab/>
        <w:t>(c)</w:t>
      </w:r>
      <w:r>
        <w:rPr>
          <w:snapToGrid w:val="0"/>
        </w:rPr>
        <w:tab/>
        <w:t>the location of the coupe or tree;</w:t>
      </w:r>
    </w:p>
    <w:p>
      <w:pPr>
        <w:pStyle w:val="Indenta"/>
        <w:rPr>
          <w:snapToGrid w:val="0"/>
        </w:rPr>
      </w:pPr>
      <w:r>
        <w:rPr>
          <w:snapToGrid w:val="0"/>
        </w:rPr>
        <w:tab/>
        <w:t>(d)</w:t>
      </w:r>
      <w:r>
        <w:rPr>
          <w:snapToGrid w:val="0"/>
        </w:rPr>
        <w:tab/>
        <w:t>the person to whom the coupe is allocated or who is authorized to fell the tree; and</w:t>
      </w:r>
    </w:p>
    <w:p>
      <w:pPr>
        <w:pStyle w:val="Indenta"/>
        <w:rPr>
          <w:snapToGrid w:val="0"/>
        </w:rPr>
      </w:pPr>
      <w:r>
        <w:rPr>
          <w:snapToGrid w:val="0"/>
        </w:rPr>
        <w:tab/>
        <w:t>(e)</w:t>
      </w:r>
      <w:r>
        <w:rPr>
          <w:snapToGrid w:val="0"/>
        </w:rPr>
        <w:tab/>
        <w:t>the date of the allocation or authorization.</w:t>
      </w:r>
    </w:p>
    <w:p>
      <w:pPr>
        <w:pStyle w:val="Heading5"/>
        <w:rPr>
          <w:snapToGrid w:val="0"/>
        </w:rPr>
      </w:pPr>
      <w:bookmarkStart w:id="170" w:name="_Toc438372758"/>
      <w:bookmarkStart w:id="171" w:name="_Toc8187906"/>
      <w:bookmarkStart w:id="172" w:name="_Toc155068001"/>
      <w:bookmarkStart w:id="173" w:name="_Toc170209439"/>
      <w:r>
        <w:rPr>
          <w:rStyle w:val="CharSectno"/>
        </w:rPr>
        <w:t>22</w:t>
      </w:r>
      <w:r>
        <w:rPr>
          <w:snapToGrid w:val="0"/>
        </w:rPr>
        <w:t>.</w:t>
      </w:r>
      <w:r>
        <w:rPr>
          <w:snapToGrid w:val="0"/>
        </w:rPr>
        <w:tab/>
        <w:t>Obstruction</w:t>
      </w:r>
      <w:bookmarkEnd w:id="170"/>
      <w:bookmarkEnd w:id="171"/>
      <w:bookmarkEnd w:id="172"/>
      <w:bookmarkEnd w:id="173"/>
      <w:r>
        <w:rPr>
          <w:snapToGrid w:val="0"/>
        </w:rPr>
        <w:t xml:space="preserve"> </w:t>
      </w:r>
    </w:p>
    <w:p>
      <w:pPr>
        <w:pStyle w:val="Subsection"/>
        <w:keepNext/>
        <w:keepLines/>
        <w:spacing w:before="120"/>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keepNext/>
        <w:keepLines/>
        <w:spacing w:before="120"/>
        <w:rPr>
          <w:snapToGrid w:val="0"/>
        </w:rPr>
      </w:pPr>
      <w:r>
        <w:rPr>
          <w:snapToGrid w:val="0"/>
        </w:rPr>
        <w:tab/>
        <w:t>(2)</w:t>
      </w:r>
      <w:r>
        <w:rPr>
          <w:snapToGrid w:val="0"/>
        </w:rPr>
        <w:tab/>
        <w:t>A person who contravenes subregulation (1) is, in addition to any penalty incurred under that subregulation, liable to pay to the Executive Director a sum equal to the cost of removing the obstruction.</w:t>
      </w:r>
    </w:p>
    <w:p>
      <w:pPr>
        <w:pStyle w:val="Subsection"/>
        <w:keepNext/>
        <w:keepLines/>
        <w:spacing w:before="120"/>
        <w:rPr>
          <w:snapToGrid w:val="0"/>
        </w:rPr>
      </w:pPr>
      <w:r>
        <w:rPr>
          <w:snapToGrid w:val="0"/>
        </w:rPr>
        <w:tab/>
        <w:t>(3)</w:t>
      </w:r>
      <w:r>
        <w:rPr>
          <w:snapToGrid w:val="0"/>
        </w:rPr>
        <w:tab/>
        <w:t>A sum referred to in subregulation (2) is a debt due to the Executive Director and is recoverable in a court of competent jurisdiction.</w:t>
      </w:r>
    </w:p>
    <w:p>
      <w:pPr>
        <w:pStyle w:val="Heading5"/>
        <w:rPr>
          <w:snapToGrid w:val="0"/>
        </w:rPr>
      </w:pPr>
      <w:bookmarkStart w:id="174" w:name="_Toc438372759"/>
      <w:bookmarkStart w:id="175" w:name="_Toc8187907"/>
      <w:bookmarkStart w:id="176" w:name="_Toc155068002"/>
      <w:bookmarkStart w:id="177" w:name="_Toc170209440"/>
      <w:r>
        <w:rPr>
          <w:rStyle w:val="CharSectno"/>
        </w:rPr>
        <w:t>23</w:t>
      </w:r>
      <w:r>
        <w:rPr>
          <w:snapToGrid w:val="0"/>
        </w:rPr>
        <w:t>.</w:t>
      </w:r>
      <w:r>
        <w:rPr>
          <w:snapToGrid w:val="0"/>
        </w:rPr>
        <w:tab/>
        <w:t>Damage to power lines etc.</w:t>
      </w:r>
      <w:bookmarkEnd w:id="174"/>
      <w:bookmarkEnd w:id="175"/>
      <w:bookmarkEnd w:id="176"/>
      <w:bookmarkEnd w:id="177"/>
      <w:r>
        <w:rPr>
          <w:snapToGrid w:val="0"/>
        </w:rPr>
        <w:t xml:space="preserve"> </w:t>
      </w:r>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178" w:name="_Toc154984337"/>
      <w:bookmarkStart w:id="179" w:name="_Toc155067142"/>
      <w:bookmarkStart w:id="180" w:name="_Toc155068003"/>
      <w:bookmarkStart w:id="181" w:name="_Toc170209441"/>
      <w:r>
        <w:rPr>
          <w:rStyle w:val="CharPartNo"/>
        </w:rPr>
        <w:t>Part 4</w:t>
      </w:r>
      <w:r>
        <w:t> — </w:t>
      </w:r>
      <w:r>
        <w:rPr>
          <w:rStyle w:val="CharPartText"/>
        </w:rPr>
        <w:t>Identification codes</w:t>
      </w:r>
      <w:bookmarkEnd w:id="178"/>
      <w:bookmarkEnd w:id="179"/>
      <w:bookmarkEnd w:id="180"/>
      <w:bookmarkEnd w:id="181"/>
      <w:r>
        <w:rPr>
          <w:rStyle w:val="CharPartText"/>
        </w:rPr>
        <w:t xml:space="preserve"> </w:t>
      </w:r>
    </w:p>
    <w:p>
      <w:pPr>
        <w:pStyle w:val="Heading3"/>
        <w:rPr>
          <w:snapToGrid w:val="0"/>
        </w:rPr>
      </w:pPr>
      <w:bookmarkStart w:id="182" w:name="_Toc154984338"/>
      <w:bookmarkStart w:id="183" w:name="_Toc155067143"/>
      <w:bookmarkStart w:id="184" w:name="_Toc155068004"/>
      <w:bookmarkStart w:id="185" w:name="_Toc170209442"/>
      <w:r>
        <w:rPr>
          <w:rStyle w:val="CharDivNo"/>
        </w:rPr>
        <w:t>Division 1</w:t>
      </w:r>
      <w:r>
        <w:rPr>
          <w:snapToGrid w:val="0"/>
        </w:rPr>
        <w:t> — </w:t>
      </w:r>
      <w:r>
        <w:rPr>
          <w:rStyle w:val="CharDivText"/>
        </w:rPr>
        <w:t>Identification of fellers</w:t>
      </w:r>
      <w:bookmarkEnd w:id="182"/>
      <w:bookmarkEnd w:id="183"/>
      <w:bookmarkEnd w:id="184"/>
      <w:bookmarkEnd w:id="185"/>
      <w:r>
        <w:rPr>
          <w:rStyle w:val="CharDivText"/>
        </w:rPr>
        <w:t xml:space="preserve"> </w:t>
      </w:r>
    </w:p>
    <w:p>
      <w:pPr>
        <w:pStyle w:val="Heading5"/>
        <w:rPr>
          <w:snapToGrid w:val="0"/>
        </w:rPr>
      </w:pPr>
      <w:bookmarkStart w:id="186" w:name="_Toc438372760"/>
      <w:bookmarkStart w:id="187" w:name="_Toc8187908"/>
      <w:bookmarkStart w:id="188" w:name="_Toc155068005"/>
      <w:bookmarkStart w:id="189" w:name="_Toc170209443"/>
      <w:r>
        <w:rPr>
          <w:rStyle w:val="CharSectno"/>
        </w:rPr>
        <w:t>24</w:t>
      </w:r>
      <w:r>
        <w:rPr>
          <w:snapToGrid w:val="0"/>
        </w:rPr>
        <w:t>.</w:t>
      </w:r>
      <w:r>
        <w:rPr>
          <w:snapToGrid w:val="0"/>
        </w:rPr>
        <w:tab/>
        <w:t>Person not to fell tree in State forest or timber reserve without identification code</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190" w:name="_Toc438372761"/>
      <w:bookmarkStart w:id="191" w:name="_Toc8187909"/>
      <w:bookmarkStart w:id="192" w:name="_Toc155068006"/>
      <w:bookmarkStart w:id="193" w:name="_Toc170209444"/>
      <w:r>
        <w:rPr>
          <w:rStyle w:val="CharSectno"/>
        </w:rPr>
        <w:t>25</w:t>
      </w:r>
      <w:r>
        <w:rPr>
          <w:snapToGrid w:val="0"/>
        </w:rPr>
        <w:t>.</w:t>
      </w:r>
      <w:r>
        <w:rPr>
          <w:snapToGrid w:val="0"/>
        </w:rPr>
        <w:tab/>
        <w:t>Application for feller’s identification code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application for a feller’s identification code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matter that the Executive Director considers necessary in relation to such an application.</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Heading5"/>
        <w:rPr>
          <w:snapToGrid w:val="0"/>
        </w:rPr>
      </w:pPr>
      <w:bookmarkStart w:id="194" w:name="_Toc438372762"/>
      <w:bookmarkStart w:id="195" w:name="_Toc8187910"/>
      <w:bookmarkStart w:id="196" w:name="_Toc155068007"/>
      <w:bookmarkStart w:id="197" w:name="_Toc170209445"/>
      <w:r>
        <w:rPr>
          <w:rStyle w:val="CharSectno"/>
        </w:rPr>
        <w:t>26</w:t>
      </w:r>
      <w:r>
        <w:rPr>
          <w:snapToGrid w:val="0"/>
        </w:rPr>
        <w:t>.</w:t>
      </w:r>
      <w:r>
        <w:rPr>
          <w:snapToGrid w:val="0"/>
        </w:rPr>
        <w:tab/>
        <w:t>Registration of feller’s identification code</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Executive Director shall on being satisfied that an applicant —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Executive Director shall —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Executive Director shall not register an identification code in respect of a person other than a natural person.</w:t>
      </w:r>
    </w:p>
    <w:p>
      <w:pPr>
        <w:pStyle w:val="Heading3"/>
        <w:rPr>
          <w:snapToGrid w:val="0"/>
        </w:rPr>
      </w:pPr>
      <w:bookmarkStart w:id="198" w:name="_Toc154984342"/>
      <w:bookmarkStart w:id="199" w:name="_Toc155067147"/>
      <w:bookmarkStart w:id="200" w:name="_Toc155068008"/>
      <w:bookmarkStart w:id="201" w:name="_Toc170209446"/>
      <w:r>
        <w:rPr>
          <w:rStyle w:val="CharDivNo"/>
        </w:rPr>
        <w:t>Division 2</w:t>
      </w:r>
      <w:r>
        <w:rPr>
          <w:snapToGrid w:val="0"/>
        </w:rPr>
        <w:t> — </w:t>
      </w:r>
      <w:r>
        <w:rPr>
          <w:rStyle w:val="CharDivText"/>
        </w:rPr>
        <w:t>Identification of log timber removed from private land</w:t>
      </w:r>
      <w:bookmarkEnd w:id="198"/>
      <w:bookmarkEnd w:id="199"/>
      <w:bookmarkEnd w:id="200"/>
      <w:bookmarkEnd w:id="201"/>
      <w:r>
        <w:rPr>
          <w:rStyle w:val="CharDivText"/>
        </w:rPr>
        <w:t xml:space="preserve"> </w:t>
      </w:r>
    </w:p>
    <w:p>
      <w:pPr>
        <w:pStyle w:val="Heading5"/>
        <w:rPr>
          <w:snapToGrid w:val="0"/>
        </w:rPr>
      </w:pPr>
      <w:bookmarkStart w:id="202" w:name="_Toc438372763"/>
      <w:bookmarkStart w:id="203" w:name="_Toc8187911"/>
      <w:bookmarkStart w:id="204" w:name="_Toc155068009"/>
      <w:bookmarkStart w:id="205" w:name="_Toc170209447"/>
      <w:r>
        <w:rPr>
          <w:rStyle w:val="CharSectno"/>
        </w:rPr>
        <w:t>27</w:t>
      </w:r>
      <w:r>
        <w:rPr>
          <w:snapToGrid w:val="0"/>
        </w:rPr>
        <w:t>.</w:t>
      </w:r>
      <w:r>
        <w:rPr>
          <w:snapToGrid w:val="0"/>
        </w:rPr>
        <w:tab/>
        <w:t>Log timber removed from private land to be identified</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206" w:name="_Toc438372764"/>
      <w:bookmarkStart w:id="207" w:name="_Toc8187912"/>
      <w:bookmarkStart w:id="208" w:name="_Toc155068010"/>
      <w:bookmarkStart w:id="209" w:name="_Toc170209448"/>
      <w:r>
        <w:rPr>
          <w:rStyle w:val="CharSectno"/>
        </w:rPr>
        <w:t>28</w:t>
      </w:r>
      <w:r>
        <w:rPr>
          <w:snapToGrid w:val="0"/>
        </w:rPr>
        <w:t>.</w:t>
      </w:r>
      <w:r>
        <w:rPr>
          <w:snapToGrid w:val="0"/>
        </w:rPr>
        <w:tab/>
        <w:t>Application for owner’s identification code</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matter that the Executive Director considers necessary in relation to such an application.</w:t>
      </w:r>
    </w:p>
    <w:p>
      <w:pPr>
        <w:pStyle w:val="Subsection"/>
        <w:rPr>
          <w:snapToGrid w:val="0"/>
        </w:rPr>
      </w:pPr>
      <w:r>
        <w:rPr>
          <w:snapToGrid w:val="0"/>
        </w:rPr>
        <w:tab/>
        <w:t>(3)</w:t>
      </w:r>
      <w:r>
        <w:rPr>
          <w:snapToGrid w:val="0"/>
        </w:rPr>
        <w:tab/>
        <w:t>An applicant shall provide the Executive Director with such further information as the Executive Director requires in any particular case.</w:t>
      </w:r>
    </w:p>
    <w:p>
      <w:pPr>
        <w:pStyle w:val="Heading5"/>
        <w:rPr>
          <w:snapToGrid w:val="0"/>
        </w:rPr>
      </w:pPr>
      <w:bookmarkStart w:id="210" w:name="_Toc438372765"/>
      <w:bookmarkStart w:id="211" w:name="_Toc8187913"/>
      <w:bookmarkStart w:id="212" w:name="_Toc155068011"/>
      <w:bookmarkStart w:id="213" w:name="_Toc170209449"/>
      <w:r>
        <w:rPr>
          <w:rStyle w:val="CharSectno"/>
        </w:rPr>
        <w:t>29</w:t>
      </w:r>
      <w:r>
        <w:rPr>
          <w:snapToGrid w:val="0"/>
        </w:rPr>
        <w:t>.</w:t>
      </w:r>
      <w:r>
        <w:rPr>
          <w:snapToGrid w:val="0"/>
        </w:rPr>
        <w:tab/>
        <w:t>Registration of owner’s identification code</w:t>
      </w:r>
      <w:bookmarkEnd w:id="210"/>
      <w:bookmarkEnd w:id="211"/>
      <w:bookmarkEnd w:id="212"/>
      <w:bookmarkEnd w:id="213"/>
      <w:r>
        <w:rPr>
          <w:snapToGrid w:val="0"/>
        </w:rPr>
        <w:t xml:space="preserve"> </w:t>
      </w:r>
    </w:p>
    <w:p>
      <w:pPr>
        <w:pStyle w:val="Subsection"/>
        <w:keepNext/>
        <w:rPr>
          <w:snapToGrid w:val="0"/>
        </w:rPr>
      </w:pPr>
      <w:r>
        <w:rPr>
          <w:snapToGrid w:val="0"/>
        </w:rPr>
        <w:tab/>
        <w:t>(1)</w:t>
      </w:r>
      <w:r>
        <w:rPr>
          <w:snapToGrid w:val="0"/>
        </w:rPr>
        <w:tab/>
        <w:t>The Executive Director shall on being satisfied —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Executive Director shall —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Heading5"/>
        <w:rPr>
          <w:snapToGrid w:val="0"/>
        </w:rPr>
      </w:pPr>
      <w:bookmarkStart w:id="214" w:name="_Toc438372766"/>
      <w:bookmarkStart w:id="215" w:name="_Toc8187914"/>
      <w:bookmarkStart w:id="216" w:name="_Toc155068012"/>
      <w:bookmarkStart w:id="217" w:name="_Toc170209450"/>
      <w:r>
        <w:rPr>
          <w:rStyle w:val="CharSectno"/>
        </w:rPr>
        <w:t>30</w:t>
      </w:r>
      <w:r>
        <w:rPr>
          <w:snapToGrid w:val="0"/>
        </w:rPr>
        <w:t>.</w:t>
      </w:r>
      <w:r>
        <w:rPr>
          <w:snapToGrid w:val="0"/>
        </w:rPr>
        <w:tab/>
        <w:t>Alteration, etc. of owner’s identification code prohibited</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authorized in writing to do so by the Executive Director or a forest officer.</w:t>
      </w:r>
    </w:p>
    <w:p>
      <w:pPr>
        <w:pStyle w:val="Penstart"/>
        <w:rPr>
          <w:snapToGrid w:val="0"/>
        </w:rPr>
      </w:pPr>
      <w:r>
        <w:rPr>
          <w:snapToGrid w:val="0"/>
        </w:rPr>
        <w:tab/>
        <w:t>Penalty: $2 000.</w:t>
      </w:r>
    </w:p>
    <w:p>
      <w:pPr>
        <w:pStyle w:val="Heading5"/>
        <w:rPr>
          <w:snapToGrid w:val="0"/>
        </w:rPr>
      </w:pPr>
      <w:bookmarkStart w:id="218" w:name="_Toc438372767"/>
      <w:bookmarkStart w:id="219" w:name="_Toc8187915"/>
      <w:bookmarkStart w:id="220" w:name="_Toc155068013"/>
      <w:bookmarkStart w:id="221" w:name="_Toc170209451"/>
      <w:r>
        <w:rPr>
          <w:rStyle w:val="CharSectno"/>
        </w:rPr>
        <w:t>31</w:t>
      </w:r>
      <w:r>
        <w:rPr>
          <w:snapToGrid w:val="0"/>
        </w:rPr>
        <w:t>.</w:t>
      </w:r>
      <w:r>
        <w:rPr>
          <w:snapToGrid w:val="0"/>
        </w:rPr>
        <w:tab/>
        <w:t>Use of incorrect owner’s identification code prohibited</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222" w:name="_Toc438372768"/>
      <w:bookmarkStart w:id="223" w:name="_Toc8187916"/>
      <w:bookmarkStart w:id="224" w:name="_Toc155068014"/>
      <w:bookmarkStart w:id="225" w:name="_Toc170209452"/>
      <w:r>
        <w:rPr>
          <w:rStyle w:val="CharSectno"/>
        </w:rPr>
        <w:t>32</w:t>
      </w:r>
      <w:r>
        <w:rPr>
          <w:snapToGrid w:val="0"/>
        </w:rPr>
        <w:t>.</w:t>
      </w:r>
      <w:r>
        <w:rPr>
          <w:snapToGrid w:val="0"/>
        </w:rPr>
        <w:tab/>
        <w:t>Marking of owner’s identification code on State forest timber prohibited</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rPr>
          <w:snapToGrid w:val="0"/>
        </w:rPr>
      </w:pPr>
      <w:bookmarkStart w:id="226" w:name="_Toc154984349"/>
      <w:bookmarkStart w:id="227" w:name="_Toc155067154"/>
      <w:bookmarkStart w:id="228" w:name="_Toc155068015"/>
      <w:bookmarkStart w:id="229" w:name="_Toc170209453"/>
      <w:r>
        <w:rPr>
          <w:rStyle w:val="CharDivNo"/>
        </w:rPr>
        <w:t>Division 3</w:t>
      </w:r>
      <w:r>
        <w:rPr>
          <w:snapToGrid w:val="0"/>
        </w:rPr>
        <w:t> — </w:t>
      </w:r>
      <w:r>
        <w:rPr>
          <w:rStyle w:val="CharDivText"/>
        </w:rPr>
        <w:t>General</w:t>
      </w:r>
      <w:bookmarkEnd w:id="226"/>
      <w:bookmarkEnd w:id="227"/>
      <w:bookmarkEnd w:id="228"/>
      <w:bookmarkEnd w:id="229"/>
      <w:r>
        <w:rPr>
          <w:rStyle w:val="CharDivText"/>
        </w:rPr>
        <w:t xml:space="preserve"> </w:t>
      </w:r>
    </w:p>
    <w:p>
      <w:pPr>
        <w:pStyle w:val="Heading5"/>
        <w:rPr>
          <w:snapToGrid w:val="0"/>
        </w:rPr>
      </w:pPr>
      <w:bookmarkStart w:id="230" w:name="_Toc438372769"/>
      <w:bookmarkStart w:id="231" w:name="_Toc8187917"/>
      <w:bookmarkStart w:id="232" w:name="_Toc155068016"/>
      <w:bookmarkStart w:id="233" w:name="_Toc170209454"/>
      <w:r>
        <w:rPr>
          <w:rStyle w:val="CharSectno"/>
        </w:rPr>
        <w:t>33</w:t>
      </w:r>
      <w:r>
        <w:rPr>
          <w:snapToGrid w:val="0"/>
        </w:rPr>
        <w:t>.</w:t>
      </w:r>
      <w:r>
        <w:rPr>
          <w:snapToGrid w:val="0"/>
        </w:rPr>
        <w:tab/>
        <w:t>Identification codes not transferable</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234" w:name="_Toc438372770"/>
      <w:bookmarkStart w:id="235" w:name="_Toc8187918"/>
      <w:bookmarkStart w:id="236" w:name="_Toc155068017"/>
      <w:bookmarkStart w:id="237" w:name="_Toc170209455"/>
      <w:r>
        <w:rPr>
          <w:rStyle w:val="CharSectno"/>
        </w:rPr>
        <w:t>34</w:t>
      </w:r>
      <w:r>
        <w:rPr>
          <w:snapToGrid w:val="0"/>
        </w:rPr>
        <w:t>.</w:t>
      </w:r>
      <w:r>
        <w:rPr>
          <w:snapToGrid w:val="0"/>
        </w:rPr>
        <w:tab/>
        <w:t>Register of identification codes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Executive Director shall cause to be compiled and maintained a register showing in respect of each identification code registered under this Part —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Executive Director determines to be relevant.</w:t>
      </w:r>
    </w:p>
    <w:p>
      <w:pPr>
        <w:pStyle w:val="Heading2"/>
      </w:pPr>
      <w:bookmarkStart w:id="238" w:name="_Toc154984352"/>
      <w:bookmarkStart w:id="239" w:name="_Toc155067157"/>
      <w:bookmarkStart w:id="240" w:name="_Toc155068018"/>
      <w:bookmarkStart w:id="241" w:name="_Toc170209456"/>
      <w:r>
        <w:rPr>
          <w:rStyle w:val="CharPartNo"/>
        </w:rPr>
        <w:t>Part 5</w:t>
      </w:r>
      <w:r>
        <w:rPr>
          <w:rStyle w:val="CharDivNo"/>
        </w:rPr>
        <w:t> </w:t>
      </w:r>
      <w:r>
        <w:t>—</w:t>
      </w:r>
      <w:r>
        <w:rPr>
          <w:rStyle w:val="CharDivText"/>
        </w:rPr>
        <w:t> </w:t>
      </w:r>
      <w:r>
        <w:rPr>
          <w:rStyle w:val="CharPartText"/>
        </w:rPr>
        <w:t>Log delivery notes</w:t>
      </w:r>
      <w:bookmarkEnd w:id="238"/>
      <w:bookmarkEnd w:id="239"/>
      <w:bookmarkEnd w:id="240"/>
      <w:bookmarkEnd w:id="241"/>
      <w:r>
        <w:rPr>
          <w:rStyle w:val="CharPartText"/>
        </w:rPr>
        <w:t xml:space="preserve"> </w:t>
      </w:r>
    </w:p>
    <w:p>
      <w:pPr>
        <w:pStyle w:val="Heading5"/>
        <w:rPr>
          <w:snapToGrid w:val="0"/>
        </w:rPr>
      </w:pPr>
      <w:bookmarkStart w:id="242" w:name="_Toc438372771"/>
      <w:bookmarkStart w:id="243" w:name="_Toc8187919"/>
      <w:bookmarkStart w:id="244" w:name="_Toc155068019"/>
      <w:bookmarkStart w:id="245" w:name="_Toc170209457"/>
      <w:r>
        <w:rPr>
          <w:rStyle w:val="CharSectno"/>
        </w:rPr>
        <w:t>35</w:t>
      </w:r>
      <w:r>
        <w:rPr>
          <w:snapToGrid w:val="0"/>
        </w:rPr>
        <w:t>.</w:t>
      </w:r>
      <w:r>
        <w:rPr>
          <w:snapToGrid w:val="0"/>
        </w:rPr>
        <w:tab/>
        <w:t>Log timber not to be removed from State forest or timber reserve unless log delivery note completed</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Except as provided in subregulation (2), a person shall not remove log timber that has been felled in a State forest or timber reserve from —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rPr>
          <w:snapToGrid w:val="0"/>
        </w:rPr>
      </w:pPr>
      <w:bookmarkStart w:id="246" w:name="_Toc438372772"/>
      <w:bookmarkStart w:id="247" w:name="_Toc8187920"/>
      <w:bookmarkStart w:id="248" w:name="_Toc155068020"/>
      <w:bookmarkStart w:id="249" w:name="_Toc170209458"/>
      <w:r>
        <w:rPr>
          <w:rStyle w:val="CharSectno"/>
        </w:rPr>
        <w:t>36</w:t>
      </w:r>
      <w:r>
        <w:rPr>
          <w:snapToGrid w:val="0"/>
        </w:rPr>
        <w:t>.</w:t>
      </w:r>
      <w:r>
        <w:rPr>
          <w:snapToGrid w:val="0"/>
        </w:rPr>
        <w:tab/>
        <w:t>Information required in log delivery note</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log delivery note shall contain the following information written in indelible pencil or indelible ink — </w:t>
      </w:r>
    </w:p>
    <w:p>
      <w:pPr>
        <w:pStyle w:val="Indenta"/>
        <w:rPr>
          <w:snapToGrid w:val="0"/>
        </w:rPr>
      </w:pPr>
      <w:r>
        <w:rPr>
          <w:snapToGrid w:val="0"/>
        </w:rPr>
        <w:tab/>
        <w:t>(a)</w:t>
      </w:r>
      <w:r>
        <w:rPr>
          <w:snapToGrid w:val="0"/>
        </w:rPr>
        <w:tab/>
        <w:t>the date of removal of the log timber;</w:t>
      </w:r>
    </w:p>
    <w:p>
      <w:pPr>
        <w:pStyle w:val="Indenta"/>
        <w:rPr>
          <w:snapToGrid w:val="0"/>
        </w:rPr>
      </w:pPr>
      <w:r>
        <w:rPr>
          <w:snapToGrid w:val="0"/>
        </w:rPr>
        <w:tab/>
        <w:t>(b)</w:t>
      </w:r>
      <w:r>
        <w:rPr>
          <w:snapToGrid w:val="0"/>
        </w:rPr>
        <w:tab/>
        <w:t>the name of the person to whom the log timber is to be delivered;</w:t>
      </w:r>
    </w:p>
    <w:p>
      <w:pPr>
        <w:pStyle w:val="Indenta"/>
        <w:rPr>
          <w:snapToGrid w:val="0"/>
        </w:rPr>
      </w:pPr>
      <w:r>
        <w:rPr>
          <w:snapToGrid w:val="0"/>
        </w:rPr>
        <w:tab/>
        <w:t>(c)</w:t>
      </w:r>
      <w:r>
        <w:rPr>
          <w:snapToGrid w:val="0"/>
        </w:rPr>
        <w:tab/>
        <w:t>the address of the place to which the log timber is to be delivered;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w:t>
      </w:r>
    </w:p>
    <w:p>
      <w:pPr>
        <w:pStyle w:val="Indenta"/>
        <w:rPr>
          <w:snapToGrid w:val="0"/>
        </w:rPr>
      </w:pPr>
      <w:r>
        <w:rPr>
          <w:snapToGrid w:val="0"/>
        </w:rPr>
        <w:tab/>
        <w:t>(e)</w:t>
      </w:r>
      <w:r>
        <w:rPr>
          <w:snapToGrid w:val="0"/>
        </w:rPr>
        <w:tab/>
        <w:t>details of the location where the log timber was felled;</w:t>
      </w:r>
    </w:p>
    <w:p>
      <w:pPr>
        <w:pStyle w:val="Indenta"/>
        <w:rPr>
          <w:snapToGrid w:val="0"/>
        </w:rPr>
      </w:pPr>
      <w:r>
        <w:rPr>
          <w:snapToGrid w:val="0"/>
        </w:rPr>
        <w:tab/>
        <w:t>(f)</w:t>
      </w:r>
      <w:r>
        <w:rPr>
          <w:snapToGrid w:val="0"/>
        </w:rPr>
        <w:tab/>
        <w:t>if each log of timber is to be measured individually, the number of logs on the load;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w:t>
      </w:r>
    </w:p>
    <w:p>
      <w:pPr>
        <w:pStyle w:val="Indenta"/>
        <w:rPr>
          <w:snapToGrid w:val="0"/>
        </w:rPr>
      </w:pPr>
      <w:r>
        <w:rPr>
          <w:snapToGrid w:val="0"/>
        </w:rPr>
        <w:tab/>
        <w:t>(h)</w:t>
      </w:r>
      <w:r>
        <w:rPr>
          <w:snapToGrid w:val="0"/>
        </w:rPr>
        <w:tab/>
        <w:t xml:space="preserve">the feller’s identification code of the feller of the timber; </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250" w:name="_Toc438372773"/>
      <w:bookmarkStart w:id="251" w:name="_Toc8187921"/>
      <w:bookmarkStart w:id="252" w:name="_Toc155068021"/>
      <w:bookmarkStart w:id="253" w:name="_Toc170209459"/>
      <w:r>
        <w:rPr>
          <w:rStyle w:val="CharSectno"/>
        </w:rPr>
        <w:t>37</w:t>
      </w:r>
      <w:r>
        <w:rPr>
          <w:snapToGrid w:val="0"/>
        </w:rPr>
        <w:t>.</w:t>
      </w:r>
      <w:r>
        <w:rPr>
          <w:snapToGrid w:val="0"/>
        </w:rPr>
        <w:tab/>
        <w:t>One log delivery note may be used for multiple logs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One log delivery note may be completed in respect of 2 or more logs of timber in a load if the timber —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254" w:name="_Toc438372774"/>
      <w:bookmarkStart w:id="255" w:name="_Toc8187922"/>
      <w:bookmarkStart w:id="256" w:name="_Toc155068022"/>
      <w:bookmarkStart w:id="257" w:name="_Toc170209460"/>
      <w:r>
        <w:rPr>
          <w:rStyle w:val="CharSectno"/>
        </w:rPr>
        <w:t>38</w:t>
      </w:r>
      <w:r>
        <w:rPr>
          <w:snapToGrid w:val="0"/>
        </w:rPr>
        <w:t>.</w:t>
      </w:r>
      <w:r>
        <w:rPr>
          <w:snapToGrid w:val="0"/>
        </w:rPr>
        <w:tab/>
        <w:t>Copies to be made of log delivery note</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258" w:name="_Toc438372775"/>
      <w:bookmarkStart w:id="259" w:name="_Toc8187923"/>
      <w:bookmarkStart w:id="260" w:name="_Toc155068023"/>
      <w:bookmarkStart w:id="261" w:name="_Toc170209461"/>
      <w:r>
        <w:rPr>
          <w:rStyle w:val="CharSectno"/>
        </w:rPr>
        <w:t>39</w:t>
      </w:r>
      <w:r>
        <w:rPr>
          <w:snapToGrid w:val="0"/>
        </w:rPr>
        <w:t>.</w:t>
      </w:r>
      <w:r>
        <w:rPr>
          <w:snapToGrid w:val="0"/>
        </w:rPr>
        <w:tab/>
        <w:t>Issue and form of log delivery notes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Executive Director is responsible for the issue and supply of books of log delivery notes.</w:t>
      </w:r>
    </w:p>
    <w:p>
      <w:pPr>
        <w:pStyle w:val="Subsection"/>
        <w:rPr>
          <w:snapToGrid w:val="0"/>
        </w:rPr>
      </w:pPr>
      <w:r>
        <w:rPr>
          <w:snapToGrid w:val="0"/>
        </w:rPr>
        <w:tab/>
        <w:t>(2)</w:t>
      </w:r>
      <w:r>
        <w:rPr>
          <w:snapToGrid w:val="0"/>
        </w:rPr>
        <w:tab/>
        <w:t>Upon the issue of a book of log delivery notes the Executive Director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Executive Director.</w:t>
      </w:r>
    </w:p>
    <w:p>
      <w:pPr>
        <w:pStyle w:val="Penstart"/>
        <w:rPr>
          <w:snapToGrid w:val="0"/>
        </w:rPr>
      </w:pPr>
      <w:r>
        <w:rPr>
          <w:snapToGrid w:val="0"/>
        </w:rPr>
        <w:tab/>
        <w:t>Penalty: $50.</w:t>
      </w:r>
    </w:p>
    <w:p>
      <w:pPr>
        <w:pStyle w:val="Heading5"/>
        <w:rPr>
          <w:snapToGrid w:val="0"/>
        </w:rPr>
      </w:pPr>
      <w:bookmarkStart w:id="262" w:name="_Toc438372776"/>
      <w:bookmarkStart w:id="263" w:name="_Toc8187924"/>
      <w:bookmarkStart w:id="264" w:name="_Toc155068024"/>
      <w:bookmarkStart w:id="265" w:name="_Toc170209462"/>
      <w:r>
        <w:rPr>
          <w:rStyle w:val="CharSectno"/>
        </w:rPr>
        <w:t>40</w:t>
      </w:r>
      <w:r>
        <w:rPr>
          <w:snapToGrid w:val="0"/>
        </w:rPr>
        <w:t>.</w:t>
      </w:r>
      <w:r>
        <w:rPr>
          <w:snapToGrid w:val="0"/>
        </w:rPr>
        <w:tab/>
        <w:t>Return of unused log delivery notes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to whom a book of log delivery notes has been issued by the Executive Director shall, as soon as practicable after the expiration of 12 months from the day on which the book was issued, return to the Executive Director any log delivery note in the book that has not been used.</w:t>
      </w:r>
    </w:p>
    <w:p>
      <w:pPr>
        <w:pStyle w:val="Penstart"/>
        <w:rPr>
          <w:snapToGrid w:val="0"/>
        </w:rPr>
      </w:pPr>
      <w:r>
        <w:rPr>
          <w:snapToGrid w:val="0"/>
        </w:rPr>
        <w:tab/>
        <w:t>Penalty: $1 000.</w:t>
      </w:r>
    </w:p>
    <w:p>
      <w:pPr>
        <w:pStyle w:val="Heading5"/>
        <w:rPr>
          <w:snapToGrid w:val="0"/>
        </w:rPr>
      </w:pPr>
      <w:bookmarkStart w:id="266" w:name="_Toc438372777"/>
      <w:bookmarkStart w:id="267" w:name="_Toc8187925"/>
      <w:bookmarkStart w:id="268" w:name="_Toc155068025"/>
      <w:bookmarkStart w:id="269" w:name="_Toc170209463"/>
      <w:r>
        <w:rPr>
          <w:rStyle w:val="CharSectno"/>
        </w:rPr>
        <w:t>41</w:t>
      </w:r>
      <w:r>
        <w:rPr>
          <w:snapToGrid w:val="0"/>
        </w:rPr>
        <w:t>.</w:t>
      </w:r>
      <w:r>
        <w:rPr>
          <w:snapToGrid w:val="0"/>
        </w:rPr>
        <w:tab/>
        <w:t>Destruction of log delivery notes prohibited</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shall not destroy a log delivery note, whether completed, partially completed or unused, unless authorized in writing to do so by the Executive Director.</w:t>
      </w:r>
    </w:p>
    <w:p>
      <w:pPr>
        <w:pStyle w:val="Penstart"/>
        <w:rPr>
          <w:snapToGrid w:val="0"/>
        </w:rPr>
      </w:pPr>
      <w:r>
        <w:rPr>
          <w:snapToGrid w:val="0"/>
        </w:rPr>
        <w:tab/>
        <w:t>Penalty: $1 000.</w:t>
      </w:r>
    </w:p>
    <w:p>
      <w:pPr>
        <w:pStyle w:val="Heading5"/>
        <w:rPr>
          <w:snapToGrid w:val="0"/>
        </w:rPr>
      </w:pPr>
      <w:bookmarkStart w:id="270" w:name="_Toc438372778"/>
      <w:bookmarkStart w:id="271" w:name="_Toc8187926"/>
      <w:bookmarkStart w:id="272" w:name="_Toc155068026"/>
      <w:bookmarkStart w:id="273" w:name="_Toc170209464"/>
      <w:r>
        <w:rPr>
          <w:rStyle w:val="CharSectno"/>
        </w:rPr>
        <w:t>42</w:t>
      </w:r>
      <w:r>
        <w:rPr>
          <w:snapToGrid w:val="0"/>
        </w:rPr>
        <w:t>.</w:t>
      </w:r>
      <w:r>
        <w:rPr>
          <w:snapToGrid w:val="0"/>
        </w:rPr>
        <w:tab/>
        <w:t>Requirement to return, or account for, log delivery notes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Notwithstanding regulation 40, a person to whom a book of log delivery notes has been issued by the Executive Director, when required by the Executive Director by notice in writing — </w:t>
      </w:r>
    </w:p>
    <w:p>
      <w:pPr>
        <w:pStyle w:val="Indenta"/>
        <w:rPr>
          <w:snapToGrid w:val="0"/>
        </w:rPr>
      </w:pPr>
      <w:r>
        <w:rPr>
          <w:snapToGrid w:val="0"/>
        </w:rPr>
        <w:tab/>
        <w:t>(a)</w:t>
      </w:r>
      <w:r>
        <w:rPr>
          <w:snapToGrid w:val="0"/>
        </w:rPr>
        <w:tab/>
        <w:t>to return the book or any log delivery note in the book to the Executive Director,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Heading5"/>
        <w:rPr>
          <w:snapToGrid w:val="0"/>
        </w:rPr>
      </w:pPr>
      <w:bookmarkStart w:id="274" w:name="_Toc438372779"/>
      <w:bookmarkStart w:id="275" w:name="_Toc8187927"/>
      <w:bookmarkStart w:id="276" w:name="_Toc155068027"/>
      <w:bookmarkStart w:id="277" w:name="_Toc170209465"/>
      <w:r>
        <w:rPr>
          <w:rStyle w:val="CharSectno"/>
        </w:rPr>
        <w:t>43</w:t>
      </w:r>
      <w:r>
        <w:rPr>
          <w:snapToGrid w:val="0"/>
        </w:rPr>
        <w:t>.</w:t>
      </w:r>
      <w:r>
        <w:rPr>
          <w:snapToGrid w:val="0"/>
        </w:rPr>
        <w:tab/>
        <w:t>False statements</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278" w:name="_Toc438372780"/>
      <w:bookmarkStart w:id="279" w:name="_Toc8187928"/>
      <w:bookmarkStart w:id="280" w:name="_Toc155068028"/>
      <w:bookmarkStart w:id="281" w:name="_Toc170209466"/>
      <w:r>
        <w:rPr>
          <w:rStyle w:val="CharSectno"/>
        </w:rPr>
        <w:t>44</w:t>
      </w:r>
      <w:r>
        <w:rPr>
          <w:snapToGrid w:val="0"/>
        </w:rPr>
        <w:t>.</w:t>
      </w:r>
      <w:r>
        <w:rPr>
          <w:snapToGrid w:val="0"/>
        </w:rPr>
        <w:tab/>
        <w:t>Alteration, etc. of log delivery notes prohibited</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282" w:name="_Toc438372781"/>
      <w:bookmarkStart w:id="283" w:name="_Toc8187929"/>
      <w:bookmarkStart w:id="284" w:name="_Toc155068029"/>
      <w:bookmarkStart w:id="285" w:name="_Toc170209467"/>
      <w:r>
        <w:rPr>
          <w:rStyle w:val="CharSectno"/>
        </w:rPr>
        <w:t>45</w:t>
      </w:r>
      <w:r>
        <w:rPr>
          <w:snapToGrid w:val="0"/>
        </w:rPr>
        <w:t>.</w:t>
      </w:r>
      <w:r>
        <w:rPr>
          <w:snapToGrid w:val="0"/>
        </w:rPr>
        <w:tab/>
        <w:t>Log delivery notes to be carried in vehicle</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286" w:name="_Toc438372782"/>
      <w:bookmarkStart w:id="287" w:name="_Toc8187930"/>
      <w:bookmarkStart w:id="288" w:name="_Toc155068030"/>
      <w:bookmarkStart w:id="289" w:name="_Toc170209468"/>
      <w:r>
        <w:rPr>
          <w:rStyle w:val="CharSectno"/>
        </w:rPr>
        <w:t>46</w:t>
      </w:r>
      <w:r>
        <w:rPr>
          <w:snapToGrid w:val="0"/>
        </w:rPr>
        <w:t>.</w:t>
      </w:r>
      <w:r>
        <w:rPr>
          <w:snapToGrid w:val="0"/>
        </w:rPr>
        <w:tab/>
        <w:t>Driver of loaded vehicle to produce log delivery note</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forest officer or a conservation and land management officer may require the driver of any vehicle carrying log timber —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290" w:name="_Toc438372783"/>
      <w:bookmarkStart w:id="291" w:name="_Toc8187931"/>
      <w:bookmarkStart w:id="292" w:name="_Toc155068031"/>
      <w:bookmarkStart w:id="293" w:name="_Toc170209469"/>
      <w:r>
        <w:rPr>
          <w:rStyle w:val="CharSectno"/>
        </w:rPr>
        <w:t>47</w:t>
      </w:r>
      <w:r>
        <w:rPr>
          <w:snapToGrid w:val="0"/>
        </w:rPr>
        <w:t>.</w:t>
      </w:r>
      <w:r>
        <w:rPr>
          <w:snapToGrid w:val="0"/>
        </w:rPr>
        <w:tab/>
        <w:t>Timber to be delivered to person and place specified in log delivery note</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shall not deliver any log timber for which a log delivery note is required under this Part to —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294" w:name="_Toc438372784"/>
      <w:bookmarkStart w:id="295" w:name="_Toc8187932"/>
      <w:bookmarkStart w:id="296" w:name="_Toc155068032"/>
      <w:bookmarkStart w:id="297" w:name="_Toc170209470"/>
      <w:r>
        <w:rPr>
          <w:rStyle w:val="CharSectno"/>
        </w:rPr>
        <w:t>48</w:t>
      </w:r>
      <w:r>
        <w:rPr>
          <w:snapToGrid w:val="0"/>
        </w:rPr>
        <w:t>.</w:t>
      </w:r>
      <w:r>
        <w:rPr>
          <w:snapToGrid w:val="0"/>
        </w:rPr>
        <w:tab/>
        <w:t>Log delivery note to be delivered with timber</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298" w:name="_Toc438372785"/>
      <w:bookmarkStart w:id="299" w:name="_Toc8187933"/>
      <w:bookmarkStart w:id="300" w:name="_Toc155068033"/>
      <w:bookmarkStart w:id="301" w:name="_Toc170209471"/>
      <w:r>
        <w:rPr>
          <w:rStyle w:val="CharSectno"/>
        </w:rPr>
        <w:t>49</w:t>
      </w:r>
      <w:r>
        <w:rPr>
          <w:snapToGrid w:val="0"/>
        </w:rPr>
        <w:t>.</w:t>
      </w:r>
      <w:r>
        <w:rPr>
          <w:snapToGrid w:val="0"/>
        </w:rPr>
        <w:tab/>
        <w:t>Minimum objective for checking of log delivery notes in the field</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Executive Director shall endeavour to ensure that, in any calendar month, not less than 5% of log delivery notes completed in respect of log timber removed from State forests and timber reserves during that month are checked by forest officers against the timber either — </w:t>
      </w:r>
    </w:p>
    <w:p>
      <w:pPr>
        <w:pStyle w:val="Indenta"/>
        <w:rPr>
          <w:snapToGrid w:val="0"/>
        </w:rPr>
      </w:pPr>
      <w:r>
        <w:rPr>
          <w:snapToGrid w:val="0"/>
        </w:rPr>
        <w:tab/>
        <w:t>(a)</w:t>
      </w:r>
      <w:r>
        <w:rPr>
          <w:snapToGrid w:val="0"/>
        </w:rPr>
        <w:tab/>
        <w:t>before the timber is removed from the State forest or timber reserve;</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Heading2"/>
      </w:pPr>
      <w:bookmarkStart w:id="302" w:name="_Toc154984368"/>
      <w:bookmarkStart w:id="303" w:name="_Toc155067173"/>
      <w:bookmarkStart w:id="304" w:name="_Toc155068034"/>
      <w:bookmarkStart w:id="305" w:name="_Toc170209472"/>
      <w:r>
        <w:rPr>
          <w:rStyle w:val="CharPartNo"/>
        </w:rPr>
        <w:t>Part 6</w:t>
      </w:r>
      <w:r>
        <w:rPr>
          <w:rStyle w:val="CharDivNo"/>
        </w:rPr>
        <w:t> </w:t>
      </w:r>
      <w:r>
        <w:t>—</w:t>
      </w:r>
      <w:r>
        <w:rPr>
          <w:rStyle w:val="CharDivText"/>
        </w:rPr>
        <w:t> </w:t>
      </w:r>
      <w:r>
        <w:rPr>
          <w:rStyle w:val="CharPartText"/>
        </w:rPr>
        <w:t>Specific requirements relating to sawmills</w:t>
      </w:r>
      <w:bookmarkEnd w:id="302"/>
      <w:bookmarkEnd w:id="303"/>
      <w:bookmarkEnd w:id="304"/>
      <w:bookmarkEnd w:id="305"/>
      <w:r>
        <w:rPr>
          <w:rStyle w:val="CharPartText"/>
        </w:rPr>
        <w:t xml:space="preserve"> </w:t>
      </w:r>
    </w:p>
    <w:p>
      <w:pPr>
        <w:pStyle w:val="Heading5"/>
        <w:rPr>
          <w:snapToGrid w:val="0"/>
        </w:rPr>
      </w:pPr>
      <w:bookmarkStart w:id="306" w:name="_Toc438372786"/>
      <w:bookmarkStart w:id="307" w:name="_Toc8187934"/>
      <w:bookmarkStart w:id="308" w:name="_Toc155068035"/>
      <w:bookmarkStart w:id="309" w:name="_Toc170209473"/>
      <w:r>
        <w:rPr>
          <w:rStyle w:val="CharSectno"/>
        </w:rPr>
        <w:t>50</w:t>
      </w:r>
      <w:r>
        <w:rPr>
          <w:snapToGrid w:val="0"/>
        </w:rPr>
        <w:t>.</w:t>
      </w:r>
      <w:r>
        <w:rPr>
          <w:snapToGrid w:val="0"/>
        </w:rPr>
        <w:tab/>
        <w:t>Log timber from State forest or timber reserve not to be received at sawmill without log delivery note</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310" w:name="_Toc438372787"/>
      <w:bookmarkStart w:id="311" w:name="_Toc8187935"/>
      <w:bookmarkStart w:id="312" w:name="_Toc155068036"/>
      <w:bookmarkStart w:id="313" w:name="_Toc170209474"/>
      <w:r>
        <w:rPr>
          <w:rStyle w:val="CharSectno"/>
        </w:rPr>
        <w:t>51</w:t>
      </w:r>
      <w:r>
        <w:rPr>
          <w:snapToGrid w:val="0"/>
        </w:rPr>
        <w:t>.</w:t>
      </w:r>
      <w:r>
        <w:rPr>
          <w:snapToGrid w:val="0"/>
        </w:rPr>
        <w:tab/>
        <w:t>Log delivery note to be signed at sawmill</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 xml:space="preserve">[Regulation 51 amended in Gazette 28 April 1995 p.1460.] </w:t>
      </w:r>
    </w:p>
    <w:p>
      <w:pPr>
        <w:pStyle w:val="Heading5"/>
        <w:rPr>
          <w:snapToGrid w:val="0"/>
        </w:rPr>
      </w:pPr>
      <w:bookmarkStart w:id="314" w:name="_Toc438372788"/>
      <w:bookmarkStart w:id="315" w:name="_Toc8187936"/>
      <w:bookmarkStart w:id="316" w:name="_Toc155068037"/>
      <w:bookmarkStart w:id="317" w:name="_Toc170209475"/>
      <w:r>
        <w:rPr>
          <w:rStyle w:val="CharSectno"/>
        </w:rPr>
        <w:t>52</w:t>
      </w:r>
      <w:r>
        <w:rPr>
          <w:snapToGrid w:val="0"/>
        </w:rPr>
        <w:t>.</w:t>
      </w:r>
      <w:r>
        <w:rPr>
          <w:snapToGrid w:val="0"/>
        </w:rPr>
        <w:tab/>
        <w:t>Original of log delivery note to be delivered to Executive Director within 3 days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Executive Director or a forest officer within 3 working days from the day on which the delivery note is received at the sawmill.</w:t>
      </w:r>
    </w:p>
    <w:p>
      <w:pPr>
        <w:pStyle w:val="Penstart"/>
        <w:rPr>
          <w:snapToGrid w:val="0"/>
        </w:rPr>
      </w:pPr>
      <w:r>
        <w:rPr>
          <w:snapToGrid w:val="0"/>
        </w:rPr>
        <w:tab/>
        <w:t>Penalty: $2 000.</w:t>
      </w:r>
    </w:p>
    <w:p>
      <w:pPr>
        <w:pStyle w:val="Heading2"/>
      </w:pPr>
      <w:bookmarkStart w:id="318" w:name="_Toc154984372"/>
      <w:bookmarkStart w:id="319" w:name="_Toc155067177"/>
      <w:bookmarkStart w:id="320" w:name="_Toc155068038"/>
      <w:bookmarkStart w:id="321" w:name="_Toc170209476"/>
      <w:r>
        <w:rPr>
          <w:rStyle w:val="CharPartNo"/>
        </w:rPr>
        <w:t>Part 7</w:t>
      </w:r>
      <w:r>
        <w:rPr>
          <w:rStyle w:val="CharDivNo"/>
        </w:rPr>
        <w:t> </w:t>
      </w:r>
      <w:r>
        <w:t>—</w:t>
      </w:r>
      <w:r>
        <w:rPr>
          <w:rStyle w:val="CharDivText"/>
        </w:rPr>
        <w:t> </w:t>
      </w:r>
      <w:r>
        <w:rPr>
          <w:rStyle w:val="CharPartText"/>
        </w:rPr>
        <w:t>Determination of log timber quantity</w:t>
      </w:r>
      <w:bookmarkEnd w:id="318"/>
      <w:bookmarkEnd w:id="319"/>
      <w:bookmarkEnd w:id="320"/>
      <w:bookmarkEnd w:id="321"/>
      <w:r>
        <w:rPr>
          <w:rStyle w:val="CharPartText"/>
        </w:rPr>
        <w:t xml:space="preserve"> </w:t>
      </w:r>
    </w:p>
    <w:p>
      <w:pPr>
        <w:pStyle w:val="Heading5"/>
        <w:rPr>
          <w:snapToGrid w:val="0"/>
        </w:rPr>
      </w:pPr>
      <w:bookmarkStart w:id="322" w:name="_Toc438372789"/>
      <w:bookmarkStart w:id="323" w:name="_Toc8187937"/>
      <w:bookmarkStart w:id="324" w:name="_Toc155068039"/>
      <w:bookmarkStart w:id="325" w:name="_Toc170209477"/>
      <w:r>
        <w:rPr>
          <w:rStyle w:val="CharSectno"/>
        </w:rPr>
        <w:t>53</w:t>
      </w:r>
      <w:r>
        <w:rPr>
          <w:snapToGrid w:val="0"/>
        </w:rPr>
        <w:t>.</w:t>
      </w:r>
      <w:r>
        <w:rPr>
          <w:snapToGrid w:val="0"/>
        </w:rPr>
        <w:tab/>
        <w:t>Quantity to be immediately entered in log delivery note</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who determines the quantity of any log timber that has been felled in a State forest or timber reserve shall immediately —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326" w:name="_Toc438372790"/>
      <w:bookmarkStart w:id="327" w:name="_Toc8187938"/>
      <w:bookmarkStart w:id="328" w:name="_Toc155068040"/>
      <w:bookmarkStart w:id="329" w:name="_Toc170209478"/>
      <w:r>
        <w:rPr>
          <w:rStyle w:val="CharSectno"/>
        </w:rPr>
        <w:t>54</w:t>
      </w:r>
      <w:r>
        <w:rPr>
          <w:snapToGrid w:val="0"/>
        </w:rPr>
        <w:t>.</w:t>
      </w:r>
      <w:r>
        <w:rPr>
          <w:snapToGrid w:val="0"/>
        </w:rPr>
        <w:tab/>
        <w:t>Incorrect quantity not to be entered in log delivery note</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330" w:name="_Toc438372791"/>
      <w:bookmarkStart w:id="331" w:name="_Toc8187939"/>
      <w:bookmarkStart w:id="332" w:name="_Toc155068041"/>
      <w:bookmarkStart w:id="333" w:name="_Toc170209479"/>
      <w:r>
        <w:rPr>
          <w:rStyle w:val="CharSectno"/>
        </w:rPr>
        <w:t>55</w:t>
      </w:r>
      <w:r>
        <w:rPr>
          <w:snapToGrid w:val="0"/>
        </w:rPr>
        <w:t>.</w:t>
      </w:r>
      <w:r>
        <w:rPr>
          <w:snapToGrid w:val="0"/>
        </w:rPr>
        <w:tab/>
        <w:t>Unquantified timber not to be stored or processed at sawmill</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owner or manager of a sawmill shall not, without the authorization of the Executive Director, permit log timber that has been felled in a State forest or timber reserve to be stored or processed at the sawmill unless the quantity of the timber has been determined and —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334" w:name="_Toc438372792"/>
      <w:bookmarkStart w:id="335" w:name="_Toc8187940"/>
      <w:bookmarkStart w:id="336" w:name="_Toc155068042"/>
      <w:bookmarkStart w:id="337" w:name="_Toc170209480"/>
      <w:r>
        <w:rPr>
          <w:rStyle w:val="CharSectno"/>
        </w:rPr>
        <w:t>56</w:t>
      </w:r>
      <w:r>
        <w:rPr>
          <w:snapToGrid w:val="0"/>
        </w:rPr>
        <w:t>.</w:t>
      </w:r>
      <w:r>
        <w:rPr>
          <w:snapToGrid w:val="0"/>
        </w:rPr>
        <w:tab/>
        <w:t>Method of determining quantity</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In this regulation, </w:t>
      </w:r>
      <w:del w:id="338" w:author="Master Repository Process" w:date="2021-08-01T15:45:00Z">
        <w:r>
          <w:rPr>
            <w:b/>
            <w:snapToGrid w:val="0"/>
          </w:rPr>
          <w:delText>“</w:delText>
        </w:r>
      </w:del>
      <w:r>
        <w:rPr>
          <w:rStyle w:val="CharDefText"/>
        </w:rPr>
        <w:t>contract</w:t>
      </w:r>
      <w:del w:id="339" w:author="Master Repository Process" w:date="2021-08-01T15:45:00Z">
        <w:r>
          <w:rPr>
            <w:b/>
            <w:snapToGrid w:val="0"/>
          </w:rPr>
          <w:delText>”</w:delText>
        </w:r>
      </w:del>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340" w:name="_Toc154984377"/>
      <w:bookmarkStart w:id="341" w:name="_Toc155067182"/>
      <w:bookmarkStart w:id="342" w:name="_Toc155068043"/>
      <w:bookmarkStart w:id="343" w:name="_Toc170209481"/>
      <w:r>
        <w:rPr>
          <w:rStyle w:val="CharPartNo"/>
        </w:rPr>
        <w:t>Part 8</w:t>
      </w:r>
      <w:r>
        <w:rPr>
          <w:rStyle w:val="CharDivNo"/>
        </w:rPr>
        <w:t> </w:t>
      </w:r>
      <w:r>
        <w:t>—</w:t>
      </w:r>
      <w:r>
        <w:rPr>
          <w:rStyle w:val="CharDivText"/>
        </w:rPr>
        <w:t> </w:t>
      </w:r>
      <w:r>
        <w:rPr>
          <w:rStyle w:val="CharPartText"/>
        </w:rPr>
        <w:t>Log timber receival records</w:t>
      </w:r>
      <w:bookmarkEnd w:id="340"/>
      <w:bookmarkEnd w:id="341"/>
      <w:bookmarkEnd w:id="342"/>
      <w:bookmarkEnd w:id="343"/>
      <w:r>
        <w:rPr>
          <w:rStyle w:val="CharPartText"/>
        </w:rPr>
        <w:t xml:space="preserve"> </w:t>
      </w:r>
    </w:p>
    <w:p>
      <w:pPr>
        <w:pStyle w:val="Heading5"/>
        <w:rPr>
          <w:snapToGrid w:val="0"/>
        </w:rPr>
      </w:pPr>
      <w:bookmarkStart w:id="344" w:name="_Toc438372793"/>
      <w:bookmarkStart w:id="345" w:name="_Toc8187941"/>
      <w:bookmarkStart w:id="346" w:name="_Toc155068044"/>
      <w:bookmarkStart w:id="347" w:name="_Toc170209482"/>
      <w:r>
        <w:rPr>
          <w:rStyle w:val="CharSectno"/>
        </w:rPr>
        <w:t>57</w:t>
      </w:r>
      <w:r>
        <w:rPr>
          <w:snapToGrid w:val="0"/>
        </w:rPr>
        <w:t>.</w:t>
      </w:r>
      <w:r>
        <w:rPr>
          <w:snapToGrid w:val="0"/>
        </w:rPr>
        <w:tab/>
        <w:t>Record of log timber receivals to be made</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 </w:t>
      </w:r>
    </w:p>
    <w:p>
      <w:pPr>
        <w:pStyle w:val="Indenta"/>
        <w:rPr>
          <w:snapToGrid w:val="0"/>
        </w:rPr>
      </w:pPr>
      <w:r>
        <w:rPr>
          <w:snapToGrid w:val="0"/>
        </w:rPr>
        <w:tab/>
        <w:t>(a)</w:t>
      </w:r>
      <w:r>
        <w:rPr>
          <w:snapToGrid w:val="0"/>
        </w:rPr>
        <w:tab/>
        <w:t>the day on which the log timber was received;</w:t>
      </w:r>
    </w:p>
    <w:p>
      <w:pPr>
        <w:pStyle w:val="Indenta"/>
        <w:rPr>
          <w:snapToGrid w:val="0"/>
        </w:rPr>
      </w:pPr>
      <w:r>
        <w:rPr>
          <w:snapToGrid w:val="0"/>
        </w:rPr>
        <w:tab/>
        <w:t>(b)</w:t>
      </w:r>
      <w:r>
        <w:rPr>
          <w:snapToGrid w:val="0"/>
        </w:rPr>
        <w:tab/>
        <w:t>the species and product type of the log timber;</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rPr>
          <w:snapToGrid w:val="0"/>
        </w:rPr>
      </w:pPr>
      <w:bookmarkStart w:id="348" w:name="_Toc438372794"/>
      <w:bookmarkStart w:id="349" w:name="_Toc8187942"/>
      <w:bookmarkStart w:id="350" w:name="_Toc155068045"/>
      <w:bookmarkStart w:id="351" w:name="_Toc170209483"/>
      <w:r>
        <w:rPr>
          <w:rStyle w:val="CharSectno"/>
        </w:rPr>
        <w:t>58</w:t>
      </w:r>
      <w:r>
        <w:rPr>
          <w:snapToGrid w:val="0"/>
        </w:rPr>
        <w:t>.</w:t>
      </w:r>
      <w:r>
        <w:rPr>
          <w:snapToGrid w:val="0"/>
        </w:rPr>
        <w:tab/>
        <w:t>Executive Director to supply forms</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Executive Director shall, upon request, provide the owner or manager of a sawmill with a book of forms in which to make a record referred to in regulation 57.</w:t>
      </w:r>
    </w:p>
    <w:p>
      <w:pPr>
        <w:pStyle w:val="Heading5"/>
        <w:rPr>
          <w:snapToGrid w:val="0"/>
        </w:rPr>
      </w:pPr>
      <w:bookmarkStart w:id="352" w:name="_Toc438372795"/>
      <w:bookmarkStart w:id="353" w:name="_Toc8187943"/>
      <w:bookmarkStart w:id="354" w:name="_Toc155068046"/>
      <w:bookmarkStart w:id="355" w:name="_Toc170209484"/>
      <w:r>
        <w:rPr>
          <w:rStyle w:val="CharSectno"/>
        </w:rPr>
        <w:t>59</w:t>
      </w:r>
      <w:r>
        <w:rPr>
          <w:snapToGrid w:val="0"/>
        </w:rPr>
        <w:t>.</w:t>
      </w:r>
      <w:r>
        <w:rPr>
          <w:snapToGrid w:val="0"/>
        </w:rPr>
        <w:tab/>
        <w:t>Copy of records to be kept for 2 years</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Executive Director. </w:t>
      </w:r>
    </w:p>
    <w:p>
      <w:pPr>
        <w:pStyle w:val="Penstart"/>
        <w:rPr>
          <w:snapToGrid w:val="0"/>
        </w:rPr>
      </w:pPr>
      <w:r>
        <w:rPr>
          <w:snapToGrid w:val="0"/>
        </w:rPr>
        <w:tab/>
        <w:t>Penalty: $2 000.</w:t>
      </w:r>
    </w:p>
    <w:p>
      <w:pPr>
        <w:pStyle w:val="Heading5"/>
        <w:rPr>
          <w:snapToGrid w:val="0"/>
        </w:rPr>
      </w:pPr>
      <w:bookmarkStart w:id="356" w:name="_Toc438372796"/>
      <w:bookmarkStart w:id="357" w:name="_Toc8187944"/>
      <w:bookmarkStart w:id="358" w:name="_Toc155068047"/>
      <w:bookmarkStart w:id="359" w:name="_Toc170209485"/>
      <w:r>
        <w:rPr>
          <w:rStyle w:val="CharSectno"/>
        </w:rPr>
        <w:t>60</w:t>
      </w:r>
      <w:r>
        <w:rPr>
          <w:snapToGrid w:val="0"/>
        </w:rPr>
        <w:t>.</w:t>
      </w:r>
      <w:r>
        <w:rPr>
          <w:snapToGrid w:val="0"/>
        </w:rPr>
        <w:tab/>
        <w:t>Alteration, etc. of receival records prohibited</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360" w:name="_Toc438372797"/>
      <w:bookmarkStart w:id="361" w:name="_Toc8187945"/>
      <w:bookmarkStart w:id="362" w:name="_Toc155068048"/>
      <w:bookmarkStart w:id="363" w:name="_Toc170209486"/>
      <w:r>
        <w:rPr>
          <w:rStyle w:val="CharSectno"/>
        </w:rPr>
        <w:t>61</w:t>
      </w:r>
      <w:r>
        <w:rPr>
          <w:snapToGrid w:val="0"/>
        </w:rPr>
        <w:t>.</w:t>
      </w:r>
      <w:r>
        <w:rPr>
          <w:snapToGrid w:val="0"/>
        </w:rPr>
        <w:tab/>
        <w:t>Removal of records prohibited</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 xml:space="preserve">Penalty: $2 000. </w:t>
      </w:r>
    </w:p>
    <w:p>
      <w:pPr>
        <w:pStyle w:val="Heading5"/>
        <w:rPr>
          <w:snapToGrid w:val="0"/>
        </w:rPr>
      </w:pPr>
      <w:bookmarkStart w:id="364" w:name="_Toc438372798"/>
      <w:bookmarkStart w:id="365" w:name="_Toc8187946"/>
      <w:bookmarkStart w:id="366" w:name="_Toc155068049"/>
      <w:bookmarkStart w:id="367" w:name="_Toc170209487"/>
      <w:r>
        <w:rPr>
          <w:rStyle w:val="CharSectno"/>
        </w:rPr>
        <w:t>62</w:t>
      </w:r>
      <w:r>
        <w:rPr>
          <w:snapToGrid w:val="0"/>
        </w:rPr>
        <w:t>.</w:t>
      </w:r>
      <w:r>
        <w:rPr>
          <w:snapToGrid w:val="0"/>
        </w:rPr>
        <w:tab/>
        <w:t>Receival records to be delivered at the end of the month</w:t>
      </w:r>
      <w:bookmarkEnd w:id="364"/>
      <w:bookmarkEnd w:id="365"/>
      <w:bookmarkEnd w:id="366"/>
      <w:bookmarkEnd w:id="367"/>
    </w:p>
    <w:p>
      <w:pPr>
        <w:pStyle w:val="Subsection"/>
        <w:rPr>
          <w:snapToGrid w:val="0"/>
        </w:rPr>
      </w:pPr>
      <w:r>
        <w:rPr>
          <w:snapToGrid w:val="0"/>
        </w:rPr>
        <w:tab/>
      </w:r>
      <w:r>
        <w:rPr>
          <w:snapToGrid w:val="0"/>
        </w:rPr>
        <w:tab/>
        <w:t>The manager of a sawmill shall, within 3 working days from the end of each calendar month, cause to be delivered to the Executive Director or a forest officer the originals of all receival records that relate to log timber received during that month.</w:t>
      </w:r>
    </w:p>
    <w:p>
      <w:pPr>
        <w:pStyle w:val="Penstart"/>
        <w:rPr>
          <w:snapToGrid w:val="0"/>
        </w:rPr>
      </w:pPr>
      <w:r>
        <w:rPr>
          <w:snapToGrid w:val="0"/>
        </w:rPr>
        <w:tab/>
        <w:t>Penalty: $2 000.</w:t>
      </w:r>
    </w:p>
    <w:p>
      <w:pPr>
        <w:pStyle w:val="Heading5"/>
        <w:rPr>
          <w:snapToGrid w:val="0"/>
        </w:rPr>
      </w:pPr>
      <w:bookmarkStart w:id="368" w:name="_Toc438372799"/>
      <w:bookmarkStart w:id="369" w:name="_Toc8187947"/>
      <w:bookmarkStart w:id="370" w:name="_Toc155068050"/>
      <w:bookmarkStart w:id="371" w:name="_Toc170209488"/>
      <w:r>
        <w:rPr>
          <w:rStyle w:val="CharSectno"/>
        </w:rPr>
        <w:t>63</w:t>
      </w:r>
      <w:r>
        <w:rPr>
          <w:snapToGrid w:val="0"/>
        </w:rPr>
        <w:t>.</w:t>
      </w:r>
      <w:r>
        <w:rPr>
          <w:snapToGrid w:val="0"/>
        </w:rPr>
        <w:tab/>
        <w:t>False entries</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372" w:name="_Toc438372800"/>
      <w:bookmarkStart w:id="373" w:name="_Toc8187948"/>
      <w:bookmarkStart w:id="374" w:name="_Toc155068051"/>
      <w:bookmarkStart w:id="375" w:name="_Toc170209489"/>
      <w:r>
        <w:rPr>
          <w:rStyle w:val="CharSectno"/>
        </w:rPr>
        <w:t>64</w:t>
      </w:r>
      <w:r>
        <w:rPr>
          <w:snapToGrid w:val="0"/>
        </w:rPr>
        <w:t>.</w:t>
      </w:r>
      <w:r>
        <w:rPr>
          <w:snapToGrid w:val="0"/>
        </w:rPr>
        <w:tab/>
        <w:t>Forest officer to make record of sawmill inspection or enquiry</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 </w:t>
      </w:r>
    </w:p>
    <w:p>
      <w:pPr>
        <w:pStyle w:val="Indenta"/>
        <w:rPr>
          <w:snapToGrid w:val="0"/>
        </w:rPr>
      </w:pPr>
      <w:r>
        <w:rPr>
          <w:snapToGrid w:val="0"/>
        </w:rPr>
        <w:tab/>
        <w:t>(a)</w:t>
      </w:r>
      <w:r>
        <w:rPr>
          <w:snapToGrid w:val="0"/>
        </w:rPr>
        <w:tab/>
        <w:t>the date of the inspection or enquiry;</w:t>
      </w:r>
    </w:p>
    <w:p>
      <w:pPr>
        <w:pStyle w:val="Indenta"/>
        <w:rPr>
          <w:snapToGrid w:val="0"/>
        </w:rPr>
      </w:pPr>
      <w:r>
        <w:rPr>
          <w:snapToGrid w:val="0"/>
        </w:rPr>
        <w:tab/>
        <w:t>(b)</w:t>
      </w:r>
      <w:r>
        <w:rPr>
          <w:snapToGrid w:val="0"/>
        </w:rPr>
        <w:tab/>
        <w:t xml:space="preserve">the nature of the inspection or enquiry conducted; and </w:t>
      </w:r>
    </w:p>
    <w:p>
      <w:pPr>
        <w:pStyle w:val="Indenta"/>
        <w:rPr>
          <w:snapToGrid w:val="0"/>
        </w:rPr>
      </w:pPr>
      <w:r>
        <w:rPr>
          <w:snapToGrid w:val="0"/>
        </w:rPr>
        <w:tab/>
        <w:t>(c)</w:t>
      </w:r>
      <w:r>
        <w:rPr>
          <w:snapToGrid w:val="0"/>
        </w:rPr>
        <w:tab/>
        <w:t>the results of the inspection or enquiry.</w:t>
      </w:r>
    </w:p>
    <w:p>
      <w:pPr>
        <w:pStyle w:val="Heading2"/>
      </w:pPr>
      <w:bookmarkStart w:id="376" w:name="_Toc154984386"/>
      <w:bookmarkStart w:id="377" w:name="_Toc155067191"/>
      <w:bookmarkStart w:id="378" w:name="_Toc155068052"/>
      <w:bookmarkStart w:id="379" w:name="_Toc170209490"/>
      <w:r>
        <w:rPr>
          <w:rStyle w:val="CharPartNo"/>
        </w:rPr>
        <w:t>Part 9</w:t>
      </w:r>
      <w:r>
        <w:rPr>
          <w:rStyle w:val="CharDivNo"/>
        </w:rPr>
        <w:t> </w:t>
      </w:r>
      <w:r>
        <w:t>—</w:t>
      </w:r>
      <w:r>
        <w:rPr>
          <w:rStyle w:val="CharDivText"/>
        </w:rPr>
        <w:t> </w:t>
      </w:r>
      <w:r>
        <w:rPr>
          <w:rStyle w:val="CharPartText"/>
        </w:rPr>
        <w:t>Sale of forest produce by auction or tender</w:t>
      </w:r>
      <w:bookmarkEnd w:id="376"/>
      <w:bookmarkEnd w:id="377"/>
      <w:bookmarkEnd w:id="378"/>
      <w:bookmarkEnd w:id="379"/>
      <w:r>
        <w:rPr>
          <w:rStyle w:val="CharPartText"/>
        </w:rPr>
        <w:t xml:space="preserve"> </w:t>
      </w:r>
    </w:p>
    <w:p>
      <w:pPr>
        <w:pStyle w:val="Heading5"/>
        <w:spacing w:before="180"/>
        <w:rPr>
          <w:snapToGrid w:val="0"/>
        </w:rPr>
      </w:pPr>
      <w:bookmarkStart w:id="380" w:name="_Toc438372801"/>
      <w:bookmarkStart w:id="381" w:name="_Toc8187949"/>
      <w:bookmarkStart w:id="382" w:name="_Toc155068053"/>
      <w:bookmarkStart w:id="383" w:name="_Toc170209491"/>
      <w:r>
        <w:rPr>
          <w:rStyle w:val="CharSectno"/>
        </w:rPr>
        <w:t>65</w:t>
      </w:r>
      <w:r>
        <w:rPr>
          <w:snapToGrid w:val="0"/>
        </w:rPr>
        <w:t>.</w:t>
      </w:r>
      <w:r>
        <w:rPr>
          <w:snapToGrid w:val="0"/>
        </w:rPr>
        <w:tab/>
        <w:t>Sale of forest produce by auction or tender</w:t>
      </w:r>
      <w:bookmarkEnd w:id="380"/>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Executive Director thinks fit.</w:t>
      </w:r>
    </w:p>
    <w:p>
      <w:pPr>
        <w:pStyle w:val="Subsection"/>
        <w:spacing w:before="120"/>
        <w:rPr>
          <w:snapToGrid w:val="0"/>
        </w:rPr>
      </w:pPr>
      <w:r>
        <w:rPr>
          <w:snapToGrid w:val="0"/>
        </w:rPr>
        <w:tab/>
        <w:t>(2)</w:t>
      </w:r>
      <w:r>
        <w:rPr>
          <w:snapToGrid w:val="0"/>
        </w:rPr>
        <w:tab/>
        <w:t>Without limiting the generality of subregulation (1), the Executive Director may — </w:t>
      </w:r>
    </w:p>
    <w:p>
      <w:pPr>
        <w:pStyle w:val="Indenta"/>
        <w:spacing w:before="60"/>
        <w:rPr>
          <w:snapToGrid w:val="0"/>
        </w:rPr>
      </w:pPr>
      <w:r>
        <w:rPr>
          <w:snapToGrid w:val="0"/>
        </w:rPr>
        <w:tab/>
        <w:t>(a)</w:t>
      </w:r>
      <w:r>
        <w:rPr>
          <w:snapToGrid w:val="0"/>
        </w:rPr>
        <w:tab/>
        <w:t>invite persons to register with the Executive Director as prospective bidders or tenderers;</w:t>
      </w:r>
    </w:p>
    <w:p>
      <w:pPr>
        <w:pStyle w:val="Indenta"/>
        <w:spacing w:before="60"/>
        <w:rPr>
          <w:snapToGrid w:val="0"/>
        </w:rPr>
      </w:pPr>
      <w:r>
        <w:rPr>
          <w:snapToGrid w:val="0"/>
        </w:rPr>
        <w:tab/>
        <w:t>(b)</w:t>
      </w:r>
      <w:r>
        <w:rPr>
          <w:snapToGrid w:val="0"/>
        </w:rPr>
        <w:tab/>
        <w:t>require tenders submitted to be accompanied by such information as the Executive Director thinks fit;</w:t>
      </w:r>
    </w:p>
    <w:p>
      <w:pPr>
        <w:pStyle w:val="Indenta"/>
        <w:spacing w:before="60"/>
        <w:rPr>
          <w:snapToGrid w:val="0"/>
        </w:rPr>
      </w:pPr>
      <w:r>
        <w:rPr>
          <w:snapToGrid w:val="0"/>
        </w:rPr>
        <w:tab/>
        <w:t>(c)</w:t>
      </w:r>
      <w:r>
        <w:rPr>
          <w:snapToGrid w:val="0"/>
        </w:rPr>
        <w:tab/>
        <w:t>require a deposit to be lodged with any tender;</w:t>
      </w:r>
    </w:p>
    <w:p>
      <w:pPr>
        <w:pStyle w:val="Indenta"/>
        <w:spacing w:before="60"/>
        <w:rPr>
          <w:snapToGrid w:val="0"/>
        </w:rPr>
      </w:pPr>
      <w:r>
        <w:rPr>
          <w:snapToGrid w:val="0"/>
        </w:rPr>
        <w:tab/>
        <w:t>(d)</w:t>
      </w:r>
      <w:r>
        <w:rPr>
          <w:snapToGrid w:val="0"/>
        </w:rPr>
        <w:tab/>
        <w:t>fix a reserve royalty for the forest produce;</w:t>
      </w:r>
    </w:p>
    <w:p>
      <w:pPr>
        <w:pStyle w:val="Indenta"/>
        <w:spacing w:before="60"/>
        <w:rPr>
          <w:snapToGrid w:val="0"/>
        </w:rPr>
      </w:pPr>
      <w:r>
        <w:rPr>
          <w:snapToGrid w:val="0"/>
        </w:rPr>
        <w:tab/>
        <w:t>(e)</w:t>
      </w:r>
      <w:r>
        <w:rPr>
          <w:snapToGrid w:val="0"/>
        </w:rPr>
        <w:tab/>
        <w:t>fix a minimum sale quantity for the forest produce;</w:t>
      </w:r>
    </w:p>
    <w:p>
      <w:pPr>
        <w:pStyle w:val="Indenta"/>
        <w:spacing w:before="60"/>
        <w:rPr>
          <w:snapToGrid w:val="0"/>
        </w:rPr>
      </w:pPr>
      <w:r>
        <w:rPr>
          <w:snapToGrid w:val="0"/>
        </w:rPr>
        <w:tab/>
        <w:t>(f)</w:t>
      </w:r>
      <w:r>
        <w:rPr>
          <w:snapToGrid w:val="0"/>
        </w:rPr>
        <w:tab/>
        <w:t>fix a date by which supply under the conditions of a contract of sale must commence;</w:t>
      </w:r>
    </w:p>
    <w:p>
      <w:pPr>
        <w:pStyle w:val="Indenta"/>
        <w:spacing w:before="60"/>
        <w:rPr>
          <w:snapToGrid w:val="0"/>
        </w:rPr>
      </w:pPr>
      <w:r>
        <w:rPr>
          <w:snapToGrid w:val="0"/>
        </w:rPr>
        <w:tab/>
        <w:t>(g)</w:t>
      </w:r>
      <w:r>
        <w:rPr>
          <w:snapToGrid w:val="0"/>
        </w:rPr>
        <w:tab/>
        <w:t>decline to accept the highest bid or tender; or</w:t>
      </w:r>
    </w:p>
    <w:p>
      <w:pPr>
        <w:pStyle w:val="Indenta"/>
        <w:spacing w:before="60"/>
        <w:rPr>
          <w:snapToGrid w:val="0"/>
        </w:rPr>
      </w:pPr>
      <w:r>
        <w:rPr>
          <w:snapToGrid w:val="0"/>
        </w:rPr>
        <w:tab/>
        <w:t>(h)</w:t>
      </w:r>
      <w:r>
        <w:rPr>
          <w:snapToGrid w:val="0"/>
        </w:rPr>
        <w:tab/>
        <w:t>accept any bid or tender subject to the provision of further information.</w:t>
      </w:r>
    </w:p>
    <w:p>
      <w:pPr>
        <w:pStyle w:val="Heading5"/>
        <w:spacing w:before="180"/>
        <w:rPr>
          <w:snapToGrid w:val="0"/>
        </w:rPr>
      </w:pPr>
      <w:bookmarkStart w:id="384" w:name="_Toc438372802"/>
      <w:bookmarkStart w:id="385" w:name="_Toc8187950"/>
      <w:bookmarkStart w:id="386" w:name="_Toc155068054"/>
      <w:bookmarkStart w:id="387" w:name="_Toc170209492"/>
      <w:r>
        <w:rPr>
          <w:rStyle w:val="CharSectno"/>
        </w:rPr>
        <w:t>66</w:t>
      </w:r>
      <w:r>
        <w:rPr>
          <w:snapToGrid w:val="0"/>
        </w:rPr>
        <w:t>.</w:t>
      </w:r>
      <w:r>
        <w:rPr>
          <w:snapToGrid w:val="0"/>
        </w:rPr>
        <w:tab/>
        <w:t>Advertisement of sale by auction or tender</w:t>
      </w:r>
      <w:bookmarkEnd w:id="384"/>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Where the royalties payable under a contract of sale, permit or forest produce licence are to be established by public auction or by tender, the Executive Director shall advertise the proposed auction or sale by tender — </w:t>
      </w:r>
    </w:p>
    <w:p>
      <w:pPr>
        <w:pStyle w:val="Indenta"/>
        <w:spacing w:before="60"/>
        <w:rPr>
          <w:snapToGrid w:val="0"/>
        </w:rPr>
      </w:pPr>
      <w:r>
        <w:rPr>
          <w:snapToGrid w:val="0"/>
        </w:rPr>
        <w:tab/>
        <w:t>(a)</w:t>
      </w:r>
      <w:r>
        <w:rPr>
          <w:snapToGrid w:val="0"/>
        </w:rPr>
        <w:tab/>
        <w:t>in at least 2 issues of a newspaper circulating generally in the State; and</w:t>
      </w:r>
    </w:p>
    <w:p>
      <w:pPr>
        <w:pStyle w:val="Indenta"/>
        <w:spacing w:before="60"/>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Heading5"/>
        <w:rPr>
          <w:snapToGrid w:val="0"/>
        </w:rPr>
      </w:pPr>
      <w:bookmarkStart w:id="388" w:name="_Toc438372803"/>
      <w:bookmarkStart w:id="389" w:name="_Toc8187951"/>
      <w:bookmarkStart w:id="390" w:name="_Toc155068055"/>
      <w:bookmarkStart w:id="391" w:name="_Toc170209493"/>
      <w:r>
        <w:rPr>
          <w:rStyle w:val="CharSectno"/>
        </w:rPr>
        <w:t>67</w:t>
      </w:r>
      <w:r>
        <w:rPr>
          <w:snapToGrid w:val="0"/>
        </w:rPr>
        <w:t>.</w:t>
      </w:r>
      <w:r>
        <w:rPr>
          <w:snapToGrid w:val="0"/>
        </w:rPr>
        <w:tab/>
        <w:t>Notification of results of public auction or sale by tender</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Executive Director shall notify every bidder or tenderer (as the case may be) of the results of the public auction or sale by tender, including the accepted schedule of prices.</w:t>
      </w:r>
    </w:p>
    <w:p>
      <w:pPr>
        <w:pStyle w:val="Heading2"/>
      </w:pPr>
      <w:bookmarkStart w:id="392" w:name="_Toc154984390"/>
      <w:bookmarkStart w:id="393" w:name="_Toc155067195"/>
      <w:bookmarkStart w:id="394" w:name="_Toc155068056"/>
      <w:bookmarkStart w:id="395" w:name="_Toc170209494"/>
      <w:r>
        <w:rPr>
          <w:rStyle w:val="CharPartNo"/>
        </w:rPr>
        <w:t>Part 10</w:t>
      </w:r>
      <w:r>
        <w:rPr>
          <w:rStyle w:val="CharDivNo"/>
        </w:rPr>
        <w:t> </w:t>
      </w:r>
      <w:r>
        <w:t>—</w:t>
      </w:r>
      <w:r>
        <w:rPr>
          <w:rStyle w:val="CharDivText"/>
        </w:rPr>
        <w:t> </w:t>
      </w:r>
      <w:r>
        <w:rPr>
          <w:rStyle w:val="CharPartText"/>
        </w:rPr>
        <w:t>Forest produce licences</w:t>
      </w:r>
      <w:bookmarkEnd w:id="392"/>
      <w:bookmarkEnd w:id="393"/>
      <w:bookmarkEnd w:id="394"/>
      <w:bookmarkEnd w:id="395"/>
      <w:r>
        <w:rPr>
          <w:rStyle w:val="CharPartText"/>
        </w:rPr>
        <w:t xml:space="preserve"> </w:t>
      </w:r>
    </w:p>
    <w:p>
      <w:pPr>
        <w:pStyle w:val="Heading5"/>
        <w:rPr>
          <w:snapToGrid w:val="0"/>
        </w:rPr>
      </w:pPr>
      <w:bookmarkStart w:id="396" w:name="_Toc438372804"/>
      <w:bookmarkStart w:id="397" w:name="_Toc8187952"/>
      <w:bookmarkStart w:id="398" w:name="_Toc155068057"/>
      <w:bookmarkStart w:id="399" w:name="_Toc170209495"/>
      <w:r>
        <w:rPr>
          <w:rStyle w:val="CharSectno"/>
        </w:rPr>
        <w:t>68</w:t>
      </w:r>
      <w:r>
        <w:rPr>
          <w:snapToGrid w:val="0"/>
        </w:rPr>
        <w:t>.</w:t>
      </w:r>
      <w:r>
        <w:rPr>
          <w:snapToGrid w:val="0"/>
        </w:rPr>
        <w:tab/>
        <w:t>Application</w:t>
      </w:r>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rPr>
          <w:snapToGrid w:val="0"/>
        </w:rPr>
      </w:pPr>
      <w:bookmarkStart w:id="400" w:name="_Toc438372805"/>
      <w:bookmarkStart w:id="401" w:name="_Toc8187953"/>
      <w:bookmarkStart w:id="402" w:name="_Toc155068058"/>
      <w:bookmarkStart w:id="403" w:name="_Toc170209496"/>
      <w:r>
        <w:rPr>
          <w:rStyle w:val="CharSectno"/>
        </w:rPr>
        <w:t>69</w:t>
      </w:r>
      <w:r>
        <w:rPr>
          <w:snapToGrid w:val="0"/>
        </w:rPr>
        <w:t>.</w:t>
      </w:r>
      <w:r>
        <w:rPr>
          <w:snapToGrid w:val="0"/>
        </w:rPr>
        <w:tab/>
        <w:t>Form of forest produce licence</w:t>
      </w:r>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A forest produce licence shall be in the form of Form 1 in Schedule 2.</w:t>
      </w:r>
    </w:p>
    <w:p>
      <w:pPr>
        <w:pStyle w:val="Heading5"/>
        <w:rPr>
          <w:snapToGrid w:val="0"/>
        </w:rPr>
      </w:pPr>
      <w:bookmarkStart w:id="404" w:name="_Toc438372806"/>
      <w:bookmarkStart w:id="405" w:name="_Toc8187954"/>
      <w:bookmarkStart w:id="406" w:name="_Toc155068059"/>
      <w:bookmarkStart w:id="407" w:name="_Toc170209497"/>
      <w:r>
        <w:rPr>
          <w:rStyle w:val="CharSectno"/>
        </w:rPr>
        <w:t>70</w:t>
      </w:r>
      <w:r>
        <w:rPr>
          <w:snapToGrid w:val="0"/>
        </w:rPr>
        <w:t>.</w:t>
      </w:r>
      <w:r>
        <w:rPr>
          <w:snapToGrid w:val="0"/>
        </w:rPr>
        <w:tab/>
        <w:t>Forest produce licence does not authorize felling of trees etc.</w:t>
      </w:r>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A forest produce licence — </w:t>
      </w:r>
    </w:p>
    <w:p>
      <w:pPr>
        <w:pStyle w:val="Indenta"/>
        <w:rPr>
          <w:snapToGrid w:val="0"/>
        </w:rPr>
      </w:pPr>
      <w:r>
        <w:rPr>
          <w:snapToGrid w:val="0"/>
        </w:rPr>
        <w:tab/>
        <w:t>(a)</w:t>
      </w:r>
      <w:r>
        <w:rPr>
          <w:snapToGrid w:val="0"/>
        </w:rPr>
        <w:tab/>
        <w:t>does not authorize the felling of any tree;</w:t>
      </w:r>
    </w:p>
    <w:p>
      <w:pPr>
        <w:pStyle w:val="Indenta"/>
        <w:rPr>
          <w:snapToGrid w:val="0"/>
        </w:rPr>
      </w:pPr>
      <w:r>
        <w:rPr>
          <w:snapToGrid w:val="0"/>
        </w:rPr>
        <w:tab/>
        <w:t>(b)</w:t>
      </w:r>
      <w:r>
        <w:rPr>
          <w:snapToGrid w:val="0"/>
        </w:rPr>
        <w:tab/>
        <w:t>does not authorize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spacing w:before="120"/>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408" w:name="_Toc438372807"/>
      <w:bookmarkStart w:id="409" w:name="_Toc8187955"/>
      <w:bookmarkStart w:id="410" w:name="_Toc155068060"/>
      <w:bookmarkStart w:id="411" w:name="_Toc170209498"/>
      <w:r>
        <w:rPr>
          <w:rStyle w:val="CharSectno"/>
        </w:rPr>
        <w:t>71</w:t>
      </w:r>
      <w:r>
        <w:rPr>
          <w:snapToGrid w:val="0"/>
        </w:rPr>
        <w:t>.</w:t>
      </w:r>
      <w:r>
        <w:rPr>
          <w:snapToGrid w:val="0"/>
        </w:rPr>
        <w:tab/>
        <w:t>Production of forest produce licence</w:t>
      </w:r>
      <w:bookmarkEnd w:id="408"/>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The holder of a forest produce licence shall —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Heading2"/>
      </w:pPr>
      <w:bookmarkStart w:id="412" w:name="_Toc154984395"/>
      <w:bookmarkStart w:id="413" w:name="_Toc155067200"/>
      <w:bookmarkStart w:id="414" w:name="_Toc155068061"/>
      <w:bookmarkStart w:id="415" w:name="_Toc170209499"/>
      <w:r>
        <w:rPr>
          <w:rStyle w:val="CharPartNo"/>
        </w:rPr>
        <w:t>Part 11</w:t>
      </w:r>
      <w:r>
        <w:rPr>
          <w:rStyle w:val="CharDivNo"/>
        </w:rPr>
        <w:t> </w:t>
      </w:r>
      <w:r>
        <w:t>—</w:t>
      </w:r>
      <w:r>
        <w:rPr>
          <w:rStyle w:val="CharDivText"/>
        </w:rPr>
        <w:t> </w:t>
      </w:r>
      <w:r>
        <w:rPr>
          <w:rStyle w:val="CharPartText"/>
        </w:rPr>
        <w:t>Permits for apiary sites</w:t>
      </w:r>
      <w:bookmarkEnd w:id="412"/>
      <w:bookmarkEnd w:id="413"/>
      <w:bookmarkEnd w:id="414"/>
      <w:bookmarkEnd w:id="415"/>
      <w:r>
        <w:rPr>
          <w:rStyle w:val="CharPartText"/>
        </w:rPr>
        <w:t xml:space="preserve"> </w:t>
      </w:r>
    </w:p>
    <w:p>
      <w:pPr>
        <w:pStyle w:val="Heading5"/>
        <w:rPr>
          <w:snapToGrid w:val="0"/>
        </w:rPr>
      </w:pPr>
      <w:bookmarkStart w:id="416" w:name="_Toc438372808"/>
      <w:bookmarkStart w:id="417" w:name="_Toc8187956"/>
      <w:bookmarkStart w:id="418" w:name="_Toc155068062"/>
      <w:bookmarkStart w:id="419" w:name="_Toc170209500"/>
      <w:r>
        <w:rPr>
          <w:rStyle w:val="CharSectno"/>
        </w:rPr>
        <w:t>72</w:t>
      </w:r>
      <w:r>
        <w:rPr>
          <w:snapToGrid w:val="0"/>
        </w:rPr>
        <w:t>.</w:t>
      </w:r>
      <w:r>
        <w:rPr>
          <w:snapToGrid w:val="0"/>
        </w:rPr>
        <w:tab/>
        <w:t>Interpretation</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420" w:author="Master Repository Process" w:date="2021-08-01T15:45:00Z">
        <w:r>
          <w:rPr>
            <w:b/>
          </w:rPr>
          <w:delText>“</w:delText>
        </w:r>
      </w:del>
      <w:r>
        <w:rPr>
          <w:rStyle w:val="CharDefText"/>
        </w:rPr>
        <w:t>permit</w:t>
      </w:r>
      <w:del w:id="421" w:author="Master Repository Process" w:date="2021-08-01T15:45:00Z">
        <w:r>
          <w:rPr>
            <w:b/>
          </w:rPr>
          <w:delText>”</w:delText>
        </w:r>
      </w:del>
      <w:r>
        <w:t xml:space="preserve"> means a permit referred to in regulation 73(1);</w:t>
      </w:r>
    </w:p>
    <w:p>
      <w:pPr>
        <w:pStyle w:val="Defstart"/>
      </w:pPr>
      <w:r>
        <w:rPr>
          <w:b/>
        </w:rPr>
        <w:tab/>
      </w:r>
      <w:del w:id="422" w:author="Master Repository Process" w:date="2021-08-01T15:45:00Z">
        <w:r>
          <w:rPr>
            <w:b/>
          </w:rPr>
          <w:delText>“</w:delText>
        </w:r>
      </w:del>
      <w:r>
        <w:rPr>
          <w:rStyle w:val="CharDefText"/>
        </w:rPr>
        <w:t>south</w:t>
      </w:r>
      <w:r>
        <w:rPr>
          <w:rStyle w:val="CharDefText"/>
        </w:rPr>
        <w:noBreakHyphen/>
        <w:t>west zone</w:t>
      </w:r>
      <w:del w:id="423" w:author="Master Repository Process" w:date="2021-08-01T15:45:00Z">
        <w:r>
          <w:rPr>
            <w:b/>
          </w:rPr>
          <w:delText>”</w:delText>
        </w:r>
      </w:del>
      <w:r>
        <w:t xml:space="preserve"> means those parts of the South West Division and Eucla Division of the State as defined under the </w:t>
      </w:r>
      <w:r>
        <w:rPr>
          <w:i/>
        </w:rPr>
        <w:t>Land Act 1933</w:t>
      </w:r>
      <w:r>
        <w:t xml:space="preserve"> </w:t>
      </w:r>
      <w:r>
        <w:rPr>
          <w:vertAlign w:val="superscript"/>
        </w:rPr>
        <w:t>2</w:t>
      </w:r>
      <w:r>
        <w:t xml:space="preserve"> that are within the area bordered blue in Department of Conservation and Land Management Plan No. 1730.</w:t>
      </w:r>
    </w:p>
    <w:p>
      <w:pPr>
        <w:pStyle w:val="Heading5"/>
        <w:rPr>
          <w:snapToGrid w:val="0"/>
        </w:rPr>
      </w:pPr>
      <w:bookmarkStart w:id="424" w:name="_Toc438372809"/>
      <w:bookmarkStart w:id="425" w:name="_Toc8187957"/>
      <w:bookmarkStart w:id="426" w:name="_Toc155068063"/>
      <w:bookmarkStart w:id="427" w:name="_Toc170209501"/>
      <w:r>
        <w:rPr>
          <w:rStyle w:val="CharSectno"/>
        </w:rPr>
        <w:t>73</w:t>
      </w:r>
      <w:r>
        <w:rPr>
          <w:snapToGrid w:val="0"/>
        </w:rPr>
        <w:t>.</w:t>
      </w:r>
      <w:r>
        <w:rPr>
          <w:snapToGrid w:val="0"/>
        </w:rPr>
        <w:tab/>
        <w:t>Executive Director may grant apiary site permit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regulation 83 the Executive Director may, upon an application in writing by a person, grant to the person a permit to occupy an area of Crown land not exceeding 1.25 hectares for the purpose of keeping an apiary.</w:t>
      </w:r>
    </w:p>
    <w:p>
      <w:pPr>
        <w:pStyle w:val="Ednotesubsection"/>
      </w:pPr>
      <w:r>
        <w:tab/>
        <w:t>[(2), (3)</w:t>
      </w:r>
      <w:r>
        <w:tab/>
      </w:r>
      <w:del w:id="428" w:author="Master Repository Process" w:date="2021-08-01T15:45:00Z">
        <w:r>
          <w:delText>repealed</w:delText>
        </w:r>
      </w:del>
      <w:ins w:id="429" w:author="Master Repository Process" w:date="2021-08-01T15:45:00Z">
        <w:r>
          <w:t>deleted</w:t>
        </w:r>
      </w:ins>
      <w:r>
        <w:t>]</w:t>
      </w:r>
    </w:p>
    <w:p>
      <w:pPr>
        <w:pStyle w:val="Subsection"/>
        <w:rPr>
          <w:snapToGrid w:val="0"/>
        </w:rPr>
      </w:pPr>
      <w:r>
        <w:rPr>
          <w:snapToGrid w:val="0"/>
        </w:rPr>
        <w:tab/>
        <w:t>(4)</w:t>
      </w:r>
      <w:r>
        <w:rPr>
          <w:snapToGrid w:val="0"/>
        </w:rPr>
        <w:tab/>
        <w:t>A permit shall be in the form of Form 2 in Schedule 2.</w:t>
      </w:r>
    </w:p>
    <w:p>
      <w:pPr>
        <w:pStyle w:val="Footnotesection"/>
      </w:pPr>
      <w:r>
        <w:tab/>
        <w:t xml:space="preserve">[Regulation 73 amended in Gazette 21 April 1998 p.2113; 12 Aug 2003 p. 3658.] </w:t>
      </w:r>
    </w:p>
    <w:p>
      <w:pPr>
        <w:pStyle w:val="Heading5"/>
        <w:rPr>
          <w:snapToGrid w:val="0"/>
        </w:rPr>
      </w:pPr>
      <w:bookmarkStart w:id="430" w:name="_Toc438372810"/>
      <w:bookmarkStart w:id="431" w:name="_Toc8187958"/>
      <w:bookmarkStart w:id="432" w:name="_Toc155068064"/>
      <w:bookmarkStart w:id="433" w:name="_Toc170209502"/>
      <w:r>
        <w:rPr>
          <w:rStyle w:val="CharSectno"/>
        </w:rPr>
        <w:t>74</w:t>
      </w:r>
      <w:r>
        <w:rPr>
          <w:snapToGrid w:val="0"/>
        </w:rPr>
        <w:t>.</w:t>
      </w:r>
      <w:r>
        <w:rPr>
          <w:snapToGrid w:val="0"/>
        </w:rPr>
        <w:tab/>
        <w:t>Duration of permits</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permit shall, subject to these regulations, authorize occupation for — </w:t>
      </w:r>
    </w:p>
    <w:p>
      <w:pPr>
        <w:pStyle w:val="Indenta"/>
        <w:rPr>
          <w:snapToGrid w:val="0"/>
        </w:rPr>
      </w:pPr>
      <w:r>
        <w:rPr>
          <w:snapToGrid w:val="0"/>
        </w:rPr>
        <w:tab/>
        <w:t>(a)</w:t>
      </w:r>
      <w:r>
        <w:rPr>
          <w:snapToGrid w:val="0"/>
        </w:rPr>
        <w:tab/>
        <w:t xml:space="preserve">a period of not less than 12 months and not more than 5 years (an </w:t>
      </w:r>
      <w:del w:id="434" w:author="Master Repository Process" w:date="2021-08-01T15:45:00Z">
        <w:r>
          <w:rPr>
            <w:b/>
            <w:snapToGrid w:val="0"/>
          </w:rPr>
          <w:delText>“</w:delText>
        </w:r>
      </w:del>
      <w:r>
        <w:rPr>
          <w:rStyle w:val="CharDefText"/>
        </w:rPr>
        <w:t>extended permit</w:t>
      </w:r>
      <w:del w:id="435" w:author="Master Repository Process" w:date="2021-08-01T15:45:00Z">
        <w:r>
          <w:rPr>
            <w:b/>
            <w:snapToGrid w:val="0"/>
          </w:rPr>
          <w:delText>”</w:delText>
        </w:r>
        <w:r>
          <w:rPr>
            <w:snapToGrid w:val="0"/>
          </w:rPr>
          <w:delText>);</w:delText>
        </w:r>
      </w:del>
      <w:ins w:id="436" w:author="Master Repository Process" w:date="2021-08-01T15:45:00Z">
        <w:r>
          <w:rPr>
            <w:snapToGrid w:val="0"/>
          </w:rPr>
          <w:t>);</w:t>
        </w:r>
      </w:ins>
    </w:p>
    <w:p>
      <w:pPr>
        <w:pStyle w:val="Indenta"/>
        <w:rPr>
          <w:snapToGrid w:val="0"/>
        </w:rPr>
      </w:pPr>
      <w:r>
        <w:rPr>
          <w:snapToGrid w:val="0"/>
        </w:rPr>
        <w:tab/>
        <w:t>(b)</w:t>
      </w:r>
      <w:r>
        <w:rPr>
          <w:snapToGrid w:val="0"/>
        </w:rPr>
        <w:tab/>
        <w:t xml:space="preserve">a period of less than 6 months (a </w:t>
      </w:r>
      <w:del w:id="437" w:author="Master Repository Process" w:date="2021-08-01T15:45:00Z">
        <w:r>
          <w:rPr>
            <w:b/>
            <w:snapToGrid w:val="0"/>
          </w:rPr>
          <w:delText>“</w:delText>
        </w:r>
      </w:del>
      <w:r>
        <w:rPr>
          <w:rStyle w:val="CharDefText"/>
        </w:rPr>
        <w:t>limited permit</w:t>
      </w:r>
      <w:del w:id="438" w:author="Master Repository Process" w:date="2021-08-01T15:45:00Z">
        <w:r>
          <w:rPr>
            <w:b/>
            <w:snapToGrid w:val="0"/>
          </w:rPr>
          <w:delText>”</w:delText>
        </w:r>
        <w:r>
          <w:rPr>
            <w:snapToGrid w:val="0"/>
          </w:rPr>
          <w:delText>);</w:delText>
        </w:r>
      </w:del>
      <w:ins w:id="439" w:author="Master Repository Process" w:date="2021-08-01T15:45:00Z">
        <w:r>
          <w:rPr>
            <w:snapToGrid w:val="0"/>
          </w:rPr>
          <w:t>);</w:t>
        </w:r>
      </w:ins>
      <w:r>
        <w:rPr>
          <w:snapToGrid w:val="0"/>
        </w:rPr>
        <w:t xml:space="preserve"> or</w:t>
      </w:r>
    </w:p>
    <w:p>
      <w:pPr>
        <w:pStyle w:val="Indenta"/>
        <w:rPr>
          <w:snapToGrid w:val="0"/>
        </w:rPr>
      </w:pPr>
      <w:r>
        <w:rPr>
          <w:snapToGrid w:val="0"/>
        </w:rPr>
        <w:tab/>
        <w:t>(c)</w:t>
      </w:r>
      <w:r>
        <w:rPr>
          <w:snapToGrid w:val="0"/>
        </w:rPr>
        <w:tab/>
        <w:t>a period of 12 months or less ending on a specified day or on the 14th day after the permit</w:t>
      </w:r>
      <w:r>
        <w:rPr>
          <w:snapToGrid w:val="0"/>
        </w:rPr>
        <w:noBreakHyphen/>
        <w:t xml:space="preserve">holder is notified in writing by the Executive Director that an extended permit has been granted in respect of the site, whichever is the sooner (a </w:t>
      </w:r>
      <w:del w:id="440" w:author="Master Repository Process" w:date="2021-08-01T15:45:00Z">
        <w:r>
          <w:rPr>
            <w:b/>
            <w:snapToGrid w:val="0"/>
          </w:rPr>
          <w:delText>“</w:delText>
        </w:r>
      </w:del>
      <w:r>
        <w:rPr>
          <w:rStyle w:val="CharDefText"/>
        </w:rPr>
        <w:t>temporary permit</w:t>
      </w:r>
      <w:del w:id="441" w:author="Master Repository Process" w:date="2021-08-01T15:45:00Z">
        <w:r>
          <w:rPr>
            <w:b/>
            <w:snapToGrid w:val="0"/>
          </w:rPr>
          <w:delText>”</w:delText>
        </w:r>
        <w:r>
          <w:rPr>
            <w:snapToGrid w:val="0"/>
          </w:rPr>
          <w:delText>).</w:delText>
        </w:r>
      </w:del>
      <w:ins w:id="442" w:author="Master Repository Process" w:date="2021-08-01T15:45:00Z">
        <w:r>
          <w:rPr>
            <w:snapToGrid w:val="0"/>
          </w:rPr>
          <w:t>).</w:t>
        </w:r>
      </w:ins>
    </w:p>
    <w:p>
      <w:pPr>
        <w:pStyle w:val="Subsection"/>
        <w:rPr>
          <w:snapToGrid w:val="0"/>
        </w:rPr>
      </w:pPr>
      <w:r>
        <w:rPr>
          <w:snapToGrid w:val="0"/>
        </w:rPr>
        <w:tab/>
        <w:t>(2)</w:t>
      </w:r>
      <w:r>
        <w:rPr>
          <w:snapToGrid w:val="0"/>
        </w:rPr>
        <w:tab/>
        <w:t>An extended permit or a temporary permit may be renewed.</w:t>
      </w:r>
    </w:p>
    <w:p>
      <w:pPr>
        <w:pStyle w:val="Subsection"/>
        <w:rPr>
          <w:snapToGrid w:val="0"/>
        </w:rPr>
      </w:pPr>
      <w:r>
        <w:rPr>
          <w:snapToGrid w:val="0"/>
        </w:rPr>
        <w:tab/>
        <w:t>(3)</w:t>
      </w:r>
      <w:r>
        <w:rPr>
          <w:snapToGrid w:val="0"/>
        </w:rPr>
        <w:tab/>
        <w:t>A limited permit is not to be renewed.</w:t>
      </w:r>
    </w:p>
    <w:p>
      <w:pPr>
        <w:pStyle w:val="Heading5"/>
        <w:rPr>
          <w:snapToGrid w:val="0"/>
        </w:rPr>
      </w:pPr>
      <w:bookmarkStart w:id="443" w:name="_Toc438372811"/>
      <w:bookmarkStart w:id="444" w:name="_Toc8187959"/>
      <w:bookmarkStart w:id="445" w:name="_Toc155068065"/>
      <w:bookmarkStart w:id="446" w:name="_Toc170209503"/>
      <w:r>
        <w:rPr>
          <w:rStyle w:val="CharSectno"/>
        </w:rPr>
        <w:t>75</w:t>
      </w:r>
      <w:r>
        <w:rPr>
          <w:snapToGrid w:val="0"/>
        </w:rPr>
        <w:t>.</w:t>
      </w:r>
      <w:r>
        <w:rPr>
          <w:snapToGrid w:val="0"/>
        </w:rPr>
        <w:tab/>
        <w:t>No building</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No building shall be erected on an apiary site without the approval in writing of the Executive Director.</w:t>
      </w:r>
    </w:p>
    <w:p>
      <w:pPr>
        <w:pStyle w:val="Penstart"/>
        <w:rPr>
          <w:snapToGrid w:val="0"/>
        </w:rPr>
      </w:pPr>
      <w:r>
        <w:rPr>
          <w:snapToGrid w:val="0"/>
        </w:rPr>
        <w:tab/>
        <w:t>Penalty: $2 000.</w:t>
      </w:r>
    </w:p>
    <w:p>
      <w:pPr>
        <w:pStyle w:val="Heading5"/>
        <w:rPr>
          <w:snapToGrid w:val="0"/>
        </w:rPr>
      </w:pPr>
      <w:bookmarkStart w:id="447" w:name="_Toc438372812"/>
      <w:bookmarkStart w:id="448" w:name="_Toc8187960"/>
      <w:bookmarkStart w:id="449" w:name="_Toc155068066"/>
      <w:bookmarkStart w:id="450" w:name="_Toc170209504"/>
      <w:r>
        <w:rPr>
          <w:rStyle w:val="CharSectno"/>
        </w:rPr>
        <w:t>76</w:t>
      </w:r>
      <w:r>
        <w:rPr>
          <w:snapToGrid w:val="0"/>
        </w:rPr>
        <w:t>.</w:t>
      </w:r>
      <w:r>
        <w:rPr>
          <w:snapToGrid w:val="0"/>
        </w:rPr>
        <w:tab/>
        <w:t>Exercise of rights conferred by a permit</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permit</w:t>
      </w:r>
      <w:r>
        <w:rPr>
          <w:snapToGrid w:val="0"/>
        </w:rPr>
        <w:noBreakHyphen/>
        <w:t>holder shall not exercise the rights conferred by the permit otherwise than in good faith for his or her own benefit.</w:t>
      </w:r>
    </w:p>
    <w:p>
      <w:pPr>
        <w:pStyle w:val="Footnotesection"/>
      </w:pPr>
      <w:r>
        <w:tab/>
        <w:t xml:space="preserve">[Regulation 76 inserted in Gazette 21 April 1998 p.2113.] </w:t>
      </w:r>
    </w:p>
    <w:p>
      <w:pPr>
        <w:pStyle w:val="Heading5"/>
        <w:rPr>
          <w:snapToGrid w:val="0"/>
        </w:rPr>
      </w:pPr>
      <w:bookmarkStart w:id="451" w:name="_Toc438372813"/>
      <w:bookmarkStart w:id="452" w:name="_Toc8187961"/>
      <w:bookmarkStart w:id="453" w:name="_Toc155068067"/>
      <w:bookmarkStart w:id="454" w:name="_Toc170209505"/>
      <w:r>
        <w:rPr>
          <w:rStyle w:val="CharSectno"/>
        </w:rPr>
        <w:t>76A</w:t>
      </w:r>
      <w:r>
        <w:rPr>
          <w:snapToGrid w:val="0"/>
        </w:rPr>
        <w:t>.</w:t>
      </w:r>
      <w:r>
        <w:rPr>
          <w:snapToGrid w:val="0"/>
        </w:rPr>
        <w:tab/>
        <w:t>Transfer of a permit</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Executive Director may, upon an application in writing by a permit</w:t>
      </w:r>
      <w:r>
        <w:rPr>
          <w:snapToGrid w:val="0"/>
        </w:rPr>
        <w:noBreakHyphen/>
        <w:t>holder, transfer a permit to another person.</w:t>
      </w:r>
    </w:p>
    <w:p>
      <w:pPr>
        <w:pStyle w:val="Footnotesection"/>
      </w:pPr>
      <w:r>
        <w:tab/>
        <w:t xml:space="preserve">[Regulation 76A inserted in Gazette 21 April 1998 p.2113.] </w:t>
      </w:r>
    </w:p>
    <w:p>
      <w:pPr>
        <w:pStyle w:val="Heading5"/>
        <w:rPr>
          <w:snapToGrid w:val="0"/>
        </w:rPr>
      </w:pPr>
      <w:bookmarkStart w:id="455" w:name="_Toc438372814"/>
      <w:bookmarkStart w:id="456" w:name="_Toc8187962"/>
      <w:bookmarkStart w:id="457" w:name="_Toc155068068"/>
      <w:bookmarkStart w:id="458" w:name="_Toc170209506"/>
      <w:r>
        <w:rPr>
          <w:rStyle w:val="CharSectno"/>
        </w:rPr>
        <w:t>76B</w:t>
      </w:r>
      <w:r>
        <w:rPr>
          <w:snapToGrid w:val="0"/>
        </w:rPr>
        <w:t>.</w:t>
      </w:r>
      <w:r>
        <w:rPr>
          <w:snapToGrid w:val="0"/>
        </w:rPr>
        <w:tab/>
        <w:t>Variation of a permit to change an apiary site</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Executive Director may, upon an application in writing by a permit</w:t>
      </w:r>
      <w:r>
        <w:rPr>
          <w:snapToGrid w:val="0"/>
        </w:rPr>
        <w:noBreakHyphen/>
        <w:t>holder, vary a permit so as to change the location of the area to which the permit applies.</w:t>
      </w:r>
    </w:p>
    <w:p>
      <w:pPr>
        <w:pStyle w:val="Footnotesection"/>
      </w:pPr>
      <w:r>
        <w:tab/>
        <w:t xml:space="preserve">[Regulation 76B inserted in Gazette 21 April 1998 p.2113.] </w:t>
      </w:r>
    </w:p>
    <w:p>
      <w:pPr>
        <w:pStyle w:val="Heading5"/>
        <w:rPr>
          <w:snapToGrid w:val="0"/>
        </w:rPr>
      </w:pPr>
      <w:bookmarkStart w:id="459" w:name="_Toc438372815"/>
      <w:bookmarkStart w:id="460" w:name="_Toc8187963"/>
      <w:bookmarkStart w:id="461" w:name="_Toc155068069"/>
      <w:bookmarkStart w:id="462" w:name="_Toc170209507"/>
      <w:r>
        <w:rPr>
          <w:rStyle w:val="CharSectno"/>
        </w:rPr>
        <w:t>77</w:t>
      </w:r>
      <w:r>
        <w:rPr>
          <w:snapToGrid w:val="0"/>
        </w:rPr>
        <w:t>.</w:t>
      </w:r>
      <w:r>
        <w:rPr>
          <w:snapToGrid w:val="0"/>
        </w:rPr>
        <w:tab/>
        <w:t>Damage to forest etc.</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permit does not authorize the permit</w:t>
      </w:r>
      <w:r>
        <w:rPr>
          <w:snapToGrid w:val="0"/>
        </w:rPr>
        <w:noBreakHyphen/>
        <w:t>holder without the approval of the Executive Director — </w:t>
      </w:r>
    </w:p>
    <w:p>
      <w:pPr>
        <w:pStyle w:val="Indenta"/>
        <w:rPr>
          <w:snapToGrid w:val="0"/>
        </w:rPr>
      </w:pPr>
      <w:r>
        <w:rPr>
          <w:snapToGrid w:val="0"/>
        </w:rPr>
        <w:tab/>
        <w:t>(a)</w:t>
      </w:r>
      <w:r>
        <w:rPr>
          <w:snapToGrid w:val="0"/>
        </w:rPr>
        <w:tab/>
        <w:t>to fell, cut, or injure any tree or cut or remove any timber; or</w:t>
      </w:r>
    </w:p>
    <w:p>
      <w:pPr>
        <w:pStyle w:val="Indenta"/>
        <w:rPr>
          <w:snapToGrid w:val="0"/>
        </w:rPr>
      </w:pPr>
      <w:r>
        <w:rPr>
          <w:snapToGrid w:val="0"/>
        </w:rPr>
        <w:tab/>
        <w:t>(b)</w:t>
      </w:r>
      <w:r>
        <w:rPr>
          <w:snapToGrid w:val="0"/>
        </w:rPr>
        <w:tab/>
        <w:t>to damage or interfere with any fencing or other improvement on the site.</w:t>
      </w:r>
    </w:p>
    <w:p>
      <w:pPr>
        <w:pStyle w:val="Heading5"/>
        <w:rPr>
          <w:snapToGrid w:val="0"/>
        </w:rPr>
      </w:pPr>
      <w:bookmarkStart w:id="463" w:name="_Toc438372816"/>
      <w:bookmarkStart w:id="464" w:name="_Toc8187964"/>
      <w:bookmarkStart w:id="465" w:name="_Toc155068070"/>
      <w:bookmarkStart w:id="466" w:name="_Toc170209508"/>
      <w:r>
        <w:rPr>
          <w:rStyle w:val="CharSectno"/>
        </w:rPr>
        <w:t>78</w:t>
      </w:r>
      <w:r>
        <w:rPr>
          <w:snapToGrid w:val="0"/>
        </w:rPr>
        <w:t>.</w:t>
      </w:r>
      <w:r>
        <w:rPr>
          <w:snapToGrid w:val="0"/>
        </w:rPr>
        <w:tab/>
        <w:t>Forestry operations not affected</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fact that a permit is in force in respect of a site does not preclude — </w:t>
      </w:r>
    </w:p>
    <w:p>
      <w:pPr>
        <w:pStyle w:val="Indenta"/>
        <w:rPr>
          <w:snapToGrid w:val="0"/>
        </w:rPr>
      </w:pPr>
      <w:r>
        <w:rPr>
          <w:snapToGrid w:val="0"/>
        </w:rPr>
        <w:tab/>
        <w:t>(a)</w:t>
      </w:r>
      <w:r>
        <w:rPr>
          <w:snapToGrid w:val="0"/>
        </w:rPr>
        <w:tab/>
        <w:t>the felling, cutting and removal of timber and other forest produce from the site;</w:t>
      </w:r>
    </w:p>
    <w:p>
      <w:pPr>
        <w:pStyle w:val="Indenta"/>
        <w:rPr>
          <w:snapToGrid w:val="0"/>
        </w:rPr>
      </w:pPr>
      <w:r>
        <w:rPr>
          <w:snapToGrid w:val="0"/>
        </w:rPr>
        <w:tab/>
        <w:t>(b)</w:t>
      </w:r>
      <w:r>
        <w:rPr>
          <w:snapToGrid w:val="0"/>
        </w:rPr>
        <w:tab/>
        <w:t>the construction or maintenance of firebreaks by clearing, burning or any other method;</w:t>
      </w:r>
    </w:p>
    <w:p>
      <w:pPr>
        <w:pStyle w:val="Indenta"/>
        <w:rPr>
          <w:snapToGrid w:val="0"/>
        </w:rPr>
      </w:pPr>
      <w:r>
        <w:rPr>
          <w:snapToGrid w:val="0"/>
        </w:rPr>
        <w:tab/>
        <w:t>(c)</w:t>
      </w:r>
      <w:r>
        <w:rPr>
          <w:snapToGrid w:val="0"/>
        </w:rPr>
        <w:tab/>
        <w:t>the carrying out of managed burning operations by the Department on the site or elsewhere.</w:t>
      </w:r>
    </w:p>
    <w:p>
      <w:pPr>
        <w:pStyle w:val="Subsection"/>
        <w:rPr>
          <w:snapToGrid w:val="0"/>
        </w:rPr>
      </w:pPr>
      <w:r>
        <w:rPr>
          <w:snapToGrid w:val="0"/>
        </w:rPr>
        <w:tab/>
        <w:t>(2)</w:t>
      </w:r>
      <w:r>
        <w:rPr>
          <w:snapToGrid w:val="0"/>
        </w:rPr>
        <w:tab/>
        <w:t>The permit</w:t>
      </w:r>
      <w:r>
        <w:rPr>
          <w:snapToGrid w:val="0"/>
        </w:rPr>
        <w:noBreakHyphen/>
        <w:t>holder is not entitled to compensation, for any loss or damage arising from the carrying out of any such operations.</w:t>
      </w:r>
    </w:p>
    <w:p>
      <w:pPr>
        <w:pStyle w:val="Heading5"/>
        <w:rPr>
          <w:snapToGrid w:val="0"/>
        </w:rPr>
      </w:pPr>
      <w:bookmarkStart w:id="467" w:name="_Toc438372817"/>
      <w:bookmarkStart w:id="468" w:name="_Toc8187965"/>
      <w:bookmarkStart w:id="469" w:name="_Toc155068071"/>
      <w:bookmarkStart w:id="470" w:name="_Toc170209509"/>
      <w:r>
        <w:rPr>
          <w:rStyle w:val="CharSectno"/>
        </w:rPr>
        <w:t>79</w:t>
      </w:r>
      <w:r>
        <w:rPr>
          <w:snapToGrid w:val="0"/>
        </w:rPr>
        <w:t>.</w:t>
      </w:r>
      <w:r>
        <w:rPr>
          <w:snapToGrid w:val="0"/>
        </w:rPr>
        <w:tab/>
        <w:t>Particular conditions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It is a condition of every permit that the permit</w:t>
      </w:r>
      <w:r>
        <w:rPr>
          <w:snapToGrid w:val="0"/>
        </w:rPr>
        <w:noBreakHyphen/>
        <w:t>holder must — </w:t>
      </w:r>
    </w:p>
    <w:p>
      <w:pPr>
        <w:pStyle w:val="Indenta"/>
        <w:rPr>
          <w:snapToGrid w:val="0"/>
        </w:rPr>
      </w:pPr>
      <w:r>
        <w:rPr>
          <w:snapToGrid w:val="0"/>
        </w:rPr>
        <w:tab/>
        <w:t>(a)</w:t>
      </w:r>
      <w:r>
        <w:rPr>
          <w:snapToGrid w:val="0"/>
        </w:rPr>
        <w:tab/>
        <w:t>immediately report any outbreak of fire on the site to the nearest forest officer;</w:t>
      </w:r>
    </w:p>
    <w:p>
      <w:pPr>
        <w:pStyle w:val="Indenta"/>
        <w:rPr>
          <w:snapToGrid w:val="0"/>
        </w:rPr>
      </w:pPr>
      <w:r>
        <w:rPr>
          <w:snapToGrid w:val="0"/>
        </w:rPr>
        <w:tab/>
        <w:t>(b)</w:t>
      </w:r>
      <w:r>
        <w:rPr>
          <w:snapToGrid w:val="0"/>
        </w:rPr>
        <w:tab/>
        <w:t>during the term of the permit co</w:t>
      </w:r>
      <w:r>
        <w:rPr>
          <w:snapToGrid w:val="0"/>
        </w:rPr>
        <w:noBreakHyphen/>
        <w:t>operate with officers of the Department in preventing and suppressing bush fires, and require his or her employees to do likewise;</w:t>
      </w:r>
    </w:p>
    <w:p>
      <w:pPr>
        <w:pStyle w:val="Indenta"/>
        <w:rPr>
          <w:snapToGrid w:val="0"/>
        </w:rPr>
      </w:pPr>
      <w:r>
        <w:rPr>
          <w:snapToGrid w:val="0"/>
        </w:rPr>
        <w:tab/>
        <w:t>(c)</w:t>
      </w:r>
      <w:r>
        <w:rPr>
          <w:snapToGrid w:val="0"/>
        </w:rPr>
        <w:tab/>
        <w:t>provide and maintain adequate water supplies for all apiary requirements on the site; and</w:t>
      </w:r>
    </w:p>
    <w:p>
      <w:pPr>
        <w:pStyle w:val="Indenta"/>
        <w:rPr>
          <w:snapToGrid w:val="0"/>
        </w:rPr>
      </w:pPr>
      <w:r>
        <w:rPr>
          <w:snapToGrid w:val="0"/>
        </w:rPr>
        <w:tab/>
        <w:t>(d)</w:t>
      </w:r>
      <w:r>
        <w:rPr>
          <w:snapToGrid w:val="0"/>
        </w:rPr>
        <w:tab/>
        <w:t>where the apiary site is within the South West Division, give prior notice to the forest officer in charge of the district before placing hives on the apiary site.</w:t>
      </w:r>
    </w:p>
    <w:p>
      <w:pPr>
        <w:pStyle w:val="Heading5"/>
        <w:rPr>
          <w:snapToGrid w:val="0"/>
        </w:rPr>
      </w:pPr>
      <w:bookmarkStart w:id="471" w:name="_Toc438372818"/>
      <w:bookmarkStart w:id="472" w:name="_Toc8187966"/>
      <w:bookmarkStart w:id="473" w:name="_Toc155068072"/>
      <w:bookmarkStart w:id="474" w:name="_Toc170209510"/>
      <w:r>
        <w:rPr>
          <w:rStyle w:val="CharSectno"/>
        </w:rPr>
        <w:t>80</w:t>
      </w:r>
      <w:r>
        <w:rPr>
          <w:snapToGrid w:val="0"/>
        </w:rPr>
        <w:t>.</w:t>
      </w:r>
      <w:r>
        <w:rPr>
          <w:snapToGrid w:val="0"/>
        </w:rPr>
        <w:tab/>
        <w:t>Cancellation in particular cases</w:t>
      </w:r>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The Executive Director may upon giving a permit</w:t>
      </w:r>
      <w:r>
        <w:rPr>
          <w:snapToGrid w:val="0"/>
        </w:rPr>
        <w:noBreakHyphen/>
        <w:t>holder one month’s notice in writing cancel the permit wholly or in part if the site is required for forestry purposes or any purpose of public utility or convenience or if in the opinion of the Executive Director the site is not being used to its best advantage.</w:t>
      </w:r>
    </w:p>
    <w:p>
      <w:pPr>
        <w:pStyle w:val="Subsection"/>
        <w:spacing w:before="120"/>
        <w:rPr>
          <w:snapToGrid w:val="0"/>
        </w:rPr>
      </w:pPr>
      <w:r>
        <w:rPr>
          <w:snapToGrid w:val="0"/>
        </w:rPr>
        <w:tab/>
        <w:t>(2)</w:t>
      </w:r>
      <w:r>
        <w:rPr>
          <w:snapToGrid w:val="0"/>
        </w:rPr>
        <w:tab/>
        <w:t xml:space="preserve">If a site is disposed of by the </w:t>
      </w:r>
      <w:del w:id="475" w:author="Master Repository Process" w:date="2021-08-01T15:45:00Z">
        <w:r>
          <w:rPr>
            <w:snapToGrid w:val="0"/>
          </w:rPr>
          <w:delText>Department of</w:delText>
        </w:r>
      </w:del>
      <w:ins w:id="476" w:author="Master Repository Process" w:date="2021-08-01T15:45:00Z">
        <w:r>
          <w:t>Minister for Lands referred to in the</w:t>
        </w:r>
      </w:ins>
      <w:r>
        <w:t xml:space="preserve"> </w:t>
      </w:r>
      <w:r>
        <w:rPr>
          <w:i/>
        </w:rPr>
        <w:t>Land Administration</w:t>
      </w:r>
      <w:ins w:id="477" w:author="Master Repository Process" w:date="2021-08-01T15:45:00Z">
        <w:r>
          <w:rPr>
            <w:i/>
          </w:rPr>
          <w:t xml:space="preserve"> Act 1997</w:t>
        </w:r>
        <w:r>
          <w:rPr>
            <w:iCs/>
          </w:rPr>
          <w:t xml:space="preserve"> section 7(1)</w:t>
        </w:r>
      </w:ins>
      <w:r>
        <w:rPr>
          <w:iCs/>
        </w:rPr>
        <w:t xml:space="preserve"> </w:t>
      </w:r>
      <w:r>
        <w:rPr>
          <w:snapToGrid w:val="0"/>
        </w:rPr>
        <w:t>for settlement purposes the permit may be immediately cancelled by the Executive Director by notice in writing to the permit</w:t>
      </w:r>
      <w:r>
        <w:rPr>
          <w:snapToGrid w:val="0"/>
        </w:rPr>
        <w:noBreakHyphen/>
        <w:t>holder.</w:t>
      </w:r>
    </w:p>
    <w:p>
      <w:pPr>
        <w:pStyle w:val="Subsection"/>
        <w:spacing w:before="120"/>
        <w:rPr>
          <w:snapToGrid w:val="0"/>
        </w:rPr>
      </w:pPr>
      <w:r>
        <w:rPr>
          <w:snapToGrid w:val="0"/>
        </w:rPr>
        <w:tab/>
        <w:t>(3)</w:t>
      </w:r>
      <w:r>
        <w:rPr>
          <w:snapToGrid w:val="0"/>
        </w:rPr>
        <w:tab/>
        <w:t>No compensation is payable to the permit</w:t>
      </w:r>
      <w:r>
        <w:rPr>
          <w:snapToGrid w:val="0"/>
        </w:rPr>
        <w:noBreakHyphen/>
        <w:t>holder on the cancellation of a permit under this regulation but the permit</w:t>
      </w:r>
      <w:r>
        <w:rPr>
          <w:snapToGrid w:val="0"/>
        </w:rPr>
        <w:noBreakHyphen/>
        <w:t>holder is entitled to a refund of the rent paid that is attributable to the unexpired period of the permit.</w:t>
      </w:r>
    </w:p>
    <w:p>
      <w:pPr>
        <w:pStyle w:val="Footnotesection"/>
        <w:rPr>
          <w:ins w:id="478" w:author="Master Repository Process" w:date="2021-08-01T15:45:00Z"/>
        </w:rPr>
      </w:pPr>
      <w:ins w:id="479" w:author="Master Repository Process" w:date="2021-08-01T15:45:00Z">
        <w:r>
          <w:tab/>
          <w:t>[Regulation 80 amended in Gazette 22 Dec 2006 p. 5804.]</w:t>
        </w:r>
      </w:ins>
    </w:p>
    <w:p>
      <w:pPr>
        <w:pStyle w:val="Heading5"/>
        <w:rPr>
          <w:snapToGrid w:val="0"/>
        </w:rPr>
      </w:pPr>
      <w:bookmarkStart w:id="480" w:name="_Toc438372819"/>
      <w:bookmarkStart w:id="481" w:name="_Toc8187967"/>
      <w:bookmarkStart w:id="482" w:name="_Toc155068073"/>
      <w:bookmarkStart w:id="483" w:name="_Toc170209511"/>
      <w:r>
        <w:rPr>
          <w:rStyle w:val="CharSectno"/>
        </w:rPr>
        <w:t>81</w:t>
      </w:r>
      <w:r>
        <w:rPr>
          <w:snapToGrid w:val="0"/>
        </w:rPr>
        <w:t>.</w:t>
      </w:r>
      <w:r>
        <w:rPr>
          <w:snapToGrid w:val="0"/>
        </w:rPr>
        <w:tab/>
        <w:t>Forfeiture</w:t>
      </w:r>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If a permit for a site is cancelled for breach or non</w:t>
      </w:r>
      <w:r>
        <w:rPr>
          <w:snapToGrid w:val="0"/>
        </w:rPr>
        <w:noBreakHyphen/>
        <w:t>observance of a condition, any improvements made by the permit</w:t>
      </w:r>
      <w:r>
        <w:rPr>
          <w:snapToGrid w:val="0"/>
        </w:rPr>
        <w:noBreakHyphen/>
        <w:t>holder to the site are forfeited to the Crown.</w:t>
      </w:r>
    </w:p>
    <w:p>
      <w:pPr>
        <w:pStyle w:val="Heading5"/>
        <w:rPr>
          <w:snapToGrid w:val="0"/>
        </w:rPr>
      </w:pPr>
      <w:bookmarkStart w:id="484" w:name="_Toc438372820"/>
      <w:bookmarkStart w:id="485" w:name="_Toc8187968"/>
      <w:bookmarkStart w:id="486" w:name="_Toc155068074"/>
      <w:bookmarkStart w:id="487" w:name="_Toc170209512"/>
      <w:r>
        <w:rPr>
          <w:rStyle w:val="CharSectno"/>
        </w:rPr>
        <w:t>82</w:t>
      </w:r>
      <w:r>
        <w:rPr>
          <w:snapToGrid w:val="0"/>
        </w:rPr>
        <w:t>.</w:t>
      </w:r>
      <w:r>
        <w:rPr>
          <w:snapToGrid w:val="0"/>
        </w:rPr>
        <w:tab/>
        <w:t>Rent payable for permit</w:t>
      </w:r>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The rent payable for a permit is — </w:t>
      </w:r>
    </w:p>
    <w:p>
      <w:pPr>
        <w:pStyle w:val="Indenta"/>
        <w:rPr>
          <w:snapToGrid w:val="0"/>
        </w:rPr>
      </w:pPr>
      <w:r>
        <w:rPr>
          <w:snapToGrid w:val="0"/>
        </w:rPr>
        <w:tab/>
        <w:t>(a)</w:t>
      </w:r>
      <w:r>
        <w:rPr>
          <w:snapToGrid w:val="0"/>
        </w:rPr>
        <w:tab/>
        <w:t>for a site in the south</w:t>
      </w:r>
      <w:r>
        <w:rPr>
          <w:snapToGrid w:val="0"/>
        </w:rPr>
        <w:noBreakHyphen/>
        <w:t>west zone, $60.00 per annum per 1.25 hectares or part of that area;</w:t>
      </w:r>
    </w:p>
    <w:p>
      <w:pPr>
        <w:pStyle w:val="Indenta"/>
        <w:rPr>
          <w:snapToGrid w:val="0"/>
        </w:rPr>
      </w:pPr>
      <w:r>
        <w:rPr>
          <w:snapToGrid w:val="0"/>
        </w:rPr>
        <w:tab/>
        <w:t>(b)</w:t>
      </w:r>
      <w:r>
        <w:rPr>
          <w:snapToGrid w:val="0"/>
        </w:rPr>
        <w:tab/>
        <w:t>for a site outside the south</w:t>
      </w:r>
      <w:r>
        <w:rPr>
          <w:snapToGrid w:val="0"/>
        </w:rPr>
        <w:noBreakHyphen/>
        <w:t>west zone, $12.00 per annum per 1.25 hectares or part of that area,</w:t>
      </w:r>
    </w:p>
    <w:p>
      <w:pPr>
        <w:pStyle w:val="Subsection"/>
        <w:rPr>
          <w:snapToGrid w:val="0"/>
        </w:rPr>
      </w:pPr>
      <w:r>
        <w:rPr>
          <w:snapToGrid w:val="0"/>
        </w:rPr>
        <w:tab/>
      </w:r>
      <w:r>
        <w:rPr>
          <w:snapToGrid w:val="0"/>
        </w:rPr>
        <w:tab/>
        <w:t>and is payable in advance.</w:t>
      </w:r>
    </w:p>
    <w:p>
      <w:pPr>
        <w:pStyle w:val="Footnotesection"/>
      </w:pPr>
      <w:r>
        <w:tab/>
        <w:t xml:space="preserve">[Regulation 82 amended in Gazette 21 April 1998 p.2113.] </w:t>
      </w:r>
    </w:p>
    <w:p>
      <w:pPr>
        <w:pStyle w:val="Heading5"/>
        <w:rPr>
          <w:snapToGrid w:val="0"/>
        </w:rPr>
      </w:pPr>
      <w:bookmarkStart w:id="488" w:name="_Toc438372821"/>
      <w:bookmarkStart w:id="489" w:name="_Toc8187969"/>
      <w:bookmarkStart w:id="490" w:name="_Toc155068075"/>
      <w:bookmarkStart w:id="491" w:name="_Toc170209513"/>
      <w:r>
        <w:rPr>
          <w:rStyle w:val="CharSectno"/>
        </w:rPr>
        <w:t>83</w:t>
      </w:r>
      <w:r>
        <w:rPr>
          <w:snapToGrid w:val="0"/>
        </w:rPr>
        <w:t>.</w:t>
      </w:r>
      <w:r>
        <w:rPr>
          <w:snapToGrid w:val="0"/>
        </w:rPr>
        <w:tab/>
        <w:t>Permit not to be granted within 3 kilometres of other apiary site</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Executive Director shall not grant a permit to a person for an apiary site where there is within 3 kilometres of the proposed site another apiary site for which a permit has been granted to any other person.</w:t>
      </w:r>
    </w:p>
    <w:p>
      <w:pPr>
        <w:pStyle w:val="Heading5"/>
        <w:rPr>
          <w:snapToGrid w:val="0"/>
        </w:rPr>
      </w:pPr>
      <w:bookmarkStart w:id="492" w:name="_Toc438372822"/>
      <w:bookmarkStart w:id="493" w:name="_Toc8187970"/>
      <w:bookmarkStart w:id="494" w:name="_Toc155068076"/>
      <w:bookmarkStart w:id="495" w:name="_Toc170209514"/>
      <w:r>
        <w:rPr>
          <w:rStyle w:val="CharSectno"/>
        </w:rPr>
        <w:t>84</w:t>
      </w:r>
      <w:r>
        <w:rPr>
          <w:snapToGrid w:val="0"/>
        </w:rPr>
        <w:t>.</w:t>
      </w:r>
      <w:r>
        <w:rPr>
          <w:snapToGrid w:val="0"/>
        </w:rPr>
        <w:tab/>
        <w:t>Deposit</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Executive Director may before granting a permit to a person, require the person to pay to the Executive Director a deposit not exceeding $40 as security for the observance by that person of any conditions or limitations attached to the permit.</w:t>
      </w:r>
    </w:p>
    <w:p>
      <w:pPr>
        <w:pStyle w:val="Subsection"/>
        <w:rPr>
          <w:snapToGrid w:val="0"/>
        </w:rPr>
      </w:pPr>
      <w:r>
        <w:rPr>
          <w:snapToGrid w:val="0"/>
        </w:rPr>
        <w:tab/>
        <w:t>(2)</w:t>
      </w:r>
      <w:r>
        <w:rPr>
          <w:snapToGrid w:val="0"/>
        </w:rPr>
        <w:tab/>
        <w:t>If the person referred to in subregulation (1) fails to comply with any condition or limitation attached to the permit, the deposit is forfeited to the Crown.</w:t>
      </w:r>
    </w:p>
    <w:p>
      <w:pPr>
        <w:pStyle w:val="Heading5"/>
        <w:rPr>
          <w:snapToGrid w:val="0"/>
        </w:rPr>
      </w:pPr>
      <w:bookmarkStart w:id="496" w:name="_Toc438372823"/>
      <w:bookmarkStart w:id="497" w:name="_Toc8187971"/>
      <w:bookmarkStart w:id="498" w:name="_Toc155068077"/>
      <w:bookmarkStart w:id="499" w:name="_Toc170209515"/>
      <w:r>
        <w:rPr>
          <w:rStyle w:val="CharSectno"/>
        </w:rPr>
        <w:t>85</w:t>
      </w:r>
      <w:r>
        <w:rPr>
          <w:snapToGrid w:val="0"/>
        </w:rPr>
        <w:t>.</w:t>
      </w:r>
      <w:r>
        <w:rPr>
          <w:snapToGrid w:val="0"/>
        </w:rPr>
        <w:tab/>
        <w:t>Production of apiary site permits</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permit</w:t>
      </w:r>
      <w:r>
        <w:rPr>
          <w:snapToGrid w:val="0"/>
        </w:rPr>
        <w:noBreakHyphen/>
        <w:t>holder shall, as soon as practicable after being required to do so by a forest officer or a conservation and land management officer, produce for inspection his or her permit to the officer.</w:t>
      </w:r>
    </w:p>
    <w:p>
      <w:pPr>
        <w:pStyle w:val="Penstart"/>
        <w:rPr>
          <w:snapToGrid w:val="0"/>
        </w:rPr>
      </w:pPr>
      <w:r>
        <w:rPr>
          <w:snapToGrid w:val="0"/>
        </w:rPr>
        <w:tab/>
        <w:t>Penalty: $500.</w:t>
      </w:r>
    </w:p>
    <w:p>
      <w:pPr>
        <w:pStyle w:val="Ednotepart"/>
      </w:pPr>
      <w:r>
        <w:t xml:space="preserve">[Part 12  </w:t>
      </w:r>
      <w:del w:id="500" w:author="Master Repository Process" w:date="2021-08-01T15:45:00Z">
        <w:r>
          <w:delText>Repealed</w:delText>
        </w:r>
      </w:del>
      <w:ins w:id="501" w:author="Master Repository Process" w:date="2021-08-01T15:45:00Z">
        <w:r>
          <w:t>Deleted</w:t>
        </w:r>
      </w:ins>
      <w:r>
        <w:t xml:space="preserve"> in Gazette 3 May 2002 p.2294.]</w:t>
      </w:r>
    </w:p>
    <w:p>
      <w:pPr>
        <w:pStyle w:val="Heading2"/>
      </w:pPr>
      <w:bookmarkStart w:id="502" w:name="_Toc154984412"/>
      <w:bookmarkStart w:id="503" w:name="_Toc155067217"/>
      <w:bookmarkStart w:id="504" w:name="_Toc155068078"/>
      <w:bookmarkStart w:id="505" w:name="_Toc170209516"/>
      <w:r>
        <w:rPr>
          <w:rStyle w:val="CharPartNo"/>
        </w:rPr>
        <w:t>Part 13</w:t>
      </w:r>
      <w:r>
        <w:rPr>
          <w:rStyle w:val="CharDivNo"/>
        </w:rPr>
        <w:t> </w:t>
      </w:r>
      <w:r>
        <w:t>—</w:t>
      </w:r>
      <w:r>
        <w:rPr>
          <w:rStyle w:val="CharDivText"/>
        </w:rPr>
        <w:t> </w:t>
      </w:r>
      <w:r>
        <w:rPr>
          <w:rStyle w:val="CharPartText"/>
        </w:rPr>
        <w:t>Fire prevention</w:t>
      </w:r>
      <w:bookmarkEnd w:id="502"/>
      <w:bookmarkEnd w:id="503"/>
      <w:bookmarkEnd w:id="504"/>
      <w:bookmarkEnd w:id="505"/>
      <w:r>
        <w:rPr>
          <w:rStyle w:val="CharPartText"/>
        </w:rPr>
        <w:t xml:space="preserve"> </w:t>
      </w:r>
    </w:p>
    <w:p>
      <w:pPr>
        <w:pStyle w:val="Heading5"/>
        <w:rPr>
          <w:snapToGrid w:val="0"/>
        </w:rPr>
      </w:pPr>
      <w:bookmarkStart w:id="506" w:name="_Toc438372827"/>
      <w:bookmarkStart w:id="507" w:name="_Toc8187972"/>
      <w:bookmarkStart w:id="508" w:name="_Toc155068079"/>
      <w:bookmarkStart w:id="509" w:name="_Toc170209517"/>
      <w:r>
        <w:rPr>
          <w:rStyle w:val="CharSectno"/>
        </w:rPr>
        <w:t>89</w:t>
      </w:r>
      <w:r>
        <w:rPr>
          <w:snapToGrid w:val="0"/>
        </w:rPr>
        <w:t>.</w:t>
      </w:r>
      <w:r>
        <w:rPr>
          <w:snapToGrid w:val="0"/>
        </w:rPr>
        <w:tab/>
        <w:t>Ban on activity where fire risk</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bookmarkStart w:id="510" w:name="_Toc438372829"/>
      <w:r>
        <w:t>[</w:t>
      </w:r>
      <w:r>
        <w:rPr>
          <w:b/>
        </w:rPr>
        <w:t>90.</w:t>
      </w:r>
      <w:r>
        <w:rPr>
          <w:b/>
        </w:rPr>
        <w:tab/>
      </w:r>
      <w:del w:id="511" w:author="Master Repository Process" w:date="2021-08-01T15:45:00Z">
        <w:r>
          <w:delText>Repealed</w:delText>
        </w:r>
      </w:del>
      <w:ins w:id="512" w:author="Master Repository Process" w:date="2021-08-01T15:45:00Z">
        <w:r>
          <w:t>Deleted</w:t>
        </w:r>
      </w:ins>
      <w:r>
        <w:t xml:space="preserve"> in Gazette 3 May 2002 p.2294.]</w:t>
      </w:r>
    </w:p>
    <w:p>
      <w:pPr>
        <w:pStyle w:val="Heading5"/>
        <w:rPr>
          <w:snapToGrid w:val="0"/>
        </w:rPr>
      </w:pPr>
      <w:bookmarkStart w:id="513" w:name="_Toc8187973"/>
      <w:bookmarkStart w:id="514" w:name="_Toc155068080"/>
      <w:bookmarkStart w:id="515" w:name="_Toc170209518"/>
      <w:r>
        <w:rPr>
          <w:rStyle w:val="CharSectno"/>
        </w:rPr>
        <w:t>91</w:t>
      </w:r>
      <w:r>
        <w:rPr>
          <w:snapToGrid w:val="0"/>
        </w:rPr>
        <w:t>.</w:t>
      </w:r>
      <w:r>
        <w:rPr>
          <w:snapToGrid w:val="0"/>
        </w:rPr>
        <w:tab/>
        <w:t>Fire lookout towers and trees</w:t>
      </w:r>
      <w:bookmarkEnd w:id="510"/>
      <w:bookmarkEnd w:id="513"/>
      <w:bookmarkEnd w:id="514"/>
      <w:bookmarkEnd w:id="5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rPr>
          <w:snapToGrid w:val="0"/>
        </w:rPr>
      </w:pPr>
      <w:r>
        <w:rPr>
          <w:snapToGrid w:val="0"/>
        </w:rPr>
        <w:tab/>
      </w:r>
      <w:r>
        <w:rPr>
          <w:snapToGrid w:val="0"/>
        </w:rPr>
        <w:tab/>
        <w:t>in a State forest or timber reserve, unless authorized to do so by the Executive Director or a forest officer.</w:t>
      </w:r>
    </w:p>
    <w:p>
      <w:pPr>
        <w:pStyle w:val="Penstart"/>
        <w:rPr>
          <w:snapToGrid w:val="0"/>
        </w:rPr>
      </w:pPr>
      <w:r>
        <w:rPr>
          <w:snapToGrid w:val="0"/>
        </w:rPr>
        <w:tab/>
        <w:t>Penalty: $2 000.</w:t>
      </w:r>
    </w:p>
    <w:p>
      <w:pPr>
        <w:pStyle w:val="Heading5"/>
        <w:rPr>
          <w:snapToGrid w:val="0"/>
        </w:rPr>
      </w:pPr>
      <w:bookmarkStart w:id="516" w:name="_Toc438372830"/>
      <w:bookmarkStart w:id="517" w:name="_Toc8187974"/>
      <w:bookmarkStart w:id="518" w:name="_Toc155068081"/>
      <w:bookmarkStart w:id="519" w:name="_Toc170209519"/>
      <w:r>
        <w:rPr>
          <w:rStyle w:val="CharSectno"/>
        </w:rPr>
        <w:t>92</w:t>
      </w:r>
      <w:r>
        <w:rPr>
          <w:snapToGrid w:val="0"/>
        </w:rPr>
        <w:t>.</w:t>
      </w:r>
      <w:r>
        <w:rPr>
          <w:snapToGrid w:val="0"/>
        </w:rPr>
        <w:tab/>
        <w:t>Prescribed rate of remuneration for assistance in fire fighting</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520" w:name="_Toc154984416"/>
      <w:bookmarkStart w:id="521" w:name="_Toc155067221"/>
      <w:bookmarkStart w:id="522" w:name="_Toc155068082"/>
      <w:bookmarkStart w:id="523" w:name="_Toc170209520"/>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520"/>
      <w:bookmarkEnd w:id="521"/>
      <w:bookmarkEnd w:id="522"/>
      <w:bookmarkEnd w:id="523"/>
    </w:p>
    <w:p>
      <w:pPr>
        <w:pStyle w:val="Heading5"/>
        <w:rPr>
          <w:snapToGrid w:val="0"/>
        </w:rPr>
      </w:pPr>
      <w:bookmarkStart w:id="524" w:name="_Toc438372831"/>
      <w:bookmarkStart w:id="525" w:name="_Toc8187975"/>
      <w:bookmarkStart w:id="526" w:name="_Toc155068083"/>
      <w:bookmarkStart w:id="527" w:name="_Toc170209521"/>
      <w:r>
        <w:rPr>
          <w:rStyle w:val="CharSectno"/>
        </w:rPr>
        <w:t>93</w:t>
      </w:r>
      <w:r>
        <w:rPr>
          <w:snapToGrid w:val="0"/>
        </w:rPr>
        <w:t>.</w:t>
      </w:r>
      <w:r>
        <w:rPr>
          <w:snapToGrid w:val="0"/>
        </w:rPr>
        <w:tab/>
        <w:t>Interpretation</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528" w:author="Master Repository Process" w:date="2021-08-01T15:45:00Z">
        <w:r>
          <w:rPr>
            <w:b/>
          </w:rPr>
          <w:delText>“</w:delText>
        </w:r>
      </w:del>
      <w:r>
        <w:rPr>
          <w:rStyle w:val="CharDefText"/>
        </w:rPr>
        <w:t>marking out</w:t>
      </w:r>
      <w:del w:id="529" w:author="Master Repository Process" w:date="2021-08-01T15:45:00Z">
        <w:r>
          <w:rPr>
            <w:b/>
          </w:rPr>
          <w:delText>”</w:delText>
        </w:r>
      </w:del>
      <w:r>
        <w:t xml:space="preserve"> has the same meaning as in the </w:t>
      </w:r>
      <w:r>
        <w:rPr>
          <w:i/>
        </w:rPr>
        <w:t>Mining Act 1978</w:t>
      </w:r>
      <w:r>
        <w:t>;</w:t>
      </w:r>
    </w:p>
    <w:p>
      <w:pPr>
        <w:pStyle w:val="Defstart"/>
      </w:pPr>
      <w:r>
        <w:rPr>
          <w:b/>
        </w:rPr>
        <w:tab/>
      </w:r>
      <w:del w:id="530" w:author="Master Repository Process" w:date="2021-08-01T15:45:00Z">
        <w:r>
          <w:rPr>
            <w:b/>
          </w:rPr>
          <w:delText>“</w:delText>
        </w:r>
      </w:del>
      <w:r>
        <w:rPr>
          <w:rStyle w:val="CharDefText"/>
        </w:rPr>
        <w:t>South West Division</w:t>
      </w:r>
      <w:del w:id="531" w:author="Master Repository Process" w:date="2021-08-01T15:45:00Z">
        <w:r>
          <w:rPr>
            <w:b/>
          </w:rPr>
          <w:delText>”</w:delText>
        </w:r>
      </w:del>
      <w:r>
        <w:t xml:space="preserve"> has the same meaning as in the </w:t>
      </w:r>
      <w:r>
        <w:rPr>
          <w:i/>
        </w:rPr>
        <w:t>Land Act 1933</w:t>
      </w:r>
      <w:r>
        <w:t xml:space="preserve"> </w:t>
      </w:r>
      <w:r>
        <w:rPr>
          <w:vertAlign w:val="superscript"/>
        </w:rPr>
        <w:t>2</w:t>
      </w:r>
      <w:r>
        <w:t>.</w:t>
      </w:r>
    </w:p>
    <w:p>
      <w:pPr>
        <w:pStyle w:val="Heading5"/>
        <w:rPr>
          <w:snapToGrid w:val="0"/>
        </w:rPr>
      </w:pPr>
      <w:bookmarkStart w:id="532" w:name="_Toc438372832"/>
      <w:bookmarkStart w:id="533" w:name="_Toc8187976"/>
      <w:bookmarkStart w:id="534" w:name="_Toc155068084"/>
      <w:bookmarkStart w:id="535" w:name="_Toc170209522"/>
      <w:r>
        <w:rPr>
          <w:rStyle w:val="CharSectno"/>
        </w:rPr>
        <w:t>94</w:t>
      </w:r>
      <w:r>
        <w:rPr>
          <w:snapToGrid w:val="0"/>
        </w:rPr>
        <w:t>.</w:t>
      </w:r>
      <w:r>
        <w:rPr>
          <w:snapToGrid w:val="0"/>
        </w:rPr>
        <w:tab/>
        <w:t>Prescribed conditions and limitations</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536" w:name="_Toc438372833"/>
      <w:bookmarkStart w:id="537" w:name="_Toc8187977"/>
      <w:bookmarkStart w:id="538" w:name="_Toc155068085"/>
      <w:bookmarkStart w:id="539" w:name="_Toc170209523"/>
      <w:r>
        <w:rPr>
          <w:rStyle w:val="CharSectno"/>
        </w:rPr>
        <w:t>95</w:t>
      </w:r>
      <w:r>
        <w:rPr>
          <w:snapToGrid w:val="0"/>
        </w:rPr>
        <w:t>.</w:t>
      </w:r>
      <w:r>
        <w:rPr>
          <w:snapToGrid w:val="0"/>
        </w:rPr>
        <w:tab/>
        <w:t>Conditions upon entering State forest or timber reserve</w:t>
      </w:r>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person who is within any State forest or timber reserve in the South West Division for the purpose of, or in connection with, marking out, shall ensure that —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Heading5"/>
        <w:rPr>
          <w:snapToGrid w:val="0"/>
        </w:rPr>
      </w:pPr>
      <w:bookmarkStart w:id="540" w:name="_Toc438372834"/>
      <w:bookmarkStart w:id="541" w:name="_Toc8187978"/>
      <w:bookmarkStart w:id="542" w:name="_Toc155068086"/>
      <w:bookmarkStart w:id="543" w:name="_Toc170209524"/>
      <w:r>
        <w:rPr>
          <w:rStyle w:val="CharSectno"/>
        </w:rPr>
        <w:t>96</w:t>
      </w:r>
      <w:r>
        <w:rPr>
          <w:snapToGrid w:val="0"/>
        </w:rPr>
        <w:t>.</w:t>
      </w:r>
      <w:r>
        <w:rPr>
          <w:snapToGrid w:val="0"/>
        </w:rPr>
        <w:tab/>
        <w:t>Person not to make camp, fuel depot etc. in State forest or timber reserve</w:t>
      </w:r>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shall not, for the purpose of, or in connection with, marking out, establish any camp, fuel depot or parking area within any State forest or timber reserve in the South West Division.</w:t>
      </w:r>
    </w:p>
    <w:p>
      <w:pPr>
        <w:pStyle w:val="Heading5"/>
        <w:rPr>
          <w:snapToGrid w:val="0"/>
        </w:rPr>
      </w:pPr>
      <w:bookmarkStart w:id="544" w:name="_Toc438372835"/>
      <w:bookmarkStart w:id="545" w:name="_Toc8187979"/>
      <w:bookmarkStart w:id="546" w:name="_Toc155068087"/>
      <w:bookmarkStart w:id="547" w:name="_Toc170209525"/>
      <w:r>
        <w:rPr>
          <w:rStyle w:val="CharSectno"/>
        </w:rPr>
        <w:t>97</w:t>
      </w:r>
      <w:r>
        <w:rPr>
          <w:snapToGrid w:val="0"/>
        </w:rPr>
        <w:t>.</w:t>
      </w:r>
      <w:r>
        <w:rPr>
          <w:snapToGrid w:val="0"/>
        </w:rPr>
        <w:tab/>
        <w:t>Part 16 not affected</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548" w:name="_Toc154984422"/>
      <w:bookmarkStart w:id="549" w:name="_Toc155067227"/>
      <w:bookmarkStart w:id="550" w:name="_Toc155068088"/>
      <w:bookmarkStart w:id="551" w:name="_Toc170209526"/>
      <w:r>
        <w:rPr>
          <w:rStyle w:val="CharPartNo"/>
        </w:rPr>
        <w:t>Part 15</w:t>
      </w:r>
      <w:r>
        <w:rPr>
          <w:rStyle w:val="CharDivNo"/>
        </w:rPr>
        <w:t> </w:t>
      </w:r>
      <w:r>
        <w:t>—</w:t>
      </w:r>
      <w:r>
        <w:rPr>
          <w:rStyle w:val="CharDivText"/>
        </w:rPr>
        <w:t> </w:t>
      </w:r>
      <w:r>
        <w:rPr>
          <w:rStyle w:val="CharPartText"/>
        </w:rPr>
        <w:t>Collection of firewood</w:t>
      </w:r>
      <w:bookmarkEnd w:id="548"/>
      <w:bookmarkEnd w:id="549"/>
      <w:bookmarkEnd w:id="550"/>
      <w:bookmarkEnd w:id="551"/>
      <w:r>
        <w:rPr>
          <w:rStyle w:val="CharPartText"/>
        </w:rPr>
        <w:t xml:space="preserve"> </w:t>
      </w:r>
    </w:p>
    <w:p>
      <w:pPr>
        <w:pStyle w:val="Heading5"/>
        <w:rPr>
          <w:snapToGrid w:val="0"/>
        </w:rPr>
      </w:pPr>
      <w:bookmarkStart w:id="552" w:name="_Toc438372836"/>
      <w:bookmarkStart w:id="553" w:name="_Toc8187980"/>
      <w:bookmarkStart w:id="554" w:name="_Toc155068089"/>
      <w:bookmarkStart w:id="555" w:name="_Toc170209527"/>
      <w:r>
        <w:rPr>
          <w:rStyle w:val="CharSectno"/>
        </w:rPr>
        <w:t>98</w:t>
      </w:r>
      <w:r>
        <w:rPr>
          <w:snapToGrid w:val="0"/>
        </w:rPr>
        <w:t>.</w:t>
      </w:r>
      <w:r>
        <w:rPr>
          <w:snapToGrid w:val="0"/>
        </w:rPr>
        <w:tab/>
        <w:t>Designation of public firewood areas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The Executive Director may by order published in the </w:t>
      </w:r>
      <w:r>
        <w:rPr>
          <w:i/>
          <w:snapToGrid w:val="0"/>
        </w:rPr>
        <w:t>Gazette</w:t>
      </w:r>
      <w:r>
        <w:rPr>
          <w:snapToGrid w:val="0"/>
        </w:rPr>
        <w:t xml:space="preserve">, set aside any area of State forest or timber reserve (in this Part referred to as a </w:t>
      </w:r>
      <w:del w:id="556" w:author="Master Repository Process" w:date="2021-08-01T15:45:00Z">
        <w:r>
          <w:rPr>
            <w:b/>
            <w:snapToGrid w:val="0"/>
          </w:rPr>
          <w:delText>“</w:delText>
        </w:r>
      </w:del>
      <w:r>
        <w:rPr>
          <w:rStyle w:val="CharDefText"/>
        </w:rPr>
        <w:t>public firewood area</w:t>
      </w:r>
      <w:del w:id="557" w:author="Master Repository Process" w:date="2021-08-01T15:45:00Z">
        <w:r>
          <w:rPr>
            <w:b/>
            <w:snapToGrid w:val="0"/>
          </w:rPr>
          <w:delText>”</w:delText>
        </w:r>
        <w:r>
          <w:rPr>
            <w:snapToGrid w:val="0"/>
          </w:rPr>
          <w:delText>)</w:delText>
        </w:r>
      </w:del>
      <w:ins w:id="558" w:author="Master Repository Process" w:date="2021-08-01T15:45:00Z">
        <w:r>
          <w:rPr>
            <w:snapToGrid w:val="0"/>
          </w:rPr>
          <w:t>)</w:t>
        </w:r>
      </w:ins>
      <w:r>
        <w:rPr>
          <w:snapToGrid w:val="0"/>
        </w:rPr>
        <w:t xml:space="preserve"> for the purposes of the collection of firewood by members of the public.</w:t>
      </w:r>
    </w:p>
    <w:p>
      <w:pPr>
        <w:pStyle w:val="Subsection"/>
        <w:rPr>
          <w:snapToGrid w:val="0"/>
        </w:rPr>
      </w:pPr>
      <w:r>
        <w:rPr>
          <w:snapToGrid w:val="0"/>
        </w:rPr>
        <w:tab/>
        <w:t>(2)</w:t>
      </w:r>
      <w:r>
        <w:rPr>
          <w:snapToGrid w:val="0"/>
        </w:rPr>
        <w:tab/>
        <w:t xml:space="preserve">The Executive Director may, by further order published in the </w:t>
      </w:r>
      <w:r>
        <w:rPr>
          <w:i/>
          <w:snapToGrid w:val="0"/>
        </w:rPr>
        <w:t>Gazette</w:t>
      </w:r>
      <w:r>
        <w:rPr>
          <w:snapToGrid w:val="0"/>
        </w:rPr>
        <w:t>, amend or revoke an order referred to in subregulation (1).</w:t>
      </w:r>
    </w:p>
    <w:p>
      <w:pPr>
        <w:pStyle w:val="Heading5"/>
        <w:rPr>
          <w:snapToGrid w:val="0"/>
        </w:rPr>
      </w:pPr>
      <w:bookmarkStart w:id="559" w:name="_Toc438372837"/>
      <w:bookmarkStart w:id="560" w:name="_Toc8187981"/>
      <w:bookmarkStart w:id="561" w:name="_Toc155068090"/>
      <w:bookmarkStart w:id="562" w:name="_Toc170209528"/>
      <w:r>
        <w:rPr>
          <w:rStyle w:val="CharSectno"/>
        </w:rPr>
        <w:t>99</w:t>
      </w:r>
      <w:r>
        <w:rPr>
          <w:snapToGrid w:val="0"/>
        </w:rPr>
        <w:t>.</w:t>
      </w:r>
      <w:r>
        <w:rPr>
          <w:snapToGrid w:val="0"/>
        </w:rPr>
        <w:tab/>
        <w:t>Removal of firewood from public firewood areas</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authorizing any person —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 .</w:t>
      </w:r>
    </w:p>
    <w:p>
      <w:pPr>
        <w:pStyle w:val="Heading5"/>
        <w:rPr>
          <w:snapToGrid w:val="0"/>
        </w:rPr>
      </w:pPr>
      <w:bookmarkStart w:id="563" w:name="_Toc438372838"/>
      <w:bookmarkStart w:id="564" w:name="_Toc8187982"/>
      <w:bookmarkStart w:id="565" w:name="_Toc155068091"/>
      <w:bookmarkStart w:id="566" w:name="_Toc170209529"/>
      <w:r>
        <w:rPr>
          <w:rStyle w:val="CharSectno"/>
        </w:rPr>
        <w:t>100</w:t>
      </w:r>
      <w:r>
        <w:rPr>
          <w:snapToGrid w:val="0"/>
        </w:rPr>
        <w:t>.</w:t>
      </w:r>
      <w:r>
        <w:rPr>
          <w:snapToGrid w:val="0"/>
        </w:rPr>
        <w:tab/>
        <w:t>Payment for removal of firewood</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 xml:space="preserve">[Regulation 100 amended in Gazette 28 April 1995 p.1460; 30 June 2000 pp.3401-2.] </w:t>
      </w:r>
    </w:p>
    <w:p>
      <w:pPr>
        <w:pStyle w:val="Heading5"/>
        <w:rPr>
          <w:snapToGrid w:val="0"/>
        </w:rPr>
      </w:pPr>
      <w:bookmarkStart w:id="567" w:name="_Toc438372839"/>
      <w:bookmarkStart w:id="568" w:name="_Toc8187983"/>
      <w:bookmarkStart w:id="569" w:name="_Toc155068092"/>
      <w:bookmarkStart w:id="570" w:name="_Toc170209530"/>
      <w:r>
        <w:rPr>
          <w:rStyle w:val="CharSectno"/>
        </w:rPr>
        <w:t>101</w:t>
      </w:r>
      <w:r>
        <w:rPr>
          <w:snapToGrid w:val="0"/>
        </w:rPr>
        <w:t>.</w:t>
      </w:r>
      <w:r>
        <w:rPr>
          <w:snapToGrid w:val="0"/>
        </w:rPr>
        <w:tab/>
        <w:t>Restrictions on removal of firewood from public firewood areas</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Except as provided in subregulation (3), a person shall not — </w:t>
      </w:r>
    </w:p>
    <w:p>
      <w:pPr>
        <w:pStyle w:val="Indenta"/>
        <w:rPr>
          <w:snapToGrid w:val="0"/>
        </w:rPr>
      </w:pPr>
      <w:r>
        <w:rPr>
          <w:snapToGrid w:val="0"/>
        </w:rPr>
        <w:tab/>
        <w:t>(a)</w:t>
      </w:r>
      <w:r>
        <w:rPr>
          <w:snapToGrid w:val="0"/>
        </w:rPr>
        <w:tab/>
        <w:t>remove more than one tonne of firewood from public firewood areas —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del w:id="571" w:author="Master Repository Process" w:date="2021-08-01T15:45:00Z">
        <w:r>
          <w:rPr>
            <w:b/>
            <w:snapToGrid w:val="0"/>
          </w:rPr>
          <w:delText>“</w:delText>
        </w:r>
      </w:del>
      <w:r>
        <w:rPr>
          <w:rStyle w:val="CharDefText"/>
        </w:rPr>
        <w:t>sell</w:t>
      </w:r>
      <w:del w:id="572" w:author="Master Repository Process" w:date="2021-08-01T15:45:00Z">
        <w:r>
          <w:rPr>
            <w:b/>
            <w:snapToGrid w:val="0"/>
          </w:rPr>
          <w:delText>”</w:delText>
        </w:r>
      </w:del>
      <w:r>
        <w:rPr>
          <w:snapToGrid w:val="0"/>
        </w:rPr>
        <w:t xml:space="preserve"> includes barter, exchange, advertize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April 1995 p.1460; 23 January 1996 p.272; 28 May 1996 p.2204.]</w:t>
      </w:r>
    </w:p>
    <w:p>
      <w:pPr>
        <w:pStyle w:val="Heading5"/>
        <w:rPr>
          <w:snapToGrid w:val="0"/>
        </w:rPr>
      </w:pPr>
      <w:bookmarkStart w:id="573" w:name="_Toc438372840"/>
      <w:bookmarkStart w:id="574" w:name="_Toc8187984"/>
      <w:bookmarkStart w:id="575" w:name="_Toc155068093"/>
      <w:bookmarkStart w:id="576" w:name="_Toc170209531"/>
      <w:r>
        <w:rPr>
          <w:rStyle w:val="CharSectno"/>
        </w:rPr>
        <w:t>102</w:t>
      </w:r>
      <w:r>
        <w:rPr>
          <w:snapToGrid w:val="0"/>
        </w:rPr>
        <w:t>.</w:t>
      </w:r>
      <w:r>
        <w:rPr>
          <w:snapToGrid w:val="0"/>
        </w:rPr>
        <w:tab/>
        <w:t>Direction to leave public firewood area</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keepNext/>
        <w:keepLines/>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del w:id="577" w:author="Master Repository Process" w:date="2021-08-01T15:45:00Z">
        <w:r>
          <w:delText>Repealed</w:delText>
        </w:r>
      </w:del>
      <w:ins w:id="578" w:author="Master Repository Process" w:date="2021-08-01T15:45:00Z">
        <w:r>
          <w:t>Deleted</w:t>
        </w:r>
      </w:ins>
      <w:r>
        <w:t xml:space="preserve"> in Gazette 3 May 2002 p.2294.]</w:t>
      </w:r>
    </w:p>
    <w:p>
      <w:pPr>
        <w:pStyle w:val="Heading2"/>
      </w:pPr>
      <w:bookmarkStart w:id="579" w:name="_Toc154984428"/>
      <w:bookmarkStart w:id="580" w:name="_Toc155067233"/>
      <w:bookmarkStart w:id="581" w:name="_Toc155068094"/>
      <w:bookmarkStart w:id="582" w:name="_Toc170209532"/>
      <w:r>
        <w:rPr>
          <w:rStyle w:val="CharPartNo"/>
        </w:rPr>
        <w:t>Part 16</w:t>
      </w:r>
      <w:r>
        <w:rPr>
          <w:rStyle w:val="CharDivNo"/>
        </w:rPr>
        <w:t> </w:t>
      </w:r>
      <w:r>
        <w:t>—</w:t>
      </w:r>
      <w:r>
        <w:rPr>
          <w:rStyle w:val="CharDivText"/>
        </w:rPr>
        <w:t> </w:t>
      </w:r>
      <w:r>
        <w:rPr>
          <w:rStyle w:val="CharPartText"/>
        </w:rPr>
        <w:t>Control and eradication of forest diseases</w:t>
      </w:r>
      <w:bookmarkEnd w:id="579"/>
      <w:bookmarkEnd w:id="580"/>
      <w:bookmarkEnd w:id="581"/>
      <w:bookmarkEnd w:id="582"/>
      <w:r>
        <w:rPr>
          <w:rStyle w:val="CharPartText"/>
        </w:rPr>
        <w:t xml:space="preserve"> </w:t>
      </w:r>
    </w:p>
    <w:p>
      <w:pPr>
        <w:pStyle w:val="Heading5"/>
        <w:spacing w:before="180"/>
        <w:rPr>
          <w:snapToGrid w:val="0"/>
        </w:rPr>
      </w:pPr>
      <w:bookmarkStart w:id="583" w:name="_Toc438372842"/>
      <w:bookmarkStart w:id="584" w:name="_Toc8187985"/>
      <w:bookmarkStart w:id="585" w:name="_Toc155068095"/>
      <w:bookmarkStart w:id="586" w:name="_Toc170209533"/>
      <w:r>
        <w:rPr>
          <w:rStyle w:val="CharSectno"/>
        </w:rPr>
        <w:t>104</w:t>
      </w:r>
      <w:r>
        <w:rPr>
          <w:snapToGrid w:val="0"/>
        </w:rPr>
        <w:t>.</w:t>
      </w:r>
      <w:r>
        <w:rPr>
          <w:snapToGrid w:val="0"/>
        </w:rPr>
        <w:tab/>
        <w:t>Interpretation</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587" w:author="Master Repository Process" w:date="2021-08-01T15:45:00Z">
        <w:r>
          <w:rPr>
            <w:b/>
          </w:rPr>
          <w:delText>“</w:delText>
        </w:r>
      </w:del>
      <w:r>
        <w:rPr>
          <w:rStyle w:val="CharDefText"/>
        </w:rPr>
        <w:t>written authorization</w:t>
      </w:r>
      <w:del w:id="588" w:author="Master Repository Process" w:date="2021-08-01T15:45:00Z">
        <w:r>
          <w:rPr>
            <w:b/>
          </w:rPr>
          <w:delText>”</w:delText>
        </w:r>
      </w:del>
      <w:r>
        <w:t xml:space="preserve"> means authorization given in writing under regulation 106.</w:t>
      </w:r>
    </w:p>
    <w:p>
      <w:pPr>
        <w:pStyle w:val="Heading5"/>
        <w:spacing w:before="180"/>
        <w:rPr>
          <w:snapToGrid w:val="0"/>
        </w:rPr>
      </w:pPr>
      <w:bookmarkStart w:id="589" w:name="_Toc438372843"/>
      <w:bookmarkStart w:id="590" w:name="_Toc8187986"/>
      <w:bookmarkStart w:id="591" w:name="_Toc155068096"/>
      <w:bookmarkStart w:id="592" w:name="_Toc170209534"/>
      <w:r>
        <w:rPr>
          <w:rStyle w:val="CharSectno"/>
        </w:rPr>
        <w:t>105</w:t>
      </w:r>
      <w:r>
        <w:rPr>
          <w:snapToGrid w:val="0"/>
        </w:rPr>
        <w:t>.</w:t>
      </w:r>
      <w:r>
        <w:rPr>
          <w:snapToGrid w:val="0"/>
        </w:rPr>
        <w:tab/>
        <w:t>Application to other Parts</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This Part operates and takes effect notwithstanding any other provision in these regulations.</w:t>
      </w:r>
    </w:p>
    <w:p>
      <w:pPr>
        <w:pStyle w:val="Heading5"/>
        <w:spacing w:before="180"/>
        <w:rPr>
          <w:snapToGrid w:val="0"/>
        </w:rPr>
      </w:pPr>
      <w:bookmarkStart w:id="593" w:name="_Toc438372844"/>
      <w:bookmarkStart w:id="594" w:name="_Toc8187987"/>
      <w:bookmarkStart w:id="595" w:name="_Toc155068097"/>
      <w:bookmarkStart w:id="596" w:name="_Toc170209535"/>
      <w:r>
        <w:rPr>
          <w:rStyle w:val="CharSectno"/>
        </w:rPr>
        <w:t>106</w:t>
      </w:r>
      <w:r>
        <w:rPr>
          <w:snapToGrid w:val="0"/>
        </w:rPr>
        <w:t>.</w:t>
      </w:r>
      <w:r>
        <w:rPr>
          <w:snapToGrid w:val="0"/>
        </w:rPr>
        <w:tab/>
        <w:t>Written authorization</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 authorized person may in writing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authorization may be issued subject to such conditions as are specified in the authorization.</w:t>
      </w:r>
    </w:p>
    <w:p>
      <w:pPr>
        <w:pStyle w:val="Subsection"/>
        <w:rPr>
          <w:snapToGrid w:val="0"/>
        </w:rPr>
      </w:pPr>
      <w:r>
        <w:rPr>
          <w:snapToGrid w:val="0"/>
        </w:rPr>
        <w:tab/>
        <w:t>(3)</w:t>
      </w:r>
      <w:r>
        <w:rPr>
          <w:snapToGrid w:val="0"/>
        </w:rPr>
        <w:tab/>
        <w:t>An authorized person may at any time by written notice — </w:t>
      </w:r>
    </w:p>
    <w:p>
      <w:pPr>
        <w:pStyle w:val="Indenta"/>
        <w:rPr>
          <w:snapToGrid w:val="0"/>
        </w:rPr>
      </w:pPr>
      <w:r>
        <w:rPr>
          <w:snapToGrid w:val="0"/>
        </w:rPr>
        <w:tab/>
        <w:t>(a)</w:t>
      </w:r>
      <w:r>
        <w:rPr>
          <w:snapToGrid w:val="0"/>
        </w:rPr>
        <w:tab/>
        <w:t>revoke a written authorization;</w:t>
      </w:r>
    </w:p>
    <w:p>
      <w:pPr>
        <w:pStyle w:val="Indenta"/>
        <w:rPr>
          <w:snapToGrid w:val="0"/>
        </w:rPr>
      </w:pPr>
      <w:r>
        <w:rPr>
          <w:snapToGrid w:val="0"/>
        </w:rPr>
        <w:tab/>
        <w:t>(b)</w:t>
      </w:r>
      <w:r>
        <w:rPr>
          <w:snapToGrid w:val="0"/>
        </w:rPr>
        <w:tab/>
        <w:t>vary any condition specified in a written authorization or add a further condition to the authorization; or</w:t>
      </w:r>
    </w:p>
    <w:p>
      <w:pPr>
        <w:pStyle w:val="Indenta"/>
        <w:rPr>
          <w:snapToGrid w:val="0"/>
        </w:rPr>
      </w:pPr>
      <w:r>
        <w:rPr>
          <w:snapToGrid w:val="0"/>
        </w:rPr>
        <w:tab/>
        <w:t>(c)</w:t>
      </w:r>
      <w:r>
        <w:rPr>
          <w:snapToGrid w:val="0"/>
        </w:rPr>
        <w:tab/>
        <w:t>remove any condition specified in a written authorization.</w:t>
      </w:r>
    </w:p>
    <w:p>
      <w:pPr>
        <w:pStyle w:val="Subsection"/>
        <w:rPr>
          <w:snapToGrid w:val="0"/>
        </w:rPr>
      </w:pPr>
      <w:r>
        <w:rPr>
          <w:snapToGrid w:val="0"/>
        </w:rPr>
        <w:tab/>
        <w:t>(4)</w:t>
      </w:r>
      <w:r>
        <w:rPr>
          <w:snapToGrid w:val="0"/>
        </w:rPr>
        <w:tab/>
        <w:t>For the purposes of this Part —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authorization;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authorization.</w:t>
      </w:r>
    </w:p>
    <w:p>
      <w:pPr>
        <w:pStyle w:val="Heading5"/>
        <w:rPr>
          <w:snapToGrid w:val="0"/>
        </w:rPr>
      </w:pPr>
      <w:bookmarkStart w:id="597" w:name="_Toc438372845"/>
      <w:bookmarkStart w:id="598" w:name="_Toc8187988"/>
      <w:bookmarkStart w:id="599" w:name="_Toc155068098"/>
      <w:bookmarkStart w:id="600" w:name="_Toc170209536"/>
      <w:r>
        <w:rPr>
          <w:rStyle w:val="CharSectno"/>
        </w:rPr>
        <w:t>107</w:t>
      </w:r>
      <w:r>
        <w:rPr>
          <w:snapToGrid w:val="0"/>
        </w:rPr>
        <w:t>.</w:t>
      </w:r>
      <w:r>
        <w:rPr>
          <w:snapToGrid w:val="0"/>
        </w:rPr>
        <w:tab/>
        <w:t>Verbal authorization may be given in emergency</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Subject to subregulations (2) and (3), an authorized person may verbally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authorized person — </w:t>
      </w:r>
    </w:p>
    <w:p>
      <w:pPr>
        <w:pStyle w:val="Indenta"/>
        <w:rPr>
          <w:snapToGrid w:val="0"/>
        </w:rPr>
      </w:pPr>
      <w:r>
        <w:rPr>
          <w:snapToGrid w:val="0"/>
        </w:rPr>
        <w:tab/>
        <w:t>(a)</w:t>
      </w:r>
      <w:r>
        <w:rPr>
          <w:snapToGrid w:val="0"/>
        </w:rPr>
        <w:tab/>
        <w:t>shall only give verbal authorization in the event of an emergency where it is impracticable to give written authorization; and</w:t>
      </w:r>
    </w:p>
    <w:p>
      <w:pPr>
        <w:pStyle w:val="Indenta"/>
        <w:rPr>
          <w:snapToGrid w:val="0"/>
        </w:rPr>
      </w:pPr>
      <w:r>
        <w:rPr>
          <w:snapToGrid w:val="0"/>
        </w:rPr>
        <w:tab/>
        <w:t>(b)</w:t>
      </w:r>
      <w:r>
        <w:rPr>
          <w:snapToGrid w:val="0"/>
        </w:rPr>
        <w:tab/>
        <w:t>may at any time revoke the verbal authorization.</w:t>
      </w:r>
    </w:p>
    <w:p>
      <w:pPr>
        <w:pStyle w:val="Subsection"/>
        <w:rPr>
          <w:snapToGrid w:val="0"/>
        </w:rPr>
      </w:pPr>
      <w:r>
        <w:rPr>
          <w:snapToGrid w:val="0"/>
        </w:rPr>
        <w:tab/>
        <w:t>(3)</w:t>
      </w:r>
      <w:r>
        <w:rPr>
          <w:snapToGrid w:val="0"/>
        </w:rPr>
        <w:tab/>
        <w:t>Verbal authorization shall only have effect for such period as is necessary to deal with the emergency or until it is revoked, whichever is the sooner.</w:t>
      </w:r>
    </w:p>
    <w:p>
      <w:pPr>
        <w:pStyle w:val="Heading5"/>
        <w:rPr>
          <w:snapToGrid w:val="0"/>
        </w:rPr>
      </w:pPr>
      <w:bookmarkStart w:id="601" w:name="_Toc438372846"/>
      <w:bookmarkStart w:id="602" w:name="_Toc8187989"/>
      <w:bookmarkStart w:id="603" w:name="_Toc155068099"/>
      <w:bookmarkStart w:id="604" w:name="_Toc170209537"/>
      <w:r>
        <w:rPr>
          <w:rStyle w:val="CharSectno"/>
        </w:rPr>
        <w:t>108</w:t>
      </w:r>
      <w:r>
        <w:rPr>
          <w:snapToGrid w:val="0"/>
        </w:rPr>
        <w:t>.</w:t>
      </w:r>
      <w:r>
        <w:rPr>
          <w:snapToGrid w:val="0"/>
        </w:rPr>
        <w:tab/>
        <w:t>Entry, use or movement of a potential carrier in a risk area without authorization or contrary to condition</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Any person who takes a potential carrier into a risk area, or has, uses or moves a potential carrier in a risk area — </w:t>
      </w:r>
    </w:p>
    <w:p>
      <w:pPr>
        <w:pStyle w:val="Indenta"/>
        <w:rPr>
          <w:snapToGrid w:val="0"/>
        </w:rPr>
      </w:pPr>
      <w:r>
        <w:rPr>
          <w:snapToGrid w:val="0"/>
        </w:rPr>
        <w:tab/>
        <w:t>(a)</w:t>
      </w:r>
      <w:r>
        <w:rPr>
          <w:snapToGrid w:val="0"/>
        </w:rPr>
        <w:tab/>
        <w:t>without the authorization under regulation 106 or 107 of an authorized person; or</w:t>
      </w:r>
    </w:p>
    <w:p>
      <w:pPr>
        <w:pStyle w:val="Indenta"/>
        <w:rPr>
          <w:snapToGrid w:val="0"/>
        </w:rPr>
      </w:pPr>
      <w:r>
        <w:rPr>
          <w:snapToGrid w:val="0"/>
        </w:rPr>
        <w:tab/>
        <w:t>(b)</w:t>
      </w:r>
      <w:r>
        <w:rPr>
          <w:snapToGrid w:val="0"/>
        </w:rPr>
        <w:tab/>
        <w:t>contrary to any condition specified in a written authorization,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605" w:name="_Toc438372847"/>
      <w:bookmarkStart w:id="606" w:name="_Toc8187990"/>
      <w:bookmarkStart w:id="607" w:name="_Toc155068100"/>
      <w:bookmarkStart w:id="608" w:name="_Toc170209538"/>
      <w:r>
        <w:rPr>
          <w:rStyle w:val="CharSectno"/>
        </w:rPr>
        <w:t>109</w:t>
      </w:r>
      <w:r>
        <w:rPr>
          <w:snapToGrid w:val="0"/>
        </w:rPr>
        <w:t>.</w:t>
      </w:r>
      <w:r>
        <w:rPr>
          <w:snapToGrid w:val="0"/>
        </w:rPr>
        <w:tab/>
        <w:t>Entry, use or movement of a potential carrier in a risk area or disease area contrary to instruction or direction</w:t>
      </w:r>
      <w:bookmarkEnd w:id="605"/>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authorized person in relation to that potential carrier; or</w:t>
      </w:r>
    </w:p>
    <w:p>
      <w:pPr>
        <w:pStyle w:val="Indenta"/>
        <w:rPr>
          <w:snapToGrid w:val="0"/>
        </w:rPr>
      </w:pPr>
      <w:r>
        <w:rPr>
          <w:snapToGrid w:val="0"/>
        </w:rPr>
        <w:tab/>
        <w:t>(b)</w:t>
      </w:r>
      <w:r>
        <w:rPr>
          <w:snapToGrid w:val="0"/>
        </w:rPr>
        <w:tab/>
        <w:t>the Executive Director in relation to potential carriers of that class by notice published in a newspaper circulating in that risk area or disease area,</w:t>
      </w:r>
    </w:p>
    <w:p>
      <w:pPr>
        <w:pStyle w:val="Subsection"/>
        <w:spacing w:before="120"/>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609" w:name="_Toc438372848"/>
      <w:bookmarkStart w:id="610" w:name="_Toc8187991"/>
      <w:bookmarkStart w:id="611" w:name="_Toc155068101"/>
      <w:bookmarkStart w:id="612" w:name="_Toc170209539"/>
      <w:r>
        <w:rPr>
          <w:rStyle w:val="CharSectno"/>
        </w:rPr>
        <w:t>110</w:t>
      </w:r>
      <w:r>
        <w:rPr>
          <w:snapToGrid w:val="0"/>
        </w:rPr>
        <w:t>.</w:t>
      </w:r>
      <w:r>
        <w:rPr>
          <w:snapToGrid w:val="0"/>
        </w:rPr>
        <w:tab/>
        <w:t>Erection of signposts and barricades</w:t>
      </w:r>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For the purposes of prohibiting, restricting or regulating the admission of potential carriers to a risk area or disease area, an authorized person may erect signposts or barricades, or both, on roads leading into that area.</w:t>
      </w:r>
    </w:p>
    <w:p>
      <w:pPr>
        <w:pStyle w:val="Heading5"/>
        <w:spacing w:before="180"/>
        <w:rPr>
          <w:snapToGrid w:val="0"/>
        </w:rPr>
      </w:pPr>
      <w:bookmarkStart w:id="613" w:name="_Toc438372849"/>
      <w:bookmarkStart w:id="614" w:name="_Toc8187992"/>
      <w:bookmarkStart w:id="615" w:name="_Toc155068102"/>
      <w:bookmarkStart w:id="616" w:name="_Toc170209540"/>
      <w:r>
        <w:rPr>
          <w:rStyle w:val="CharSectno"/>
        </w:rPr>
        <w:t>111</w:t>
      </w:r>
      <w:r>
        <w:rPr>
          <w:snapToGrid w:val="0"/>
        </w:rPr>
        <w:t>.</w:t>
      </w:r>
      <w:r>
        <w:rPr>
          <w:snapToGrid w:val="0"/>
        </w:rPr>
        <w:tab/>
        <w:t>Written authorization to be carried and produced upon request</w:t>
      </w:r>
      <w:bookmarkEnd w:id="613"/>
      <w:bookmarkEnd w:id="614"/>
      <w:bookmarkEnd w:id="615"/>
      <w:bookmarkEnd w:id="616"/>
      <w:r>
        <w:rPr>
          <w:snapToGrid w:val="0"/>
        </w:rPr>
        <w:t xml:space="preserve"> </w:t>
      </w:r>
    </w:p>
    <w:p>
      <w:pPr>
        <w:pStyle w:val="Subsection"/>
        <w:spacing w:before="120"/>
        <w:rPr>
          <w:snapToGrid w:val="0"/>
        </w:rPr>
      </w:pPr>
      <w:r>
        <w:rPr>
          <w:snapToGrid w:val="0"/>
        </w:rPr>
        <w:tab/>
      </w:r>
      <w:r>
        <w:rPr>
          <w:snapToGrid w:val="0"/>
        </w:rPr>
        <w:tab/>
        <w:t>A person in charge of a potential carrier in a risk area shall carry any written authorization issued in respect of that potential carrier at all times when the potential carrier is being used, operated or moved in that area and shall produce that authorization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617" w:name="_Toc438372850"/>
      <w:bookmarkStart w:id="618" w:name="_Toc8187993"/>
      <w:bookmarkStart w:id="619" w:name="_Toc155068103"/>
      <w:bookmarkStart w:id="620" w:name="_Toc170209541"/>
      <w:r>
        <w:rPr>
          <w:rStyle w:val="CharSectno"/>
        </w:rPr>
        <w:t>112</w:t>
      </w:r>
      <w:r>
        <w:rPr>
          <w:snapToGrid w:val="0"/>
        </w:rPr>
        <w:t>.</w:t>
      </w:r>
      <w:r>
        <w:rPr>
          <w:snapToGrid w:val="0"/>
        </w:rPr>
        <w:tab/>
        <w:t>Written authorization to terminate on breach of condition</w:t>
      </w:r>
      <w:bookmarkEnd w:id="617"/>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Without affecting the liability of any person for an offence under regulation 108(b), written authorization shall terminate immediately on the breach of any condition specified in that authorization.</w:t>
      </w:r>
    </w:p>
    <w:p>
      <w:pPr>
        <w:pStyle w:val="Heading5"/>
        <w:spacing w:before="180"/>
        <w:rPr>
          <w:snapToGrid w:val="0"/>
        </w:rPr>
      </w:pPr>
      <w:bookmarkStart w:id="621" w:name="_Toc438372851"/>
      <w:bookmarkStart w:id="622" w:name="_Toc8187994"/>
      <w:bookmarkStart w:id="623" w:name="_Toc155068104"/>
      <w:bookmarkStart w:id="624" w:name="_Toc170209542"/>
      <w:r>
        <w:rPr>
          <w:rStyle w:val="CharSectno"/>
        </w:rPr>
        <w:t>113</w:t>
      </w:r>
      <w:r>
        <w:rPr>
          <w:snapToGrid w:val="0"/>
        </w:rPr>
        <w:t>.</w:t>
      </w:r>
      <w:r>
        <w:rPr>
          <w:snapToGrid w:val="0"/>
        </w:rPr>
        <w:tab/>
        <w:t>Person to provide information upon request</w:t>
      </w:r>
      <w:bookmarkEnd w:id="621"/>
      <w:bookmarkEnd w:id="622"/>
      <w:bookmarkEnd w:id="623"/>
      <w:bookmarkEnd w:id="624"/>
      <w:r>
        <w:rPr>
          <w:snapToGrid w:val="0"/>
        </w:rPr>
        <w:t xml:space="preserve"> </w:t>
      </w:r>
    </w:p>
    <w:p>
      <w:pPr>
        <w:pStyle w:val="Subsection"/>
        <w:spacing w:before="120"/>
        <w:rPr>
          <w:snapToGrid w:val="0"/>
        </w:rPr>
      </w:pPr>
      <w:r>
        <w:rPr>
          <w:snapToGrid w:val="0"/>
        </w:rPr>
        <w:tab/>
      </w:r>
      <w:r>
        <w:rPr>
          <w:snapToGrid w:val="0"/>
        </w:rPr>
        <w:tab/>
        <w:t>A person shall, when requested to do so by an authorized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625" w:name="_Toc438372852"/>
      <w:bookmarkStart w:id="626" w:name="_Toc8187995"/>
      <w:bookmarkStart w:id="627" w:name="_Toc155068105"/>
      <w:bookmarkStart w:id="628" w:name="_Toc170209543"/>
      <w:r>
        <w:rPr>
          <w:rStyle w:val="CharSectno"/>
        </w:rPr>
        <w:t>114</w:t>
      </w:r>
      <w:r>
        <w:rPr>
          <w:snapToGrid w:val="0"/>
        </w:rPr>
        <w:t>.</w:t>
      </w:r>
      <w:r>
        <w:rPr>
          <w:snapToGrid w:val="0"/>
        </w:rPr>
        <w:tab/>
        <w:t>Authorized person may stop and examine potential carrier</w:t>
      </w:r>
      <w:bookmarkEnd w:id="625"/>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An authorized person may stop and examine any potential carrier to determine whether or not it is infected and may, for that purpose, erect signposts or barricades, or both, on roads —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spacing w:before="180"/>
        <w:rPr>
          <w:snapToGrid w:val="0"/>
        </w:rPr>
      </w:pPr>
      <w:bookmarkStart w:id="629" w:name="_Toc438372853"/>
      <w:bookmarkStart w:id="630" w:name="_Toc8187996"/>
      <w:bookmarkStart w:id="631" w:name="_Toc155068106"/>
      <w:bookmarkStart w:id="632" w:name="_Toc170209544"/>
      <w:r>
        <w:rPr>
          <w:rStyle w:val="CharSectno"/>
        </w:rPr>
        <w:t>115</w:t>
      </w:r>
      <w:r>
        <w:rPr>
          <w:snapToGrid w:val="0"/>
        </w:rPr>
        <w:t>.</w:t>
      </w:r>
      <w:r>
        <w:rPr>
          <w:snapToGrid w:val="0"/>
        </w:rPr>
        <w:tab/>
        <w:t>Authorized person may direct carrier to a quarantine station</w:t>
      </w:r>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a risk area or in or leaving a risk area to deliver that carrier to a quarantine station specified by the authorized person.</w:t>
      </w:r>
    </w:p>
    <w:p>
      <w:pPr>
        <w:pStyle w:val="Heading5"/>
        <w:keepNext w:val="0"/>
        <w:keepLines w:val="0"/>
        <w:spacing w:before="180"/>
        <w:rPr>
          <w:snapToGrid w:val="0"/>
        </w:rPr>
      </w:pPr>
      <w:bookmarkStart w:id="633" w:name="_Toc438372854"/>
      <w:bookmarkStart w:id="634" w:name="_Toc8187997"/>
      <w:bookmarkStart w:id="635" w:name="_Toc155068107"/>
      <w:bookmarkStart w:id="636" w:name="_Toc170209545"/>
      <w:r>
        <w:rPr>
          <w:rStyle w:val="CharSectno"/>
        </w:rPr>
        <w:t>116</w:t>
      </w:r>
      <w:r>
        <w:rPr>
          <w:snapToGrid w:val="0"/>
        </w:rPr>
        <w:t>.</w:t>
      </w:r>
      <w:r>
        <w:rPr>
          <w:snapToGrid w:val="0"/>
        </w:rPr>
        <w:tab/>
        <w:t>Authorized person may direct a person to clean and disinfect carrier</w:t>
      </w:r>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or in a risk area or in or leaving a disease area to cleanse and disinfect that carrier.</w:t>
      </w:r>
    </w:p>
    <w:p>
      <w:pPr>
        <w:pStyle w:val="Heading5"/>
        <w:rPr>
          <w:snapToGrid w:val="0"/>
        </w:rPr>
      </w:pPr>
      <w:bookmarkStart w:id="637" w:name="_Toc438372855"/>
      <w:bookmarkStart w:id="638" w:name="_Toc8187998"/>
      <w:bookmarkStart w:id="639" w:name="_Toc155068108"/>
      <w:bookmarkStart w:id="640" w:name="_Toc170209546"/>
      <w:r>
        <w:rPr>
          <w:rStyle w:val="CharSectno"/>
        </w:rPr>
        <w:t>117</w:t>
      </w:r>
      <w:r>
        <w:rPr>
          <w:snapToGrid w:val="0"/>
        </w:rPr>
        <w:t>.</w:t>
      </w:r>
      <w:r>
        <w:rPr>
          <w:snapToGrid w:val="0"/>
        </w:rPr>
        <w:tab/>
        <w:t>Establishment and maintenance of quarantine stations</w:t>
      </w:r>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The Executive Director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Heading5"/>
        <w:rPr>
          <w:snapToGrid w:val="0"/>
        </w:rPr>
      </w:pPr>
      <w:bookmarkStart w:id="641" w:name="_Toc438372856"/>
      <w:bookmarkStart w:id="642" w:name="_Toc8187999"/>
      <w:bookmarkStart w:id="643" w:name="_Toc155068109"/>
      <w:bookmarkStart w:id="644" w:name="_Toc170209547"/>
      <w:r>
        <w:rPr>
          <w:rStyle w:val="CharSectno"/>
        </w:rPr>
        <w:t>118</w:t>
      </w:r>
      <w:r>
        <w:rPr>
          <w:snapToGrid w:val="0"/>
        </w:rPr>
        <w:t>.</w:t>
      </w:r>
      <w:r>
        <w:rPr>
          <w:snapToGrid w:val="0"/>
        </w:rPr>
        <w:tab/>
        <w:t>Period of treatment or quarantine</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authorized person determines.</w:t>
      </w:r>
    </w:p>
    <w:p>
      <w:pPr>
        <w:pStyle w:val="Heading5"/>
        <w:rPr>
          <w:snapToGrid w:val="0"/>
        </w:rPr>
      </w:pPr>
      <w:bookmarkStart w:id="645" w:name="_Toc438372857"/>
      <w:bookmarkStart w:id="646" w:name="_Toc8188000"/>
      <w:bookmarkStart w:id="647" w:name="_Toc155068110"/>
      <w:bookmarkStart w:id="648" w:name="_Toc170209548"/>
      <w:r>
        <w:rPr>
          <w:rStyle w:val="CharSectno"/>
        </w:rPr>
        <w:t>119</w:t>
      </w:r>
      <w:r>
        <w:rPr>
          <w:snapToGrid w:val="0"/>
        </w:rPr>
        <w:t>.</w:t>
      </w:r>
      <w:r>
        <w:rPr>
          <w:snapToGrid w:val="0"/>
        </w:rPr>
        <w:tab/>
        <w:t>Cleansing and disinfecting to be carried out in accordance with directions</w:t>
      </w:r>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 </w:t>
      </w:r>
    </w:p>
    <w:p>
      <w:pPr>
        <w:pStyle w:val="Indenta"/>
        <w:rPr>
          <w:snapToGrid w:val="0"/>
        </w:rPr>
      </w:pPr>
      <w:r>
        <w:rPr>
          <w:snapToGrid w:val="0"/>
        </w:rPr>
        <w:tab/>
        <w:t>(a)</w:t>
      </w:r>
      <w:r>
        <w:rPr>
          <w:snapToGrid w:val="0"/>
        </w:rPr>
        <w:tab/>
        <w:t>at a time and place and in such manner as is directed by an authorized person; and</w:t>
      </w:r>
    </w:p>
    <w:p>
      <w:pPr>
        <w:pStyle w:val="Indenta"/>
        <w:rPr>
          <w:snapToGrid w:val="0"/>
        </w:rPr>
      </w:pPr>
      <w:r>
        <w:rPr>
          <w:snapToGrid w:val="0"/>
        </w:rPr>
        <w:tab/>
        <w:t>(b)</w:t>
      </w:r>
      <w:r>
        <w:rPr>
          <w:snapToGrid w:val="0"/>
        </w:rPr>
        <w:tab/>
        <w:t>to the satisfaction of the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649" w:name="_Toc438372858"/>
      <w:bookmarkStart w:id="650" w:name="_Toc8188001"/>
      <w:bookmarkStart w:id="651" w:name="_Toc155068111"/>
      <w:bookmarkStart w:id="652" w:name="_Toc170209549"/>
      <w:r>
        <w:rPr>
          <w:rStyle w:val="CharSectno"/>
        </w:rPr>
        <w:t>120</w:t>
      </w:r>
      <w:r>
        <w:rPr>
          <w:snapToGrid w:val="0"/>
        </w:rPr>
        <w:t>.</w:t>
      </w:r>
      <w:r>
        <w:rPr>
          <w:snapToGrid w:val="0"/>
        </w:rPr>
        <w:tab/>
        <w:t>Owner to provide information as to person in charge of carrier</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owner of a potential carrier shall, if required to do so by an authorized person, inform the authorized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authorized person to identify the person who was in charge of the potential carrier at the time the offence was alleged to have been committed, to —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authorized person from which an authorized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 xml:space="preserve">the owner shall be deemed to be the person who committed that offence and shall then be liable to the penalty prescribed in respect of that offence. </w:t>
      </w:r>
    </w:p>
    <w:p>
      <w:pPr>
        <w:pStyle w:val="Heading5"/>
        <w:rPr>
          <w:snapToGrid w:val="0"/>
        </w:rPr>
      </w:pPr>
      <w:bookmarkStart w:id="653" w:name="_Toc438372859"/>
      <w:bookmarkStart w:id="654" w:name="_Toc8188002"/>
      <w:bookmarkStart w:id="655" w:name="_Toc155068112"/>
      <w:bookmarkStart w:id="656" w:name="_Toc170209550"/>
      <w:r>
        <w:rPr>
          <w:rStyle w:val="CharSectno"/>
        </w:rPr>
        <w:t>121</w:t>
      </w:r>
      <w:r>
        <w:rPr>
          <w:snapToGrid w:val="0"/>
        </w:rPr>
        <w:t>.</w:t>
      </w:r>
      <w:r>
        <w:rPr>
          <w:snapToGrid w:val="0"/>
        </w:rPr>
        <w:tab/>
        <w:t>Authorized person may detain, control or remove carrier</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An authorized person may detain, control the further movement of, or remove, a potential carrier that is in a risk area or disease area if —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authorization;</w:t>
      </w:r>
    </w:p>
    <w:p>
      <w:pPr>
        <w:pStyle w:val="Indenta"/>
        <w:rPr>
          <w:snapToGrid w:val="0"/>
        </w:rPr>
      </w:pPr>
      <w:r>
        <w:rPr>
          <w:snapToGrid w:val="0"/>
        </w:rPr>
        <w:tab/>
        <w:t>(b)</w:t>
      </w:r>
      <w:r>
        <w:rPr>
          <w:snapToGrid w:val="0"/>
        </w:rPr>
        <w:tab/>
        <w:t>the person in charge of that potential carrier has refused or failed to comply with a direction given by an authorized person under this Part in relation to that potential carrier; or</w:t>
      </w:r>
    </w:p>
    <w:p>
      <w:pPr>
        <w:pStyle w:val="Indenta"/>
        <w:rPr>
          <w:snapToGrid w:val="0"/>
        </w:rPr>
      </w:pPr>
      <w:r>
        <w:rPr>
          <w:snapToGrid w:val="0"/>
        </w:rPr>
        <w:tab/>
        <w:t>(c)</w:t>
      </w:r>
      <w:r>
        <w:rPr>
          <w:snapToGrid w:val="0"/>
        </w:rPr>
        <w:tab/>
        <w:t>the authorized person considers that in the circumstances there will be a greater risk of the spread of infection if that potential carrier is not so detained, controlled or removed.</w:t>
      </w:r>
    </w:p>
    <w:p>
      <w:pPr>
        <w:pStyle w:val="Heading5"/>
        <w:rPr>
          <w:snapToGrid w:val="0"/>
        </w:rPr>
      </w:pPr>
      <w:bookmarkStart w:id="657" w:name="_Toc438372860"/>
      <w:bookmarkStart w:id="658" w:name="_Toc8188003"/>
      <w:bookmarkStart w:id="659" w:name="_Toc155068113"/>
      <w:bookmarkStart w:id="660" w:name="_Toc170209551"/>
      <w:r>
        <w:rPr>
          <w:rStyle w:val="CharSectno"/>
        </w:rPr>
        <w:t>122</w:t>
      </w:r>
      <w:r>
        <w:rPr>
          <w:snapToGrid w:val="0"/>
        </w:rPr>
        <w:t>.</w:t>
      </w:r>
      <w:r>
        <w:rPr>
          <w:snapToGrid w:val="0"/>
        </w:rPr>
        <w:tab/>
        <w:t>Authorized person may remove person from risk area</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An authorized person may remove from a risk area any person whom the authorized person reasonably suspects has contravened a provision of this Part or a condition specified in a written authorization.</w:t>
      </w:r>
    </w:p>
    <w:p>
      <w:pPr>
        <w:pStyle w:val="Heading5"/>
        <w:rPr>
          <w:snapToGrid w:val="0"/>
        </w:rPr>
      </w:pPr>
      <w:bookmarkStart w:id="661" w:name="_Toc438372861"/>
      <w:bookmarkStart w:id="662" w:name="_Toc8188004"/>
      <w:bookmarkStart w:id="663" w:name="_Toc155068114"/>
      <w:bookmarkStart w:id="664" w:name="_Toc170209552"/>
      <w:r>
        <w:rPr>
          <w:rStyle w:val="CharSectno"/>
        </w:rPr>
        <w:t>123</w:t>
      </w:r>
      <w:r>
        <w:rPr>
          <w:snapToGrid w:val="0"/>
        </w:rPr>
        <w:t>.</w:t>
      </w:r>
      <w:r>
        <w:rPr>
          <w:snapToGrid w:val="0"/>
        </w:rPr>
        <w:tab/>
        <w:t>Person in risk area or disease area to give name and address upon request</w:t>
      </w:r>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Any person in a risk area or a disease area shall give his or her name and address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665" w:name="_Toc438372862"/>
      <w:bookmarkStart w:id="666" w:name="_Toc8188005"/>
      <w:bookmarkStart w:id="667" w:name="_Toc155068115"/>
      <w:bookmarkStart w:id="668" w:name="_Toc170209553"/>
      <w:r>
        <w:rPr>
          <w:rStyle w:val="CharSectno"/>
        </w:rPr>
        <w:t>124</w:t>
      </w:r>
      <w:r>
        <w:rPr>
          <w:snapToGrid w:val="0"/>
        </w:rPr>
        <w:t>.</w:t>
      </w:r>
      <w:r>
        <w:rPr>
          <w:snapToGrid w:val="0"/>
        </w:rPr>
        <w:tab/>
        <w:t>Driver of potential carrier to comply with request to stop, signpost etc.</w:t>
      </w:r>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 person driving or moving a potential carrier shall not — </w:t>
      </w:r>
    </w:p>
    <w:p>
      <w:pPr>
        <w:pStyle w:val="Indenta"/>
        <w:rPr>
          <w:snapToGrid w:val="0"/>
        </w:rPr>
      </w:pPr>
      <w:r>
        <w:rPr>
          <w:snapToGrid w:val="0"/>
        </w:rPr>
        <w:tab/>
        <w:t>(a)</w:t>
      </w:r>
      <w:r>
        <w:rPr>
          <w:snapToGrid w:val="0"/>
        </w:rPr>
        <w:tab/>
        <w:t>fail to stop that potential carrier when requested to do so by an authorized person;</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669" w:name="_Toc438372863"/>
      <w:bookmarkStart w:id="670" w:name="_Toc8188006"/>
      <w:bookmarkStart w:id="671" w:name="_Toc155068116"/>
      <w:bookmarkStart w:id="672" w:name="_Toc170209554"/>
      <w:r>
        <w:rPr>
          <w:rStyle w:val="CharSectno"/>
        </w:rPr>
        <w:t>125</w:t>
      </w:r>
      <w:r>
        <w:rPr>
          <w:snapToGrid w:val="0"/>
        </w:rPr>
        <w:t>.</w:t>
      </w:r>
      <w:r>
        <w:rPr>
          <w:snapToGrid w:val="0"/>
        </w:rPr>
        <w:tab/>
        <w:t>Person not to obstruct, hinder etc. authorized person</w:t>
      </w:r>
      <w:bookmarkEnd w:id="669"/>
      <w:bookmarkEnd w:id="670"/>
      <w:bookmarkEnd w:id="671"/>
      <w:bookmarkEnd w:id="672"/>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hinder or obstruct an authorized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authorized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673" w:name="_Toc154984451"/>
      <w:bookmarkStart w:id="674" w:name="_Toc155067256"/>
      <w:bookmarkStart w:id="675" w:name="_Toc155068117"/>
      <w:bookmarkStart w:id="676" w:name="_Toc170209555"/>
      <w:r>
        <w:rPr>
          <w:rStyle w:val="CharPartNo"/>
        </w:rPr>
        <w:t>Part 17</w:t>
      </w:r>
      <w:r>
        <w:rPr>
          <w:rStyle w:val="CharDivNo"/>
        </w:rPr>
        <w:t> </w:t>
      </w:r>
      <w:r>
        <w:t>—</w:t>
      </w:r>
      <w:r>
        <w:rPr>
          <w:rStyle w:val="CharDivText"/>
        </w:rPr>
        <w:t> </w:t>
      </w:r>
      <w:r>
        <w:rPr>
          <w:rStyle w:val="CharPartText"/>
        </w:rPr>
        <w:t>Powers of forest officers</w:t>
      </w:r>
      <w:bookmarkEnd w:id="673"/>
      <w:bookmarkEnd w:id="674"/>
      <w:bookmarkEnd w:id="675"/>
      <w:bookmarkEnd w:id="676"/>
    </w:p>
    <w:p>
      <w:pPr>
        <w:pStyle w:val="Heading5"/>
        <w:rPr>
          <w:snapToGrid w:val="0"/>
        </w:rPr>
      </w:pPr>
      <w:bookmarkStart w:id="677" w:name="_Toc438372864"/>
      <w:bookmarkStart w:id="678" w:name="_Toc8188007"/>
      <w:bookmarkStart w:id="679" w:name="_Toc155068118"/>
      <w:bookmarkStart w:id="680" w:name="_Toc170209556"/>
      <w:r>
        <w:rPr>
          <w:rStyle w:val="CharSectno"/>
        </w:rPr>
        <w:t>126</w:t>
      </w:r>
      <w:r>
        <w:rPr>
          <w:snapToGrid w:val="0"/>
        </w:rPr>
        <w:t>.</w:t>
      </w:r>
      <w:r>
        <w:rPr>
          <w:snapToGrid w:val="0"/>
        </w:rPr>
        <w:tab/>
        <w:t>Forest officer may stop and detain vehicles</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rPr>
          <w:snapToGrid w:val="0"/>
        </w:rPr>
      </w:pPr>
      <w:bookmarkStart w:id="681" w:name="_Toc438372865"/>
      <w:bookmarkStart w:id="682" w:name="_Toc8188008"/>
      <w:bookmarkStart w:id="683" w:name="_Toc155068119"/>
      <w:bookmarkStart w:id="684" w:name="_Toc170209557"/>
      <w:r>
        <w:rPr>
          <w:rStyle w:val="CharSectno"/>
        </w:rPr>
        <w:t>127</w:t>
      </w:r>
      <w:r>
        <w:rPr>
          <w:snapToGrid w:val="0"/>
        </w:rPr>
        <w:t>.</w:t>
      </w:r>
      <w:r>
        <w:rPr>
          <w:snapToGrid w:val="0"/>
        </w:rPr>
        <w:tab/>
        <w:t>Directions as to forest route</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rPr>
          <w:snapToGrid w:val="0"/>
        </w:rPr>
      </w:pPr>
      <w:bookmarkStart w:id="685" w:name="_Toc438372866"/>
      <w:bookmarkStart w:id="686" w:name="_Toc8188009"/>
      <w:bookmarkStart w:id="687" w:name="_Toc155068120"/>
      <w:bookmarkStart w:id="688" w:name="_Toc170209558"/>
      <w:r>
        <w:rPr>
          <w:rStyle w:val="CharSectno"/>
        </w:rPr>
        <w:t>128</w:t>
      </w:r>
      <w:r>
        <w:rPr>
          <w:snapToGrid w:val="0"/>
        </w:rPr>
        <w:t>.</w:t>
      </w:r>
      <w:r>
        <w:rPr>
          <w:snapToGrid w:val="0"/>
        </w:rPr>
        <w:tab/>
        <w:t>Seized forest produce</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pPr>
      <w:r>
        <w:t xml:space="preserve">[Part 17A  </w:t>
      </w:r>
      <w:del w:id="689" w:author="Master Repository Process" w:date="2021-08-01T15:45:00Z">
        <w:r>
          <w:delText>Repealed</w:delText>
        </w:r>
      </w:del>
      <w:ins w:id="690" w:author="Master Repository Process" w:date="2021-08-01T15:45:00Z">
        <w:r>
          <w:t>Deleted</w:t>
        </w:r>
      </w:ins>
      <w:r>
        <w:t xml:space="preserve"> in Gazette 3 May 2002 p.2294.]</w:t>
      </w:r>
    </w:p>
    <w:p>
      <w:pPr>
        <w:pStyle w:val="Heading2"/>
      </w:pPr>
      <w:bookmarkStart w:id="691" w:name="_Toc154984455"/>
      <w:bookmarkStart w:id="692" w:name="_Toc155067260"/>
      <w:bookmarkStart w:id="693" w:name="_Toc155068121"/>
      <w:bookmarkStart w:id="694" w:name="_Toc170209559"/>
      <w:r>
        <w:rPr>
          <w:rStyle w:val="CharPartNo"/>
        </w:rPr>
        <w:t>Part 18</w:t>
      </w:r>
      <w:r>
        <w:rPr>
          <w:rStyle w:val="CharDivNo"/>
        </w:rPr>
        <w:t> </w:t>
      </w:r>
      <w:r>
        <w:t>—</w:t>
      </w:r>
      <w:r>
        <w:rPr>
          <w:rStyle w:val="CharDivText"/>
        </w:rPr>
        <w:t> </w:t>
      </w:r>
      <w:r>
        <w:rPr>
          <w:rStyle w:val="CharPartText"/>
        </w:rPr>
        <w:t>Miscellaneous</w:t>
      </w:r>
      <w:bookmarkEnd w:id="691"/>
      <w:bookmarkEnd w:id="692"/>
      <w:bookmarkEnd w:id="693"/>
      <w:bookmarkEnd w:id="694"/>
      <w:r>
        <w:rPr>
          <w:rStyle w:val="CharPartText"/>
        </w:rPr>
        <w:t xml:space="preserve"> </w:t>
      </w:r>
    </w:p>
    <w:p>
      <w:pPr>
        <w:pStyle w:val="Heading5"/>
        <w:rPr>
          <w:snapToGrid w:val="0"/>
        </w:rPr>
      </w:pPr>
      <w:bookmarkStart w:id="695" w:name="_Toc438372874"/>
      <w:bookmarkStart w:id="696" w:name="_Toc8188010"/>
      <w:bookmarkStart w:id="697" w:name="_Toc155068122"/>
      <w:bookmarkStart w:id="698" w:name="_Toc170209560"/>
      <w:r>
        <w:rPr>
          <w:rStyle w:val="CharSectno"/>
        </w:rPr>
        <w:t>129</w:t>
      </w:r>
      <w:r>
        <w:rPr>
          <w:snapToGrid w:val="0"/>
        </w:rPr>
        <w:t>.</w:t>
      </w:r>
      <w:r>
        <w:rPr>
          <w:snapToGrid w:val="0"/>
        </w:rPr>
        <w:tab/>
        <w:t>Statistical information to be provided</w:t>
      </w:r>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 xml:space="preserve">The Executive Director may in writing require —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spacing w:before="120"/>
        <w:rPr>
          <w:snapToGrid w:val="0"/>
        </w:rPr>
      </w:pPr>
      <w:r>
        <w:rPr>
          <w:snapToGrid w:val="0"/>
        </w:rPr>
        <w:tab/>
      </w:r>
      <w:r>
        <w:rPr>
          <w:snapToGrid w:val="0"/>
        </w:rPr>
        <w:tab/>
        <w:t>to complete and return within 14 days a form approved by the Executive Director setting out statistical information relating to forest produce taken from State forest or timber reserves during a specified period and the destination of that forest produce.</w:t>
      </w:r>
    </w:p>
    <w:p>
      <w:pPr>
        <w:pStyle w:val="Subsection"/>
        <w:spacing w:before="120"/>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Heading5"/>
        <w:rPr>
          <w:snapToGrid w:val="0"/>
        </w:rPr>
      </w:pPr>
      <w:bookmarkStart w:id="699" w:name="_Toc438372875"/>
      <w:bookmarkStart w:id="700" w:name="_Toc8188011"/>
      <w:bookmarkStart w:id="701" w:name="_Toc155068123"/>
      <w:bookmarkStart w:id="702" w:name="_Toc170209561"/>
      <w:r>
        <w:rPr>
          <w:rStyle w:val="CharSectno"/>
        </w:rPr>
        <w:t>130</w:t>
      </w:r>
      <w:r>
        <w:rPr>
          <w:snapToGrid w:val="0"/>
        </w:rPr>
        <w:t>.</w:t>
      </w:r>
      <w:r>
        <w:rPr>
          <w:snapToGrid w:val="0"/>
        </w:rPr>
        <w:tab/>
        <w:t>False or misleading information</w:t>
      </w:r>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703" w:name="_Toc438372880"/>
      <w:r>
        <w:t>[</w:t>
      </w:r>
      <w:r>
        <w:rPr>
          <w:b/>
        </w:rPr>
        <w:t>131-134.</w:t>
      </w:r>
      <w:r>
        <w:rPr>
          <w:b/>
        </w:rPr>
        <w:tab/>
      </w:r>
      <w:del w:id="704" w:author="Master Repository Process" w:date="2021-08-01T15:45:00Z">
        <w:r>
          <w:delText>Repealed</w:delText>
        </w:r>
      </w:del>
      <w:ins w:id="705" w:author="Master Repository Process" w:date="2021-08-01T15:45:00Z">
        <w:r>
          <w:t>Deleted</w:t>
        </w:r>
      </w:ins>
      <w:r>
        <w:t xml:space="preserve"> in Gazette 3 May 2002 p.2294.]</w:t>
      </w:r>
    </w:p>
    <w:p>
      <w:pPr>
        <w:pStyle w:val="Heading5"/>
        <w:rPr>
          <w:snapToGrid w:val="0"/>
        </w:rPr>
      </w:pPr>
      <w:bookmarkStart w:id="706" w:name="_Toc8188012"/>
      <w:bookmarkStart w:id="707" w:name="_Toc155068124"/>
      <w:bookmarkStart w:id="708" w:name="_Toc170209562"/>
      <w:r>
        <w:rPr>
          <w:rStyle w:val="CharSectno"/>
        </w:rPr>
        <w:t>135</w:t>
      </w:r>
      <w:r>
        <w:rPr>
          <w:snapToGrid w:val="0"/>
        </w:rPr>
        <w:t>.</w:t>
      </w:r>
      <w:r>
        <w:rPr>
          <w:snapToGrid w:val="0"/>
        </w:rPr>
        <w:tab/>
        <w:t>Damage to other forest produce to be minimized</w:t>
      </w:r>
      <w:bookmarkEnd w:id="703"/>
      <w:bookmarkEnd w:id="706"/>
      <w:bookmarkEnd w:id="707"/>
      <w:bookmarkEnd w:id="708"/>
      <w:r>
        <w:rPr>
          <w:snapToGrid w:val="0"/>
        </w:rPr>
        <w:t xml:space="preserve"> </w:t>
      </w:r>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rPr>
          <w:snapToGrid w:val="0"/>
        </w:rPr>
      </w:pPr>
      <w:bookmarkStart w:id="709" w:name="_Toc438372881"/>
      <w:bookmarkStart w:id="710" w:name="_Toc8188013"/>
      <w:bookmarkStart w:id="711" w:name="_Toc155068125"/>
      <w:bookmarkStart w:id="712" w:name="_Toc170209563"/>
      <w:r>
        <w:rPr>
          <w:rStyle w:val="CharSectno"/>
        </w:rPr>
        <w:t>136</w:t>
      </w:r>
      <w:r>
        <w:rPr>
          <w:snapToGrid w:val="0"/>
        </w:rPr>
        <w:t>.</w:t>
      </w:r>
      <w:r>
        <w:rPr>
          <w:snapToGrid w:val="0"/>
        </w:rPr>
        <w:tab/>
        <w:t>Person not to interfere with seized forest produce</w:t>
      </w:r>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authorized to do so by the Executive Director or a forest officer.</w:t>
      </w:r>
    </w:p>
    <w:p>
      <w:pPr>
        <w:pStyle w:val="Penstart"/>
        <w:rPr>
          <w:snapToGrid w:val="0"/>
        </w:rPr>
      </w:pPr>
      <w:r>
        <w:rPr>
          <w:snapToGrid w:val="0"/>
        </w:rPr>
        <w:tab/>
        <w:t>Penalty: $2 000.</w:t>
      </w:r>
    </w:p>
    <w:p>
      <w:pPr>
        <w:pStyle w:val="Heading5"/>
        <w:rPr>
          <w:snapToGrid w:val="0"/>
        </w:rPr>
      </w:pPr>
      <w:bookmarkStart w:id="713" w:name="_Toc438372882"/>
      <w:bookmarkStart w:id="714" w:name="_Toc8188014"/>
      <w:bookmarkStart w:id="715" w:name="_Toc155068126"/>
      <w:bookmarkStart w:id="716" w:name="_Toc170209564"/>
      <w:r>
        <w:rPr>
          <w:rStyle w:val="CharSectno"/>
        </w:rPr>
        <w:t>137</w:t>
      </w:r>
      <w:r>
        <w:rPr>
          <w:snapToGrid w:val="0"/>
        </w:rPr>
        <w:t>.</w:t>
      </w:r>
      <w:r>
        <w:rPr>
          <w:snapToGrid w:val="0"/>
        </w:rPr>
        <w:tab/>
        <w:t>Damage to tables and other facilities</w:t>
      </w:r>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A person shall not destroy or damage any table, bench or other facility in a State forest or timber reserve unless authorized to do so by the Executive Director or a forest officer.</w:t>
      </w:r>
    </w:p>
    <w:p>
      <w:pPr>
        <w:pStyle w:val="Penstart"/>
        <w:rPr>
          <w:snapToGrid w:val="0"/>
        </w:rPr>
      </w:pPr>
      <w:r>
        <w:rPr>
          <w:snapToGrid w:val="0"/>
        </w:rPr>
        <w:tab/>
        <w:t>Penalty: $2 000.</w:t>
      </w:r>
    </w:p>
    <w:p>
      <w:pPr>
        <w:pStyle w:val="Ednotesection"/>
      </w:pPr>
      <w:r>
        <w:t>[</w:t>
      </w:r>
      <w:r>
        <w:rPr>
          <w:b/>
        </w:rPr>
        <w:t>137A.</w:t>
      </w:r>
      <w:r>
        <w:rPr>
          <w:b/>
        </w:rPr>
        <w:tab/>
      </w:r>
      <w:r>
        <w:t>Inserted in Gazette 18 August 1998 p.4447.  Disallowed 28 October 1998 (see Gazette 17 November 1998 p.6248).]</w:t>
      </w:r>
    </w:p>
    <w:p>
      <w:pPr>
        <w:pStyle w:val="Heading5"/>
        <w:rPr>
          <w:snapToGrid w:val="0"/>
        </w:rPr>
      </w:pPr>
      <w:bookmarkStart w:id="717" w:name="_Toc438372883"/>
      <w:bookmarkStart w:id="718" w:name="_Toc8188015"/>
      <w:bookmarkStart w:id="719" w:name="_Toc155068127"/>
      <w:bookmarkStart w:id="720" w:name="_Toc170209565"/>
      <w:r>
        <w:rPr>
          <w:rStyle w:val="CharSectno"/>
        </w:rPr>
        <w:t>138</w:t>
      </w:r>
      <w:r>
        <w:rPr>
          <w:snapToGrid w:val="0"/>
        </w:rPr>
        <w:t>.</w:t>
      </w:r>
      <w:r>
        <w:rPr>
          <w:snapToGrid w:val="0"/>
        </w:rPr>
        <w:tab/>
        <w:t>Export karri timber to be marked</w:t>
      </w:r>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 person shall not export any karri timber (whether sawn, hewn or in log form) with an end section exceeding 0.015 square metres from the State unless the end of the timber is marked with a letter “K” that is not less than 25 mm in height.</w:t>
      </w:r>
    </w:p>
    <w:p>
      <w:pPr>
        <w:pStyle w:val="Penstart"/>
        <w:rPr>
          <w:snapToGrid w:val="0"/>
        </w:rPr>
      </w:pPr>
      <w:r>
        <w:rPr>
          <w:snapToGrid w:val="0"/>
        </w:rPr>
        <w:tab/>
        <w:t>Penalty: $2 000.</w:t>
      </w:r>
    </w:p>
    <w:p>
      <w:pPr>
        <w:pStyle w:val="Heading5"/>
        <w:rPr>
          <w:snapToGrid w:val="0"/>
        </w:rPr>
      </w:pPr>
      <w:bookmarkStart w:id="721" w:name="_Toc438372884"/>
      <w:bookmarkStart w:id="722" w:name="_Toc8188016"/>
      <w:bookmarkStart w:id="723" w:name="_Toc155068128"/>
      <w:bookmarkStart w:id="724" w:name="_Toc170209566"/>
      <w:r>
        <w:rPr>
          <w:rStyle w:val="CharSectno"/>
        </w:rPr>
        <w:t>139</w:t>
      </w:r>
      <w:r>
        <w:rPr>
          <w:snapToGrid w:val="0"/>
        </w:rPr>
        <w:t>.</w:t>
      </w:r>
      <w:r>
        <w:rPr>
          <w:snapToGrid w:val="0"/>
        </w:rPr>
        <w:tab/>
        <w:t>Marks used by forest officers</w:t>
      </w:r>
      <w:bookmarkEnd w:id="721"/>
      <w:bookmarkEnd w:id="722"/>
      <w:bookmarkEnd w:id="723"/>
      <w:bookmarkEnd w:id="724"/>
      <w:r>
        <w:rPr>
          <w:snapToGrid w:val="0"/>
        </w:rPr>
        <w:t xml:space="preserve"> </w:t>
      </w:r>
    </w:p>
    <w:p>
      <w:pPr>
        <w:pStyle w:val="Subsection"/>
        <w:keepNext/>
        <w:rPr>
          <w:snapToGrid w:val="0"/>
        </w:rPr>
      </w:pPr>
      <w:r>
        <w:rPr>
          <w:snapToGrid w:val="0"/>
        </w:rPr>
        <w:tab/>
      </w:r>
      <w:r>
        <w:rPr>
          <w:snapToGrid w:val="0"/>
        </w:rPr>
        <w:tab/>
        <w:t>The following marks are marks used by forest officers — </w:t>
      </w:r>
    </w:p>
    <w:p>
      <w:pPr>
        <w:pStyle w:val="Indenta"/>
        <w:keepNext/>
        <w:rPr>
          <w:snapToGrid w:val="0"/>
        </w:rPr>
      </w:pPr>
      <w:r>
        <w:rPr>
          <w:snapToGrid w:val="0"/>
        </w:rPr>
        <w:tab/>
        <w:t>(a)</w:t>
      </w:r>
      <w:r>
        <w:rPr>
          <w:snapToGrid w:val="0"/>
        </w:rPr>
        <w:tab/>
        <w:t>to indicate that log timber inspected is in accordance with the appropriate specifications — </w:t>
      </w:r>
    </w:p>
    <w:p>
      <w:pPr>
        <w:pStyle w:val="Graphics"/>
        <w:tabs>
          <w:tab w:val="left" w:pos="3686"/>
        </w:tabs>
        <w:spacing w:before="160"/>
        <w:rPr>
          <w:snapToGrid w:val="0"/>
        </w:rPr>
      </w:pPr>
      <w:r>
        <w:rPr>
          <w:snapToGrid w:val="0"/>
        </w:rPr>
        <w:t xml:space="preserve"> </w:t>
      </w:r>
      <w:del w:id="725" w:author="Master Repository Process" w:date="2021-08-01T15:45:00Z">
        <w:r>
          <w:rPr>
            <w:lang w:eastAsia="en-AU"/>
          </w:rPr>
          <w:drawing>
            <wp:inline distT="0" distB="0" distL="0" distR="0">
              <wp:extent cx="1644015" cy="1638300"/>
              <wp:effectExtent l="0" t="0" r="0" b="0"/>
              <wp:docPr id="2" name="Picture 2" descr="P:\ISOBEL\For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OBEL\Fores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015" cy="1638300"/>
                      </a:xfrm>
                      <a:prstGeom prst="rect">
                        <a:avLst/>
                      </a:prstGeom>
                      <a:noFill/>
                      <a:ln>
                        <a:noFill/>
                      </a:ln>
                    </pic:spPr>
                  </pic:pic>
                </a:graphicData>
              </a:graphic>
            </wp:inline>
          </w:drawing>
        </w:r>
      </w:del>
      <w:ins w:id="726" w:author="Master Repository Process" w:date="2021-08-01T15:45:00Z">
        <w:r>
          <w:rPr>
            <w:lang w:eastAsia="en-AU"/>
          </w:rPr>
          <w:drawing>
            <wp:inline distT="0" distB="0" distL="0" distR="0">
              <wp:extent cx="1644015" cy="1635125"/>
              <wp:effectExtent l="0" t="0" r="0" b="3175"/>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015" cy="1635125"/>
                      </a:xfrm>
                      <a:prstGeom prst="rect">
                        <a:avLst/>
                      </a:prstGeom>
                      <a:noFill/>
                      <a:ln>
                        <a:noFill/>
                      </a:ln>
                    </pic:spPr>
                  </pic:pic>
                </a:graphicData>
              </a:graphic>
            </wp:inline>
          </w:drawing>
        </w:r>
      </w:ins>
      <w:r>
        <w:rPr>
          <w:snapToGrid w:val="0"/>
        </w:rPr>
        <w:tab/>
      </w:r>
      <w:bookmarkStart w:id="727" w:name="_MON_1001738011"/>
      <w:bookmarkStart w:id="728" w:name="_MON_1023864967"/>
      <w:bookmarkStart w:id="729" w:name="_MON_999321052"/>
      <w:bookmarkEnd w:id="727"/>
      <w:bookmarkEnd w:id="728"/>
      <w:bookmarkEnd w:id="729"/>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fillcolor="window">
            <v:imagedata r:id="rId15" o:title=""/>
          </v:shape>
        </w:pict>
      </w:r>
    </w:p>
    <w:p>
      <w:pPr>
        <w:pStyle w:val="Graphics"/>
        <w:tabs>
          <w:tab w:val="left" w:pos="3686"/>
        </w:tabs>
        <w:spacing w:before="160"/>
        <w:rPr>
          <w:del w:id="730" w:author="Master Repository Process" w:date="2021-08-01T15:45:00Z"/>
          <w:snapToGrid w:val="0"/>
        </w:rPr>
      </w:pPr>
      <w:del w:id="731" w:author="Master Repository Process" w:date="2021-08-01T15:45:00Z">
        <w:r>
          <w:rPr>
            <w:lang w:eastAsia="en-AU"/>
          </w:rPr>
          <w:drawing>
            <wp:inline distT="0" distB="0" distL="0" distR="0">
              <wp:extent cx="1583690" cy="1567815"/>
              <wp:effectExtent l="0" t="0" r="0" b="0"/>
              <wp:docPr id="19" name="Picture 19" descr="\\Pcosrv\public$\ISOBEL\For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ISOBEL\Forest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3690" cy="1567815"/>
                      </a:xfrm>
                      <a:prstGeom prst="rect">
                        <a:avLst/>
                      </a:prstGeom>
                      <a:noFill/>
                      <a:ln>
                        <a:noFill/>
                      </a:ln>
                    </pic:spPr>
                  </pic:pic>
                </a:graphicData>
              </a:graphic>
            </wp:inline>
          </w:drawing>
        </w:r>
        <w:r>
          <w:rPr>
            <w:snapToGrid w:val="0"/>
          </w:rPr>
          <w:tab/>
        </w:r>
        <w:r>
          <w:rPr>
            <w:lang w:eastAsia="en-AU"/>
          </w:rPr>
          <w:drawing>
            <wp:inline distT="0" distB="0" distL="0" distR="0">
              <wp:extent cx="1583690" cy="1567815"/>
              <wp:effectExtent l="0" t="0" r="0" b="0"/>
              <wp:docPr id="20" name="Picture 20" descr="\\Pcosrv\public$\ISOBEL\For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ISOBEL\Forest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3690" cy="1567815"/>
                      </a:xfrm>
                      <a:prstGeom prst="rect">
                        <a:avLst/>
                      </a:prstGeom>
                      <a:noFill/>
                      <a:ln>
                        <a:noFill/>
                      </a:ln>
                    </pic:spPr>
                  </pic:pic>
                </a:graphicData>
              </a:graphic>
            </wp:inline>
          </w:drawing>
        </w:r>
      </w:del>
    </w:p>
    <w:p>
      <w:pPr>
        <w:pStyle w:val="Graphics"/>
        <w:tabs>
          <w:tab w:val="left" w:pos="3686"/>
        </w:tabs>
        <w:spacing w:before="160"/>
        <w:rPr>
          <w:del w:id="732" w:author="Master Repository Process" w:date="2021-08-01T15:45:00Z"/>
          <w:snapToGrid w:val="0"/>
        </w:rPr>
      </w:pPr>
      <w:del w:id="733" w:author="Master Repository Process" w:date="2021-08-01T15:45:00Z">
        <w:r>
          <w:rPr>
            <w:lang w:eastAsia="en-AU"/>
          </w:rPr>
          <w:drawing>
            <wp:inline distT="0" distB="0" distL="0" distR="0">
              <wp:extent cx="1676400" cy="1659890"/>
              <wp:effectExtent l="0" t="0" r="0" b="0"/>
              <wp:docPr id="21" name="Picture 21" descr="\\Pcosrv\public$\ISOBEL\Fores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ISOBEL\Forest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59890"/>
                      </a:xfrm>
                      <a:prstGeom prst="rect">
                        <a:avLst/>
                      </a:prstGeom>
                      <a:noFill/>
                      <a:ln>
                        <a:noFill/>
                      </a:ln>
                    </pic:spPr>
                  </pic:pic>
                </a:graphicData>
              </a:graphic>
            </wp:inline>
          </w:drawing>
        </w:r>
        <w:r>
          <w:rPr>
            <w:snapToGrid w:val="0"/>
          </w:rPr>
          <w:tab/>
        </w:r>
        <w:r>
          <w:rPr>
            <w:lang w:eastAsia="en-AU"/>
          </w:rPr>
          <w:drawing>
            <wp:inline distT="0" distB="0" distL="0" distR="0">
              <wp:extent cx="1583690" cy="1567815"/>
              <wp:effectExtent l="0" t="0" r="0" b="0"/>
              <wp:docPr id="22" name="Picture 22" descr="\\Pcosrv\public$\ISOBEL\Fores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ISOBEL\Forest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690" cy="1567815"/>
                      </a:xfrm>
                      <a:prstGeom prst="rect">
                        <a:avLst/>
                      </a:prstGeom>
                      <a:noFill/>
                      <a:ln>
                        <a:noFill/>
                      </a:ln>
                    </pic:spPr>
                  </pic:pic>
                </a:graphicData>
              </a:graphic>
            </wp:inline>
          </w:drawing>
        </w:r>
      </w:del>
    </w:p>
    <w:p>
      <w:pPr>
        <w:pStyle w:val="Graphics"/>
        <w:tabs>
          <w:tab w:val="left" w:pos="1701"/>
          <w:tab w:val="left" w:pos="3402"/>
          <w:tab w:val="left" w:pos="5103"/>
        </w:tabs>
        <w:spacing w:before="160"/>
        <w:rPr>
          <w:del w:id="734" w:author="Master Repository Process" w:date="2021-08-01T15:45:00Z"/>
          <w:snapToGrid w:val="0"/>
        </w:rPr>
      </w:pPr>
      <w:del w:id="735" w:author="Master Repository Process" w:date="2021-08-01T15:45:00Z">
        <w:r>
          <w:rPr>
            <w:lang w:eastAsia="en-AU"/>
          </w:rPr>
          <w:drawing>
            <wp:inline distT="0" distB="0" distL="0" distR="0">
              <wp:extent cx="865505" cy="870585"/>
              <wp:effectExtent l="0" t="0" r="0" b="5715"/>
              <wp:docPr id="23" name="Picture 23" descr="\\Pcosrv\public$\ISOBEL\Fores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ISOBEL\Forest7.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5505" cy="870585"/>
                      </a:xfrm>
                      <a:prstGeom prst="rect">
                        <a:avLst/>
                      </a:prstGeom>
                      <a:noFill/>
                      <a:ln>
                        <a:noFill/>
                      </a:ln>
                    </pic:spPr>
                  </pic:pic>
                </a:graphicData>
              </a:graphic>
            </wp:inline>
          </w:drawing>
        </w:r>
        <w:r>
          <w:rPr>
            <w:snapToGrid w:val="0"/>
          </w:rPr>
          <w:tab/>
        </w:r>
        <w:r>
          <w:rPr>
            <w:lang w:eastAsia="en-AU"/>
          </w:rPr>
          <w:drawing>
            <wp:inline distT="0" distB="0" distL="0" distR="0">
              <wp:extent cx="876300" cy="876300"/>
              <wp:effectExtent l="0" t="0" r="0" b="0"/>
              <wp:docPr id="24" name="Picture 24" descr="\\Pcosrv\public$\ISOBEL\Fores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ISOBEL\Forest8.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rPr>
            <w:lang w:eastAsia="en-AU"/>
          </w:rPr>
          <w:drawing>
            <wp:inline distT="0" distB="0" distL="0" distR="0">
              <wp:extent cx="854710" cy="859790"/>
              <wp:effectExtent l="0" t="0" r="2540" b="0"/>
              <wp:docPr id="25" name="Picture 25" descr="\\Pcosrv\public$\ISOBEL\Fores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ISOBEL\Forest9.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4710" cy="859790"/>
                      </a:xfrm>
                      <a:prstGeom prst="rect">
                        <a:avLst/>
                      </a:prstGeom>
                      <a:noFill/>
                      <a:ln>
                        <a:noFill/>
                      </a:ln>
                    </pic:spPr>
                  </pic:pic>
                </a:graphicData>
              </a:graphic>
            </wp:inline>
          </w:drawing>
        </w:r>
        <w:r>
          <w:rPr>
            <w:snapToGrid w:val="0"/>
          </w:rPr>
          <w:tab/>
        </w:r>
        <w:r>
          <w:rPr>
            <w:lang w:eastAsia="en-AU"/>
          </w:rPr>
          <w:drawing>
            <wp:inline distT="0" distB="0" distL="0" distR="0">
              <wp:extent cx="865505" cy="882015"/>
              <wp:effectExtent l="0" t="0" r="0" b="0"/>
              <wp:docPr id="26" name="Picture 26" descr="\\Pcosrv\public$\ISOBEL\Fores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ISOBEL\Forest10.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5505" cy="882015"/>
                      </a:xfrm>
                      <a:prstGeom prst="rect">
                        <a:avLst/>
                      </a:prstGeom>
                      <a:noFill/>
                      <a:ln>
                        <a:noFill/>
                      </a:ln>
                    </pic:spPr>
                  </pic:pic>
                </a:graphicData>
              </a:graphic>
            </wp:inline>
          </w:drawing>
        </w:r>
      </w:del>
    </w:p>
    <w:p>
      <w:pPr>
        <w:pStyle w:val="Graphics"/>
        <w:tabs>
          <w:tab w:val="left" w:pos="3686"/>
        </w:tabs>
        <w:spacing w:before="160"/>
        <w:rPr>
          <w:ins w:id="736" w:author="Master Repository Process" w:date="2021-08-01T15:45:00Z"/>
          <w:snapToGrid w:val="0"/>
        </w:rPr>
      </w:pPr>
      <w:ins w:id="737" w:author="Master Repository Process" w:date="2021-08-01T15:45:00Z">
        <w:r>
          <w:rPr>
            <w:lang w:eastAsia="en-AU"/>
          </w:rPr>
          <w:drawing>
            <wp:inline distT="0" distB="0" distL="0" distR="0">
              <wp:extent cx="1582420" cy="1573530"/>
              <wp:effectExtent l="0" t="0" r="0" b="7620"/>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r>
          <w:rPr>
            <w:snapToGrid w:val="0"/>
          </w:rPr>
          <w:tab/>
        </w:r>
        <w:r>
          <w:rPr>
            <w:lang w:eastAsia="en-AU"/>
          </w:rPr>
          <w:drawing>
            <wp:inline distT="0" distB="0" distL="0" distR="0">
              <wp:extent cx="1582420" cy="1573530"/>
              <wp:effectExtent l="0" t="0" r="0" b="7620"/>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ins>
    </w:p>
    <w:p>
      <w:pPr>
        <w:pStyle w:val="Graphics"/>
        <w:tabs>
          <w:tab w:val="left" w:pos="3686"/>
        </w:tabs>
        <w:spacing w:before="160"/>
        <w:rPr>
          <w:ins w:id="738" w:author="Master Repository Process" w:date="2021-08-01T15:45:00Z"/>
          <w:snapToGrid w:val="0"/>
        </w:rPr>
      </w:pPr>
      <w:ins w:id="739" w:author="Master Repository Process" w:date="2021-08-01T15:45:00Z">
        <w:r>
          <w:rPr>
            <w:lang w:eastAsia="en-AU"/>
          </w:rPr>
          <w:drawing>
            <wp:inline distT="0" distB="0" distL="0" distR="0">
              <wp:extent cx="1679575" cy="1661795"/>
              <wp:effectExtent l="0" t="0" r="0" b="0"/>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9575" cy="1661795"/>
                      </a:xfrm>
                      <a:prstGeom prst="rect">
                        <a:avLst/>
                      </a:prstGeom>
                      <a:noFill/>
                      <a:ln>
                        <a:noFill/>
                      </a:ln>
                    </pic:spPr>
                  </pic:pic>
                </a:graphicData>
              </a:graphic>
            </wp:inline>
          </w:drawing>
        </w:r>
        <w:r>
          <w:rPr>
            <w:snapToGrid w:val="0"/>
          </w:rPr>
          <w:tab/>
        </w:r>
        <w:r>
          <w:rPr>
            <w:lang w:eastAsia="en-AU"/>
          </w:rPr>
          <w:drawing>
            <wp:inline distT="0" distB="0" distL="0" distR="0">
              <wp:extent cx="1582420" cy="1573530"/>
              <wp:effectExtent l="0" t="0" r="0" b="7620"/>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ins>
    </w:p>
    <w:p>
      <w:pPr>
        <w:pStyle w:val="Graphics"/>
        <w:tabs>
          <w:tab w:val="left" w:pos="1701"/>
          <w:tab w:val="left" w:pos="3402"/>
          <w:tab w:val="left" w:pos="5103"/>
        </w:tabs>
        <w:spacing w:before="160"/>
        <w:rPr>
          <w:ins w:id="740" w:author="Master Repository Process" w:date="2021-08-01T15:45:00Z"/>
          <w:snapToGrid w:val="0"/>
        </w:rPr>
      </w:pPr>
      <w:ins w:id="741" w:author="Master Repository Process" w:date="2021-08-01T15:45:00Z">
        <w:r>
          <w:rPr>
            <w:lang w:eastAsia="en-AU"/>
          </w:rPr>
          <w:drawing>
            <wp:inline distT="0" distB="0" distL="0" distR="0">
              <wp:extent cx="861695" cy="870585"/>
              <wp:effectExtent l="0" t="0" r="0" b="5715"/>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870585"/>
                      </a:xfrm>
                      <a:prstGeom prst="rect">
                        <a:avLst/>
                      </a:prstGeom>
                      <a:noFill/>
                      <a:ln>
                        <a:noFill/>
                      </a:ln>
                    </pic:spPr>
                  </pic:pic>
                </a:graphicData>
              </a:graphic>
            </wp:inline>
          </w:drawing>
        </w:r>
        <w:r>
          <w:rPr>
            <w:snapToGrid w:val="0"/>
          </w:rPr>
          <w:tab/>
        </w:r>
        <w:r>
          <w:rPr>
            <w:lang w:eastAsia="en-AU"/>
          </w:rPr>
          <w:drawing>
            <wp:inline distT="0" distB="0" distL="0" distR="0">
              <wp:extent cx="879475" cy="879475"/>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inline>
          </w:drawing>
        </w:r>
        <w:r>
          <w:rPr>
            <w:snapToGrid w:val="0"/>
          </w:rPr>
          <w:tab/>
        </w:r>
        <w:r>
          <w:rPr>
            <w:lang w:eastAsia="en-AU"/>
          </w:rPr>
          <w:drawing>
            <wp:inline distT="0" distB="0" distL="0" distR="0">
              <wp:extent cx="852805" cy="861695"/>
              <wp:effectExtent l="0" t="0" r="4445" b="0"/>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2805" cy="861695"/>
                      </a:xfrm>
                      <a:prstGeom prst="rect">
                        <a:avLst/>
                      </a:prstGeom>
                      <a:noFill/>
                      <a:ln>
                        <a:noFill/>
                      </a:ln>
                    </pic:spPr>
                  </pic:pic>
                </a:graphicData>
              </a:graphic>
            </wp:inline>
          </w:drawing>
        </w:r>
        <w:r>
          <w:rPr>
            <w:snapToGrid w:val="0"/>
          </w:rPr>
          <w:tab/>
        </w:r>
        <w:r>
          <w:rPr>
            <w:lang w:eastAsia="en-AU"/>
          </w:rPr>
          <w:drawing>
            <wp:inline distT="0" distB="0" distL="0" distR="0">
              <wp:extent cx="861695" cy="879475"/>
              <wp:effectExtent l="0" t="0" r="0" b="0"/>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1695" cy="879475"/>
                      </a:xfrm>
                      <a:prstGeom prst="rect">
                        <a:avLst/>
                      </a:prstGeom>
                      <a:noFill/>
                      <a:ln>
                        <a:noFill/>
                      </a:ln>
                    </pic:spPr>
                  </pic:pic>
                </a:graphicData>
              </a:graphic>
            </wp:inline>
          </w:drawing>
        </w:r>
      </w:ins>
    </w:p>
    <w:p>
      <w:pPr>
        <w:pStyle w:val="NotesPerm"/>
        <w:rPr>
          <w:snapToGrid w:val="0"/>
        </w:rPr>
      </w:pPr>
      <w:r>
        <w:rPr>
          <w:snapToGrid w:val="0"/>
        </w:rPr>
        <w:tab/>
        <w:t>The figures shown by broken lines denote the registered number of the officer inspecting and will therefore vary in each instance. The letter prefacing these numbers denotes — </w:t>
      </w:r>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rPr>
          <w:snapToGrid w:val="0"/>
        </w:rPr>
      </w:pPr>
      <w:r>
        <w:rPr>
          <w:snapToGrid w:val="0"/>
        </w:rPr>
        <w:tab/>
        <w:t>(b)</w:t>
      </w:r>
      <w:r>
        <w:rPr>
          <w:snapToGrid w:val="0"/>
        </w:rPr>
        <w:tab/>
        <w:t>to indicate that the log timber inspected is not in accordance with the required specifications — </w:t>
      </w:r>
    </w:p>
    <w:p>
      <w:pPr>
        <w:pStyle w:val="Graphics"/>
        <w:jc w:val="center"/>
        <w:rPr>
          <w:del w:id="742" w:author="Master Repository Process" w:date="2021-08-01T15:45:00Z"/>
          <w:snapToGrid w:val="0"/>
        </w:rPr>
      </w:pPr>
      <w:del w:id="743" w:author="Master Repository Process" w:date="2021-08-01T15:45:00Z">
        <w:r>
          <w:rPr>
            <w:lang w:eastAsia="en-AU"/>
          </w:rPr>
          <w:drawing>
            <wp:inline distT="0" distB="0" distL="0" distR="0">
              <wp:extent cx="1017905" cy="979805"/>
              <wp:effectExtent l="0" t="0" r="0" b="0"/>
              <wp:docPr id="27" name="Picture 27" descr="\\Pcosrv\public$\Scanning\fo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forest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7905" cy="979805"/>
                      </a:xfrm>
                      <a:prstGeom prst="rect">
                        <a:avLst/>
                      </a:prstGeom>
                      <a:noFill/>
                      <a:ln>
                        <a:noFill/>
                      </a:ln>
                    </pic:spPr>
                  </pic:pic>
                </a:graphicData>
              </a:graphic>
            </wp:inline>
          </w:drawing>
        </w:r>
      </w:del>
    </w:p>
    <w:p>
      <w:pPr>
        <w:pStyle w:val="Graphics"/>
        <w:jc w:val="center"/>
        <w:rPr>
          <w:ins w:id="744" w:author="Master Repository Process" w:date="2021-08-01T15:45:00Z"/>
          <w:snapToGrid w:val="0"/>
        </w:rPr>
      </w:pPr>
      <w:ins w:id="745" w:author="Master Repository Process" w:date="2021-08-01T15:45:00Z">
        <w:r>
          <w:rPr>
            <w:lang w:eastAsia="en-AU"/>
          </w:rPr>
          <w:drawing>
            <wp:inline distT="0" distB="0" distL="0" distR="0">
              <wp:extent cx="1019810" cy="984885"/>
              <wp:effectExtent l="0" t="0" r="8890" b="571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810" cy="984885"/>
                      </a:xfrm>
                      <a:prstGeom prst="rect">
                        <a:avLst/>
                      </a:prstGeom>
                      <a:noFill/>
                      <a:ln>
                        <a:noFill/>
                      </a:ln>
                    </pic:spPr>
                  </pic:pic>
                </a:graphicData>
              </a:graphic>
            </wp:inline>
          </w:drawing>
        </w:r>
      </w:ins>
    </w:p>
    <w:p>
      <w:pPr>
        <w:pStyle w:val="Indenta"/>
        <w:rPr>
          <w:snapToGrid w:val="0"/>
        </w:rPr>
      </w:pPr>
      <w:r>
        <w:rPr>
          <w:snapToGrid w:val="0"/>
        </w:rPr>
        <w:tab/>
        <w:t>(c)</w:t>
      </w:r>
      <w:r>
        <w:rPr>
          <w:snapToGrid w:val="0"/>
        </w:rPr>
        <w:tab/>
        <w:t>to indicate that the forest produce has been seized by a forest officer — </w:t>
      </w:r>
    </w:p>
    <w:p>
      <w:pPr>
        <w:pStyle w:val="Graphics"/>
        <w:jc w:val="center"/>
        <w:rPr>
          <w:del w:id="746" w:author="Master Repository Process" w:date="2021-08-01T15:45:00Z"/>
          <w:snapToGrid w:val="0"/>
        </w:rPr>
      </w:pPr>
      <w:del w:id="747" w:author="Master Repository Process" w:date="2021-08-01T15:45:00Z">
        <w:r>
          <w:rPr>
            <w:lang w:eastAsia="en-AU"/>
          </w:rPr>
          <w:drawing>
            <wp:inline distT="0" distB="0" distL="0" distR="0">
              <wp:extent cx="848995" cy="1034415"/>
              <wp:effectExtent l="0" t="0" r="8255" b="0"/>
              <wp:docPr id="28" name="Picture 28" descr="\\Pcosrv\public$\Scanning\for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forest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8995" cy="1034415"/>
                      </a:xfrm>
                      <a:prstGeom prst="rect">
                        <a:avLst/>
                      </a:prstGeom>
                      <a:noFill/>
                      <a:ln>
                        <a:noFill/>
                      </a:ln>
                    </pic:spPr>
                  </pic:pic>
                </a:graphicData>
              </a:graphic>
            </wp:inline>
          </w:drawing>
        </w:r>
      </w:del>
    </w:p>
    <w:p>
      <w:pPr>
        <w:pStyle w:val="Graphics"/>
        <w:jc w:val="center"/>
        <w:rPr>
          <w:ins w:id="748" w:author="Master Repository Process" w:date="2021-08-01T15:45:00Z"/>
          <w:snapToGrid w:val="0"/>
        </w:rPr>
      </w:pPr>
      <w:ins w:id="749" w:author="Master Repository Process" w:date="2021-08-01T15:45:00Z">
        <w:r>
          <w:rPr>
            <w:lang w:eastAsia="en-AU"/>
          </w:rPr>
          <w:drawing>
            <wp:inline distT="0" distB="0" distL="0" distR="0">
              <wp:extent cx="843915" cy="1037590"/>
              <wp:effectExtent l="0" t="0" r="0" b="0"/>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3915" cy="1037590"/>
                      </a:xfrm>
                      <a:prstGeom prst="rect">
                        <a:avLst/>
                      </a:prstGeom>
                      <a:noFill/>
                      <a:ln>
                        <a:noFill/>
                      </a:ln>
                    </pic:spPr>
                  </pic:pic>
                </a:graphicData>
              </a:graphic>
            </wp:inline>
          </w:drawing>
        </w:r>
      </w:ins>
    </w:p>
    <w:p>
      <w:pPr>
        <w:pStyle w:val="Indenta"/>
        <w:keepNext/>
        <w:rPr>
          <w:snapToGrid w:val="0"/>
        </w:rPr>
      </w:pPr>
      <w:r>
        <w:rPr>
          <w:snapToGrid w:val="0"/>
        </w:rPr>
        <w:tab/>
        <w:t>(d)</w:t>
      </w:r>
      <w:r>
        <w:rPr>
          <w:snapToGrid w:val="0"/>
        </w:rPr>
        <w:tab/>
        <w:t xml:space="preserve">to identify a tree outside a coupe that may be felled — </w:t>
      </w:r>
    </w:p>
    <w:p>
      <w:pPr>
        <w:pStyle w:val="Graphics"/>
        <w:jc w:val="center"/>
        <w:rPr>
          <w:del w:id="750" w:author="Master Repository Process" w:date="2021-08-01T15:45:00Z"/>
          <w:snapToGrid w:val="0"/>
        </w:rPr>
      </w:pPr>
      <w:del w:id="751" w:author="Master Repository Process" w:date="2021-08-01T15:45:00Z">
        <w:r>
          <w:rPr>
            <w:lang w:eastAsia="en-AU"/>
          </w:rPr>
          <w:drawing>
            <wp:inline distT="0" distB="0" distL="0" distR="0">
              <wp:extent cx="1208405" cy="1181100"/>
              <wp:effectExtent l="0" t="0" r="0" b="0"/>
              <wp:docPr id="29" name="Picture 29" descr="\\Pcosrv\public$\Scanning\for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forest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8405" cy="1181100"/>
                      </a:xfrm>
                      <a:prstGeom prst="rect">
                        <a:avLst/>
                      </a:prstGeom>
                      <a:noFill/>
                      <a:ln>
                        <a:noFill/>
                      </a:ln>
                    </pic:spPr>
                  </pic:pic>
                </a:graphicData>
              </a:graphic>
            </wp:inline>
          </w:drawing>
        </w:r>
      </w:del>
    </w:p>
    <w:p>
      <w:pPr>
        <w:pStyle w:val="Graphics"/>
        <w:jc w:val="center"/>
        <w:rPr>
          <w:ins w:id="752" w:author="Master Repository Process" w:date="2021-08-01T15:45:00Z"/>
          <w:snapToGrid w:val="0"/>
        </w:rPr>
      </w:pPr>
      <w:ins w:id="753" w:author="Master Repository Process" w:date="2021-08-01T15:45:00Z">
        <w:r>
          <w:rPr>
            <w:lang w:eastAsia="en-AU"/>
          </w:rPr>
          <w:drawing>
            <wp:inline distT="0" distB="0" distL="0" distR="0">
              <wp:extent cx="1204595" cy="1177925"/>
              <wp:effectExtent l="0" t="0" r="0" b="3175"/>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4595" cy="1177925"/>
                      </a:xfrm>
                      <a:prstGeom prst="rect">
                        <a:avLst/>
                      </a:prstGeom>
                      <a:noFill/>
                      <a:ln>
                        <a:noFill/>
                      </a:ln>
                    </pic:spPr>
                  </pic:pic>
                </a:graphicData>
              </a:graphic>
            </wp:inline>
          </w:drawing>
        </w:r>
      </w:ins>
    </w:p>
    <w:p>
      <w:pPr>
        <w:pStyle w:val="NotesPerm"/>
        <w:rPr>
          <w:snapToGrid w:val="0"/>
        </w:rPr>
      </w:pPr>
      <w:r>
        <w:rPr>
          <w:snapToGrid w:val="0"/>
        </w:rPr>
        <w:tab/>
        <w:t>The figures signify the number of the brand on issue to the forest officer or district and will therefore vary in each instance.</w:t>
      </w:r>
    </w:p>
    <w:p>
      <w:pPr>
        <w:pStyle w:val="Indenta"/>
        <w:rPr>
          <w:snapToGrid w:val="0"/>
        </w:rPr>
      </w:pPr>
      <w:r>
        <w:rPr>
          <w:snapToGrid w:val="0"/>
        </w:rPr>
        <w:tab/>
        <w:t>(e)</w:t>
      </w:r>
      <w:r>
        <w:rPr>
          <w:snapToGrid w:val="0"/>
        </w:rPr>
        <w:tab/>
        <w:t>for other purposes — </w:t>
      </w:r>
    </w:p>
    <w:p>
      <w:pPr>
        <w:pStyle w:val="Graphics"/>
        <w:tabs>
          <w:tab w:val="left" w:pos="567"/>
          <w:tab w:val="left" w:pos="3686"/>
        </w:tabs>
        <w:jc w:val="center"/>
        <w:rPr>
          <w:snapToGrid w:val="0"/>
        </w:rPr>
      </w:pPr>
      <w:r>
        <w:rPr>
          <w:snapToGrid w:val="0"/>
        </w:rPr>
        <w:tab/>
      </w:r>
      <w:del w:id="754" w:author="Master Repository Process" w:date="2021-08-01T15:45:00Z">
        <w:r>
          <w:rPr>
            <w:lang w:eastAsia="en-AU"/>
          </w:rPr>
          <w:drawing>
            <wp:inline distT="0" distB="0" distL="0" distR="0">
              <wp:extent cx="1186815" cy="1186815"/>
              <wp:effectExtent l="0" t="0" r="0" b="0"/>
              <wp:docPr id="30" name="Picture 30" descr="\\Pcosrv\public$\ISOBEL\Fores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ISOBEL\Forest1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r>
          <w:rPr>
            <w:lang w:eastAsia="en-AU"/>
          </w:rPr>
          <w:drawing>
            <wp:inline distT="0" distB="0" distL="0" distR="0">
              <wp:extent cx="920115" cy="1202690"/>
              <wp:effectExtent l="0" t="0" r="0" b="0"/>
              <wp:docPr id="31" name="Picture 31" descr="\\Pcosrv\public$\ISOBEL\Forest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ISOBEL\Forest15.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0115" cy="1202690"/>
                      </a:xfrm>
                      <a:prstGeom prst="rect">
                        <a:avLst/>
                      </a:prstGeom>
                      <a:noFill/>
                      <a:ln>
                        <a:noFill/>
                      </a:ln>
                    </pic:spPr>
                  </pic:pic>
                </a:graphicData>
              </a:graphic>
            </wp:inline>
          </w:drawing>
        </w:r>
      </w:del>
      <w:ins w:id="755" w:author="Master Repository Process" w:date="2021-08-01T15:45:00Z">
        <w:r>
          <w:rPr>
            <w:lang w:eastAsia="en-AU"/>
          </w:rPr>
          <w:drawing>
            <wp:inline distT="0" distB="0" distL="0" distR="0">
              <wp:extent cx="1186815" cy="1186815"/>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r>
          <w:rPr>
            <w:lang w:eastAsia="en-AU"/>
          </w:rPr>
          <w:drawing>
            <wp:inline distT="0" distB="0" distL="0" distR="0">
              <wp:extent cx="923290" cy="1204595"/>
              <wp:effectExtent l="0" t="0" r="0" b="0"/>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290" cy="1204595"/>
                      </a:xfrm>
                      <a:prstGeom prst="rect">
                        <a:avLst/>
                      </a:prstGeom>
                      <a:noFill/>
                      <a:ln>
                        <a:noFill/>
                      </a:ln>
                    </pic:spPr>
                  </pic:pic>
                </a:graphicData>
              </a:graphic>
            </wp:inline>
          </w:drawing>
        </w:r>
      </w:ins>
    </w:p>
    <w:p>
      <w:pPr>
        <w:pStyle w:val="Graphics"/>
        <w:tabs>
          <w:tab w:val="left" w:pos="709"/>
          <w:tab w:val="left" w:pos="2835"/>
          <w:tab w:val="left" w:pos="5103"/>
        </w:tabs>
        <w:spacing w:before="160"/>
        <w:rPr>
          <w:snapToGrid w:val="0"/>
        </w:rPr>
      </w:pPr>
      <w:r>
        <w:rPr>
          <w:snapToGrid w:val="0"/>
        </w:rPr>
        <w:tab/>
      </w:r>
      <w:del w:id="756" w:author="Master Repository Process" w:date="2021-08-01T15:45:00Z">
        <w:r>
          <w:rPr>
            <w:lang w:eastAsia="en-AU"/>
          </w:rPr>
          <w:drawing>
            <wp:inline distT="0" distB="0" distL="0" distR="0">
              <wp:extent cx="1012190" cy="1061085"/>
              <wp:effectExtent l="0" t="0" r="0" b="5715"/>
              <wp:docPr id="32" name="Picture 32" descr="\\Pcosrv\public$\ISOBEL\Fores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ISOBEL\Forest1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1061085"/>
                      </a:xfrm>
                      <a:prstGeom prst="rect">
                        <a:avLst/>
                      </a:prstGeom>
                      <a:noFill/>
                      <a:ln>
                        <a:noFill/>
                      </a:ln>
                    </pic:spPr>
                  </pic:pic>
                </a:graphicData>
              </a:graphic>
            </wp:inline>
          </w:drawing>
        </w:r>
        <w:r>
          <w:rPr>
            <w:snapToGrid w:val="0"/>
          </w:rPr>
          <w:tab/>
        </w:r>
        <w:r>
          <w:rPr>
            <w:lang w:eastAsia="en-AU"/>
          </w:rPr>
          <w:drawing>
            <wp:inline distT="0" distB="0" distL="0" distR="0">
              <wp:extent cx="1056005" cy="1094105"/>
              <wp:effectExtent l="0" t="0" r="0" b="0"/>
              <wp:docPr id="33" name="Picture 33" descr="\\Pcosrv\public$\ISOBEL\Fores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ISOBEL\Forest17.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6005" cy="1094105"/>
                      </a:xfrm>
                      <a:prstGeom prst="rect">
                        <a:avLst/>
                      </a:prstGeom>
                      <a:noFill/>
                      <a:ln>
                        <a:noFill/>
                      </a:ln>
                    </pic:spPr>
                  </pic:pic>
                </a:graphicData>
              </a:graphic>
            </wp:inline>
          </w:drawing>
        </w:r>
        <w:r>
          <w:rPr>
            <w:snapToGrid w:val="0"/>
          </w:rPr>
          <w:tab/>
        </w:r>
        <w:r>
          <w:rPr>
            <w:lang w:eastAsia="en-AU"/>
          </w:rPr>
          <w:drawing>
            <wp:inline distT="0" distB="0" distL="0" distR="0">
              <wp:extent cx="1132205" cy="821690"/>
              <wp:effectExtent l="0" t="0" r="0" b="0"/>
              <wp:docPr id="34" name="Picture 34" descr="\\Pcosrv\public$\ISOBEL\Forest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ISOBEL\Forest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2205" cy="821690"/>
                      </a:xfrm>
                      <a:prstGeom prst="rect">
                        <a:avLst/>
                      </a:prstGeom>
                      <a:noFill/>
                      <a:ln>
                        <a:noFill/>
                      </a:ln>
                    </pic:spPr>
                  </pic:pic>
                </a:graphicData>
              </a:graphic>
            </wp:inline>
          </w:drawing>
        </w:r>
      </w:del>
      <w:ins w:id="757" w:author="Master Repository Process" w:date="2021-08-01T15:45:00Z">
        <w:r>
          <w:rPr>
            <w:lang w:eastAsia="en-AU"/>
          </w:rPr>
          <w:drawing>
            <wp:inline distT="0" distB="0" distL="0" distR="0">
              <wp:extent cx="1010920" cy="1063625"/>
              <wp:effectExtent l="0" t="0" r="0" b="317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0920" cy="1063625"/>
                      </a:xfrm>
                      <a:prstGeom prst="rect">
                        <a:avLst/>
                      </a:prstGeom>
                      <a:noFill/>
                      <a:ln>
                        <a:noFill/>
                      </a:ln>
                    </pic:spPr>
                  </pic:pic>
                </a:graphicData>
              </a:graphic>
            </wp:inline>
          </w:drawing>
        </w:r>
        <w:r>
          <w:rPr>
            <w:snapToGrid w:val="0"/>
          </w:rPr>
          <w:tab/>
        </w:r>
        <w:r>
          <w:rPr>
            <w:lang w:eastAsia="en-AU"/>
          </w:rPr>
          <w:drawing>
            <wp:inline distT="0" distB="0" distL="0" distR="0">
              <wp:extent cx="1055370" cy="1090295"/>
              <wp:effectExtent l="0" t="0" r="0" b="0"/>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5370" cy="1090295"/>
                      </a:xfrm>
                      <a:prstGeom prst="rect">
                        <a:avLst/>
                      </a:prstGeom>
                      <a:noFill/>
                      <a:ln>
                        <a:noFill/>
                      </a:ln>
                    </pic:spPr>
                  </pic:pic>
                </a:graphicData>
              </a:graphic>
            </wp:inline>
          </w:drawing>
        </w:r>
        <w:r>
          <w:rPr>
            <w:snapToGrid w:val="0"/>
          </w:rPr>
          <w:tab/>
        </w:r>
        <w:r>
          <w:rPr>
            <w:lang w:eastAsia="en-AU"/>
          </w:rPr>
          <w:drawing>
            <wp:inline distT="0" distB="0" distL="0" distR="0">
              <wp:extent cx="1134110" cy="817880"/>
              <wp:effectExtent l="0" t="0" r="8890" b="127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817880"/>
                      </a:xfrm>
                      <a:prstGeom prst="rect">
                        <a:avLst/>
                      </a:prstGeom>
                      <a:noFill/>
                      <a:ln>
                        <a:noFill/>
                      </a:ln>
                    </pic:spPr>
                  </pic:pic>
                </a:graphicData>
              </a:graphic>
            </wp:inline>
          </w:drawing>
        </w:r>
      </w:ins>
    </w:p>
    <w:p>
      <w:pPr>
        <w:pStyle w:val="NotesPerm"/>
        <w:rPr>
          <w:snapToGrid w:val="0"/>
        </w:rPr>
      </w:pPr>
      <w:r>
        <w:rPr>
          <w:snapToGrid w:val="0"/>
        </w:rPr>
        <w:tab/>
        <w:t>The figures signify the number of the brand on issue to the forest officer or district and will therefore vary in each instance.</w:t>
      </w:r>
    </w:p>
    <w:p>
      <w:pPr>
        <w:pStyle w:val="Heading5"/>
        <w:spacing w:before="180"/>
        <w:rPr>
          <w:snapToGrid w:val="0"/>
        </w:rPr>
      </w:pPr>
      <w:bookmarkStart w:id="758" w:name="_Toc438372885"/>
      <w:bookmarkStart w:id="759" w:name="_Toc8188017"/>
      <w:bookmarkStart w:id="760" w:name="_Toc155068129"/>
      <w:bookmarkStart w:id="761" w:name="_Toc170209567"/>
      <w:r>
        <w:rPr>
          <w:rStyle w:val="CharSectno"/>
        </w:rPr>
        <w:t>140</w:t>
      </w:r>
      <w:r>
        <w:rPr>
          <w:snapToGrid w:val="0"/>
        </w:rPr>
        <w:t>.</w:t>
      </w:r>
      <w:r>
        <w:rPr>
          <w:snapToGrid w:val="0"/>
        </w:rPr>
        <w:tab/>
        <w:t>Tape etc. not to be affixed to timber</w:t>
      </w:r>
      <w:bookmarkEnd w:id="758"/>
      <w:bookmarkEnd w:id="759"/>
      <w:bookmarkEnd w:id="760"/>
      <w:bookmarkEnd w:id="761"/>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mark any tree or log timber in a State forest or timber reserve with chalk, paint, crayon or any other material;</w:t>
      </w:r>
    </w:p>
    <w:p>
      <w:pPr>
        <w:pStyle w:val="Indenta"/>
        <w:spacing w:before="60"/>
        <w:rPr>
          <w:snapToGrid w:val="0"/>
        </w:rPr>
      </w:pPr>
      <w:r>
        <w:rPr>
          <w:snapToGrid w:val="0"/>
        </w:rPr>
        <w:tab/>
        <w:t>(b)</w:t>
      </w:r>
      <w:r>
        <w:rPr>
          <w:snapToGrid w:val="0"/>
        </w:rPr>
        <w:tab/>
        <w:t>affix tape or ribbon to any tree or log timber in a State forest or timber reserve; or</w:t>
      </w:r>
    </w:p>
    <w:p>
      <w:pPr>
        <w:pStyle w:val="Indenta"/>
        <w:spacing w:before="60"/>
        <w:rPr>
          <w:snapToGrid w:val="0"/>
        </w:rPr>
      </w:pPr>
      <w:r>
        <w:rPr>
          <w:snapToGrid w:val="0"/>
        </w:rPr>
        <w:tab/>
        <w:t>(c)</w:t>
      </w:r>
      <w:r>
        <w:rPr>
          <w:snapToGrid w:val="0"/>
        </w:rPr>
        <w:tab/>
        <w:t>affix a brand to any tree or log timber in a State forest or timber reserve,</w:t>
      </w:r>
    </w:p>
    <w:p>
      <w:pPr>
        <w:pStyle w:val="Subsection"/>
        <w:spacing w:before="80"/>
        <w:rPr>
          <w:snapToGrid w:val="0"/>
        </w:rPr>
      </w:pPr>
      <w:r>
        <w:rPr>
          <w:snapToGrid w:val="0"/>
        </w:rPr>
        <w:tab/>
      </w:r>
      <w:r>
        <w:rPr>
          <w:snapToGrid w:val="0"/>
        </w:rPr>
        <w:tab/>
        <w:t>unless authorized to do so by the Executive Director.</w:t>
      </w:r>
    </w:p>
    <w:p>
      <w:pPr>
        <w:pStyle w:val="Penstart"/>
        <w:rPr>
          <w:snapToGrid w:val="0"/>
        </w:rPr>
      </w:pPr>
      <w:r>
        <w:rPr>
          <w:snapToGrid w:val="0"/>
        </w:rPr>
        <w:tab/>
        <w:t>Penalty: $2 000.</w:t>
      </w:r>
    </w:p>
    <w:p>
      <w:pPr>
        <w:pStyle w:val="Heading5"/>
        <w:keepNext w:val="0"/>
        <w:keepLines w:val="0"/>
        <w:spacing w:before="180"/>
        <w:rPr>
          <w:snapToGrid w:val="0"/>
        </w:rPr>
      </w:pPr>
      <w:bookmarkStart w:id="762" w:name="_Toc438372886"/>
      <w:bookmarkStart w:id="763" w:name="_Toc8188018"/>
      <w:bookmarkStart w:id="764" w:name="_Toc155068130"/>
      <w:bookmarkStart w:id="765" w:name="_Toc170209568"/>
      <w:r>
        <w:rPr>
          <w:rStyle w:val="CharSectno"/>
        </w:rPr>
        <w:t>141</w:t>
      </w:r>
      <w:r>
        <w:rPr>
          <w:snapToGrid w:val="0"/>
        </w:rPr>
        <w:t>.</w:t>
      </w:r>
      <w:r>
        <w:rPr>
          <w:snapToGrid w:val="0"/>
        </w:rPr>
        <w:tab/>
        <w:t>Prescribed maximum penalty for failure to comply with condition</w:t>
      </w:r>
      <w:bookmarkEnd w:id="762"/>
      <w:bookmarkEnd w:id="763"/>
      <w:bookmarkEnd w:id="764"/>
      <w:bookmarkEnd w:id="765"/>
    </w:p>
    <w:p>
      <w:pPr>
        <w:pStyle w:val="Subsection"/>
        <w:spacing w:before="120"/>
        <w:rPr>
          <w:snapToGrid w:val="0"/>
        </w:rPr>
      </w:pPr>
      <w:r>
        <w:rPr>
          <w:snapToGrid w:val="0"/>
        </w:rPr>
        <w:tab/>
      </w:r>
      <w:r>
        <w:rPr>
          <w:snapToGrid w:val="0"/>
        </w:rPr>
        <w:tab/>
        <w:t>For the purposes of section 95(2)(b) of the Act, the prescribed maximum penalty is — </w:t>
      </w:r>
    </w:p>
    <w:p>
      <w:pPr>
        <w:pStyle w:val="Indenta"/>
        <w:spacing w:before="60"/>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80"/>
        <w:rPr>
          <w:snapToGrid w:val="0"/>
        </w:rPr>
      </w:pPr>
      <w:r>
        <w:rPr>
          <w:snapToGrid w:val="0"/>
        </w:rPr>
        <w:tab/>
      </w:r>
      <w:r>
        <w:rPr>
          <w:snapToGrid w:val="0"/>
        </w:rPr>
        <w:tab/>
        <w:t>whichever is the greater.</w:t>
      </w:r>
    </w:p>
    <w:p>
      <w:pPr>
        <w:pStyle w:val="Heading5"/>
        <w:spacing w:before="180"/>
        <w:rPr>
          <w:snapToGrid w:val="0"/>
        </w:rPr>
      </w:pPr>
      <w:bookmarkStart w:id="766" w:name="_Toc438372887"/>
      <w:bookmarkStart w:id="767" w:name="_Toc8188019"/>
      <w:bookmarkStart w:id="768" w:name="_Toc155068131"/>
      <w:bookmarkStart w:id="769" w:name="_Toc170209569"/>
      <w:r>
        <w:rPr>
          <w:rStyle w:val="CharSectno"/>
        </w:rPr>
        <w:t>142</w:t>
      </w:r>
      <w:r>
        <w:rPr>
          <w:snapToGrid w:val="0"/>
        </w:rPr>
        <w:t>.</w:t>
      </w:r>
      <w:r>
        <w:rPr>
          <w:snapToGrid w:val="0"/>
        </w:rPr>
        <w:tab/>
        <w:t>Prescribed royalties for timber taken on mining tenement for mining purposes</w:t>
      </w:r>
      <w:bookmarkEnd w:id="766"/>
      <w:bookmarkEnd w:id="767"/>
      <w:bookmarkEnd w:id="768"/>
      <w:bookmarkEnd w:id="769"/>
      <w:r>
        <w:rPr>
          <w:snapToGrid w:val="0"/>
        </w:rPr>
        <w:t xml:space="preserve"> </w:t>
      </w:r>
    </w:p>
    <w:p>
      <w:pPr>
        <w:pStyle w:val="Subsection"/>
        <w:spacing w:before="120"/>
        <w:rPr>
          <w:snapToGrid w:val="0"/>
        </w:rPr>
      </w:pPr>
      <w:r>
        <w:rPr>
          <w:snapToGrid w:val="0"/>
        </w:rPr>
        <w:tab/>
      </w:r>
      <w:r>
        <w:rPr>
          <w:snapToGrid w:val="0"/>
        </w:rPr>
        <w:tab/>
        <w:t>For the purposes of section 96(1) of the Act, the royalties specified in Schedule 3 are prescribed.</w:t>
      </w:r>
    </w:p>
    <w:p>
      <w:pPr>
        <w:pStyle w:val="Heading5"/>
        <w:spacing w:before="180"/>
        <w:rPr>
          <w:snapToGrid w:val="0"/>
        </w:rPr>
      </w:pPr>
      <w:bookmarkStart w:id="770" w:name="_Toc438372888"/>
      <w:bookmarkStart w:id="771" w:name="_Toc8188020"/>
      <w:bookmarkStart w:id="772" w:name="_Toc155068132"/>
      <w:bookmarkStart w:id="773" w:name="_Toc170209570"/>
      <w:r>
        <w:rPr>
          <w:rStyle w:val="CharSectno"/>
        </w:rPr>
        <w:t>143</w:t>
      </w:r>
      <w:r>
        <w:rPr>
          <w:snapToGrid w:val="0"/>
        </w:rPr>
        <w:t>.</w:t>
      </w:r>
      <w:r>
        <w:rPr>
          <w:snapToGrid w:val="0"/>
        </w:rPr>
        <w:tab/>
        <w:t>Rent payable for sawmill site</w:t>
      </w:r>
      <w:bookmarkEnd w:id="770"/>
      <w:bookmarkEnd w:id="771"/>
      <w:bookmarkEnd w:id="772"/>
      <w:bookmarkEnd w:id="773"/>
      <w:r>
        <w:rPr>
          <w:snapToGrid w:val="0"/>
        </w:rPr>
        <w:t xml:space="preserve"> </w:t>
      </w:r>
    </w:p>
    <w:p>
      <w:pPr>
        <w:pStyle w:val="Subsection"/>
        <w:spacing w:before="120"/>
        <w:rPr>
          <w:snapToGrid w:val="0"/>
        </w:rPr>
      </w:pPr>
      <w:r>
        <w:rPr>
          <w:snapToGrid w:val="0"/>
        </w:rPr>
        <w:tab/>
      </w:r>
      <w:r>
        <w:rPr>
          <w:snapToGrid w:val="0"/>
        </w:rPr>
        <w:tab/>
        <w:t>The rent payable for a permit to occupy an area of Crown land as the site of a sawmill is $60 per annum per 5 hectares or part thereof.</w:t>
      </w:r>
    </w:p>
    <w:p>
      <w:pPr>
        <w:pStyle w:val="Heading5"/>
        <w:spacing w:before="180"/>
        <w:rPr>
          <w:snapToGrid w:val="0"/>
        </w:rPr>
      </w:pPr>
      <w:bookmarkStart w:id="774" w:name="_Toc438372889"/>
      <w:bookmarkStart w:id="775" w:name="_Toc8188021"/>
      <w:bookmarkStart w:id="776" w:name="_Toc155068133"/>
      <w:bookmarkStart w:id="777" w:name="_Toc170209571"/>
      <w:r>
        <w:rPr>
          <w:rStyle w:val="CharSectno"/>
        </w:rPr>
        <w:t>144</w:t>
      </w:r>
      <w:r>
        <w:rPr>
          <w:snapToGrid w:val="0"/>
        </w:rPr>
        <w:t>.</w:t>
      </w:r>
      <w:r>
        <w:rPr>
          <w:snapToGrid w:val="0"/>
        </w:rPr>
        <w:tab/>
        <w:t>False documents, statements, etc.</w:t>
      </w:r>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spacing w:before="120"/>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180"/>
        <w:rPr>
          <w:snapToGrid w:val="0"/>
        </w:rPr>
      </w:pPr>
      <w:bookmarkStart w:id="778" w:name="_Toc438372890"/>
      <w:bookmarkStart w:id="779" w:name="_Toc8188022"/>
      <w:bookmarkStart w:id="780" w:name="_Toc155068134"/>
      <w:bookmarkStart w:id="781" w:name="_Toc170209572"/>
      <w:r>
        <w:rPr>
          <w:rStyle w:val="CharSectno"/>
        </w:rPr>
        <w:t>145</w:t>
      </w:r>
      <w:r>
        <w:rPr>
          <w:snapToGrid w:val="0"/>
        </w:rPr>
        <w:t>.</w:t>
      </w:r>
      <w:r>
        <w:rPr>
          <w:snapToGrid w:val="0"/>
        </w:rPr>
        <w:tab/>
        <w:t>Form of register</w:t>
      </w:r>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Where under these regulations a register is required to be compiled and maintained, 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782" w:name="_Toc438372891"/>
      <w:bookmarkStart w:id="783" w:name="_Toc8188023"/>
      <w:bookmarkStart w:id="784" w:name="_Toc155068135"/>
      <w:bookmarkStart w:id="785" w:name="_Toc170209573"/>
      <w:r>
        <w:rPr>
          <w:rStyle w:val="CharSectno"/>
        </w:rPr>
        <w:t>146</w:t>
      </w:r>
      <w:r>
        <w:rPr>
          <w:snapToGrid w:val="0"/>
        </w:rPr>
        <w:t>.</w:t>
      </w:r>
      <w:r>
        <w:rPr>
          <w:snapToGrid w:val="0"/>
        </w:rPr>
        <w:tab/>
        <w:t>Amendment of register</w:t>
      </w:r>
      <w:bookmarkEnd w:id="782"/>
      <w:bookmarkEnd w:id="783"/>
      <w:bookmarkEnd w:id="784"/>
      <w:bookmarkEnd w:id="785"/>
      <w:r>
        <w:rPr>
          <w:snapToGrid w:val="0"/>
        </w:rPr>
        <w:t xml:space="preserve"> </w:t>
      </w:r>
    </w:p>
    <w:p>
      <w:pPr>
        <w:pStyle w:val="Subsection"/>
        <w:spacing w:before="120"/>
        <w:rPr>
          <w:snapToGrid w:val="0"/>
          <w:spacing w:val="-4"/>
        </w:rPr>
      </w:pPr>
      <w:r>
        <w:rPr>
          <w:snapToGrid w:val="0"/>
          <w:spacing w:val="-4"/>
        </w:rPr>
        <w:tab/>
      </w:r>
      <w:r>
        <w:rPr>
          <w:snapToGrid w:val="0"/>
          <w:spacing w:val="-4"/>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rPr>
          <w:snapToGrid w:val="0"/>
        </w:rPr>
      </w:pPr>
      <w:bookmarkStart w:id="786" w:name="_Toc438372892"/>
      <w:bookmarkStart w:id="787" w:name="_Toc8188024"/>
      <w:bookmarkStart w:id="788" w:name="_Toc155068136"/>
      <w:bookmarkStart w:id="789" w:name="_Toc170209574"/>
      <w:r>
        <w:rPr>
          <w:rStyle w:val="CharSectno"/>
        </w:rPr>
        <w:t>147</w:t>
      </w:r>
      <w:r>
        <w:rPr>
          <w:snapToGrid w:val="0"/>
        </w:rPr>
        <w:t>.</w:t>
      </w:r>
      <w:r>
        <w:rPr>
          <w:snapToGrid w:val="0"/>
        </w:rPr>
        <w:tab/>
        <w:t>Extracts from register</w:t>
      </w:r>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person may, upon application to the Executive Director and payment of the fee specified in item 4 of Schedule 5, obtain a copy of an extract from any register required to be compiled and maintained under these regulations.</w:t>
      </w:r>
    </w:p>
    <w:p>
      <w:pPr>
        <w:pStyle w:val="Heading5"/>
        <w:rPr>
          <w:snapToGrid w:val="0"/>
        </w:rPr>
      </w:pPr>
      <w:bookmarkStart w:id="790" w:name="_Toc438372893"/>
      <w:bookmarkStart w:id="791" w:name="_Toc8188025"/>
      <w:bookmarkStart w:id="792" w:name="_Toc155068137"/>
      <w:bookmarkStart w:id="793" w:name="_Toc170209575"/>
      <w:r>
        <w:rPr>
          <w:rStyle w:val="CharSectno"/>
        </w:rPr>
        <w:t>148</w:t>
      </w:r>
      <w:r>
        <w:rPr>
          <w:snapToGrid w:val="0"/>
        </w:rPr>
        <w:t>.</w:t>
      </w:r>
      <w:r>
        <w:rPr>
          <w:snapToGrid w:val="0"/>
        </w:rPr>
        <w:tab/>
        <w:t>Information to be provided relating to specific permits, licences and contracts</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Upon application and payment of the fee, if any, specified in item 4 of Schedule 5 the Executive Director shall provide any person with — </w:t>
      </w:r>
    </w:p>
    <w:p>
      <w:pPr>
        <w:pStyle w:val="Indenta"/>
        <w:rPr>
          <w:snapToGrid w:val="0"/>
        </w:rPr>
      </w:pPr>
      <w:r>
        <w:rPr>
          <w:snapToGrid w:val="0"/>
        </w:rPr>
        <w:tab/>
        <w:t>(a)</w:t>
      </w:r>
      <w:r>
        <w:rPr>
          <w:snapToGrid w:val="0"/>
        </w:rPr>
        <w:tab/>
        <w:t>details of persons who hold permits, forest produce licences, contracts to harvest and deliver or contracts of sale;</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Heading5"/>
        <w:rPr>
          <w:snapToGrid w:val="0"/>
        </w:rPr>
      </w:pPr>
      <w:bookmarkStart w:id="794" w:name="_Toc438372894"/>
      <w:bookmarkStart w:id="795" w:name="_Toc8188026"/>
      <w:bookmarkStart w:id="796" w:name="_Toc155068138"/>
      <w:bookmarkStart w:id="797" w:name="_Toc170209576"/>
      <w:r>
        <w:rPr>
          <w:rStyle w:val="CharSectno"/>
        </w:rPr>
        <w:t>149</w:t>
      </w:r>
      <w:r>
        <w:rPr>
          <w:snapToGrid w:val="0"/>
        </w:rPr>
        <w:t>.</w:t>
      </w:r>
      <w:r>
        <w:rPr>
          <w:snapToGrid w:val="0"/>
        </w:rPr>
        <w:tab/>
        <w:t>Information to be provided relating to general scale of royalties</w:t>
      </w:r>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Upon application, the Executive Director shall provide any person free of charge with a list of the general scale of royalties payable in respect of forest produce taken from Crown land.</w:t>
      </w:r>
    </w:p>
    <w:p>
      <w:pPr>
        <w:pStyle w:val="Ednotesection"/>
      </w:pPr>
      <w:r>
        <w:t>[</w:t>
      </w:r>
      <w:r>
        <w:rPr>
          <w:b/>
        </w:rPr>
        <w:t>150.</w:t>
      </w:r>
      <w:r>
        <w:rPr>
          <w:b/>
        </w:rPr>
        <w:tab/>
      </w:r>
      <w:del w:id="798" w:author="Master Repository Process" w:date="2021-08-01T15:45:00Z">
        <w:r>
          <w:delText>Repealed</w:delText>
        </w:r>
      </w:del>
      <w:ins w:id="799" w:author="Master Repository Process" w:date="2021-08-01T15:45:00Z">
        <w:r>
          <w:t>Deleted</w:t>
        </w:r>
      </w:ins>
      <w:r>
        <w:t xml:space="preserve"> in Gazette 29 March 1996 p.1508.] </w:t>
      </w:r>
    </w:p>
    <w:p>
      <w:pPr>
        <w:pStyle w:val="Heading5"/>
        <w:rPr>
          <w:snapToGrid w:val="0"/>
        </w:rPr>
      </w:pPr>
      <w:bookmarkStart w:id="800" w:name="_Toc438372895"/>
      <w:bookmarkStart w:id="801" w:name="_Toc8188027"/>
      <w:bookmarkStart w:id="802" w:name="_Toc155068139"/>
      <w:bookmarkStart w:id="803" w:name="_Toc170209577"/>
      <w:r>
        <w:rPr>
          <w:rStyle w:val="CharSectno"/>
        </w:rPr>
        <w:t>151</w:t>
      </w:r>
      <w:r>
        <w:rPr>
          <w:snapToGrid w:val="0"/>
        </w:rPr>
        <w:t>.</w:t>
      </w:r>
      <w:r>
        <w:rPr>
          <w:snapToGrid w:val="0"/>
        </w:rPr>
        <w:tab/>
        <w:t>Miscellaneous fees</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rPr>
          <w:snapToGrid w:val="0"/>
        </w:rPr>
      </w:pPr>
      <w:bookmarkStart w:id="804" w:name="_Toc438372896"/>
      <w:bookmarkStart w:id="805" w:name="_Toc8188028"/>
      <w:bookmarkStart w:id="806" w:name="_Toc155068140"/>
      <w:bookmarkStart w:id="807" w:name="_Toc170209578"/>
      <w:r>
        <w:rPr>
          <w:rStyle w:val="CharSectno"/>
        </w:rPr>
        <w:t>152</w:t>
      </w:r>
      <w:r>
        <w:rPr>
          <w:snapToGrid w:val="0"/>
        </w:rPr>
        <w:t>.</w:t>
      </w:r>
      <w:r>
        <w:rPr>
          <w:snapToGrid w:val="0"/>
        </w:rPr>
        <w:tab/>
        <w:t>Appeals</w:t>
      </w:r>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 person who is aggrieved by a decision of the Executive Director under regulation 9(2), 17, or 26 may within one month after the day on which the person is notified of the decision appeal from that decision to a magistrate of the appropriate Local Court.</w:t>
      </w:r>
    </w:p>
    <w:p>
      <w:pPr>
        <w:pStyle w:val="Subsection"/>
        <w:rPr>
          <w:snapToGrid w:val="0"/>
        </w:rPr>
      </w:pPr>
      <w:r>
        <w:rPr>
          <w:snapToGrid w:val="0"/>
        </w:rPr>
        <w:tab/>
        <w:t>(2)</w:t>
      </w:r>
      <w:r>
        <w:rPr>
          <w:snapToGrid w:val="0"/>
        </w:rPr>
        <w:tab/>
        <w:t>A Local Court is appropriate for the purposes of this regulation if it is the nearest Local Court to the place where the appellant resides or is agreed in writing between the appellant and the Executive Director to be a suitable venue.</w:t>
      </w:r>
    </w:p>
    <w:p>
      <w:pPr>
        <w:pStyle w:val="Subsection"/>
        <w:rPr>
          <w:snapToGrid w:val="0"/>
        </w:rPr>
      </w:pPr>
      <w:r>
        <w:rPr>
          <w:snapToGrid w:val="0"/>
        </w:rPr>
        <w:tab/>
        <w:t>(3)</w:t>
      </w:r>
      <w:r>
        <w:rPr>
          <w:snapToGrid w:val="0"/>
        </w:rPr>
        <w:tab/>
        <w:t>An appeal under subregulation (1) is commenced by the appellant — </w:t>
      </w:r>
    </w:p>
    <w:p>
      <w:pPr>
        <w:pStyle w:val="Indenta"/>
        <w:rPr>
          <w:snapToGrid w:val="0"/>
        </w:rPr>
      </w:pPr>
      <w:r>
        <w:rPr>
          <w:snapToGrid w:val="0"/>
        </w:rPr>
        <w:tab/>
        <w:t>(a)</w:t>
      </w:r>
      <w:r>
        <w:rPr>
          <w:snapToGrid w:val="0"/>
        </w:rPr>
        <w:tab/>
        <w:t>lodging a notice of appeal specifying the grounds of appeal with the clerk of the appropriate Local Court; and</w:t>
      </w:r>
    </w:p>
    <w:p>
      <w:pPr>
        <w:pStyle w:val="Indenta"/>
        <w:rPr>
          <w:snapToGrid w:val="0"/>
        </w:rPr>
      </w:pPr>
      <w:r>
        <w:rPr>
          <w:snapToGrid w:val="0"/>
        </w:rPr>
        <w:tab/>
        <w:t>(b)</w:t>
      </w:r>
      <w:r>
        <w:rPr>
          <w:snapToGrid w:val="0"/>
        </w:rPr>
        <w:tab/>
        <w:t>serving a copy of the notice on the Executive Director.</w:t>
      </w:r>
    </w:p>
    <w:p>
      <w:pPr>
        <w:pStyle w:val="Subsection"/>
        <w:rPr>
          <w:snapToGrid w:val="0"/>
        </w:rPr>
      </w:pPr>
      <w:r>
        <w:rPr>
          <w:snapToGrid w:val="0"/>
        </w:rPr>
        <w:tab/>
        <w:t>(4)</w:t>
      </w:r>
      <w:r>
        <w:rPr>
          <w:snapToGrid w:val="0"/>
        </w:rPr>
        <w:tab/>
        <w:t>The operation of the decision to which the appeal relates is not affected by the commencement of an appeal unless a magistrate of the appropriate Local Court, on application by the appellant, orders that the decision be suspended until the appeal is determined or discontinued.</w:t>
      </w:r>
    </w:p>
    <w:p>
      <w:pPr>
        <w:pStyle w:val="Subsection"/>
        <w:rPr>
          <w:snapToGrid w:val="0"/>
        </w:rPr>
      </w:pPr>
      <w:r>
        <w:rPr>
          <w:snapToGrid w:val="0"/>
        </w:rPr>
        <w:tab/>
        <w:t>(5)</w:t>
      </w:r>
      <w:r>
        <w:rPr>
          <w:snapToGrid w:val="0"/>
        </w:rPr>
        <w:tab/>
        <w:t>The magistrate shall determine the appeal — </w:t>
      </w:r>
    </w:p>
    <w:p>
      <w:pPr>
        <w:pStyle w:val="Indenta"/>
        <w:rPr>
          <w:snapToGrid w:val="0"/>
        </w:rPr>
      </w:pPr>
      <w:r>
        <w:rPr>
          <w:snapToGrid w:val="0"/>
        </w:rPr>
        <w:tab/>
        <w:t>(a)</w:t>
      </w:r>
      <w:r>
        <w:rPr>
          <w:snapToGrid w:val="0"/>
        </w:rPr>
        <w:tab/>
        <w:t>on the material that was before the Executive Director; and</w:t>
      </w:r>
    </w:p>
    <w:p>
      <w:pPr>
        <w:pStyle w:val="Indenta"/>
        <w:rPr>
          <w:snapToGrid w:val="0"/>
        </w:rPr>
      </w:pPr>
      <w:r>
        <w:rPr>
          <w:snapToGrid w:val="0"/>
        </w:rPr>
        <w:tab/>
        <w:t>(b)</w:t>
      </w:r>
      <w:r>
        <w:rPr>
          <w:snapToGrid w:val="0"/>
        </w:rPr>
        <w:tab/>
        <w:t>on such further evidence either oral or by affidavit as the magistrate thinks fit to receive.</w:t>
      </w:r>
    </w:p>
    <w:p>
      <w:pPr>
        <w:pStyle w:val="Subsection"/>
        <w:rPr>
          <w:snapToGrid w:val="0"/>
        </w:rPr>
      </w:pPr>
      <w:r>
        <w:rPr>
          <w:snapToGrid w:val="0"/>
        </w:rPr>
        <w:tab/>
        <w:t>(6)</w:t>
      </w:r>
      <w:r>
        <w:rPr>
          <w:snapToGrid w:val="0"/>
        </w:rPr>
        <w:tab/>
        <w:t>For the purposes of subregulation (5), the magistrate may ascertain what material was before the Executive Director on such evidence, statement or record of what occurred before the Executive Director as the magistrate considers sufficient.</w:t>
      </w:r>
    </w:p>
    <w:p>
      <w:pPr>
        <w:pStyle w:val="Subsection"/>
        <w:keepNext/>
        <w:keepLines/>
        <w:rPr>
          <w:snapToGrid w:val="0"/>
        </w:rPr>
      </w:pPr>
      <w:r>
        <w:rPr>
          <w:snapToGrid w:val="0"/>
        </w:rPr>
        <w:tab/>
        <w:t>(7)</w:t>
      </w:r>
      <w:r>
        <w:rPr>
          <w:snapToGrid w:val="0"/>
        </w:rPr>
        <w:tab/>
        <w:t xml:space="preserve">Subject to this regulation and any direction of a magistrate, the </w:t>
      </w:r>
      <w:r>
        <w:rPr>
          <w:i/>
          <w:snapToGrid w:val="0"/>
        </w:rPr>
        <w:t>Local Courts Act 1904</w:t>
      </w:r>
      <w:r>
        <w:rPr>
          <w:snapToGrid w:val="0"/>
        </w:rPr>
        <w:t xml:space="preserve"> applies, with all necessary modifications, to an appeal under this regulation as if it were an action within the meaning of that Act.</w:t>
      </w:r>
    </w:p>
    <w:p>
      <w:pPr>
        <w:pStyle w:val="Subsection"/>
        <w:rPr>
          <w:snapToGrid w:val="0"/>
        </w:rPr>
      </w:pPr>
      <w:r>
        <w:rPr>
          <w:snapToGrid w:val="0"/>
        </w:rPr>
        <w:tab/>
        <w:t>(8)</w:t>
      </w:r>
      <w:r>
        <w:rPr>
          <w:snapToGrid w:val="0"/>
        </w:rPr>
        <w:tab/>
        <w:t>On the hearing of an appeal under this regulation, the magistrate may — </w:t>
      </w:r>
    </w:p>
    <w:p>
      <w:pPr>
        <w:pStyle w:val="Indenta"/>
        <w:rPr>
          <w:snapToGrid w:val="0"/>
        </w:rPr>
      </w:pPr>
      <w:r>
        <w:rPr>
          <w:snapToGrid w:val="0"/>
        </w:rPr>
        <w:tab/>
        <w:t>(a)</w:t>
      </w:r>
      <w:r>
        <w:rPr>
          <w:snapToGrid w:val="0"/>
        </w:rPr>
        <w:tab/>
        <w:t>confirm, quash or vary the decision of the Executive Director or substitute his or her own decision for that of the Executive Director; and</w:t>
      </w:r>
    </w:p>
    <w:p>
      <w:pPr>
        <w:pStyle w:val="Indenta"/>
        <w:rPr>
          <w:snapToGrid w:val="0"/>
        </w:rPr>
      </w:pPr>
      <w:r>
        <w:rPr>
          <w:snapToGrid w:val="0"/>
        </w:rPr>
        <w:tab/>
        <w:t>(b)</w:t>
      </w:r>
      <w:r>
        <w:rPr>
          <w:snapToGrid w:val="0"/>
        </w:rPr>
        <w:tab/>
        <w:t>make any other order as to costs or otherwise.</w:t>
      </w:r>
    </w:p>
    <w:p>
      <w:pPr>
        <w:pStyle w:val="Subsection"/>
        <w:rPr>
          <w:snapToGrid w:val="0"/>
        </w:rPr>
      </w:pPr>
      <w:r>
        <w:rPr>
          <w:snapToGrid w:val="0"/>
        </w:rPr>
        <w:tab/>
        <w:t>(9)</w:t>
      </w:r>
      <w:r>
        <w:rPr>
          <w:snapToGrid w:val="0"/>
        </w:rPr>
        <w:tab/>
        <w:t>The Executive Director shall give effect to the decision of a magistrate in an appeal under this regulation.</w:t>
      </w:r>
    </w:p>
    <w:p>
      <w:pPr>
        <w:pStyle w:val="Subsection"/>
        <w:rPr>
          <w:snapToGrid w:val="0"/>
        </w:rPr>
      </w:pPr>
      <w:r>
        <w:rPr>
          <w:snapToGrid w:val="0"/>
        </w:rPr>
        <w:tab/>
        <w:t>(10)</w:t>
      </w:r>
      <w:r>
        <w:rPr>
          <w:snapToGrid w:val="0"/>
        </w:rPr>
        <w:tab/>
        <w:t>Where under this regulation a magistrate varies a decision of the Executive Director or substitutes a decision for that of the Executive Director, the decision of the magistrate has effect for the purposes of these regulations as if it were a decision of the Executive Director.</w:t>
      </w:r>
    </w:p>
    <w:p>
      <w:pPr>
        <w:pStyle w:val="Heading5"/>
        <w:rPr>
          <w:snapToGrid w:val="0"/>
        </w:rPr>
      </w:pPr>
      <w:bookmarkStart w:id="808" w:name="_Toc438372897"/>
      <w:bookmarkStart w:id="809" w:name="_Toc8188029"/>
      <w:bookmarkStart w:id="810" w:name="_Toc155068141"/>
      <w:bookmarkStart w:id="811" w:name="_Toc170209579"/>
      <w:r>
        <w:rPr>
          <w:rStyle w:val="CharSectno"/>
        </w:rPr>
        <w:t>153</w:t>
      </w:r>
      <w:r>
        <w:rPr>
          <w:snapToGrid w:val="0"/>
        </w:rPr>
        <w:t>.</w:t>
      </w:r>
      <w:r>
        <w:rPr>
          <w:snapToGrid w:val="0"/>
        </w:rPr>
        <w:tab/>
        <w:t>Repeal</w:t>
      </w:r>
      <w:bookmarkEnd w:id="808"/>
      <w:bookmarkEnd w:id="809"/>
      <w:bookmarkEnd w:id="810"/>
      <w:bookmarkEnd w:id="811"/>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Forest Regulations 1957</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Forest Diseases Regulations 1975</w:t>
      </w:r>
      <w:r>
        <w:rPr>
          <w:snapToGrid w:val="0"/>
        </w:rPr>
        <w:t xml:space="preserve"> are repealed.</w:t>
      </w:r>
    </w:p>
    <w:p>
      <w:pPr>
        <w:pStyle w:val="Heading5"/>
        <w:rPr>
          <w:snapToGrid w:val="0"/>
        </w:rPr>
      </w:pPr>
      <w:bookmarkStart w:id="812" w:name="_Toc438372898"/>
      <w:bookmarkStart w:id="813" w:name="_Toc8188030"/>
      <w:bookmarkStart w:id="814" w:name="_Toc155068142"/>
      <w:bookmarkStart w:id="815" w:name="_Toc170209580"/>
      <w:r>
        <w:rPr>
          <w:rStyle w:val="CharSectno"/>
        </w:rPr>
        <w:t>154</w:t>
      </w:r>
      <w:r>
        <w:rPr>
          <w:snapToGrid w:val="0"/>
        </w:rPr>
        <w:t>.</w:t>
      </w:r>
      <w:r>
        <w:rPr>
          <w:snapToGrid w:val="0"/>
        </w:rPr>
        <w:tab/>
        <w:t>Transitional</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Schedule 6 has effect with respect to transitional arrangements.</w:t>
      </w:r>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pgNumType w:start="1"/>
          <w:cols w:space="720"/>
          <w:noEndnote/>
          <w:titlePg/>
          <w:docGrid w:linePitch="326"/>
        </w:sectPr>
      </w:pPr>
    </w:p>
    <w:p>
      <w:pPr>
        <w:pStyle w:val="yScheduleHeading"/>
      </w:pPr>
      <w:bookmarkStart w:id="816" w:name="_Toc155068143"/>
      <w:bookmarkStart w:id="817" w:name="_Toc170209581"/>
      <w:r>
        <w:rPr>
          <w:rStyle w:val="CharSchNo"/>
        </w:rPr>
        <w:t>Schedule 1</w:t>
      </w:r>
      <w:bookmarkEnd w:id="816"/>
      <w:bookmarkEnd w:id="817"/>
    </w:p>
    <w:p>
      <w:pPr>
        <w:pStyle w:val="yShoulderClause"/>
        <w:rPr>
          <w:snapToGrid w:val="0"/>
        </w:rPr>
      </w:pPr>
      <w:r>
        <w:rPr>
          <w:snapToGrid w:val="0"/>
        </w:rPr>
        <w:t>[Regulation 56]</w:t>
      </w:r>
    </w:p>
    <w:p>
      <w:pPr>
        <w:pStyle w:val="MiscellaneousHeading"/>
        <w:rPr>
          <w:b/>
          <w:snapToGrid w:val="0"/>
          <w:sz w:val="28"/>
        </w:rPr>
      </w:pPr>
      <w:r>
        <w:rPr>
          <w:b/>
          <w:snapToGrid w:val="0"/>
          <w:sz w:val="28"/>
        </w:rPr>
        <w:t>Procedures for the determination of log timber quantity</w:t>
      </w:r>
    </w:p>
    <w:p>
      <w:pPr>
        <w:pStyle w:val="yHeading2"/>
      </w:pPr>
      <w:bookmarkStart w:id="818" w:name="_Toc155068144"/>
      <w:bookmarkStart w:id="819" w:name="_Toc170209582"/>
      <w:r>
        <w:t>Part A — Determination of volume of hardwood log timber by individual log measurement</w:t>
      </w:r>
      <w:bookmarkEnd w:id="818"/>
      <w:bookmarkEnd w:id="819"/>
    </w:p>
    <w:p>
      <w:pPr>
        <w:pStyle w:val="yHeading5"/>
        <w:rPr>
          <w:snapToGrid w:val="0"/>
        </w:rPr>
      </w:pPr>
    </w:p>
    <w:p>
      <w:pPr>
        <w:pStyle w:val="ySubsection"/>
        <w:rPr>
          <w:snapToGrid w:val="0"/>
        </w:rPr>
      </w:pPr>
      <w:r>
        <w:rPr>
          <w:snapToGrid w:val="0"/>
        </w:rPr>
        <w:tab/>
      </w:r>
      <w:r>
        <w:rPr>
          <w:snapToGrid w:val="0"/>
        </w:rPr>
        <w:tab/>
        <w:t>For the purpose of determining the volume of hardwood log timber by individual log measurement the following provisions shall be complied with — </w:t>
      </w:r>
    </w:p>
    <w:p>
      <w:pPr>
        <w:pStyle w:val="yHeading5"/>
        <w:rPr>
          <w:snapToGrid w:val="0"/>
        </w:rPr>
      </w:pPr>
      <w:bookmarkStart w:id="820" w:name="_Toc155068145"/>
      <w:bookmarkStart w:id="821" w:name="_Toc170209583"/>
      <w:r>
        <w:rPr>
          <w:snapToGrid w:val="0"/>
        </w:rPr>
        <w:t>1.</w:t>
      </w:r>
      <w:r>
        <w:rPr>
          <w:snapToGrid w:val="0"/>
        </w:rPr>
        <w:tab/>
        <w:t>Length measurement</w:t>
      </w:r>
      <w:bookmarkEnd w:id="820"/>
      <w:bookmarkEnd w:id="821"/>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p>
      <w:pPr>
        <w:pStyle w:val="yMiscellaneousHeading"/>
        <w:rPr>
          <w:b/>
          <w:bCs/>
          <w:snapToGrid w:val="0"/>
        </w:rPr>
      </w:pP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
              <w:jc w:val="center"/>
              <w:rPr>
                <w:i/>
                <w:sz w:val="18"/>
              </w:rPr>
            </w:pPr>
            <w:r>
              <w:rPr>
                <w:i/>
                <w:sz w:val="18"/>
              </w:rPr>
              <w:t>Examples:</w:t>
            </w:r>
          </w:p>
        </w:tc>
        <w:tc>
          <w:tcPr>
            <w:tcW w:w="3119" w:type="dxa"/>
          </w:tcPr>
          <w:p>
            <w:pPr>
              <w:pStyle w:val="yTable"/>
              <w:jc w:val="center"/>
              <w:rPr>
                <w:sz w:val="18"/>
              </w:rPr>
            </w:pPr>
          </w:p>
        </w:tc>
      </w:tr>
      <w:tr>
        <w:tc>
          <w:tcPr>
            <w:tcW w:w="3118" w:type="dxa"/>
          </w:tcPr>
          <w:p>
            <w:pPr>
              <w:pStyle w:val="yTable"/>
              <w:jc w:val="center"/>
              <w:rPr>
                <w:b/>
                <w:sz w:val="18"/>
              </w:rPr>
            </w:pPr>
            <w:r>
              <w:rPr>
                <w:b/>
                <w:sz w:val="18"/>
              </w:rPr>
              <w:t>Actual log length Metres</w:t>
            </w:r>
          </w:p>
        </w:tc>
        <w:tc>
          <w:tcPr>
            <w:tcW w:w="3119" w:type="dxa"/>
          </w:tcPr>
          <w:p>
            <w:pPr>
              <w:pStyle w:val="yTable"/>
              <w:jc w:val="center"/>
              <w:rPr>
                <w:b/>
                <w:sz w:val="18"/>
              </w:rPr>
            </w:pPr>
            <w:r>
              <w:rPr>
                <w:b/>
                <w:sz w:val="18"/>
              </w:rPr>
              <w:t>Entry on log delivery note Metres</w:t>
            </w:r>
          </w:p>
        </w:tc>
      </w:tr>
      <w:tr>
        <w:tc>
          <w:tcPr>
            <w:tcW w:w="3118" w:type="dxa"/>
          </w:tcPr>
          <w:p>
            <w:pPr>
              <w:pStyle w:val="yTable"/>
              <w:jc w:val="center"/>
              <w:rPr>
                <w:sz w:val="18"/>
              </w:rPr>
            </w:pPr>
            <w:r>
              <w:rPr>
                <w:sz w:val="18"/>
              </w:rPr>
              <w:t>13.249</w:t>
            </w:r>
          </w:p>
          <w:p>
            <w:pPr>
              <w:pStyle w:val="yTable"/>
              <w:jc w:val="center"/>
              <w:rPr>
                <w:sz w:val="18"/>
              </w:rPr>
            </w:pPr>
            <w:r>
              <w:rPr>
                <w:sz w:val="18"/>
              </w:rPr>
              <w:t>7.346</w:t>
            </w:r>
          </w:p>
          <w:p>
            <w:pPr>
              <w:pStyle w:val="yTable"/>
              <w:jc w:val="center"/>
              <w:rPr>
                <w:sz w:val="18"/>
              </w:rPr>
            </w:pPr>
            <w:r>
              <w:rPr>
                <w:sz w:val="18"/>
              </w:rPr>
              <w:t>6.999</w:t>
            </w:r>
          </w:p>
          <w:p>
            <w:pPr>
              <w:pStyle w:val="yTable"/>
              <w:jc w:val="center"/>
              <w:rPr>
                <w:sz w:val="18"/>
              </w:rPr>
            </w:pPr>
            <w:r>
              <w:rPr>
                <w:sz w:val="18"/>
              </w:rPr>
              <w:t>7.000</w:t>
            </w:r>
          </w:p>
        </w:tc>
        <w:tc>
          <w:tcPr>
            <w:tcW w:w="3119" w:type="dxa"/>
          </w:tcPr>
          <w:p>
            <w:pPr>
              <w:pStyle w:val="yTable"/>
              <w:jc w:val="center"/>
              <w:rPr>
                <w:sz w:val="18"/>
              </w:rPr>
            </w:pPr>
            <w:r>
              <w:rPr>
                <w:sz w:val="18"/>
              </w:rPr>
              <w:t>13.2</w:t>
            </w:r>
          </w:p>
          <w:p>
            <w:pPr>
              <w:pStyle w:val="yTable"/>
              <w:jc w:val="center"/>
              <w:rPr>
                <w:sz w:val="18"/>
              </w:rPr>
            </w:pPr>
            <w:r>
              <w:rPr>
                <w:sz w:val="18"/>
              </w:rPr>
              <w:t>7.3</w:t>
            </w:r>
          </w:p>
          <w:p>
            <w:pPr>
              <w:pStyle w:val="yTable"/>
              <w:jc w:val="center"/>
              <w:rPr>
                <w:sz w:val="18"/>
              </w:rPr>
            </w:pPr>
            <w:r>
              <w:rPr>
                <w:sz w:val="18"/>
              </w:rPr>
              <w:t>6.9</w:t>
            </w:r>
          </w:p>
          <w:p>
            <w:pPr>
              <w:pStyle w:val="yTable"/>
              <w:jc w:val="center"/>
              <w:rPr>
                <w:sz w:val="18"/>
              </w:rPr>
            </w:pPr>
            <w:r>
              <w:rPr>
                <w:sz w:val="18"/>
              </w:rPr>
              <w:t>7.0</w:t>
            </w:r>
          </w:p>
        </w:tc>
      </w:tr>
    </w:tbl>
    <w:p>
      <w:pPr>
        <w:pStyle w:val="yHeading5"/>
        <w:rPr>
          <w:snapToGrid w:val="0"/>
        </w:rPr>
      </w:pPr>
      <w:bookmarkStart w:id="822" w:name="_Toc155068146"/>
      <w:bookmarkStart w:id="823" w:name="_Toc170209584"/>
      <w:r>
        <w:rPr>
          <w:snapToGrid w:val="0"/>
        </w:rPr>
        <w:t>2.</w:t>
      </w:r>
      <w:r>
        <w:rPr>
          <w:snapToGrid w:val="0"/>
        </w:rPr>
        <w:tab/>
        <w:t>Diameter measurement</w:t>
      </w:r>
      <w:bookmarkEnd w:id="822"/>
      <w:bookmarkEnd w:id="823"/>
    </w:p>
    <w:p>
      <w:pPr>
        <w:pStyle w:val="ySubsection"/>
        <w:rPr>
          <w:snapToGrid w:val="0"/>
        </w:rPr>
      </w:pPr>
      <w:r>
        <w:rPr>
          <w:snapToGrid w:val="0"/>
        </w:rPr>
        <w:tab/>
      </w:r>
      <w:r>
        <w:rPr>
          <w:snapToGrid w:val="0"/>
        </w:rPr>
        <w:tab/>
        <w:t xml:space="preserve">In this schedule, a </w:t>
      </w:r>
      <w:del w:id="824" w:author="Master Repository Process" w:date="2021-08-01T15:45:00Z">
        <w:r>
          <w:rPr>
            <w:b/>
            <w:snapToGrid w:val="0"/>
          </w:rPr>
          <w:delText>“</w:delText>
        </w:r>
      </w:del>
      <w:r>
        <w:rPr>
          <w:rStyle w:val="CharDefText"/>
        </w:rPr>
        <w:t>diameter tape</w:t>
      </w:r>
      <w:del w:id="825" w:author="Master Repository Process" w:date="2021-08-01T15:45:00Z">
        <w:r>
          <w:rPr>
            <w:b/>
            <w:snapToGrid w:val="0"/>
          </w:rPr>
          <w:delText>”</w:delText>
        </w:r>
      </w:del>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MiscellaneousHeading"/>
        <w:rPr>
          <w:b/>
          <w:bCs/>
          <w:snapToGrid w:val="0"/>
        </w:rPr>
      </w:pPr>
      <w:r>
        <w:rPr>
          <w:b/>
          <w:bCs/>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417"/>
        <w:gridCol w:w="1418"/>
        <w:gridCol w:w="1134"/>
        <w:gridCol w:w="850"/>
        <w:gridCol w:w="1361"/>
      </w:tblGrid>
      <w:tr>
        <w:tc>
          <w:tcPr>
            <w:tcW w:w="1417" w:type="dxa"/>
          </w:tcPr>
          <w:p>
            <w:pPr>
              <w:pStyle w:val="yTable"/>
              <w:jc w:val="center"/>
              <w:rPr>
                <w:sz w:val="18"/>
              </w:rPr>
            </w:pPr>
          </w:p>
        </w:tc>
        <w:tc>
          <w:tcPr>
            <w:tcW w:w="1418" w:type="dxa"/>
          </w:tcPr>
          <w:p>
            <w:pPr>
              <w:pStyle w:val="yTable"/>
              <w:jc w:val="center"/>
              <w:rPr>
                <w:sz w:val="18"/>
              </w:rPr>
            </w:pPr>
          </w:p>
        </w:tc>
        <w:tc>
          <w:tcPr>
            <w:tcW w:w="1134" w:type="dxa"/>
          </w:tcPr>
          <w:p>
            <w:pPr>
              <w:pStyle w:val="yTable"/>
              <w:jc w:val="center"/>
              <w:rPr>
                <w:sz w:val="18"/>
              </w:rPr>
            </w:pPr>
          </w:p>
        </w:tc>
        <w:tc>
          <w:tcPr>
            <w:tcW w:w="850" w:type="dxa"/>
          </w:tcPr>
          <w:p>
            <w:pPr>
              <w:pStyle w:val="yTable"/>
              <w:jc w:val="center"/>
              <w:rPr>
                <w:sz w:val="18"/>
              </w:rPr>
            </w:pPr>
          </w:p>
        </w:tc>
        <w:tc>
          <w:tcPr>
            <w:tcW w:w="1361" w:type="dxa"/>
          </w:tcPr>
          <w:p>
            <w:pPr>
              <w:pStyle w:val="yTable"/>
              <w:jc w:val="center"/>
              <w:rPr>
                <w:sz w:val="18"/>
              </w:rPr>
            </w:pPr>
          </w:p>
        </w:tc>
      </w:tr>
      <w:tr>
        <w:tc>
          <w:tcPr>
            <w:tcW w:w="1417" w:type="dxa"/>
          </w:tcPr>
          <w:p>
            <w:pPr>
              <w:pStyle w:val="yTable"/>
              <w:jc w:val="center"/>
              <w:rPr>
                <w:b/>
                <w:sz w:val="18"/>
              </w:rPr>
            </w:pPr>
            <w:r>
              <w:rPr>
                <w:b/>
                <w:sz w:val="18"/>
              </w:rPr>
              <w:t>Measured diameter overbark</w:t>
            </w:r>
          </w:p>
        </w:tc>
        <w:tc>
          <w:tcPr>
            <w:tcW w:w="1418" w:type="dxa"/>
          </w:tcPr>
          <w:p>
            <w:pPr>
              <w:pStyle w:val="yTable"/>
              <w:jc w:val="center"/>
              <w:rPr>
                <w:b/>
                <w:sz w:val="18"/>
              </w:rPr>
            </w:pPr>
            <w:r>
              <w:rPr>
                <w:b/>
                <w:sz w:val="18"/>
              </w:rPr>
              <w:t>Diameter overbark rounded up</w:t>
            </w:r>
          </w:p>
        </w:tc>
        <w:tc>
          <w:tcPr>
            <w:tcW w:w="1134" w:type="dxa"/>
          </w:tcPr>
          <w:p>
            <w:pPr>
              <w:pStyle w:val="yTable"/>
              <w:jc w:val="center"/>
              <w:rPr>
                <w:b/>
                <w:sz w:val="18"/>
              </w:rPr>
            </w:pPr>
            <w:r>
              <w:rPr>
                <w:b/>
                <w:sz w:val="18"/>
              </w:rPr>
              <w:t>mm of bark on</w:t>
            </w:r>
          </w:p>
        </w:tc>
        <w:tc>
          <w:tcPr>
            <w:tcW w:w="850" w:type="dxa"/>
          </w:tcPr>
          <w:p>
            <w:pPr>
              <w:pStyle w:val="yTable"/>
              <w:jc w:val="center"/>
              <w:rPr>
                <w:b/>
                <w:sz w:val="18"/>
              </w:rPr>
            </w:pPr>
            <w:r>
              <w:rPr>
                <w:b/>
                <w:sz w:val="18"/>
              </w:rPr>
              <w:t>Bark deduction</w:t>
            </w:r>
          </w:p>
        </w:tc>
        <w:tc>
          <w:tcPr>
            <w:tcW w:w="1361" w:type="dxa"/>
          </w:tcPr>
          <w:p>
            <w:pPr>
              <w:pStyle w:val="yTable"/>
              <w:jc w:val="center"/>
              <w:rPr>
                <w:b/>
                <w:sz w:val="18"/>
              </w:rPr>
            </w:pPr>
            <w:r>
              <w:rPr>
                <w:b/>
                <w:sz w:val="18"/>
              </w:rPr>
              <w:t>Entry on log delivery note (underbark)</w:t>
            </w:r>
          </w:p>
        </w:tc>
      </w:tr>
      <w:tr>
        <w:tc>
          <w:tcPr>
            <w:tcW w:w="1417" w:type="dxa"/>
          </w:tcPr>
          <w:p>
            <w:pPr>
              <w:pStyle w:val="yTable"/>
              <w:jc w:val="center"/>
              <w:rPr>
                <w:sz w:val="18"/>
              </w:rPr>
            </w:pPr>
            <w:r>
              <w:rPr>
                <w:sz w:val="18"/>
              </w:rPr>
              <w:t>565</w:t>
            </w:r>
          </w:p>
        </w:tc>
        <w:tc>
          <w:tcPr>
            <w:tcW w:w="1418" w:type="dxa"/>
          </w:tcPr>
          <w:p>
            <w:pPr>
              <w:pStyle w:val="yTable"/>
              <w:jc w:val="center"/>
              <w:rPr>
                <w:sz w:val="18"/>
              </w:rPr>
            </w:pPr>
            <w:r>
              <w:rPr>
                <w:sz w:val="18"/>
              </w:rPr>
              <w:t>570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520</w:t>
            </w:r>
          </w:p>
        </w:tc>
      </w:tr>
      <w:tr>
        <w:tc>
          <w:tcPr>
            <w:tcW w:w="1417" w:type="dxa"/>
          </w:tcPr>
          <w:p>
            <w:pPr>
              <w:pStyle w:val="yTable"/>
              <w:jc w:val="center"/>
              <w:rPr>
                <w:sz w:val="18"/>
              </w:rPr>
            </w:pPr>
            <w:r>
              <w:rPr>
                <w:sz w:val="18"/>
              </w:rPr>
              <w:t>995</w:t>
            </w:r>
          </w:p>
        </w:tc>
        <w:tc>
          <w:tcPr>
            <w:tcW w:w="1418" w:type="dxa"/>
          </w:tcPr>
          <w:p>
            <w:pPr>
              <w:pStyle w:val="yTable"/>
              <w:jc w:val="center"/>
              <w:rPr>
                <w:sz w:val="18"/>
              </w:rPr>
            </w:pPr>
            <w:r>
              <w:rPr>
                <w:sz w:val="18"/>
              </w:rPr>
              <w:t>1 000</w:t>
            </w:r>
          </w:p>
        </w:tc>
        <w:tc>
          <w:tcPr>
            <w:tcW w:w="1134" w:type="dxa"/>
          </w:tcPr>
          <w:p>
            <w:pPr>
              <w:pStyle w:val="yTable"/>
              <w:jc w:val="center"/>
              <w:rPr>
                <w:sz w:val="18"/>
              </w:rPr>
            </w:pPr>
            <w:r>
              <w:rPr>
                <w:sz w:val="18"/>
              </w:rPr>
              <w:t>900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930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1 000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1 020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300</w:t>
            </w:r>
          </w:p>
        </w:tc>
        <w:tc>
          <w:tcPr>
            <w:tcW w:w="850" w:type="dxa"/>
          </w:tcPr>
          <w:p>
            <w:pPr>
              <w:pStyle w:val="yTable"/>
              <w:jc w:val="center"/>
              <w:rPr>
                <w:sz w:val="18"/>
              </w:rPr>
            </w:pPr>
            <w:r>
              <w:rPr>
                <w:sz w:val="18"/>
              </w:rPr>
              <w:t>30</w:t>
            </w:r>
          </w:p>
        </w:tc>
        <w:tc>
          <w:tcPr>
            <w:tcW w:w="1361" w:type="dxa"/>
          </w:tcPr>
          <w:p>
            <w:pPr>
              <w:pStyle w:val="yTable"/>
              <w:jc w:val="center"/>
              <w:rPr>
                <w:sz w:val="18"/>
              </w:rPr>
            </w:pPr>
            <w:r>
              <w:rPr>
                <w:sz w:val="18"/>
              </w:rPr>
              <w:t>1 060</w:t>
            </w:r>
          </w:p>
        </w:tc>
      </w:tr>
      <w:tr>
        <w:tc>
          <w:tcPr>
            <w:tcW w:w="1417" w:type="dxa"/>
          </w:tcPr>
          <w:p>
            <w:pPr>
              <w:pStyle w:val="yTable"/>
              <w:jc w:val="center"/>
              <w:rPr>
                <w:sz w:val="18"/>
              </w:rPr>
            </w:pPr>
            <w:r>
              <w:rPr>
                <w:sz w:val="18"/>
              </w:rPr>
              <w:t>1 081</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rPr>
          <w:snapToGrid w:val="0"/>
        </w:rPr>
      </w:pPr>
      <w:bookmarkStart w:id="826" w:name="_Toc155068147"/>
      <w:bookmarkStart w:id="827" w:name="_Toc170209585"/>
      <w:r>
        <w:rPr>
          <w:snapToGrid w:val="0"/>
        </w:rPr>
        <w:t>3.</w:t>
      </w:r>
      <w:r>
        <w:rPr>
          <w:snapToGrid w:val="0"/>
        </w:rPr>
        <w:tab/>
        <w:t>Calculation of volume</w:t>
      </w:r>
      <w:bookmarkEnd w:id="826"/>
      <w:bookmarkEnd w:id="827"/>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del w:id="828" w:author="Master Repository Process" w:date="2021-08-01T15:45:00Z">
        <w:r>
          <w:rPr>
            <w:b/>
            <w:snapToGrid w:val="0"/>
          </w:rPr>
          <w:delText>“</w:delText>
        </w:r>
      </w:del>
      <w:r>
        <w:rPr>
          <w:rStyle w:val="CharDefText"/>
        </w:rPr>
        <w:t>the Log Volume Table</w:t>
      </w:r>
      <w:del w:id="829" w:author="Master Repository Process" w:date="2021-08-01T15:45:00Z">
        <w:r>
          <w:rPr>
            <w:b/>
            <w:snapToGrid w:val="0"/>
          </w:rPr>
          <w:delText>”</w:delText>
        </w:r>
        <w:r>
          <w:rPr>
            <w:snapToGrid w:val="0"/>
          </w:rPr>
          <w:delText>).</w:delText>
        </w:r>
      </w:del>
      <w:ins w:id="830" w:author="Master Repository Process" w:date="2021-08-01T15:45:00Z">
        <w:r>
          <w:rPr>
            <w:snapToGrid w:val="0"/>
          </w:rPr>
          <w:t>).</w:t>
        </w:r>
      </w:ins>
    </w:p>
    <w:p>
      <w:pPr>
        <w:pStyle w:val="ySubsection"/>
        <w:rPr>
          <w:snapToGrid w:val="0"/>
        </w:rPr>
      </w:pPr>
      <w:r>
        <w:rPr>
          <w:snapToGrid w:val="0"/>
        </w:rPr>
        <w:tab/>
      </w:r>
      <w:r>
        <w:rPr>
          <w:snapToGrid w:val="0"/>
        </w:rPr>
        <w:tab/>
        <w:t>The volume shall then be entered on the log delivery note.</w:t>
      </w:r>
    </w:p>
    <w:p>
      <w:pPr>
        <w:pStyle w:val="yHeading5"/>
        <w:rPr>
          <w:snapToGrid w:val="0"/>
        </w:rPr>
      </w:pPr>
      <w:bookmarkStart w:id="831" w:name="_Toc155068148"/>
      <w:bookmarkStart w:id="832" w:name="_Toc170209586"/>
      <w:r>
        <w:rPr>
          <w:snapToGrid w:val="0"/>
        </w:rPr>
        <w:t>4.</w:t>
      </w:r>
      <w:r>
        <w:rPr>
          <w:snapToGrid w:val="0"/>
        </w:rPr>
        <w:tab/>
        <w:t>Measurement of logs halved along their length</w:t>
      </w:r>
      <w:bookmarkEnd w:id="831"/>
      <w:bookmarkEnd w:id="832"/>
    </w:p>
    <w:p>
      <w:pPr>
        <w:pStyle w:val="ySubsection"/>
        <w:keepNext/>
        <w:rPr>
          <w:snapToGrid w:val="0"/>
        </w:rPr>
      </w:pPr>
      <w:r>
        <w:rPr>
          <w:snapToGrid w:val="0"/>
        </w:rPr>
        <w:tab/>
      </w:r>
      <w:r>
        <w:rPr>
          <w:snapToGrid w:val="0"/>
        </w:rPr>
        <w:tab/>
        <w:t>In order to obtain and record the volume of logs halved along their length —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833" w:name="_Toc155068149"/>
      <w:bookmarkStart w:id="834" w:name="_Toc170209587"/>
      <w:r>
        <w:t>Part B — Determination of volume of softwood log timber by individual log measurement</w:t>
      </w:r>
      <w:bookmarkEnd w:id="833"/>
      <w:bookmarkEnd w:id="834"/>
    </w:p>
    <w:p>
      <w:pPr>
        <w:pStyle w:val="yHeading5"/>
        <w:rPr>
          <w:snapToGrid w:val="0"/>
        </w:rPr>
      </w:pPr>
    </w:p>
    <w:p>
      <w:pPr>
        <w:pStyle w:val="ySubsection"/>
        <w:rPr>
          <w:snapToGrid w:val="0"/>
        </w:rPr>
      </w:pPr>
      <w:r>
        <w:rPr>
          <w:snapToGrid w:val="0"/>
        </w:rPr>
        <w:t>For the purpose of determining the volume of softwood log timber by individual log measurement the following provisions shall be complied with — </w:t>
      </w:r>
    </w:p>
    <w:p>
      <w:pPr>
        <w:pStyle w:val="yHeading5"/>
        <w:rPr>
          <w:snapToGrid w:val="0"/>
        </w:rPr>
      </w:pPr>
      <w:bookmarkStart w:id="835" w:name="_Toc155068150"/>
      <w:bookmarkStart w:id="836" w:name="_Toc170209588"/>
      <w:r>
        <w:rPr>
          <w:snapToGrid w:val="0"/>
        </w:rPr>
        <w:t>1.</w:t>
      </w:r>
      <w:r>
        <w:rPr>
          <w:snapToGrid w:val="0"/>
        </w:rPr>
        <w:tab/>
        <w:t>Length measurement</w:t>
      </w:r>
      <w:bookmarkEnd w:id="835"/>
      <w:bookmarkEnd w:id="836"/>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MiscellaneousHeading"/>
        <w:rPr>
          <w:b/>
          <w:bCs/>
          <w:snapToGrid w:val="0"/>
        </w:rPr>
      </w:pPr>
      <w:r>
        <w:rPr>
          <w:b/>
          <w:bCs/>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
              <w:jc w:val="center"/>
              <w:rPr>
                <w:b/>
                <w:sz w:val="18"/>
              </w:rPr>
            </w:pPr>
            <w:r>
              <w:rPr>
                <w:b/>
                <w:sz w:val="18"/>
              </w:rPr>
              <w:t>Actual length</w:t>
            </w:r>
          </w:p>
        </w:tc>
        <w:tc>
          <w:tcPr>
            <w:tcW w:w="4536" w:type="dxa"/>
            <w:gridSpan w:val="2"/>
          </w:tcPr>
          <w:p>
            <w:pPr>
              <w:pStyle w:val="yTable"/>
              <w:jc w:val="center"/>
              <w:rPr>
                <w:b/>
                <w:sz w:val="18"/>
              </w:rPr>
            </w:pPr>
            <w:r>
              <w:rPr>
                <w:b/>
                <w:sz w:val="18"/>
              </w:rPr>
              <w:t>Entry on Log Delivery Note</w:t>
            </w:r>
          </w:p>
        </w:tc>
      </w:tr>
      <w:tr>
        <w:tc>
          <w:tcPr>
            <w:tcW w:w="1701" w:type="dxa"/>
          </w:tcPr>
          <w:p>
            <w:pPr>
              <w:pStyle w:val="yTable"/>
              <w:jc w:val="center"/>
              <w:rPr>
                <w:b/>
                <w:sz w:val="18"/>
              </w:rPr>
            </w:pPr>
          </w:p>
        </w:tc>
        <w:tc>
          <w:tcPr>
            <w:tcW w:w="2268" w:type="dxa"/>
          </w:tcPr>
          <w:p>
            <w:pPr>
              <w:pStyle w:val="yTable"/>
              <w:jc w:val="center"/>
              <w:rPr>
                <w:b/>
                <w:sz w:val="18"/>
              </w:rPr>
            </w:pPr>
            <w:r>
              <w:rPr>
                <w:b/>
                <w:sz w:val="18"/>
              </w:rPr>
              <w:t>To nearest tenth metre</w:t>
            </w:r>
          </w:p>
        </w:tc>
        <w:tc>
          <w:tcPr>
            <w:tcW w:w="2268" w:type="dxa"/>
          </w:tcPr>
          <w:p>
            <w:pPr>
              <w:pStyle w:val="yTable"/>
              <w:jc w:val="center"/>
              <w:rPr>
                <w:b/>
                <w:sz w:val="18"/>
              </w:rPr>
            </w:pPr>
            <w:r>
              <w:rPr>
                <w:b/>
                <w:sz w:val="18"/>
              </w:rPr>
              <w:t>To preferred length</w:t>
            </w:r>
          </w:p>
        </w:tc>
      </w:tr>
      <w:tr>
        <w:tc>
          <w:tcPr>
            <w:tcW w:w="1701" w:type="dxa"/>
          </w:tcPr>
          <w:p>
            <w:pPr>
              <w:pStyle w:val="yTable"/>
              <w:jc w:val="center"/>
              <w:rPr>
                <w:sz w:val="18"/>
              </w:rPr>
            </w:pPr>
            <w:r>
              <w:rPr>
                <w:sz w:val="18"/>
              </w:rPr>
              <w:t>3.80 m</w:t>
            </w:r>
          </w:p>
        </w:tc>
        <w:tc>
          <w:tcPr>
            <w:tcW w:w="2268" w:type="dxa"/>
          </w:tcPr>
          <w:p>
            <w:pPr>
              <w:pStyle w:val="yTable"/>
              <w:jc w:val="center"/>
              <w:rPr>
                <w:sz w:val="18"/>
              </w:rPr>
            </w:pPr>
            <w:r>
              <w:rPr>
                <w:sz w:val="18"/>
              </w:rPr>
              <w:t>3.8 m</w:t>
            </w:r>
          </w:p>
        </w:tc>
        <w:tc>
          <w:tcPr>
            <w:tcW w:w="2268" w:type="dxa"/>
          </w:tcPr>
          <w:p>
            <w:pPr>
              <w:pStyle w:val="yTable"/>
              <w:jc w:val="center"/>
              <w:rPr>
                <w:sz w:val="18"/>
              </w:rPr>
            </w:pPr>
            <w:r>
              <w:rPr>
                <w:sz w:val="18"/>
              </w:rPr>
              <w:t>3.6 m</w:t>
            </w:r>
          </w:p>
        </w:tc>
      </w:tr>
      <w:tr>
        <w:tc>
          <w:tcPr>
            <w:tcW w:w="1701" w:type="dxa"/>
          </w:tcPr>
          <w:p>
            <w:pPr>
              <w:pStyle w:val="yTable"/>
              <w:jc w:val="center"/>
              <w:rPr>
                <w:sz w:val="18"/>
              </w:rPr>
            </w:pPr>
            <w:r>
              <w:rPr>
                <w:sz w:val="18"/>
              </w:rPr>
              <w:t>4.11 m</w:t>
            </w:r>
          </w:p>
        </w:tc>
        <w:tc>
          <w:tcPr>
            <w:tcW w:w="2268" w:type="dxa"/>
          </w:tcPr>
          <w:p>
            <w:pPr>
              <w:pStyle w:val="yTable"/>
              <w:jc w:val="center"/>
              <w:rPr>
                <w:sz w:val="18"/>
              </w:rPr>
            </w:pPr>
            <w:r>
              <w:rPr>
                <w:sz w:val="18"/>
              </w:rPr>
              <w:t>4.1 m</w:t>
            </w:r>
          </w:p>
        </w:tc>
        <w:tc>
          <w:tcPr>
            <w:tcW w:w="2268" w:type="dxa"/>
          </w:tcPr>
          <w:p>
            <w:pPr>
              <w:pStyle w:val="yTable"/>
              <w:jc w:val="center"/>
              <w:rPr>
                <w:sz w:val="18"/>
              </w:rPr>
            </w:pPr>
            <w:r>
              <w:rPr>
                <w:sz w:val="18"/>
              </w:rPr>
              <w:t>3.9 m</w:t>
            </w:r>
          </w:p>
        </w:tc>
      </w:tr>
      <w:tr>
        <w:tc>
          <w:tcPr>
            <w:tcW w:w="1701" w:type="dxa"/>
          </w:tcPr>
          <w:p>
            <w:pPr>
              <w:pStyle w:val="yTable"/>
              <w:jc w:val="center"/>
              <w:rPr>
                <w:sz w:val="18"/>
              </w:rPr>
            </w:pPr>
            <w:r>
              <w:rPr>
                <w:sz w:val="18"/>
              </w:rPr>
              <w:t>4.75 m</w:t>
            </w:r>
          </w:p>
        </w:tc>
        <w:tc>
          <w:tcPr>
            <w:tcW w:w="2268" w:type="dxa"/>
          </w:tcPr>
          <w:p>
            <w:pPr>
              <w:pStyle w:val="yTable"/>
              <w:jc w:val="center"/>
              <w:rPr>
                <w:sz w:val="18"/>
              </w:rPr>
            </w:pPr>
            <w:r>
              <w:rPr>
                <w:sz w:val="18"/>
              </w:rPr>
              <w:t>4.7 m</w:t>
            </w:r>
          </w:p>
        </w:tc>
        <w:tc>
          <w:tcPr>
            <w:tcW w:w="2268" w:type="dxa"/>
          </w:tcPr>
          <w:p>
            <w:pPr>
              <w:pStyle w:val="yTable"/>
              <w:jc w:val="center"/>
              <w:rPr>
                <w:sz w:val="18"/>
              </w:rPr>
            </w:pPr>
            <w:r>
              <w:rPr>
                <w:sz w:val="18"/>
              </w:rPr>
              <w:t>4.5 m</w:t>
            </w:r>
          </w:p>
        </w:tc>
      </w:tr>
      <w:tr>
        <w:tc>
          <w:tcPr>
            <w:tcW w:w="1701" w:type="dxa"/>
          </w:tcPr>
          <w:p>
            <w:pPr>
              <w:pStyle w:val="yTable"/>
              <w:jc w:val="center"/>
              <w:rPr>
                <w:sz w:val="18"/>
              </w:rPr>
            </w:pPr>
            <w:r>
              <w:rPr>
                <w:sz w:val="18"/>
              </w:rPr>
              <w:t>4.99 m</w:t>
            </w:r>
          </w:p>
        </w:tc>
        <w:tc>
          <w:tcPr>
            <w:tcW w:w="2268" w:type="dxa"/>
          </w:tcPr>
          <w:p>
            <w:pPr>
              <w:pStyle w:val="yTable"/>
              <w:jc w:val="center"/>
              <w:rPr>
                <w:sz w:val="18"/>
              </w:rPr>
            </w:pPr>
            <w:r>
              <w:rPr>
                <w:sz w:val="18"/>
              </w:rPr>
              <w:t>4.9 m</w:t>
            </w:r>
          </w:p>
        </w:tc>
        <w:tc>
          <w:tcPr>
            <w:tcW w:w="2268" w:type="dxa"/>
          </w:tcPr>
          <w:p>
            <w:pPr>
              <w:pStyle w:val="yTable"/>
              <w:jc w:val="center"/>
              <w:rPr>
                <w:sz w:val="18"/>
              </w:rPr>
            </w:pPr>
            <w:r>
              <w:rPr>
                <w:sz w:val="18"/>
              </w:rPr>
              <w:t>4.8 m</w:t>
            </w:r>
          </w:p>
        </w:tc>
      </w:tr>
    </w:tbl>
    <w:p>
      <w:pPr>
        <w:pStyle w:val="yHeading5"/>
        <w:rPr>
          <w:snapToGrid w:val="0"/>
        </w:rPr>
      </w:pPr>
      <w:bookmarkStart w:id="837" w:name="_Toc155068151"/>
      <w:bookmarkStart w:id="838" w:name="_Toc170209589"/>
      <w:r>
        <w:rPr>
          <w:snapToGrid w:val="0"/>
        </w:rPr>
        <w:t>2.</w:t>
      </w:r>
      <w:r>
        <w:rPr>
          <w:snapToGrid w:val="0"/>
        </w:rPr>
        <w:tab/>
        <w:t>Diameter measurement</w:t>
      </w:r>
      <w:bookmarkEnd w:id="837"/>
      <w:bookmarkEnd w:id="838"/>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MiscellaneousHeading"/>
        <w:rPr>
          <w:b/>
          <w:bCs/>
          <w:snapToGrid w:val="0"/>
        </w:rPr>
      </w:pPr>
      <w:r>
        <w:rPr>
          <w:b/>
          <w:bCs/>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
              <w:spacing w:before="0"/>
              <w:jc w:val="center"/>
              <w:rPr>
                <w:b/>
                <w:sz w:val="18"/>
              </w:rPr>
            </w:pPr>
            <w:r>
              <w:rPr>
                <w:b/>
                <w:sz w:val="18"/>
              </w:rPr>
              <w:t>Actual Diameter</w:t>
            </w:r>
          </w:p>
          <w:p>
            <w:pPr>
              <w:pStyle w:val="yTable"/>
              <w:spacing w:before="0"/>
              <w:jc w:val="center"/>
              <w:rPr>
                <w:b/>
                <w:sz w:val="18"/>
              </w:rPr>
            </w:pPr>
            <w:r>
              <w:rPr>
                <w:b/>
                <w:sz w:val="18"/>
              </w:rPr>
              <w:t>(mm)</w:t>
            </w:r>
          </w:p>
        </w:tc>
        <w:tc>
          <w:tcPr>
            <w:tcW w:w="3119" w:type="dxa"/>
          </w:tcPr>
          <w:p>
            <w:pPr>
              <w:pStyle w:val="yTable"/>
              <w:spacing w:before="0"/>
              <w:jc w:val="center"/>
              <w:rPr>
                <w:b/>
                <w:sz w:val="18"/>
              </w:rPr>
            </w:pPr>
            <w:r>
              <w:rPr>
                <w:b/>
                <w:sz w:val="18"/>
              </w:rPr>
              <w:t>Entry on the Log Delivery Note</w:t>
            </w:r>
          </w:p>
          <w:p>
            <w:pPr>
              <w:pStyle w:val="yTable"/>
              <w:spacing w:before="0"/>
              <w:jc w:val="center"/>
              <w:rPr>
                <w:b/>
                <w:sz w:val="18"/>
              </w:rPr>
            </w:pPr>
            <w:r>
              <w:rPr>
                <w:b/>
                <w:sz w:val="18"/>
              </w:rPr>
              <w:t>(50 mm log class)</w:t>
            </w:r>
          </w:p>
          <w:p>
            <w:pPr>
              <w:pStyle w:val="yTable"/>
              <w:spacing w:before="0"/>
              <w:jc w:val="center"/>
              <w:rPr>
                <w:b/>
                <w:sz w:val="18"/>
              </w:rPr>
            </w:pPr>
            <w:r>
              <w:rPr>
                <w:b/>
                <w:sz w:val="18"/>
              </w:rPr>
              <w:t>(mm)</w:t>
            </w:r>
          </w:p>
        </w:tc>
      </w:tr>
      <w:tr>
        <w:tc>
          <w:tcPr>
            <w:tcW w:w="3118" w:type="dxa"/>
          </w:tcPr>
          <w:p>
            <w:pPr>
              <w:pStyle w:val="yTable"/>
              <w:spacing w:before="0"/>
              <w:jc w:val="center"/>
              <w:rPr>
                <w:sz w:val="18"/>
              </w:rPr>
            </w:pPr>
            <w:r>
              <w:rPr>
                <w:sz w:val="18"/>
              </w:rPr>
              <w:t>440</w:t>
            </w:r>
          </w:p>
        </w:tc>
        <w:tc>
          <w:tcPr>
            <w:tcW w:w="3119" w:type="dxa"/>
          </w:tcPr>
          <w:p>
            <w:pPr>
              <w:pStyle w:val="yTable"/>
              <w:spacing w:before="0"/>
              <w:jc w:val="center"/>
              <w:rPr>
                <w:sz w:val="18"/>
              </w:rPr>
            </w:pPr>
            <w:r>
              <w:rPr>
                <w:sz w:val="18"/>
              </w:rPr>
              <w:t>400</w:t>
            </w:r>
          </w:p>
        </w:tc>
      </w:tr>
      <w:tr>
        <w:tc>
          <w:tcPr>
            <w:tcW w:w="3118" w:type="dxa"/>
          </w:tcPr>
          <w:p>
            <w:pPr>
              <w:pStyle w:val="yTable"/>
              <w:spacing w:before="0"/>
              <w:jc w:val="center"/>
              <w:rPr>
                <w:sz w:val="18"/>
              </w:rPr>
            </w:pPr>
            <w:r>
              <w:rPr>
                <w:sz w:val="18"/>
              </w:rPr>
              <w:t>465</w:t>
            </w:r>
          </w:p>
        </w:tc>
        <w:tc>
          <w:tcPr>
            <w:tcW w:w="3119" w:type="dxa"/>
          </w:tcPr>
          <w:p>
            <w:pPr>
              <w:pStyle w:val="yTable"/>
              <w:spacing w:before="0"/>
              <w:jc w:val="center"/>
              <w:rPr>
                <w:sz w:val="18"/>
              </w:rPr>
            </w:pPr>
            <w:r>
              <w:rPr>
                <w:sz w:val="18"/>
              </w:rPr>
              <w:t>450</w:t>
            </w:r>
          </w:p>
        </w:tc>
      </w:tr>
      <w:tr>
        <w:tc>
          <w:tcPr>
            <w:tcW w:w="3118" w:type="dxa"/>
          </w:tcPr>
          <w:p>
            <w:pPr>
              <w:pStyle w:val="yTable"/>
              <w:spacing w:before="0"/>
              <w:jc w:val="center"/>
              <w:rPr>
                <w:sz w:val="18"/>
              </w:rPr>
            </w:pPr>
            <w:r>
              <w:rPr>
                <w:sz w:val="18"/>
              </w:rPr>
              <w:t>331</w:t>
            </w:r>
          </w:p>
        </w:tc>
        <w:tc>
          <w:tcPr>
            <w:tcW w:w="3119" w:type="dxa"/>
          </w:tcPr>
          <w:p>
            <w:pPr>
              <w:pStyle w:val="yTable"/>
              <w:spacing w:before="0"/>
              <w:jc w:val="center"/>
              <w:rPr>
                <w:sz w:val="18"/>
              </w:rPr>
            </w:pPr>
            <w:r>
              <w:rPr>
                <w:sz w:val="18"/>
              </w:rPr>
              <w:t>300</w:t>
            </w:r>
          </w:p>
        </w:tc>
      </w:tr>
      <w:tr>
        <w:tc>
          <w:tcPr>
            <w:tcW w:w="3118" w:type="dxa"/>
          </w:tcPr>
          <w:p>
            <w:pPr>
              <w:pStyle w:val="yTable"/>
              <w:spacing w:before="0"/>
              <w:jc w:val="center"/>
              <w:rPr>
                <w:sz w:val="18"/>
              </w:rPr>
            </w:pPr>
            <w:r>
              <w:rPr>
                <w:sz w:val="18"/>
              </w:rPr>
              <w:t>499</w:t>
            </w:r>
          </w:p>
        </w:tc>
        <w:tc>
          <w:tcPr>
            <w:tcW w:w="3119" w:type="dxa"/>
          </w:tcPr>
          <w:p>
            <w:pPr>
              <w:pStyle w:val="yTable"/>
              <w:spacing w:before="0"/>
              <w:jc w:val="center"/>
              <w:rPr>
                <w:sz w:val="18"/>
              </w:rPr>
            </w:pPr>
            <w:r>
              <w:rPr>
                <w:sz w:val="18"/>
              </w:rPr>
              <w:t>450</w:t>
            </w:r>
          </w:p>
        </w:tc>
      </w:tr>
    </w:tbl>
    <w:p>
      <w:pPr>
        <w:pStyle w:val="yHeading5"/>
        <w:rPr>
          <w:snapToGrid w:val="0"/>
        </w:rPr>
      </w:pPr>
      <w:bookmarkStart w:id="839" w:name="_Toc155068152"/>
      <w:bookmarkStart w:id="840" w:name="_Toc170209590"/>
      <w:r>
        <w:rPr>
          <w:snapToGrid w:val="0"/>
        </w:rPr>
        <w:t>3.</w:t>
      </w:r>
      <w:r>
        <w:rPr>
          <w:snapToGrid w:val="0"/>
        </w:rPr>
        <w:tab/>
        <w:t>Calculation of volume</w:t>
      </w:r>
      <w:bookmarkEnd w:id="839"/>
      <w:bookmarkEnd w:id="840"/>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841" w:name="_Toc155068153"/>
      <w:bookmarkStart w:id="842" w:name="_Toc170209591"/>
      <w:r>
        <w:t>Part C — Determination of quantity of log timber by weighing</w:t>
      </w:r>
      <w:bookmarkEnd w:id="841"/>
      <w:bookmarkEnd w:id="842"/>
    </w:p>
    <w:p>
      <w:pPr>
        <w:pStyle w:val="yHeading5"/>
        <w:rPr>
          <w:snapToGrid w:val="0"/>
        </w:rPr>
      </w:pPr>
    </w:p>
    <w:p>
      <w:pPr>
        <w:pStyle w:val="ySubsection"/>
        <w:rPr>
          <w:snapToGrid w:val="0"/>
        </w:rPr>
      </w:pPr>
      <w:r>
        <w:rPr>
          <w:snapToGrid w:val="0"/>
        </w:rPr>
        <w:tab/>
      </w:r>
      <w:r>
        <w:rPr>
          <w:snapToGrid w:val="0"/>
        </w:rPr>
        <w:tab/>
        <w:t>For the purpose of determining the quantity of log timber by weighing the following provisions shall be complied with — </w:t>
      </w:r>
    </w:p>
    <w:p>
      <w:pPr>
        <w:pStyle w:val="yHeading5"/>
        <w:rPr>
          <w:snapToGrid w:val="0"/>
        </w:rPr>
      </w:pPr>
      <w:bookmarkStart w:id="843" w:name="_Toc155068154"/>
      <w:bookmarkStart w:id="844" w:name="_Toc170209592"/>
      <w:r>
        <w:rPr>
          <w:snapToGrid w:val="0"/>
        </w:rPr>
        <w:t>1.</w:t>
      </w:r>
      <w:r>
        <w:rPr>
          <w:snapToGrid w:val="0"/>
        </w:rPr>
        <w:tab/>
        <w:t>Equipment</w:t>
      </w:r>
      <w:bookmarkEnd w:id="843"/>
      <w:bookmarkEnd w:id="844"/>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Executive Director.</w:t>
      </w:r>
    </w:p>
    <w:p>
      <w:pPr>
        <w:pStyle w:val="yHeading5"/>
        <w:rPr>
          <w:snapToGrid w:val="0"/>
        </w:rPr>
      </w:pPr>
      <w:bookmarkStart w:id="845" w:name="_Toc155068155"/>
      <w:bookmarkStart w:id="846" w:name="_Toc170209593"/>
      <w:r>
        <w:rPr>
          <w:snapToGrid w:val="0"/>
        </w:rPr>
        <w:t>2.</w:t>
      </w:r>
      <w:r>
        <w:rPr>
          <w:snapToGrid w:val="0"/>
        </w:rPr>
        <w:tab/>
        <w:t>Printer requirements</w:t>
      </w:r>
      <w:bookmarkEnd w:id="845"/>
      <w:bookmarkEnd w:id="846"/>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 </w:t>
      </w:r>
    </w:p>
    <w:p>
      <w:pPr>
        <w:pStyle w:val="yIndenta"/>
        <w:rPr>
          <w:snapToGrid w:val="0"/>
        </w:rPr>
      </w:pPr>
      <w:r>
        <w:rPr>
          <w:snapToGrid w:val="0"/>
        </w:rPr>
        <w:tab/>
        <w:t>(a)</w:t>
      </w:r>
      <w:r>
        <w:rPr>
          <w:snapToGrid w:val="0"/>
        </w:rPr>
        <w:tab/>
        <w:t>the time and date of weighing;</w:t>
      </w:r>
    </w:p>
    <w:p>
      <w:pPr>
        <w:pStyle w:val="yIndenta"/>
        <w:rPr>
          <w:snapToGrid w:val="0"/>
        </w:rPr>
      </w:pPr>
      <w:r>
        <w:rPr>
          <w:snapToGrid w:val="0"/>
        </w:rPr>
        <w:tab/>
        <w:t>(b)</w:t>
      </w:r>
      <w:r>
        <w:rPr>
          <w:snapToGrid w:val="0"/>
        </w:rPr>
        <w:tab/>
        <w:t>the place of weighing i.e. details of the weighbridge used;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rPr>
          <w:snapToGrid w:val="0"/>
        </w:rPr>
      </w:pPr>
      <w:bookmarkStart w:id="847" w:name="_Toc155068156"/>
      <w:bookmarkStart w:id="848" w:name="_Toc170209594"/>
      <w:r>
        <w:rPr>
          <w:snapToGrid w:val="0"/>
        </w:rPr>
        <w:t>3.</w:t>
      </w:r>
      <w:r>
        <w:rPr>
          <w:snapToGrid w:val="0"/>
        </w:rPr>
        <w:tab/>
        <w:t>Weighing procedure at an “on site” weighbridge</w:t>
      </w:r>
      <w:bookmarkEnd w:id="847"/>
      <w:bookmarkEnd w:id="848"/>
    </w:p>
    <w:p>
      <w:pPr>
        <w:pStyle w:val="ySubsection"/>
        <w:rPr>
          <w:snapToGrid w:val="0"/>
        </w:rPr>
      </w:pPr>
      <w:r>
        <w:rPr>
          <w:snapToGrid w:val="0"/>
        </w:rPr>
        <w:tab/>
      </w:r>
      <w:r>
        <w:rPr>
          <w:snapToGrid w:val="0"/>
        </w:rPr>
        <w:tab/>
        <w:t>Where weighing of log timber is to be carried out on a weighbridge at the sawmill where the timber is to be processed —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rPr>
          <w:snapToGrid w:val="0"/>
        </w:rPr>
      </w:pPr>
      <w:bookmarkStart w:id="849" w:name="_Toc155068157"/>
      <w:bookmarkStart w:id="850" w:name="_Toc170209595"/>
      <w:r>
        <w:rPr>
          <w:snapToGrid w:val="0"/>
        </w:rPr>
        <w:t>4.</w:t>
      </w:r>
      <w:r>
        <w:rPr>
          <w:snapToGrid w:val="0"/>
        </w:rPr>
        <w:tab/>
        <w:t>Weighing procedure at an “off site” weighbridge</w:t>
      </w:r>
      <w:bookmarkEnd w:id="849"/>
      <w:bookmarkEnd w:id="850"/>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Executive Director a method other than weighing at a weighbridge may be used to determine the tare weight of a vehicle;</w:t>
      </w:r>
    </w:p>
    <w:p>
      <w:pPr>
        <w:pStyle w:val="yIndenta"/>
        <w:rPr>
          <w:snapToGrid w:val="0"/>
        </w:rPr>
      </w:pPr>
      <w:r>
        <w:rPr>
          <w:snapToGrid w:val="0"/>
        </w:rPr>
        <w:tab/>
        <w:t>(f)</w:t>
      </w:r>
      <w:r>
        <w:rPr>
          <w:snapToGrid w:val="0"/>
        </w:rPr>
        <w:tab/>
        <w:t xml:space="preserve">the net weight of a load shall be determined by deducting the tare weight of the vehicle from the gross weight of the load; </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rPr>
          <w:snapToGrid w:val="0"/>
        </w:rPr>
      </w:pPr>
      <w:r>
        <w:rPr>
          <w:snapToGrid w:val="0"/>
        </w:rPr>
        <w:tab/>
      </w:r>
      <w:bookmarkStart w:id="851" w:name="_Toc155068158"/>
      <w:bookmarkStart w:id="852" w:name="_Toc170209596"/>
      <w:r>
        <w:rPr>
          <w:snapToGrid w:val="0"/>
        </w:rPr>
        <w:t>Procedure on breakdown of weighing equipment</w:t>
      </w:r>
      <w:bookmarkEnd w:id="851"/>
      <w:bookmarkEnd w:id="852"/>
    </w:p>
    <w:p>
      <w:pPr>
        <w:pStyle w:val="ySubsection"/>
        <w:rPr>
          <w:snapToGrid w:val="0"/>
        </w:rPr>
      </w:pPr>
      <w:r>
        <w:rPr>
          <w:snapToGrid w:val="0"/>
        </w:rPr>
        <w:tab/>
        <w:t>5.1</w:t>
      </w:r>
      <w:r>
        <w:rPr>
          <w:snapToGrid w:val="0"/>
        </w:rPr>
        <w:tab/>
        <w:t>Where weighing equipment that has been approved by the Executive Director for the weighing of log timber breaks down, the manager of the sawmill at which the weighbridge is located shall immediately notify the forest officer in charge of the district in which the sawmill is located of the breakdown.</w:t>
      </w:r>
    </w:p>
    <w:p>
      <w:pPr>
        <w:pStyle w:val="ySubsection"/>
        <w:keepNext/>
        <w:rPr>
          <w:snapToGrid w:val="0"/>
        </w:rPr>
      </w:pPr>
      <w:r>
        <w:rPr>
          <w:snapToGrid w:val="0"/>
        </w:rPr>
        <w:tab/>
        <w:t>5.2</w:t>
      </w:r>
      <w:r>
        <w:rPr>
          <w:snapToGrid w:val="0"/>
        </w:rPr>
        <w:tab/>
        <w:t>In the event of a breakdown referred to in clause 5.1, the Executive Director may authorize — </w:t>
      </w:r>
    </w:p>
    <w:p>
      <w:pPr>
        <w:pStyle w:val="yIndenta"/>
        <w:rPr>
          <w:snapToGrid w:val="0"/>
        </w:rPr>
      </w:pPr>
      <w:r>
        <w:rPr>
          <w:snapToGrid w:val="0"/>
        </w:rPr>
        <w:tab/>
        <w:t>(a)</w:t>
      </w:r>
      <w:r>
        <w:rPr>
          <w:snapToGrid w:val="0"/>
        </w:rPr>
        <w:tab/>
        <w:t>use of alternative weighing equipment;</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Subsection"/>
        <w:rPr>
          <w:snapToGrid w:val="0"/>
        </w:rPr>
      </w:pPr>
      <w:r>
        <w:rPr>
          <w:snapToGrid w:val="0"/>
        </w:rPr>
        <w:tab/>
        <w:t>5.3</w:t>
      </w:r>
      <w:r>
        <w:rPr>
          <w:snapToGrid w:val="0"/>
        </w:rPr>
        <w:tab/>
        <w:t>In the event of a breakdown, the quantity of log timber shall be determined by use of the alternative method approved under clause 5.2 until the weighing equipment is repaired.</w:t>
      </w:r>
    </w:p>
    <w:p>
      <w:pPr>
        <w:pStyle w:val="yHeading5"/>
        <w:rPr>
          <w:snapToGrid w:val="0"/>
        </w:rPr>
      </w:pPr>
      <w:bookmarkStart w:id="853" w:name="_Toc155068159"/>
      <w:bookmarkStart w:id="854" w:name="_Toc170209597"/>
      <w:r>
        <w:rPr>
          <w:snapToGrid w:val="0"/>
        </w:rPr>
        <w:t>6.</w:t>
      </w:r>
      <w:r>
        <w:rPr>
          <w:snapToGrid w:val="0"/>
        </w:rPr>
        <w:tab/>
        <w:t>Procedure where vehicle and trailer cannot be weighed together</w:t>
      </w:r>
      <w:bookmarkEnd w:id="853"/>
      <w:bookmarkEnd w:id="854"/>
    </w:p>
    <w:p>
      <w:pPr>
        <w:pStyle w:val="ySubsection"/>
        <w:rPr>
          <w:snapToGrid w:val="0"/>
        </w:rPr>
      </w:pPr>
      <w:r>
        <w:rPr>
          <w:snapToGrid w:val="0"/>
        </w:rPr>
        <w:tab/>
      </w:r>
      <w:r>
        <w:rPr>
          <w:snapToGrid w:val="0"/>
        </w:rPr>
        <w:tab/>
        <w:t>Where a vehicle and a trailer carrying log timber cannot be weighed together on a weighbridge, then the vehicle and the trailer —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855" w:name="_Toc155068160"/>
      <w:bookmarkStart w:id="856" w:name="_Toc170209598"/>
      <w:r>
        <w:t>Part D — Determination of volume of log timber by bin measure</w:t>
      </w:r>
      <w:bookmarkEnd w:id="855"/>
      <w:bookmarkEnd w:id="856"/>
    </w:p>
    <w:p>
      <w:pPr>
        <w:pStyle w:val="yHeading5"/>
        <w:rPr>
          <w:snapToGrid w:val="0"/>
        </w:rPr>
      </w:pPr>
    </w:p>
    <w:p>
      <w:pPr>
        <w:pStyle w:val="ySubsection"/>
        <w:rPr>
          <w:snapToGrid w:val="0"/>
        </w:rPr>
      </w:pPr>
      <w:r>
        <w:rPr>
          <w:snapToGrid w:val="0"/>
        </w:rPr>
        <w:tab/>
      </w:r>
      <w:r>
        <w:rPr>
          <w:snapToGrid w:val="0"/>
        </w:rPr>
        <w:tab/>
        <w:t>For the purpose of determining the volume of log timber by bin measurement the following provisions shall be complied with — </w:t>
      </w:r>
    </w:p>
    <w:p>
      <w:pPr>
        <w:pStyle w:val="yHeading5"/>
        <w:rPr>
          <w:snapToGrid w:val="0"/>
        </w:rPr>
      </w:pPr>
      <w:bookmarkStart w:id="857" w:name="_Toc155068161"/>
      <w:bookmarkStart w:id="858" w:name="_Toc170209599"/>
      <w:r>
        <w:rPr>
          <w:snapToGrid w:val="0"/>
        </w:rPr>
        <w:t>1.</w:t>
      </w:r>
      <w:r>
        <w:rPr>
          <w:snapToGrid w:val="0"/>
        </w:rPr>
        <w:tab/>
        <w:t>Length of timber</w:t>
      </w:r>
      <w:bookmarkEnd w:id="857"/>
      <w:bookmarkEnd w:id="858"/>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rPr>
          <w:snapToGrid w:val="0"/>
        </w:rPr>
      </w:pPr>
      <w:bookmarkStart w:id="859" w:name="_Toc155068162"/>
      <w:bookmarkStart w:id="860" w:name="_Toc170209600"/>
      <w:r>
        <w:rPr>
          <w:snapToGrid w:val="0"/>
        </w:rPr>
        <w:t>2.</w:t>
      </w:r>
      <w:r>
        <w:rPr>
          <w:snapToGrid w:val="0"/>
        </w:rPr>
        <w:tab/>
        <w:t>Height of load</w:t>
      </w:r>
      <w:bookmarkEnd w:id="859"/>
      <w:bookmarkEnd w:id="860"/>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Next/>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rPr>
          <w:snapToGrid w:val="0"/>
        </w:rPr>
      </w:pPr>
      <w:bookmarkStart w:id="861" w:name="_Toc155068163"/>
      <w:bookmarkStart w:id="862" w:name="_Toc170209601"/>
      <w:r>
        <w:rPr>
          <w:snapToGrid w:val="0"/>
        </w:rPr>
        <w:t>3.</w:t>
      </w:r>
      <w:r>
        <w:rPr>
          <w:snapToGrid w:val="0"/>
        </w:rPr>
        <w:tab/>
        <w:t>Width of load</w:t>
      </w:r>
      <w:bookmarkEnd w:id="861"/>
      <w:bookmarkEnd w:id="862"/>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rPr>
          <w:snapToGrid w:val="0"/>
        </w:rPr>
      </w:pPr>
      <w:bookmarkStart w:id="863" w:name="_Toc155068164"/>
      <w:bookmarkStart w:id="864" w:name="_Toc170209602"/>
      <w:r>
        <w:rPr>
          <w:snapToGrid w:val="0"/>
        </w:rPr>
        <w:t>4.</w:t>
      </w:r>
      <w:r>
        <w:rPr>
          <w:snapToGrid w:val="0"/>
        </w:rPr>
        <w:tab/>
        <w:t>Stacking of timber</w:t>
      </w:r>
      <w:bookmarkEnd w:id="863"/>
      <w:bookmarkEnd w:id="864"/>
    </w:p>
    <w:p>
      <w:pPr>
        <w:pStyle w:val="ySubsection"/>
        <w:rPr>
          <w:snapToGrid w:val="0"/>
        </w:rPr>
      </w:pPr>
      <w:r>
        <w:rPr>
          <w:snapToGrid w:val="0"/>
        </w:rPr>
        <w:tab/>
      </w:r>
      <w:r>
        <w:rPr>
          <w:snapToGrid w:val="0"/>
        </w:rPr>
        <w:tab/>
        <w:t>Logs in a bin must be stacked uniformly and so that no logs are crossed.</w:t>
      </w:r>
    </w:p>
    <w:p>
      <w:pPr>
        <w:pStyle w:val="yHeading5"/>
        <w:rPr>
          <w:snapToGrid w:val="0"/>
        </w:rPr>
      </w:pPr>
      <w:bookmarkStart w:id="865" w:name="_Toc155068165"/>
      <w:bookmarkStart w:id="866" w:name="_Toc170209603"/>
      <w:r>
        <w:rPr>
          <w:snapToGrid w:val="0"/>
        </w:rPr>
        <w:t>5.</w:t>
      </w:r>
      <w:r>
        <w:rPr>
          <w:snapToGrid w:val="0"/>
        </w:rPr>
        <w:tab/>
        <w:t>Miscellaneous</w:t>
      </w:r>
      <w:bookmarkEnd w:id="865"/>
      <w:bookmarkEnd w:id="866"/>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rPr>
          <w:snapToGrid w:val="0"/>
        </w:rPr>
      </w:pPr>
      <w:bookmarkStart w:id="867" w:name="_Toc155068166"/>
      <w:bookmarkStart w:id="868" w:name="_Toc170209604"/>
      <w:r>
        <w:rPr>
          <w:snapToGrid w:val="0"/>
        </w:rPr>
        <w:t>6.</w:t>
      </w:r>
      <w:r>
        <w:rPr>
          <w:snapToGrid w:val="0"/>
        </w:rPr>
        <w:tab/>
        <w:t>Calculation of volume</w:t>
      </w:r>
      <w:bookmarkEnd w:id="867"/>
      <w:bookmarkEnd w:id="868"/>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869" w:name="_Toc155068167"/>
      <w:bookmarkStart w:id="870" w:name="_Toc170209605"/>
      <w:r>
        <w:t>Part E — Determination of volume of log timber by infra red log scanner</w:t>
      </w:r>
      <w:bookmarkEnd w:id="869"/>
      <w:bookmarkEnd w:id="870"/>
    </w:p>
    <w:p>
      <w:pPr>
        <w:pStyle w:val="yHeading5"/>
        <w:rPr>
          <w:snapToGrid w:val="0"/>
        </w:rPr>
      </w:pPr>
    </w:p>
    <w:p>
      <w:pPr>
        <w:pStyle w:val="ySubsection"/>
        <w:rPr>
          <w:snapToGrid w:val="0"/>
        </w:rPr>
      </w:pPr>
      <w:r>
        <w:rPr>
          <w:snapToGrid w:val="0"/>
        </w:rPr>
        <w:tab/>
      </w:r>
      <w:r>
        <w:rPr>
          <w:snapToGrid w:val="0"/>
        </w:rPr>
        <w:tab/>
        <w:t>For the purpose of determining the volume of log timber by infra red log scanner the following provisions shall be complied with — </w:t>
      </w:r>
    </w:p>
    <w:p>
      <w:pPr>
        <w:pStyle w:val="yHeading5"/>
        <w:rPr>
          <w:snapToGrid w:val="0"/>
        </w:rPr>
      </w:pPr>
      <w:bookmarkStart w:id="871" w:name="_Toc155068168"/>
      <w:bookmarkStart w:id="872" w:name="_Toc170209606"/>
      <w:r>
        <w:rPr>
          <w:snapToGrid w:val="0"/>
        </w:rPr>
        <w:t>1.</w:t>
      </w:r>
      <w:r>
        <w:rPr>
          <w:snapToGrid w:val="0"/>
        </w:rPr>
        <w:tab/>
        <w:t>Interpretation</w:t>
      </w:r>
      <w:bookmarkEnd w:id="871"/>
      <w:bookmarkEnd w:id="872"/>
    </w:p>
    <w:p>
      <w:pPr>
        <w:pStyle w:val="ySubsection"/>
        <w:rPr>
          <w:snapToGrid w:val="0"/>
        </w:rPr>
      </w:pPr>
      <w:r>
        <w:rPr>
          <w:snapToGrid w:val="0"/>
        </w:rPr>
        <w:tab/>
      </w:r>
      <w:r>
        <w:rPr>
          <w:snapToGrid w:val="0"/>
        </w:rPr>
        <w:tab/>
        <w:t>In this Part — </w:t>
      </w:r>
    </w:p>
    <w:p>
      <w:pPr>
        <w:pStyle w:val="yDefstart"/>
      </w:pPr>
      <w:r>
        <w:rPr>
          <w:b/>
        </w:rPr>
        <w:tab/>
      </w:r>
      <w:del w:id="873" w:author="Master Repository Process" w:date="2021-08-01T15:45:00Z">
        <w:r>
          <w:rPr>
            <w:b/>
          </w:rPr>
          <w:delText>“</w:delText>
        </w:r>
      </w:del>
      <w:r>
        <w:rPr>
          <w:rStyle w:val="CharDefText"/>
        </w:rPr>
        <w:t>log scanner</w:t>
      </w:r>
      <w:del w:id="874" w:author="Master Repository Process" w:date="2021-08-01T15:45:00Z">
        <w:r>
          <w:rPr>
            <w:b/>
          </w:rPr>
          <w:delText>”</w:delText>
        </w:r>
      </w:del>
      <w:r>
        <w:t xml:space="preserve"> means a computerized instrument designed —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del w:id="875" w:author="Master Repository Process" w:date="2021-08-01T15:45:00Z">
        <w:r>
          <w:rPr>
            <w:b/>
          </w:rPr>
          <w:delText>“</w:delText>
        </w:r>
      </w:del>
      <w:r>
        <w:rPr>
          <w:rStyle w:val="CharDefText"/>
        </w:rPr>
        <w:t>scanner computer</w:t>
      </w:r>
      <w:del w:id="876" w:author="Master Repository Process" w:date="2021-08-01T15:45:00Z">
        <w:r>
          <w:rPr>
            <w:b/>
          </w:rPr>
          <w:delText>”</w:delText>
        </w:r>
      </w:del>
      <w:r>
        <w:t xml:space="preserve"> means a computer operating a computer program and connected to a log scanner for the purpose of — </w:t>
      </w:r>
    </w:p>
    <w:p>
      <w:pPr>
        <w:pStyle w:val="yDefpara"/>
      </w:pPr>
      <w:r>
        <w:tab/>
        <w:t>(a)</w:t>
      </w:r>
      <w:r>
        <w:tab/>
        <w:t>receiving measurement signals from the scanner;</w:t>
      </w:r>
    </w:p>
    <w:p>
      <w:pPr>
        <w:pStyle w:val="yDefpara"/>
      </w:pPr>
      <w:r>
        <w:tab/>
        <w:t>(b)</w:t>
      </w:r>
      <w:r>
        <w:tab/>
        <w:t>interpreting and processing — </w:t>
      </w:r>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del w:id="877" w:author="Master Repository Process" w:date="2021-08-01T15:45:00Z">
        <w:r>
          <w:tab/>
        </w:r>
      </w:del>
      <w:r>
        <w:tab/>
        <w:t>and producing reports based on that information.</w:t>
      </w:r>
    </w:p>
    <w:p>
      <w:pPr>
        <w:pStyle w:val="yHeading5"/>
        <w:rPr>
          <w:snapToGrid w:val="0"/>
        </w:rPr>
      </w:pPr>
      <w:bookmarkStart w:id="878" w:name="_Toc155068169"/>
      <w:bookmarkStart w:id="879" w:name="_Toc170209607"/>
      <w:r>
        <w:rPr>
          <w:snapToGrid w:val="0"/>
        </w:rPr>
        <w:t>2.</w:t>
      </w:r>
      <w:r>
        <w:rPr>
          <w:snapToGrid w:val="0"/>
        </w:rPr>
        <w:tab/>
        <w:t>Equipment to be approved by the Executive Director</w:t>
      </w:r>
      <w:bookmarkEnd w:id="878"/>
      <w:bookmarkEnd w:id="879"/>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Executive Director.</w:t>
      </w:r>
    </w:p>
    <w:p>
      <w:pPr>
        <w:pStyle w:val="yHeading5"/>
        <w:rPr>
          <w:snapToGrid w:val="0"/>
        </w:rPr>
      </w:pPr>
      <w:bookmarkStart w:id="880" w:name="_Toc155068170"/>
      <w:bookmarkStart w:id="881" w:name="_Toc170209608"/>
      <w:r>
        <w:rPr>
          <w:snapToGrid w:val="0"/>
        </w:rPr>
        <w:t>3.</w:t>
      </w:r>
      <w:r>
        <w:rPr>
          <w:snapToGrid w:val="0"/>
        </w:rPr>
        <w:tab/>
        <w:t>Verification before each shift</w:t>
      </w:r>
      <w:bookmarkEnd w:id="880"/>
      <w:bookmarkEnd w:id="881"/>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rPr>
          <w:snapToGrid w:val="0"/>
        </w:rPr>
      </w:pPr>
      <w:bookmarkStart w:id="882" w:name="_Toc155068171"/>
      <w:bookmarkStart w:id="883" w:name="_Toc170209609"/>
      <w:r>
        <w:rPr>
          <w:snapToGrid w:val="0"/>
        </w:rPr>
        <w:t>4.</w:t>
      </w:r>
      <w:r>
        <w:rPr>
          <w:snapToGrid w:val="0"/>
        </w:rPr>
        <w:tab/>
        <w:t>Verification after interruption</w:t>
      </w:r>
      <w:bookmarkEnd w:id="882"/>
      <w:bookmarkEnd w:id="883"/>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 </w:t>
      </w:r>
    </w:p>
    <w:p>
      <w:pPr>
        <w:pStyle w:val="yIndenta"/>
        <w:rPr>
          <w:snapToGrid w:val="0"/>
        </w:rPr>
      </w:pPr>
      <w:r>
        <w:rPr>
          <w:snapToGrid w:val="0"/>
        </w:rPr>
        <w:tab/>
        <w:t>(a)</w:t>
      </w:r>
      <w:r>
        <w:rPr>
          <w:snapToGrid w:val="0"/>
        </w:rPr>
        <w:tab/>
        <w:t>maintenance or adjustment of the log scanner;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rPr>
          <w:snapToGrid w:val="0"/>
        </w:rPr>
      </w:pPr>
      <w:bookmarkStart w:id="884" w:name="_Toc155068172"/>
      <w:bookmarkStart w:id="885" w:name="_Toc170209610"/>
      <w:r>
        <w:rPr>
          <w:snapToGrid w:val="0"/>
        </w:rPr>
        <w:t>5.</w:t>
      </w:r>
      <w:r>
        <w:rPr>
          <w:snapToGrid w:val="0"/>
        </w:rPr>
        <w:tab/>
        <w:t>Measurement verification test</w:t>
      </w:r>
      <w:bookmarkEnd w:id="884"/>
      <w:bookmarkEnd w:id="885"/>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 xml:space="preserve">by verifying the measurements obtained from the scanner computer against the measurement of the test object determined by the forest officer under clause 6. </w:t>
      </w:r>
    </w:p>
    <w:p>
      <w:pPr>
        <w:pStyle w:val="yHeading5"/>
        <w:rPr>
          <w:snapToGrid w:val="0"/>
        </w:rPr>
      </w:pPr>
      <w:bookmarkStart w:id="886" w:name="_Toc155068173"/>
      <w:bookmarkStart w:id="887" w:name="_Toc170209611"/>
      <w:r>
        <w:rPr>
          <w:snapToGrid w:val="0"/>
        </w:rPr>
        <w:t>6.</w:t>
      </w:r>
      <w:r>
        <w:rPr>
          <w:snapToGrid w:val="0"/>
        </w:rPr>
        <w:tab/>
        <w:t>Approval of test object</w:t>
      </w:r>
      <w:bookmarkEnd w:id="886"/>
      <w:bookmarkEnd w:id="887"/>
    </w:p>
    <w:p>
      <w:pPr>
        <w:pStyle w:val="ySubsection"/>
        <w:keepNext/>
        <w:rPr>
          <w:snapToGrid w:val="0"/>
        </w:rPr>
      </w:pPr>
      <w:r>
        <w:rPr>
          <w:snapToGrid w:val="0"/>
        </w:rPr>
        <w:tab/>
      </w:r>
      <w:r>
        <w:rPr>
          <w:snapToGrid w:val="0"/>
        </w:rPr>
        <w:tab/>
        <w:t>A test object shall not be used for a measurement verification test referred to in clause 5 unless —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rPr>
          <w:snapToGrid w:val="0"/>
        </w:rPr>
      </w:pPr>
      <w:bookmarkStart w:id="888" w:name="_Toc155068174"/>
      <w:bookmarkStart w:id="889" w:name="_Toc170209612"/>
      <w:r>
        <w:rPr>
          <w:snapToGrid w:val="0"/>
        </w:rPr>
        <w:t>7.</w:t>
      </w:r>
      <w:r>
        <w:rPr>
          <w:snapToGrid w:val="0"/>
        </w:rPr>
        <w:tab/>
        <w:t>Verification tolerance limits</w:t>
      </w:r>
      <w:bookmarkEnd w:id="888"/>
      <w:bookmarkEnd w:id="889"/>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rPr>
          <w:snapToGrid w:val="0"/>
        </w:rPr>
      </w:pPr>
      <w:bookmarkStart w:id="890" w:name="_Toc155068175"/>
      <w:bookmarkStart w:id="891" w:name="_Toc170209613"/>
      <w:r>
        <w:rPr>
          <w:snapToGrid w:val="0"/>
        </w:rPr>
        <w:t>8.</w:t>
      </w:r>
      <w:r>
        <w:rPr>
          <w:snapToGrid w:val="0"/>
        </w:rPr>
        <w:tab/>
        <w:t>Procedure where verification tolerance limits not met</w:t>
      </w:r>
      <w:bookmarkEnd w:id="890"/>
      <w:bookmarkEnd w:id="891"/>
      <w:r>
        <w:rPr>
          <w:snapToGrid w:val="0"/>
        </w:rPr>
        <w:t xml:space="preserve"> </w:t>
      </w:r>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rPr>
          <w:snapToGrid w:val="0"/>
        </w:rPr>
      </w:pPr>
      <w:bookmarkStart w:id="892" w:name="_Toc155068176"/>
      <w:bookmarkStart w:id="893" w:name="_Toc170209614"/>
      <w:r>
        <w:rPr>
          <w:snapToGrid w:val="0"/>
        </w:rPr>
        <w:t>9.</w:t>
      </w:r>
      <w:r>
        <w:rPr>
          <w:snapToGrid w:val="0"/>
        </w:rPr>
        <w:tab/>
        <w:t>Processing of log timber</w:t>
      </w:r>
      <w:bookmarkEnd w:id="892"/>
      <w:bookmarkEnd w:id="893"/>
    </w:p>
    <w:p>
      <w:pPr>
        <w:pStyle w:val="ySubsection"/>
        <w:rPr>
          <w:snapToGrid w:val="0"/>
        </w:rPr>
      </w:pPr>
      <w:r>
        <w:rPr>
          <w:snapToGrid w:val="0"/>
        </w:rPr>
        <w:tab/>
      </w:r>
      <w:r>
        <w:rPr>
          <w:snapToGrid w:val="0"/>
        </w:rPr>
        <w:tab/>
        <w:t>A log scanner shall not be used to determine the quantity of any log timber unless —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rPr>
          <w:snapToGrid w:val="0"/>
        </w:rPr>
      </w:pPr>
      <w:bookmarkStart w:id="894" w:name="_Toc155068177"/>
      <w:bookmarkStart w:id="895" w:name="_Toc170209615"/>
      <w:r>
        <w:rPr>
          <w:snapToGrid w:val="0"/>
        </w:rPr>
        <w:t>10.</w:t>
      </w:r>
      <w:r>
        <w:rPr>
          <w:snapToGrid w:val="0"/>
        </w:rPr>
        <w:tab/>
        <w:t>Procedure for marking and separation of load of log timber on intake deck</w:t>
      </w:r>
      <w:bookmarkEnd w:id="894"/>
      <w:bookmarkEnd w:id="895"/>
    </w:p>
    <w:p>
      <w:pPr>
        <w:pStyle w:val="ySubsection"/>
        <w:rPr>
          <w:snapToGrid w:val="0"/>
        </w:rPr>
      </w:pPr>
      <w:r>
        <w:rPr>
          <w:snapToGrid w:val="0"/>
        </w:rPr>
        <w:tab/>
      </w:r>
      <w:r>
        <w:rPr>
          <w:snapToGrid w:val="0"/>
        </w:rPr>
        <w:tab/>
        <w:t>All loads of log timber placed on the intake deck of a log scanner shall —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 xml:space="preserve">be separated from other loads of log timber by a clear gap on the intake deck. </w:t>
      </w:r>
    </w:p>
    <w:p>
      <w:pPr>
        <w:pStyle w:val="yHeading5"/>
        <w:rPr>
          <w:snapToGrid w:val="0"/>
        </w:rPr>
      </w:pPr>
      <w:bookmarkStart w:id="896" w:name="_Toc155068178"/>
      <w:bookmarkStart w:id="897" w:name="_Toc170209616"/>
      <w:r>
        <w:rPr>
          <w:snapToGrid w:val="0"/>
        </w:rPr>
        <w:t>11.</w:t>
      </w:r>
      <w:r>
        <w:rPr>
          <w:snapToGrid w:val="0"/>
        </w:rPr>
        <w:tab/>
        <w:t>Procedure for sorting a load of log timber</w:t>
      </w:r>
      <w:bookmarkEnd w:id="896"/>
      <w:bookmarkEnd w:id="897"/>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rPr>
          <w:snapToGrid w:val="0"/>
        </w:rPr>
      </w:pPr>
      <w:bookmarkStart w:id="898" w:name="_Toc155068179"/>
      <w:bookmarkStart w:id="899" w:name="_Toc170209617"/>
      <w:r>
        <w:rPr>
          <w:snapToGrid w:val="0"/>
        </w:rPr>
        <w:t>12.</w:t>
      </w:r>
      <w:r>
        <w:rPr>
          <w:snapToGrid w:val="0"/>
        </w:rPr>
        <w:tab/>
        <w:t>Procedure where load of log timber at a temporary storage site not processed by log scanner</w:t>
      </w:r>
      <w:bookmarkEnd w:id="898"/>
      <w:bookmarkEnd w:id="899"/>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rPr>
          <w:snapToGrid w:val="0"/>
        </w:rPr>
      </w:pPr>
      <w:bookmarkStart w:id="900" w:name="_Toc155068180"/>
      <w:bookmarkStart w:id="901" w:name="_Toc170209618"/>
      <w:r>
        <w:rPr>
          <w:snapToGrid w:val="0"/>
        </w:rPr>
        <w:t>13.</w:t>
      </w:r>
      <w:r>
        <w:rPr>
          <w:snapToGrid w:val="0"/>
        </w:rPr>
        <w:tab/>
        <w:t>Notification of breakdown of log scanner or scanner computer</w:t>
      </w:r>
      <w:bookmarkEnd w:id="900"/>
      <w:bookmarkEnd w:id="901"/>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rPr>
          <w:snapToGrid w:val="0"/>
        </w:rPr>
      </w:pPr>
      <w:bookmarkStart w:id="902" w:name="_Toc155068181"/>
      <w:bookmarkStart w:id="903" w:name="_Toc170209619"/>
      <w:r>
        <w:rPr>
          <w:snapToGrid w:val="0"/>
        </w:rPr>
        <w:t>14.</w:t>
      </w:r>
      <w:r>
        <w:rPr>
          <w:snapToGrid w:val="0"/>
        </w:rPr>
        <w:tab/>
        <w:t>Procedure where load of log timber received after breakdown of log scanner or scanner computer</w:t>
      </w:r>
      <w:bookmarkEnd w:id="902"/>
      <w:bookmarkEnd w:id="903"/>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rPr>
          <w:snapToGrid w:val="0"/>
        </w:rPr>
      </w:pPr>
      <w:bookmarkStart w:id="904" w:name="_Toc155068182"/>
      <w:bookmarkStart w:id="905" w:name="_Toc170209620"/>
      <w:r>
        <w:rPr>
          <w:snapToGrid w:val="0"/>
        </w:rPr>
        <w:t>15.</w:t>
      </w:r>
      <w:r>
        <w:rPr>
          <w:snapToGrid w:val="0"/>
        </w:rPr>
        <w:tab/>
        <w:t>Procedure where load of log timber received before breakdown of log scanner or scanner computer and not processed</w:t>
      </w:r>
      <w:bookmarkEnd w:id="904"/>
      <w:bookmarkEnd w:id="905"/>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rPr>
          <w:snapToGrid w:val="0"/>
        </w:rPr>
      </w:pPr>
      <w:bookmarkStart w:id="906" w:name="_Toc155068183"/>
      <w:bookmarkStart w:id="907" w:name="_Toc170209621"/>
      <w:r>
        <w:rPr>
          <w:snapToGrid w:val="0"/>
        </w:rPr>
        <w:t>16.</w:t>
      </w:r>
      <w:r>
        <w:rPr>
          <w:snapToGrid w:val="0"/>
        </w:rPr>
        <w:tab/>
        <w:t>Check on number of logs in a load</w:t>
      </w:r>
      <w:bookmarkEnd w:id="906"/>
      <w:bookmarkEnd w:id="907"/>
    </w:p>
    <w:p>
      <w:pPr>
        <w:pStyle w:val="ySubsection"/>
        <w:rPr>
          <w:snapToGrid w:val="0"/>
        </w:rPr>
      </w:pPr>
      <w:r>
        <w:rPr>
          <w:snapToGrid w:val="0"/>
        </w:rPr>
        <w:tab/>
      </w:r>
      <w:r>
        <w:rPr>
          <w:snapToGrid w:val="0"/>
        </w:rPr>
        <w:tab/>
        <w:t>Where a load of log timber has been processed through a log scanner —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rPr>
          <w:snapToGrid w:val="0"/>
        </w:rPr>
      </w:pPr>
      <w:bookmarkStart w:id="908" w:name="_Toc155068184"/>
      <w:bookmarkStart w:id="909" w:name="_Toc170209622"/>
      <w:r>
        <w:rPr>
          <w:snapToGrid w:val="0"/>
        </w:rPr>
        <w:t>17.</w:t>
      </w:r>
      <w:r>
        <w:rPr>
          <w:snapToGrid w:val="0"/>
        </w:rPr>
        <w:tab/>
        <w:t>Daily report of log delivery</w:t>
      </w:r>
      <w:bookmarkEnd w:id="908"/>
      <w:bookmarkEnd w:id="909"/>
    </w:p>
    <w:p>
      <w:pPr>
        <w:pStyle w:val="ySubsection"/>
        <w:rPr>
          <w:snapToGrid w:val="0"/>
        </w:rPr>
      </w:pPr>
      <w:r>
        <w:rPr>
          <w:snapToGrid w:val="0"/>
        </w:rPr>
        <w:tab/>
      </w:r>
      <w:r>
        <w:rPr>
          <w:snapToGrid w:val="0"/>
        </w:rPr>
        <w:tab/>
        <w:t>All log deliveries received at a sawmill in one day shall be listed by log delivery note number in a daily report to the Executive Director produced by the scanner computer and for each log delivery note the report shall — </w:t>
      </w:r>
    </w:p>
    <w:p>
      <w:pPr>
        <w:pStyle w:val="yIndenta"/>
        <w:rPr>
          <w:snapToGrid w:val="0"/>
        </w:rPr>
      </w:pPr>
      <w:r>
        <w:rPr>
          <w:snapToGrid w:val="0"/>
        </w:rPr>
        <w:tab/>
        <w:t>(a)</w:t>
      </w:r>
      <w:r>
        <w:rPr>
          <w:snapToGrid w:val="0"/>
        </w:rPr>
        <w:tab/>
        <w:t>list the total number of logs that have passed through the log scanner;</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Executive Director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Heading5"/>
        <w:rPr>
          <w:snapToGrid w:val="0"/>
        </w:rPr>
      </w:pPr>
      <w:bookmarkStart w:id="910" w:name="_Toc155068185"/>
      <w:bookmarkStart w:id="911" w:name="_Toc170209623"/>
      <w:r>
        <w:rPr>
          <w:snapToGrid w:val="0"/>
        </w:rPr>
        <w:t>18.</w:t>
      </w:r>
      <w:r>
        <w:rPr>
          <w:snapToGrid w:val="0"/>
        </w:rPr>
        <w:tab/>
        <w:t>Arrangement of daily report</w:t>
      </w:r>
      <w:bookmarkEnd w:id="910"/>
      <w:bookmarkEnd w:id="911"/>
    </w:p>
    <w:p>
      <w:pPr>
        <w:pStyle w:val="ySubsection"/>
        <w:rPr>
          <w:snapToGrid w:val="0"/>
        </w:rPr>
      </w:pPr>
      <w:r>
        <w:rPr>
          <w:snapToGrid w:val="0"/>
        </w:rPr>
        <w:tab/>
      </w:r>
      <w:r>
        <w:rPr>
          <w:snapToGrid w:val="0"/>
        </w:rPr>
        <w:tab/>
        <w:t>The listing of each log delivery note number and the information required under clause 17 in a daily report to the Executive Director shall be arranged in the sequential order in which the log timber was scanned by the log scanner and its volume determined by the scanner computer.</w:t>
      </w:r>
    </w:p>
    <w:p>
      <w:pPr>
        <w:pStyle w:val="yScheduleHeading"/>
      </w:pPr>
      <w:bookmarkStart w:id="912" w:name="_Toc48381849"/>
      <w:bookmarkStart w:id="913" w:name="_Toc155068186"/>
      <w:bookmarkStart w:id="914" w:name="_Toc170209624"/>
      <w:r>
        <w:rPr>
          <w:rStyle w:val="CharSchNo"/>
        </w:rPr>
        <w:t>Schedule 2</w:t>
      </w:r>
      <w:bookmarkEnd w:id="912"/>
      <w:bookmarkEnd w:id="913"/>
      <w:bookmarkEnd w:id="914"/>
      <w:r>
        <w:rPr>
          <w:rStyle w:val="CharSchNo"/>
        </w:rPr>
        <w:t xml:space="preserve"> </w:t>
      </w:r>
    </w:p>
    <w:p>
      <w:pPr>
        <w:pStyle w:val="yHeading2"/>
      </w:pPr>
      <w:bookmarkStart w:id="915" w:name="_Toc155068187"/>
      <w:bookmarkStart w:id="916" w:name="_Toc170209625"/>
      <w:r>
        <w:t>Forms</w:t>
      </w:r>
      <w:bookmarkEnd w:id="915"/>
      <w:bookmarkEnd w:id="916"/>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r>
        <w:rPr>
          <w:i/>
          <w:snapToGrid w:val="0"/>
        </w:rPr>
        <w:t>Forest Management Regulations 1993</w:t>
      </w:r>
    </w:p>
    <w:p>
      <w:pPr>
        <w:pStyle w:val="MiscellaneousHeading"/>
        <w:rPr>
          <w:b/>
          <w:snapToGrid w:val="0"/>
        </w:rPr>
      </w:pPr>
      <w:r>
        <w:rPr>
          <w:b/>
          <w:snapToGrid w:val="0"/>
        </w:rPr>
        <w:t>FOREST PRODUCE LICENCE</w:t>
      </w:r>
    </w:p>
    <w:p>
      <w:pPr>
        <w:pStyle w:val="yTable"/>
        <w:jc w:val="right"/>
        <w:rPr>
          <w:snapToGrid w:val="0"/>
        </w:rPr>
      </w:pPr>
      <w:r>
        <w:rPr>
          <w:snapToGrid w:val="0"/>
        </w:rPr>
        <w:t>Licence No. . . . . . . . . . . . . .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rPr>
          <w:snapToGrid w:val="0"/>
        </w:rPr>
      </w:pPr>
      <w:r>
        <w:rPr>
          <w:snapToGrid w:val="0"/>
        </w:rPr>
        <w:t>TERMS</w:t>
      </w:r>
    </w:p>
    <w:p>
      <w:pPr>
        <w:pStyle w:val="yTable"/>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rPr>
          <w:snapToGrid w:val="0"/>
        </w:rPr>
      </w:pPr>
      <w:r>
        <w:rPr>
          <w:b/>
          <w:snapToGrid w:val="0"/>
        </w:rPr>
        <w:t>Forest produce that may be taken (</w:t>
      </w:r>
      <w:r>
        <w:rPr>
          <w:b/>
          <w:snapToGrid w:val="0"/>
        </w:rPr>
        <w:sym w:font="Wingdings" w:char="F0FC"/>
      </w:r>
      <w:r>
        <w:rPr>
          <w:b/>
          <w:snapToGrid w:val="0"/>
        </w:rPr>
        <w:t>):</w:t>
      </w:r>
    </w:p>
    <w:p>
      <w:pPr>
        <w:pStyle w:val="yTable"/>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Forest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authorize the felling of any tree (Reg. 71(1)(a)).</w:t>
      </w:r>
    </w:p>
    <w:p>
      <w:pPr>
        <w:pStyle w:val="yTable"/>
        <w:rPr>
          <w:snapToGrid w:val="0"/>
        </w:rPr>
      </w:pPr>
    </w:p>
    <w:p>
      <w:pPr>
        <w:pStyle w:val="yTable"/>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of issue of licence . . . . . . . . . . . . . . . . . . . . .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 . . . . . . . . . . . . . . . . . . . . . . . . . . .</w:t>
      </w:r>
    </w:p>
    <w:p>
      <w:pPr>
        <w:pStyle w:val="yTable"/>
        <w:keepNext/>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MiscellaneousHeading"/>
        <w:pageBreakBefore/>
        <w:rPr>
          <w:b/>
          <w:snapToGrid w:val="0"/>
        </w:rPr>
      </w:pPr>
      <w:r>
        <w:rPr>
          <w:b/>
          <w:snapToGrid w:val="0"/>
        </w:rPr>
        <w:t>Form 2</w:t>
      </w:r>
    </w:p>
    <w:p>
      <w:pPr>
        <w:pStyle w:val="yShoulderClause"/>
        <w:rPr>
          <w:snapToGrid w:val="0"/>
        </w:rPr>
      </w:pPr>
      <w:r>
        <w:rPr>
          <w:snapToGrid w:val="0"/>
        </w:rPr>
        <w:t>[Regulation 73(4)]</w:t>
      </w:r>
    </w:p>
    <w:p>
      <w:pPr>
        <w:pStyle w:val="MiscellaneousHeading"/>
        <w:rPr>
          <w:i/>
          <w:snapToGrid w:val="0"/>
        </w:rPr>
      </w:pPr>
      <w:r>
        <w:rPr>
          <w:i/>
          <w:snapToGrid w:val="0"/>
        </w:rPr>
        <w:t>Forest Management Regulations 1993</w:t>
      </w:r>
    </w:p>
    <w:p>
      <w:pPr>
        <w:pStyle w:val="MiscellaneousHeading"/>
        <w:rPr>
          <w:b/>
          <w:snapToGrid w:val="0"/>
        </w:rPr>
      </w:pPr>
      <w:r>
        <w:rPr>
          <w:b/>
          <w:snapToGrid w:val="0"/>
        </w:rPr>
        <w:t>APIARY SITE PERMIT</w:t>
      </w:r>
    </w:p>
    <w:p>
      <w:pPr>
        <w:pStyle w:val="yTable"/>
        <w:jc w:val="right"/>
        <w:rPr>
          <w:snapToGrid w:val="0"/>
        </w:rPr>
      </w:pPr>
      <w:r>
        <w:rPr>
          <w:snapToGrid w:val="0"/>
        </w:rPr>
        <w:t>Permit No. . . . . . . . . . . . . . .</w:t>
      </w:r>
    </w:p>
    <w:p>
      <w:pPr>
        <w:pStyle w:val="yTable"/>
        <w:rPr>
          <w:snapToGrid w:val="0"/>
        </w:rPr>
      </w:pPr>
      <w:r>
        <w:rPr>
          <w:snapToGrid w:val="0"/>
        </w:rPr>
        <w:t>……………………………………………………………………………………</w:t>
      </w:r>
    </w:p>
    <w:p>
      <w:pPr>
        <w:pStyle w:val="yTable"/>
        <w:jc w:val="center"/>
        <w:rPr>
          <w:snapToGrid w:val="0"/>
        </w:rPr>
      </w:pPr>
      <w:r>
        <w:rPr>
          <w:snapToGrid w:val="0"/>
        </w:rPr>
        <w:t>(name of permit</w:t>
      </w:r>
      <w:r>
        <w:rPr>
          <w:snapToGrid w:val="0"/>
        </w:rPr>
        <w:noBreakHyphen/>
        <w:t>holder)</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w:t>
      </w:r>
    </w:p>
    <w:p>
      <w:pPr>
        <w:pStyle w:val="yTable"/>
        <w:tabs>
          <w:tab w:val="left" w:pos="567"/>
          <w:tab w:val="left" w:pos="1134"/>
        </w:tabs>
        <w:ind w:left="1134" w:hanging="1134"/>
        <w:rPr>
          <w:snapToGrid w:val="0"/>
        </w:rPr>
      </w:pPr>
      <w:r>
        <w:rPr>
          <w:snapToGrid w:val="0"/>
        </w:rPr>
        <w:tab/>
        <w:t>(a)</w:t>
      </w:r>
      <w:r>
        <w:rPr>
          <w:snapToGrid w:val="0"/>
        </w:rPr>
        <w:tab/>
        <w:t>to occupy Crown land for the purposes of an apiary; and</w:t>
      </w:r>
    </w:p>
    <w:p>
      <w:pPr>
        <w:pStyle w:val="yTable"/>
        <w:tabs>
          <w:tab w:val="left" w:pos="567"/>
          <w:tab w:val="left" w:pos="1134"/>
        </w:tabs>
        <w:ind w:left="1134" w:hanging="1134"/>
        <w:rPr>
          <w:snapToGrid w:val="0"/>
        </w:rPr>
      </w:pPr>
      <w:r>
        <w:rPr>
          <w:snapToGrid w:val="0"/>
        </w:rPr>
        <w:tab/>
        <w:t>(b)</w:t>
      </w:r>
      <w:r>
        <w:rPr>
          <w:snapToGrid w:val="0"/>
        </w:rPr>
        <w:tab/>
        <w:t>to take forest produce for the purposes of that apiary,</w:t>
      </w:r>
    </w:p>
    <w:p>
      <w:pPr>
        <w:pStyle w:val="yTable"/>
        <w:rPr>
          <w:snapToGrid w:val="0"/>
        </w:rPr>
      </w:pPr>
      <w:r>
        <w:rPr>
          <w:snapToGrid w:val="0"/>
        </w:rPr>
        <w:t>in accordance with the terms and conditions and any limitations set out below, and not otherwise.</w:t>
      </w:r>
    </w:p>
    <w:p>
      <w:pPr>
        <w:pStyle w:val="yTable"/>
        <w:rPr>
          <w:i/>
          <w:snapToGrid w:val="0"/>
        </w:rPr>
      </w:pPr>
      <w:r>
        <w:rPr>
          <w:i/>
          <w:snapToGrid w:val="0"/>
        </w:rPr>
        <w:t xml:space="preserve">Note: The authority conferred by this permit is of no effect at any time when a term, condition or limitation of the permit is not being complied with. </w:t>
      </w:r>
    </w:p>
    <w:p>
      <w:pPr>
        <w:pStyle w:val="yTable"/>
        <w:jc w:val="center"/>
        <w:rPr>
          <w:snapToGrid w:val="0"/>
        </w:rPr>
      </w:pPr>
      <w:r>
        <w:rPr>
          <w:snapToGrid w:val="0"/>
        </w:rPr>
        <w:t>TERMS</w:t>
      </w:r>
    </w:p>
    <w:p>
      <w:pPr>
        <w:pStyle w:val="yTable"/>
        <w:spacing w:after="120"/>
        <w:rPr>
          <w:b/>
          <w:snapToGrid w:val="0"/>
        </w:rPr>
      </w:pPr>
      <w:r>
        <w:rPr>
          <w:b/>
          <w:snapToGrid w:val="0"/>
        </w:rPr>
        <w:t>Type of permit (delete types not applicable):</w:t>
      </w:r>
    </w:p>
    <w:tbl>
      <w:tblPr>
        <w:tblW w:w="0" w:type="auto"/>
        <w:tblInd w:w="120" w:type="dxa"/>
        <w:tblLayout w:type="fixed"/>
        <w:tblCellMar>
          <w:left w:w="120" w:type="dxa"/>
          <w:right w:w="120" w:type="dxa"/>
        </w:tblCellMar>
        <w:tblLook w:val="0000" w:firstRow="0" w:lastRow="0" w:firstColumn="0" w:lastColumn="0" w:noHBand="0" w:noVBand="0"/>
      </w:tblPr>
      <w:tblGrid>
        <w:gridCol w:w="1471"/>
      </w:tblGrid>
      <w:tr>
        <w:tc>
          <w:tcPr>
            <w:tcW w:w="147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Extended</w:t>
            </w:r>
          </w:p>
          <w:p>
            <w:pPr>
              <w:pStyle w:val="yTable"/>
              <w:rPr>
                <w:sz w:val="18"/>
              </w:rPr>
            </w:pPr>
            <w:r>
              <w:rPr>
                <w:sz w:val="18"/>
              </w:rPr>
              <w:t>Temporary</w:t>
            </w:r>
          </w:p>
          <w:p>
            <w:pPr>
              <w:pStyle w:val="yTable"/>
              <w:rPr>
                <w:sz w:val="18"/>
              </w:rPr>
            </w:pPr>
            <w:r>
              <w:rPr>
                <w:sz w:val="18"/>
              </w:rPr>
              <w:t>Limited</w:t>
            </w:r>
          </w:p>
        </w:tc>
      </w:tr>
    </w:tbl>
    <w:p>
      <w:pPr>
        <w:pStyle w:val="yTable"/>
        <w:rPr>
          <w:snapToGrid w:val="0"/>
        </w:rPr>
      </w:pPr>
    </w:p>
    <w:p>
      <w:pPr>
        <w:pStyle w:val="yTable"/>
        <w:spacing w:after="120"/>
        <w:rPr>
          <w:b/>
          <w:snapToGrid w:val="0"/>
        </w:rPr>
      </w:pPr>
      <w:r>
        <w:rPr>
          <w:b/>
          <w:snapToGrid w:val="0"/>
        </w:rPr>
        <w:t>Site that may be occupied:</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2268" w:type="dxa"/>
            <w:tcBorders>
              <w:top w:val="single" w:sz="7" w:space="0" w:color="auto"/>
              <w:left w:val="single" w:sz="7" w:space="0" w:color="auto"/>
            </w:tcBorders>
          </w:tcPr>
          <w:p>
            <w:pPr>
              <w:pStyle w:val="yTable"/>
              <w:rPr>
                <w:sz w:val="18"/>
              </w:rPr>
            </w:pPr>
            <w:r>
              <w:rPr>
                <w:sz w:val="18"/>
              </w:rPr>
              <w:t>Location of site:</w:t>
            </w:r>
          </w:p>
        </w:tc>
        <w:tc>
          <w:tcPr>
            <w:tcW w:w="2268" w:type="dxa"/>
            <w:tcBorders>
              <w:top w:val="single" w:sz="7" w:space="0" w:color="auto"/>
              <w:left w:val="single" w:sz="7" w:space="0" w:color="auto"/>
            </w:tcBorders>
          </w:tcPr>
          <w:p>
            <w:pPr>
              <w:pStyle w:val="yTable"/>
              <w:rPr>
                <w:sz w:val="18"/>
              </w:rPr>
            </w:pPr>
            <w:r>
              <w:rPr>
                <w:sz w:val="18"/>
              </w:rPr>
              <w:t>District:</w:t>
            </w:r>
          </w:p>
        </w:tc>
        <w:tc>
          <w:tcPr>
            <w:tcW w:w="2268" w:type="dxa"/>
            <w:tcBorders>
              <w:top w:val="single" w:sz="7" w:space="0" w:color="auto"/>
              <w:left w:val="single" w:sz="7" w:space="0" w:color="auto"/>
              <w:right w:val="single" w:sz="7" w:space="0" w:color="auto"/>
            </w:tcBorders>
          </w:tcPr>
          <w:p>
            <w:pPr>
              <w:pStyle w:val="yTable"/>
              <w:rPr>
                <w:sz w:val="18"/>
              </w:rPr>
            </w:pPr>
            <w:r>
              <w:rPr>
                <w:sz w:val="18"/>
              </w:rPr>
              <w:t>CALM map ref:</w:t>
            </w:r>
          </w:p>
        </w:tc>
      </w:tr>
      <w:tr>
        <w:tc>
          <w:tcPr>
            <w:tcW w:w="2268" w:type="dxa"/>
            <w:tcBorders>
              <w:left w:val="single" w:sz="7" w:space="0" w:color="auto"/>
              <w:bottom w:val="single" w:sz="7" w:space="0" w:color="auto"/>
            </w:tcBorders>
          </w:tcPr>
          <w:p>
            <w:pPr>
              <w:pStyle w:val="yTable"/>
              <w:rPr>
                <w:sz w:val="18"/>
              </w:rPr>
            </w:pPr>
          </w:p>
        </w:tc>
        <w:tc>
          <w:tcPr>
            <w:tcW w:w="4536"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Other Location details:</w:t>
            </w:r>
          </w:p>
          <w:p>
            <w:pPr>
              <w:pStyle w:val="yTable"/>
              <w:rPr>
                <w:sz w:val="18"/>
                <w:lang w:val="en-US"/>
              </w:rPr>
            </w:pPr>
          </w:p>
        </w:tc>
      </w:tr>
    </w:tbl>
    <w:p>
      <w:pPr>
        <w:pStyle w:val="yTable"/>
        <w:rPr>
          <w:snapToGrid w:val="0"/>
        </w:rPr>
      </w:pPr>
    </w:p>
    <w:p>
      <w:pPr>
        <w:pStyle w:val="yTable"/>
        <w:keepNext/>
        <w:spacing w:after="120"/>
        <w:rPr>
          <w:b/>
          <w:snapToGrid w:val="0"/>
        </w:rPr>
      </w:pPr>
      <w:r>
        <w:rPr>
          <w:b/>
          <w:snapToGrid w:val="0"/>
        </w:rPr>
        <w:t>Period during which site may be occupied:</w:t>
      </w:r>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c>
          <w:tcPr>
            <w:tcW w:w="6804"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 xml:space="preserve">First day of period </w:t>
            </w:r>
          </w:p>
          <w:p>
            <w:pPr>
              <w:pStyle w:val="yTable"/>
              <w:keepNext/>
              <w:rPr>
                <w:sz w:val="18"/>
              </w:rPr>
            </w:pPr>
            <w:r>
              <w:rPr>
                <w:sz w:val="18"/>
              </w:rPr>
              <w:t>………………………………………………………………………………………..</w:t>
            </w:r>
          </w:p>
          <w:p>
            <w:pPr>
              <w:pStyle w:val="yTable"/>
              <w:keepNext/>
              <w:rPr>
                <w:sz w:val="18"/>
              </w:rPr>
            </w:pPr>
            <w:r>
              <w:rPr>
                <w:sz w:val="18"/>
              </w:rPr>
              <w:t>Last day of period  . . . . . . . . . . . . . . . . . . . . . . . . . . . . . . . . . . .  but subject in the case of a temporary permit to regulation 74(1)(c).</w:t>
            </w:r>
          </w:p>
        </w:tc>
      </w:tr>
    </w:tbl>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permit</w:t>
      </w:r>
      <w:r>
        <w:rPr>
          <w:snapToGrid w:val="0"/>
        </w:rPr>
        <w:noBreakHyphen/>
        <w:t>holder in exercising his or her rights under this permit is to comply with the following enactments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 xml:space="preserve">the </w:t>
      </w:r>
      <w:r>
        <w:rPr>
          <w:i/>
          <w:snapToGrid w:val="0"/>
        </w:rPr>
        <w:t>Bush Fires Act 1954</w:t>
      </w:r>
      <w:r>
        <w:rPr>
          <w:snapToGrid w:val="0"/>
        </w:rPr>
        <w:t>;</w:t>
      </w:r>
    </w:p>
    <w:p>
      <w:pPr>
        <w:pStyle w:val="yTable"/>
        <w:tabs>
          <w:tab w:val="left" w:pos="567"/>
          <w:tab w:val="left" w:pos="1134"/>
        </w:tabs>
        <w:ind w:left="1134" w:hanging="1134"/>
        <w:rPr>
          <w:snapToGrid w:val="0"/>
        </w:rPr>
      </w:pPr>
      <w:r>
        <w:rPr>
          <w:snapToGrid w:val="0"/>
        </w:rPr>
        <w:tab/>
        <w:t>(d)</w:t>
      </w:r>
      <w:r>
        <w:rPr>
          <w:snapToGrid w:val="0"/>
        </w:rPr>
        <w:tab/>
        <w:t xml:space="preserve">the </w:t>
      </w:r>
      <w:r>
        <w:rPr>
          <w:i/>
          <w:snapToGrid w:val="0"/>
        </w:rPr>
        <w:t>Health Act 1911</w:t>
      </w:r>
      <w:r>
        <w:rPr>
          <w:snapToGrid w:val="0"/>
        </w:rPr>
        <w:t>;</w:t>
      </w:r>
    </w:p>
    <w:p>
      <w:pPr>
        <w:pStyle w:val="yTable"/>
        <w:tabs>
          <w:tab w:val="left" w:pos="567"/>
          <w:tab w:val="left" w:pos="1134"/>
        </w:tabs>
        <w:ind w:left="1134" w:hanging="1134"/>
        <w:rPr>
          <w:snapToGrid w:val="0"/>
        </w:rPr>
      </w:pPr>
      <w:r>
        <w:rPr>
          <w:snapToGrid w:val="0"/>
        </w:rPr>
        <w:tab/>
        <w:t>(e)</w:t>
      </w:r>
      <w:r>
        <w:rPr>
          <w:snapToGrid w:val="0"/>
        </w:rPr>
        <w:tab/>
        <w:t>any relevant subsidiary legislation made under an Act referred to in paragraph (c) or (d);</w:t>
      </w:r>
    </w:p>
    <w:p>
      <w:pPr>
        <w:pStyle w:val="yTable"/>
        <w:tabs>
          <w:tab w:val="left" w:pos="567"/>
          <w:tab w:val="left" w:pos="1134"/>
        </w:tabs>
        <w:ind w:left="1134" w:hanging="1134"/>
        <w:rPr>
          <w:snapToGrid w:val="0"/>
        </w:rPr>
      </w:pPr>
      <w:r>
        <w:rPr>
          <w:snapToGrid w:val="0"/>
        </w:rPr>
        <w:tab/>
        <w:t>(f)</w:t>
      </w:r>
      <w:r>
        <w:rPr>
          <w:snapToGrid w:val="0"/>
        </w:rPr>
        <w:tab/>
        <w:t>any Act or subsidiary legislation relating to the protection of water catchments and the regulation of water supplies.</w:t>
      </w:r>
    </w:p>
    <w:p>
      <w:pPr>
        <w:pStyle w:val="yTable"/>
        <w:tabs>
          <w:tab w:val="left" w:pos="567"/>
        </w:tabs>
        <w:ind w:left="567" w:hanging="567"/>
        <w:rPr>
          <w:snapToGrid w:val="0"/>
        </w:rPr>
      </w:pPr>
      <w:r>
        <w:rPr>
          <w:snapToGrid w:val="0"/>
        </w:rPr>
        <w:t>2.</w:t>
      </w:r>
      <w:r>
        <w:rPr>
          <w:snapToGrid w:val="0"/>
        </w:rPr>
        <w:tab/>
        <w:t>[insert other conditions here]</w:t>
      </w:r>
    </w:p>
    <w:p>
      <w:pPr>
        <w:pStyle w:val="yTable"/>
        <w:rPr>
          <w:snapToGrid w:val="0"/>
        </w:rPr>
      </w:pPr>
    </w:p>
    <w:p>
      <w:pPr>
        <w:pStyle w:val="yTable"/>
        <w:rPr>
          <w:snapToGrid w:val="0"/>
        </w:rPr>
      </w:pPr>
    </w:p>
    <w:p>
      <w:pPr>
        <w:pStyle w:val="yTable"/>
        <w:jc w:val="center"/>
        <w:rPr>
          <w:snapToGrid w:val="0"/>
        </w:rPr>
      </w:pPr>
      <w:r>
        <w:rPr>
          <w:snapToGrid w:val="0"/>
        </w:rPr>
        <w:t>LIMITATIONS (if any)</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of issue of permit . . . . . . . . . . . . . . . . . . . .</w:t>
      </w:r>
    </w:p>
    <w:p>
      <w:pPr>
        <w:pStyle w:val="yTable"/>
        <w:rPr>
          <w:snapToGrid w:val="0"/>
        </w:rPr>
      </w:pPr>
      <w:r>
        <w:rPr>
          <w:snapToGrid w:val="0"/>
        </w:rPr>
        <w:t>Received the sum of ............. dollars ............... cents ($... c..) in prepayment of rent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 . . . . . . . . . . . . . . . . . . . . . . . . . . .</w:t>
      </w:r>
    </w:p>
    <w:p>
      <w:pPr>
        <w:pStyle w:val="yEdnotedivision"/>
      </w:pPr>
      <w:r>
        <w:t xml:space="preserve">[Forms 3 and 4 </w:t>
      </w:r>
      <w:del w:id="917" w:author="Master Repository Process" w:date="2021-08-01T15:45:00Z">
        <w:r>
          <w:delText>repealed</w:delText>
        </w:r>
      </w:del>
      <w:ins w:id="918" w:author="Master Repository Process" w:date="2021-08-01T15:45:00Z">
        <w:r>
          <w:t>deleted</w:t>
        </w:r>
      </w:ins>
      <w:r>
        <w:t>]</w:t>
      </w:r>
    </w:p>
    <w:p>
      <w:pPr>
        <w:pStyle w:val="yFootnotesection"/>
      </w:pPr>
      <w:r>
        <w:tab/>
        <w:t>[Schedule 2 amended in Gazette 29 March 1996 pp.1508</w:t>
      </w:r>
      <w:r>
        <w:noBreakHyphen/>
        <w:t xml:space="preserve">09; 3 May 2002 p.2295.] </w:t>
      </w:r>
    </w:p>
    <w:p>
      <w:pPr>
        <w:pStyle w:val="yEdnoteschedule"/>
      </w:pPr>
      <w:r>
        <w:t xml:space="preserve">[Schedules 2A and 2B  </w:t>
      </w:r>
      <w:del w:id="919" w:author="Master Repository Process" w:date="2021-08-01T15:45:00Z">
        <w:r>
          <w:delText>Repealed</w:delText>
        </w:r>
      </w:del>
      <w:ins w:id="920" w:author="Master Repository Process" w:date="2021-08-01T15:45:00Z">
        <w:r>
          <w:t>Deleted</w:t>
        </w:r>
      </w:ins>
      <w:r>
        <w:t xml:space="preserve"> in Gazette 3 May 2002 p.2294-5.]</w:t>
      </w:r>
    </w:p>
    <w:p>
      <w:pPr>
        <w:pStyle w:val="yScheduleHeading"/>
      </w:pPr>
      <w:bookmarkStart w:id="921" w:name="_Toc48381851"/>
      <w:bookmarkStart w:id="922" w:name="_Toc155068188"/>
      <w:bookmarkStart w:id="923" w:name="_Toc170209626"/>
      <w:r>
        <w:rPr>
          <w:rStyle w:val="CharSchNo"/>
        </w:rPr>
        <w:t>Schedule 3</w:t>
      </w:r>
      <w:bookmarkEnd w:id="921"/>
      <w:bookmarkEnd w:id="922"/>
      <w:bookmarkEnd w:id="923"/>
    </w:p>
    <w:p>
      <w:pPr>
        <w:pStyle w:val="yShoulderClause"/>
        <w:rPr>
          <w:snapToGrid w:val="0"/>
        </w:rPr>
      </w:pPr>
      <w:r>
        <w:rPr>
          <w:snapToGrid w:val="0"/>
        </w:rPr>
        <w:t>[Regulation 142]</w:t>
      </w:r>
    </w:p>
    <w:p>
      <w:pPr>
        <w:pStyle w:val="yHeading2"/>
        <w:spacing w:after="240"/>
      </w:pPr>
      <w:bookmarkStart w:id="924" w:name="_Toc155068189"/>
      <w:bookmarkStart w:id="925" w:name="_Toc170209627"/>
      <w:r>
        <w:t>Prescribed royalties for timber taken on mining tenement for mining purposes</w:t>
      </w:r>
      <w:bookmarkEnd w:id="924"/>
      <w:bookmarkEnd w:id="925"/>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 of Conservation and Land Management.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 of Conservation and Land Management.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Ednoteschedule"/>
      </w:pPr>
      <w:r>
        <w:t xml:space="preserve">[Schedule 4. </w:t>
      </w:r>
      <w:del w:id="926" w:author="Master Repository Process" w:date="2021-08-01T15:45:00Z">
        <w:r>
          <w:delText>Repealed</w:delText>
        </w:r>
      </w:del>
      <w:ins w:id="927" w:author="Master Repository Process" w:date="2021-08-01T15:45:00Z">
        <w:r>
          <w:t>Deleted</w:t>
        </w:r>
      </w:ins>
      <w:r>
        <w:t xml:space="preserve"> in Gazette 29 March 1996 p.1511.]</w:t>
      </w:r>
    </w:p>
    <w:p>
      <w:pPr>
        <w:pStyle w:val="yScheduleHeading"/>
      </w:pPr>
      <w:bookmarkStart w:id="928" w:name="_Toc48381853"/>
      <w:bookmarkStart w:id="929" w:name="_Toc155068190"/>
      <w:bookmarkStart w:id="930" w:name="_Toc170209628"/>
      <w:r>
        <w:rPr>
          <w:rStyle w:val="CharSchNo"/>
        </w:rPr>
        <w:t>Schedule 5</w:t>
      </w:r>
      <w:bookmarkEnd w:id="928"/>
      <w:bookmarkEnd w:id="929"/>
      <w:bookmarkEnd w:id="930"/>
    </w:p>
    <w:p>
      <w:pPr>
        <w:pStyle w:val="yShoulderClause"/>
        <w:rPr>
          <w:snapToGrid w:val="0"/>
        </w:rPr>
      </w:pPr>
      <w:r>
        <w:rPr>
          <w:snapToGrid w:val="0"/>
        </w:rPr>
        <w:t>[Regulation 151]</w:t>
      </w:r>
    </w:p>
    <w:p>
      <w:pPr>
        <w:pStyle w:val="yHeading2"/>
        <w:spacing w:after="240"/>
      </w:pPr>
      <w:bookmarkStart w:id="931" w:name="_Toc155068191"/>
      <w:bookmarkStart w:id="932" w:name="_Toc170209629"/>
      <w:r>
        <w:t>Miscellaneous Fees</w:t>
      </w:r>
      <w:bookmarkEnd w:id="931"/>
      <w:bookmarkEnd w:id="932"/>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0"/>
              <w:jc w:val="center"/>
              <w:rPr>
                <w:b/>
                <w:sz w:val="18"/>
              </w:rPr>
            </w:pPr>
            <w:r>
              <w:rPr>
                <w:b/>
                <w:sz w:val="18"/>
              </w:rPr>
              <w:t>Column 1</w:t>
            </w:r>
          </w:p>
        </w:tc>
        <w:tc>
          <w:tcPr>
            <w:tcW w:w="1559" w:type="dxa"/>
          </w:tcPr>
          <w:p>
            <w:pPr>
              <w:pStyle w:val="yTable"/>
              <w:spacing w:before="0"/>
              <w:jc w:val="center"/>
              <w:rPr>
                <w:b/>
                <w:sz w:val="18"/>
              </w:rPr>
            </w:pPr>
            <w:r>
              <w:rPr>
                <w:b/>
                <w:sz w:val="18"/>
              </w:rPr>
              <w:t>Column 2</w:t>
            </w:r>
          </w:p>
        </w:tc>
      </w:tr>
      <w:tr>
        <w:tc>
          <w:tcPr>
            <w:tcW w:w="5529" w:type="dxa"/>
          </w:tcPr>
          <w:p>
            <w:pPr>
              <w:pStyle w:val="yTable"/>
              <w:spacing w:before="0"/>
              <w:rPr>
                <w:sz w:val="18"/>
              </w:rPr>
            </w:pPr>
          </w:p>
        </w:tc>
        <w:tc>
          <w:tcPr>
            <w:tcW w:w="1559" w:type="dxa"/>
          </w:tcPr>
          <w:p>
            <w:pPr>
              <w:pStyle w:val="yTable"/>
              <w:spacing w:before="0"/>
              <w:jc w:val="center"/>
              <w:rPr>
                <w:sz w:val="18"/>
              </w:rPr>
            </w:pPr>
            <w:r>
              <w:rPr>
                <w:sz w:val="18"/>
              </w:rPr>
              <w:t>$</w:t>
            </w:r>
          </w:p>
        </w:tc>
      </w:tr>
      <w:tr>
        <w:tc>
          <w:tcPr>
            <w:tcW w:w="5529" w:type="dxa"/>
          </w:tcPr>
          <w:p>
            <w:pPr>
              <w:pStyle w:val="yTable"/>
              <w:tabs>
                <w:tab w:val="left" w:pos="567"/>
              </w:tabs>
              <w:spacing w:before="0"/>
              <w:ind w:left="556" w:hanging="556"/>
              <w:rPr>
                <w:sz w:val="18"/>
              </w:rPr>
            </w:pPr>
            <w:r>
              <w:rPr>
                <w:sz w:val="18"/>
              </w:rPr>
              <w:t>1.</w:t>
            </w:r>
            <w:r>
              <w:rPr>
                <w:sz w:val="18"/>
              </w:rPr>
              <w:tab/>
              <w:t>Registration as a timber worker</w:t>
            </w:r>
          </w:p>
        </w:tc>
        <w:tc>
          <w:tcPr>
            <w:tcW w:w="1559" w:type="dxa"/>
          </w:tcPr>
          <w:p>
            <w:pPr>
              <w:pStyle w:val="yTable"/>
              <w:spacing w:before="0"/>
              <w:jc w:val="center"/>
              <w:rPr>
                <w:sz w:val="18"/>
              </w:rPr>
            </w:pPr>
            <w:r>
              <w:rPr>
                <w:sz w:val="18"/>
              </w:rPr>
              <w:t>25.00</w:t>
            </w:r>
          </w:p>
        </w:tc>
      </w:tr>
      <w:tr>
        <w:tc>
          <w:tcPr>
            <w:tcW w:w="5529" w:type="dxa"/>
          </w:tcPr>
          <w:p>
            <w:pPr>
              <w:pStyle w:val="yTable"/>
              <w:tabs>
                <w:tab w:val="left" w:pos="567"/>
              </w:tabs>
              <w:spacing w:before="0"/>
              <w:ind w:left="556" w:hanging="556"/>
              <w:rPr>
                <w:sz w:val="18"/>
              </w:rPr>
            </w:pPr>
            <w:r>
              <w:rPr>
                <w:sz w:val="18"/>
              </w:rPr>
              <w:t>2.</w:t>
            </w:r>
            <w:r>
              <w:rPr>
                <w:sz w:val="18"/>
              </w:rPr>
              <w:tab/>
              <w:t>Renewal of registration of timber worker</w:t>
            </w:r>
          </w:p>
        </w:tc>
        <w:tc>
          <w:tcPr>
            <w:tcW w:w="1559" w:type="dxa"/>
          </w:tcPr>
          <w:p>
            <w:pPr>
              <w:pStyle w:val="yTable"/>
              <w:spacing w:before="0"/>
              <w:jc w:val="center"/>
              <w:rPr>
                <w:sz w:val="18"/>
              </w:rPr>
            </w:pPr>
            <w:r>
              <w:rPr>
                <w:sz w:val="18"/>
              </w:rPr>
              <w:t>25.00</w:t>
            </w:r>
          </w:p>
        </w:tc>
      </w:tr>
      <w:tr>
        <w:tc>
          <w:tcPr>
            <w:tcW w:w="5529" w:type="dxa"/>
          </w:tcPr>
          <w:p>
            <w:pPr>
              <w:pStyle w:val="yTable"/>
              <w:tabs>
                <w:tab w:val="left" w:pos="567"/>
              </w:tabs>
              <w:spacing w:before="0"/>
              <w:ind w:left="556" w:hanging="556"/>
              <w:rPr>
                <w:sz w:val="18"/>
              </w:rPr>
            </w:pPr>
            <w:r>
              <w:rPr>
                <w:sz w:val="18"/>
              </w:rPr>
              <w:t>3.</w:t>
            </w:r>
            <w:r>
              <w:rPr>
                <w:sz w:val="18"/>
              </w:rPr>
              <w:tab/>
              <w:t>Registration of owner’s identification code</w:t>
            </w:r>
          </w:p>
        </w:tc>
        <w:tc>
          <w:tcPr>
            <w:tcW w:w="1559" w:type="dxa"/>
          </w:tcPr>
          <w:p>
            <w:pPr>
              <w:pStyle w:val="yTable"/>
              <w:spacing w:before="0"/>
              <w:jc w:val="center"/>
              <w:rPr>
                <w:sz w:val="18"/>
              </w:rPr>
            </w:pPr>
            <w:r>
              <w:rPr>
                <w:sz w:val="18"/>
              </w:rPr>
              <w:t>45.00</w:t>
            </w:r>
          </w:p>
        </w:tc>
      </w:tr>
      <w:tr>
        <w:tc>
          <w:tcPr>
            <w:tcW w:w="5529" w:type="dxa"/>
          </w:tcPr>
          <w:p>
            <w:pPr>
              <w:pStyle w:val="yTable"/>
              <w:tabs>
                <w:tab w:val="left" w:pos="567"/>
              </w:tabs>
              <w:spacing w:before="0"/>
              <w:ind w:left="556" w:hanging="556"/>
              <w:rPr>
                <w:sz w:val="18"/>
              </w:rPr>
            </w:pPr>
            <w:r>
              <w:rPr>
                <w:sz w:val="18"/>
              </w:rPr>
              <w:t>4.</w:t>
            </w:r>
            <w:r>
              <w:rPr>
                <w:sz w:val="18"/>
              </w:rPr>
              <w:tab/>
              <w:t>Extract from a register or provision of copy of lease, permit, forest produce licence, contract or other document</w:t>
            </w:r>
          </w:p>
        </w:tc>
        <w:tc>
          <w:tcPr>
            <w:tcW w:w="1559" w:type="dxa"/>
          </w:tcPr>
          <w:p>
            <w:pPr>
              <w:pStyle w:val="yTable"/>
              <w:spacing w:before="0"/>
              <w:jc w:val="center"/>
              <w:rPr>
                <w:sz w:val="18"/>
              </w:rPr>
            </w:pPr>
          </w:p>
          <w:p>
            <w:pPr>
              <w:pStyle w:val="yTable"/>
              <w:spacing w:before="0"/>
              <w:jc w:val="center"/>
              <w:rPr>
                <w:sz w:val="18"/>
              </w:rPr>
            </w:pPr>
            <w:r>
              <w:rPr>
                <w:sz w:val="18"/>
              </w:rPr>
              <w:t>1.00</w:t>
            </w:r>
          </w:p>
        </w:tc>
      </w:tr>
      <w:tr>
        <w:tc>
          <w:tcPr>
            <w:tcW w:w="5529" w:type="dxa"/>
          </w:tcPr>
          <w:p>
            <w:pPr>
              <w:pStyle w:val="yTable"/>
              <w:spacing w:before="0"/>
              <w:rPr>
                <w:sz w:val="18"/>
              </w:rPr>
            </w:pPr>
          </w:p>
        </w:tc>
        <w:tc>
          <w:tcPr>
            <w:tcW w:w="1559" w:type="dxa"/>
          </w:tcPr>
          <w:p>
            <w:pPr>
              <w:pStyle w:val="yTable"/>
              <w:spacing w:before="0"/>
              <w:jc w:val="center"/>
              <w:rPr>
                <w:sz w:val="18"/>
              </w:rPr>
            </w:pPr>
            <w:r>
              <w:rPr>
                <w:sz w:val="18"/>
              </w:rPr>
              <w:t>per page</w:t>
            </w:r>
          </w:p>
        </w:tc>
      </w:tr>
      <w:tr>
        <w:tc>
          <w:tcPr>
            <w:tcW w:w="5529" w:type="dxa"/>
          </w:tcPr>
          <w:p>
            <w:pPr>
              <w:pStyle w:val="yTable"/>
              <w:tabs>
                <w:tab w:val="left" w:pos="567"/>
              </w:tabs>
              <w:spacing w:before="0"/>
              <w:ind w:left="556" w:hanging="556"/>
              <w:rPr>
                <w:sz w:val="18"/>
              </w:rPr>
            </w:pPr>
            <w:r>
              <w:rPr>
                <w:sz w:val="18"/>
              </w:rPr>
              <w:t>5.</w:t>
            </w:r>
            <w:r>
              <w:rPr>
                <w:sz w:val="18"/>
              </w:rPr>
              <w:tab/>
              <w:t>Preparation of timber shipping certificate</w:t>
            </w:r>
          </w:p>
        </w:tc>
        <w:tc>
          <w:tcPr>
            <w:tcW w:w="1559" w:type="dxa"/>
          </w:tcPr>
          <w:p>
            <w:pPr>
              <w:pStyle w:val="yTable"/>
              <w:spacing w:before="0"/>
              <w:jc w:val="center"/>
              <w:rPr>
                <w:sz w:val="18"/>
              </w:rPr>
            </w:pPr>
            <w:r>
              <w:rPr>
                <w:sz w:val="18"/>
              </w:rPr>
              <w:t>10.00</w:t>
            </w:r>
          </w:p>
        </w:tc>
      </w:tr>
      <w:tr>
        <w:tc>
          <w:tcPr>
            <w:tcW w:w="5529" w:type="dxa"/>
          </w:tcPr>
          <w:p>
            <w:pPr>
              <w:pStyle w:val="yTable"/>
              <w:tabs>
                <w:tab w:val="left" w:pos="567"/>
              </w:tabs>
              <w:spacing w:before="0"/>
              <w:ind w:left="556" w:hanging="556"/>
              <w:rPr>
                <w:sz w:val="18"/>
              </w:rPr>
            </w:pPr>
            <w:r>
              <w:rPr>
                <w:sz w:val="18"/>
              </w:rPr>
              <w:t>6.</w:t>
            </w:r>
            <w:r>
              <w:rPr>
                <w:sz w:val="18"/>
              </w:rPr>
              <w:tab/>
              <w:t>Transfer of a lease or permit other than an apiary site permit</w:t>
            </w:r>
          </w:p>
        </w:tc>
        <w:tc>
          <w:tcPr>
            <w:tcW w:w="1559" w:type="dxa"/>
          </w:tcPr>
          <w:p>
            <w:pPr>
              <w:pStyle w:val="yTable"/>
              <w:spacing w:before="0"/>
              <w:jc w:val="center"/>
              <w:rPr>
                <w:sz w:val="18"/>
              </w:rPr>
            </w:pPr>
            <w:r>
              <w:rPr>
                <w:sz w:val="18"/>
              </w:rPr>
              <w:t>30.00</w:t>
            </w:r>
          </w:p>
        </w:tc>
      </w:tr>
      <w:tr>
        <w:tc>
          <w:tcPr>
            <w:tcW w:w="5529" w:type="dxa"/>
          </w:tcPr>
          <w:p>
            <w:pPr>
              <w:pStyle w:val="yTable"/>
              <w:tabs>
                <w:tab w:val="left" w:pos="567"/>
              </w:tabs>
              <w:spacing w:before="0"/>
              <w:ind w:left="556" w:hanging="556"/>
              <w:rPr>
                <w:sz w:val="18"/>
              </w:rPr>
            </w:pPr>
            <w:r>
              <w:rPr>
                <w:sz w:val="18"/>
              </w:rPr>
              <w:t>7.</w:t>
            </w:r>
            <w:r>
              <w:rPr>
                <w:sz w:val="18"/>
              </w:rPr>
              <w:tab/>
              <w:t>Grant of an apiary site permit in the south</w:t>
            </w:r>
            <w:r>
              <w:rPr>
                <w:sz w:val="18"/>
              </w:rPr>
              <w:noBreakHyphen/>
              <w:t>west zone — </w:t>
            </w:r>
          </w:p>
        </w:tc>
        <w:tc>
          <w:tcPr>
            <w:tcW w:w="1559" w:type="dxa"/>
          </w:tcPr>
          <w:p>
            <w:pPr>
              <w:pStyle w:val="yTable"/>
              <w:spacing w:before="0"/>
              <w:jc w:val="center"/>
              <w:rPr>
                <w:sz w:val="18"/>
              </w:rPr>
            </w:pPr>
          </w:p>
        </w:tc>
      </w:tr>
      <w:tr>
        <w:tc>
          <w:tcPr>
            <w:tcW w:w="5529" w:type="dxa"/>
          </w:tcPr>
          <w:p>
            <w:pPr>
              <w:pStyle w:val="yTable"/>
              <w:tabs>
                <w:tab w:val="left" w:pos="567"/>
              </w:tabs>
              <w:spacing w:before="0"/>
              <w:ind w:left="556" w:hanging="556"/>
              <w:rPr>
                <w:sz w:val="18"/>
              </w:rPr>
            </w:pPr>
            <w:r>
              <w:rPr>
                <w:sz w:val="18"/>
              </w:rPr>
              <w:tab/>
              <w:t>per 5 permits or less granted on one application</w:t>
            </w:r>
          </w:p>
        </w:tc>
        <w:tc>
          <w:tcPr>
            <w:tcW w:w="1559" w:type="dxa"/>
          </w:tcPr>
          <w:p>
            <w:pPr>
              <w:pStyle w:val="yTable"/>
              <w:spacing w:before="0"/>
              <w:jc w:val="center"/>
              <w:rPr>
                <w:sz w:val="18"/>
              </w:rPr>
            </w:pPr>
            <w:r>
              <w:rPr>
                <w:sz w:val="18"/>
              </w:rPr>
              <w:t>100.00</w:t>
            </w:r>
          </w:p>
        </w:tc>
      </w:tr>
      <w:tr>
        <w:tc>
          <w:tcPr>
            <w:tcW w:w="5529" w:type="dxa"/>
          </w:tcPr>
          <w:p>
            <w:pPr>
              <w:pStyle w:val="yTable"/>
              <w:tabs>
                <w:tab w:val="left" w:pos="567"/>
              </w:tabs>
              <w:spacing w:before="0"/>
              <w:ind w:left="556" w:hanging="556"/>
              <w:rPr>
                <w:sz w:val="18"/>
              </w:rPr>
            </w:pPr>
            <w:r>
              <w:rPr>
                <w:sz w:val="18"/>
              </w:rPr>
              <w:t>8.</w:t>
            </w:r>
            <w:r>
              <w:rPr>
                <w:sz w:val="18"/>
              </w:rPr>
              <w:tab/>
              <w:t>Grant of an apiary site permit outside the south</w:t>
            </w:r>
            <w:r>
              <w:rPr>
                <w:sz w:val="18"/>
              </w:rPr>
              <w:noBreakHyphen/>
              <w:t>west zone — </w:t>
            </w:r>
          </w:p>
        </w:tc>
        <w:tc>
          <w:tcPr>
            <w:tcW w:w="1559" w:type="dxa"/>
          </w:tcPr>
          <w:p>
            <w:pPr>
              <w:pStyle w:val="yTable"/>
              <w:spacing w:before="0"/>
              <w:jc w:val="center"/>
              <w:rPr>
                <w:sz w:val="18"/>
              </w:rPr>
            </w:pPr>
          </w:p>
        </w:tc>
      </w:tr>
      <w:tr>
        <w:tc>
          <w:tcPr>
            <w:tcW w:w="5529" w:type="dxa"/>
          </w:tcPr>
          <w:p>
            <w:pPr>
              <w:pStyle w:val="yTable"/>
              <w:tabs>
                <w:tab w:val="left" w:pos="567"/>
              </w:tabs>
              <w:spacing w:before="0"/>
              <w:ind w:left="556" w:hanging="556"/>
              <w:rPr>
                <w:sz w:val="18"/>
              </w:rPr>
            </w:pPr>
            <w:r>
              <w:rPr>
                <w:sz w:val="18"/>
              </w:rPr>
              <w:tab/>
              <w:t>per 5 permits or less granted on one application</w:t>
            </w:r>
          </w:p>
        </w:tc>
        <w:tc>
          <w:tcPr>
            <w:tcW w:w="1559" w:type="dxa"/>
          </w:tcPr>
          <w:p>
            <w:pPr>
              <w:pStyle w:val="yTable"/>
              <w:spacing w:before="0"/>
              <w:jc w:val="center"/>
              <w:rPr>
                <w:sz w:val="18"/>
              </w:rPr>
            </w:pPr>
            <w:r>
              <w:rPr>
                <w:sz w:val="18"/>
              </w:rPr>
              <w:t>50.00</w:t>
            </w:r>
          </w:p>
        </w:tc>
      </w:tr>
      <w:tr>
        <w:tc>
          <w:tcPr>
            <w:tcW w:w="5529" w:type="dxa"/>
          </w:tcPr>
          <w:p>
            <w:pPr>
              <w:pStyle w:val="yTable"/>
              <w:tabs>
                <w:tab w:val="left" w:pos="567"/>
              </w:tabs>
              <w:spacing w:before="0"/>
              <w:ind w:left="556" w:hanging="556"/>
              <w:rPr>
                <w:sz w:val="18"/>
              </w:rPr>
            </w:pPr>
            <w:r>
              <w:rPr>
                <w:sz w:val="18"/>
              </w:rPr>
              <w:t>9.</w:t>
            </w:r>
            <w:r>
              <w:rPr>
                <w:sz w:val="18"/>
              </w:rPr>
              <w:tab/>
              <w:t>Transfer of an apiary site permit</w:t>
            </w:r>
          </w:p>
        </w:tc>
        <w:tc>
          <w:tcPr>
            <w:tcW w:w="1559" w:type="dxa"/>
          </w:tcPr>
          <w:p>
            <w:pPr>
              <w:pStyle w:val="yTable"/>
              <w:spacing w:before="0"/>
              <w:jc w:val="center"/>
              <w:rPr>
                <w:sz w:val="18"/>
              </w:rPr>
            </w:pPr>
            <w:r>
              <w:rPr>
                <w:sz w:val="18"/>
              </w:rPr>
              <w:t>8.50</w:t>
            </w:r>
          </w:p>
        </w:tc>
      </w:tr>
      <w:tr>
        <w:tc>
          <w:tcPr>
            <w:tcW w:w="5529" w:type="dxa"/>
          </w:tcPr>
          <w:p>
            <w:pPr>
              <w:pStyle w:val="yTable"/>
              <w:tabs>
                <w:tab w:val="left" w:pos="567"/>
              </w:tabs>
              <w:spacing w:before="0"/>
              <w:ind w:left="556" w:hanging="556"/>
              <w:rPr>
                <w:sz w:val="18"/>
              </w:rPr>
            </w:pPr>
            <w:r>
              <w:rPr>
                <w:sz w:val="18"/>
              </w:rPr>
              <w:t>10.</w:t>
            </w:r>
            <w:r>
              <w:rPr>
                <w:sz w:val="18"/>
              </w:rPr>
              <w:tab/>
              <w:t>Variation of an apiary site permit so as to change the location of the area to which the permit applies to a location in the south</w:t>
            </w:r>
            <w:r>
              <w:rPr>
                <w:sz w:val="18"/>
              </w:rPr>
              <w:noBreakHyphen/>
              <w:t>west zone</w:t>
            </w:r>
          </w:p>
        </w:tc>
        <w:tc>
          <w:tcPr>
            <w:tcW w:w="1559" w:type="dxa"/>
          </w:tcPr>
          <w:p>
            <w:pPr>
              <w:pStyle w:val="yTable"/>
              <w:spacing w:before="0"/>
              <w:jc w:val="center"/>
              <w:rPr>
                <w:sz w:val="18"/>
              </w:rPr>
            </w:pPr>
          </w:p>
          <w:p>
            <w:pPr>
              <w:pStyle w:val="yTable"/>
              <w:spacing w:before="0"/>
              <w:jc w:val="center"/>
              <w:rPr>
                <w:sz w:val="18"/>
              </w:rPr>
            </w:pPr>
          </w:p>
          <w:p>
            <w:pPr>
              <w:pStyle w:val="yTable"/>
              <w:spacing w:before="0"/>
              <w:jc w:val="center"/>
              <w:rPr>
                <w:sz w:val="18"/>
              </w:rPr>
            </w:pPr>
            <w:r>
              <w:rPr>
                <w:sz w:val="18"/>
              </w:rPr>
              <w:t>75.00</w:t>
            </w:r>
          </w:p>
        </w:tc>
      </w:tr>
      <w:tr>
        <w:tc>
          <w:tcPr>
            <w:tcW w:w="5529" w:type="dxa"/>
          </w:tcPr>
          <w:p>
            <w:pPr>
              <w:pStyle w:val="yTable"/>
              <w:tabs>
                <w:tab w:val="left" w:pos="567"/>
              </w:tabs>
              <w:spacing w:before="0"/>
              <w:ind w:left="556" w:hanging="556"/>
              <w:rPr>
                <w:sz w:val="18"/>
              </w:rPr>
            </w:pPr>
            <w:r>
              <w:rPr>
                <w:sz w:val="18"/>
              </w:rPr>
              <w:t>11.</w:t>
            </w:r>
            <w:r>
              <w:rPr>
                <w:sz w:val="18"/>
              </w:rPr>
              <w:tab/>
              <w:t>Variation of an apiary site permit so as to change the location of the area to which the permit applies to a location outside the south</w:t>
            </w:r>
            <w:r>
              <w:rPr>
                <w:sz w:val="18"/>
              </w:rPr>
              <w:noBreakHyphen/>
              <w:t>west zone</w:t>
            </w:r>
          </w:p>
        </w:tc>
        <w:tc>
          <w:tcPr>
            <w:tcW w:w="1559" w:type="dxa"/>
          </w:tcPr>
          <w:p>
            <w:pPr>
              <w:pStyle w:val="yTable"/>
              <w:spacing w:before="0"/>
              <w:jc w:val="center"/>
              <w:rPr>
                <w:sz w:val="18"/>
              </w:rPr>
            </w:pPr>
          </w:p>
          <w:p>
            <w:pPr>
              <w:pStyle w:val="yTable"/>
              <w:spacing w:before="0"/>
              <w:jc w:val="center"/>
              <w:rPr>
                <w:sz w:val="18"/>
              </w:rPr>
            </w:pPr>
          </w:p>
          <w:p>
            <w:pPr>
              <w:pStyle w:val="yTable"/>
              <w:spacing w:before="0"/>
              <w:jc w:val="center"/>
              <w:rPr>
                <w:sz w:val="18"/>
              </w:rPr>
            </w:pPr>
            <w:r>
              <w:rPr>
                <w:sz w:val="18"/>
              </w:rPr>
              <w:t>37.50</w:t>
            </w:r>
          </w:p>
        </w:tc>
      </w:tr>
    </w:tbl>
    <w:p>
      <w:pPr>
        <w:pStyle w:val="yFootnotesection"/>
      </w:pPr>
      <w:r>
        <w:tab/>
        <w:t>[Schedule 5 amended in Gazette 21 April 1998 pp.2113</w:t>
      </w:r>
      <w:r>
        <w:noBreakHyphen/>
        <w:t xml:space="preserve">14.] </w:t>
      </w:r>
    </w:p>
    <w:p>
      <w:pPr>
        <w:pStyle w:val="yScheduleHeading"/>
      </w:pPr>
      <w:bookmarkStart w:id="933" w:name="_Toc155068192"/>
      <w:bookmarkStart w:id="934" w:name="_Toc170209630"/>
      <w:r>
        <w:rPr>
          <w:rStyle w:val="CharSchNo"/>
        </w:rPr>
        <w:t>Schedule 6</w:t>
      </w:r>
      <w:bookmarkEnd w:id="933"/>
      <w:bookmarkEnd w:id="934"/>
    </w:p>
    <w:p>
      <w:pPr>
        <w:pStyle w:val="yShoulderClause"/>
        <w:spacing w:before="0"/>
        <w:rPr>
          <w:snapToGrid w:val="0"/>
        </w:rPr>
      </w:pPr>
      <w:r>
        <w:rPr>
          <w:snapToGrid w:val="0"/>
        </w:rPr>
        <w:t>[Regulation 154]</w:t>
      </w:r>
    </w:p>
    <w:p>
      <w:pPr>
        <w:pStyle w:val="yMiscellaneousHeading"/>
        <w:rPr>
          <w:b/>
        </w:rPr>
      </w:pPr>
      <w:r>
        <w:rPr>
          <w:b/>
          <w:sz w:val="28"/>
        </w:rPr>
        <w:t>Transitional</w:t>
      </w:r>
    </w:p>
    <w:p>
      <w:pPr>
        <w:pStyle w:val="yHeading5"/>
        <w:rPr>
          <w:snapToGrid w:val="0"/>
        </w:rPr>
      </w:pPr>
      <w:bookmarkStart w:id="935" w:name="_Toc155068193"/>
      <w:bookmarkStart w:id="936" w:name="_Toc170209631"/>
      <w:r>
        <w:rPr>
          <w:snapToGrid w:val="0"/>
        </w:rPr>
        <w:t>1.</w:t>
      </w:r>
      <w:r>
        <w:rPr>
          <w:snapToGrid w:val="0"/>
        </w:rPr>
        <w:tab/>
        <w:t>Time allowed for timber workers to comply with regulation 5</w:t>
      </w:r>
      <w:bookmarkEnd w:id="935"/>
      <w:bookmarkEnd w:id="936"/>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937" w:name="_Toc155068194"/>
      <w:bookmarkStart w:id="938" w:name="_Toc170209632"/>
      <w:r>
        <w:rPr>
          <w:snapToGrid w:val="0"/>
        </w:rPr>
        <w:t>2.</w:t>
      </w:r>
      <w:r>
        <w:rPr>
          <w:snapToGrid w:val="0"/>
        </w:rPr>
        <w:tab/>
        <w:t>Time allowed for employers etc. to comply with regulation 6</w:t>
      </w:r>
      <w:bookmarkEnd w:id="937"/>
      <w:bookmarkEnd w:id="938"/>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939" w:name="_Toc155068195"/>
      <w:bookmarkStart w:id="940" w:name="_Toc170209633"/>
      <w:r>
        <w:rPr>
          <w:snapToGrid w:val="0"/>
        </w:rPr>
        <w:t>3.</w:t>
      </w:r>
      <w:r>
        <w:rPr>
          <w:snapToGrid w:val="0"/>
        </w:rPr>
        <w:tab/>
        <w:t>Time allowed for fellers to comply with regulation 24</w:t>
      </w:r>
      <w:bookmarkEnd w:id="939"/>
      <w:bookmarkEnd w:id="940"/>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941" w:name="_Toc155068196"/>
      <w:bookmarkStart w:id="942" w:name="_Toc170209634"/>
      <w:r>
        <w:rPr>
          <w:snapToGrid w:val="0"/>
        </w:rPr>
        <w:t>4.</w:t>
      </w:r>
      <w:r>
        <w:rPr>
          <w:snapToGrid w:val="0"/>
        </w:rPr>
        <w:tab/>
        <w:t>Apiary site licences and temporary and annual apiary site permits to continue to operate</w:t>
      </w:r>
      <w:bookmarkEnd w:id="941"/>
      <w:bookmarkEnd w:id="942"/>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943" w:name="_Toc155068197"/>
      <w:bookmarkStart w:id="944" w:name="_Toc170209635"/>
      <w:r>
        <w:rPr>
          <w:snapToGrid w:val="0"/>
        </w:rPr>
        <w:t>5.</w:t>
      </w:r>
      <w:r>
        <w:rPr>
          <w:snapToGrid w:val="0"/>
        </w:rPr>
        <w:tab/>
        <w:t>Authorization to continue to have effect</w:t>
      </w:r>
      <w:bookmarkEnd w:id="943"/>
      <w:bookmarkEnd w:id="944"/>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945" w:name="_Toc154984532"/>
      <w:bookmarkStart w:id="946" w:name="_Toc155067337"/>
      <w:bookmarkStart w:id="947" w:name="_Toc155068198"/>
      <w:bookmarkStart w:id="948" w:name="_Toc170209636"/>
      <w:r>
        <w:t>Notes</w:t>
      </w:r>
      <w:bookmarkEnd w:id="945"/>
      <w:bookmarkEnd w:id="946"/>
      <w:bookmarkEnd w:id="947"/>
      <w:bookmarkEnd w:id="948"/>
    </w:p>
    <w:p>
      <w:pPr>
        <w:pStyle w:val="nSubsection"/>
        <w:rPr>
          <w:snapToGrid w:val="0"/>
        </w:rPr>
      </w:pPr>
      <w:r>
        <w:rPr>
          <w:snapToGrid w:val="0"/>
          <w:vertAlign w:val="superscript"/>
        </w:rPr>
        <w:t>1</w:t>
      </w:r>
      <w:r>
        <w:rPr>
          <w:snapToGrid w:val="0"/>
        </w:rPr>
        <w:tab/>
        <w:t xml:space="preserve">This is a compilation of the </w:t>
      </w:r>
      <w:r>
        <w:rPr>
          <w:i/>
          <w:noProof/>
          <w:snapToGrid w:val="0"/>
        </w:rPr>
        <w:t>Forest Management Regulations 1993</w:t>
      </w:r>
      <w:r>
        <w:rPr>
          <w:snapToGrid w:val="0"/>
        </w:rPr>
        <w:t xml:space="preserve"> and includes the amendments made by the other written laws referred to in the following table.  </w:t>
      </w:r>
    </w:p>
    <w:p>
      <w:pPr>
        <w:pStyle w:val="nHeading3"/>
        <w:rPr>
          <w:snapToGrid w:val="0"/>
        </w:rPr>
      </w:pPr>
      <w:bookmarkStart w:id="949" w:name="_Toc155068199"/>
      <w:bookmarkStart w:id="950" w:name="_Toc170209637"/>
      <w:r>
        <w:rPr>
          <w:snapToGrid w:val="0"/>
        </w:rPr>
        <w:t>Compilation table</w:t>
      </w:r>
      <w:bookmarkEnd w:id="949"/>
      <w:bookmarkEnd w:id="9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Forest Management Regulations 1993</w:t>
            </w:r>
          </w:p>
        </w:tc>
        <w:tc>
          <w:tcPr>
            <w:tcW w:w="1276" w:type="dxa"/>
          </w:tcPr>
          <w:p>
            <w:pPr>
              <w:pStyle w:val="nTable"/>
              <w:spacing w:after="40"/>
              <w:rPr>
                <w:sz w:val="19"/>
              </w:rPr>
            </w:pPr>
            <w:r>
              <w:rPr>
                <w:sz w:val="19"/>
              </w:rPr>
              <w:t>9 Feb 1993 pp.1119</w:t>
            </w:r>
            <w:r>
              <w:rPr>
                <w:sz w:val="19"/>
              </w:rPr>
              <w:noBreakHyphen/>
              <w:t>1201</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r>
              <w:rPr>
                <w:i/>
                <w:sz w:val="19"/>
              </w:rPr>
              <w:t>Forest Management Amendment Regulations 1995</w:t>
            </w:r>
          </w:p>
        </w:tc>
        <w:tc>
          <w:tcPr>
            <w:tcW w:w="1276" w:type="dxa"/>
          </w:tcPr>
          <w:p>
            <w:pPr>
              <w:pStyle w:val="nTable"/>
              <w:spacing w:after="40"/>
              <w:rPr>
                <w:sz w:val="19"/>
              </w:rPr>
            </w:pPr>
            <w:r>
              <w:rPr>
                <w:sz w:val="19"/>
              </w:rPr>
              <w:t>28 Apr 1995 pp.1459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r>
              <w:rPr>
                <w:i/>
                <w:sz w:val="19"/>
              </w:rPr>
              <w:t>Forest Management Amendment Regulations (No. 2) 1995</w:t>
            </w:r>
          </w:p>
        </w:tc>
        <w:tc>
          <w:tcPr>
            <w:tcW w:w="1276" w:type="dxa"/>
          </w:tcPr>
          <w:p>
            <w:pPr>
              <w:pStyle w:val="nTable"/>
              <w:spacing w:after="40"/>
              <w:rPr>
                <w:sz w:val="19"/>
              </w:rPr>
            </w:pPr>
            <w:r>
              <w:rPr>
                <w:sz w:val="19"/>
              </w:rPr>
              <w:t>23 Jan 1996 p.272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r>
              <w:rPr>
                <w:i/>
                <w:sz w:val="19"/>
              </w:rPr>
              <w:t>Forest Management Amendment Regulations 1996</w:t>
            </w:r>
          </w:p>
        </w:tc>
        <w:tc>
          <w:tcPr>
            <w:tcW w:w="1276" w:type="dxa"/>
          </w:tcPr>
          <w:p>
            <w:pPr>
              <w:pStyle w:val="nTable"/>
              <w:spacing w:after="40"/>
              <w:rPr>
                <w:sz w:val="19"/>
              </w:rPr>
            </w:pPr>
            <w:r>
              <w:rPr>
                <w:sz w:val="19"/>
              </w:rPr>
              <w:t>29 Mar 1996 pp.1504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r>
              <w:rPr>
                <w:i/>
                <w:sz w:val="19"/>
              </w:rPr>
              <w:t>Forest Management Amendment Regulations (No. 2) 1996</w:t>
            </w:r>
          </w:p>
        </w:tc>
        <w:tc>
          <w:tcPr>
            <w:tcW w:w="1276" w:type="dxa"/>
          </w:tcPr>
          <w:p>
            <w:pPr>
              <w:pStyle w:val="nTable"/>
              <w:spacing w:after="40"/>
              <w:rPr>
                <w:sz w:val="19"/>
              </w:rPr>
            </w:pPr>
            <w:r>
              <w:rPr>
                <w:sz w:val="19"/>
              </w:rPr>
              <w:t>28 May 1996</w:t>
            </w:r>
            <w:r>
              <w:rPr>
                <w:sz w:val="19"/>
              </w:rPr>
              <w:br/>
              <w:t>p.2204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(No. 3) 1996</w:t>
            </w:r>
          </w:p>
        </w:tc>
        <w:tc>
          <w:tcPr>
            <w:tcW w:w="1276" w:type="dxa"/>
          </w:tcPr>
          <w:p>
            <w:pPr>
              <w:pStyle w:val="nTable"/>
              <w:spacing w:after="40"/>
              <w:rPr>
                <w:sz w:val="19"/>
              </w:rPr>
            </w:pPr>
            <w:r>
              <w:rPr>
                <w:sz w:val="19"/>
              </w:rPr>
              <w:t>28 May 1996 pp.2204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1998</w:t>
            </w:r>
          </w:p>
        </w:tc>
        <w:tc>
          <w:tcPr>
            <w:tcW w:w="1276" w:type="dxa"/>
          </w:tcPr>
          <w:p>
            <w:pPr>
              <w:pStyle w:val="nTable"/>
              <w:spacing w:after="40"/>
              <w:rPr>
                <w:sz w:val="19"/>
              </w:rPr>
            </w:pPr>
            <w:r>
              <w:rPr>
                <w:sz w:val="19"/>
              </w:rPr>
              <w:t>21 Apr 1998 pp.2113</w:t>
            </w:r>
            <w:r>
              <w:rPr>
                <w:sz w:val="19"/>
              </w:rPr>
              <w:noBreakHyphen/>
              <w:t>4</w:t>
            </w:r>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r>
              <w:rPr>
                <w:i/>
                <w:sz w:val="19"/>
              </w:rPr>
              <w:t>Forest Management Amendment Regulations (No. 2) 1998</w:t>
            </w:r>
          </w:p>
        </w:tc>
        <w:tc>
          <w:tcPr>
            <w:tcW w:w="1276" w:type="dxa"/>
          </w:tcPr>
          <w:p>
            <w:pPr>
              <w:pStyle w:val="nTable"/>
              <w:spacing w:after="40"/>
              <w:rPr>
                <w:sz w:val="19"/>
              </w:rPr>
            </w:pPr>
            <w:r>
              <w:rPr>
                <w:sz w:val="19"/>
              </w:rPr>
              <w:t>18 Aug 1998 p.4447 Disallowed 28 Oct 1998 (see </w:t>
            </w:r>
            <w:r>
              <w:rPr>
                <w:i/>
                <w:sz w:val="19"/>
              </w:rPr>
              <w:t>Gazette</w:t>
            </w:r>
            <w:r>
              <w:rPr>
                <w:sz w:val="19"/>
              </w:rPr>
              <w:t xml:space="preserve"> 17 Nov 1998 p.6248)</w:t>
            </w:r>
          </w:p>
        </w:tc>
        <w:tc>
          <w:tcPr>
            <w:tcW w:w="2693" w:type="dxa"/>
          </w:tcPr>
          <w:p>
            <w:pPr>
              <w:pStyle w:val="nTable"/>
              <w:spacing w:after="40"/>
              <w:rPr>
                <w:sz w:val="19"/>
              </w:rPr>
            </w:pPr>
            <w:r>
              <w:rPr>
                <w:sz w:val="19"/>
              </w:rPr>
              <w:t>18 Aug 1998</w:t>
            </w:r>
          </w:p>
        </w:tc>
      </w:tr>
      <w:tr>
        <w:trPr>
          <w:cantSplit/>
        </w:trPr>
        <w:tc>
          <w:tcPr>
            <w:tcW w:w="3118" w:type="dxa"/>
          </w:tcPr>
          <w:p>
            <w:pPr>
              <w:pStyle w:val="nTable"/>
              <w:spacing w:after="40"/>
              <w:ind w:right="113"/>
              <w:rPr>
                <w:i/>
                <w:sz w:val="19"/>
              </w:rPr>
            </w:pPr>
            <w:r>
              <w:rPr>
                <w:i/>
                <w:sz w:val="19"/>
              </w:rPr>
              <w:t>Forrest Management Amendment Regulation 2000</w:t>
            </w:r>
          </w:p>
        </w:tc>
        <w:tc>
          <w:tcPr>
            <w:tcW w:w="1276" w:type="dxa"/>
          </w:tcPr>
          <w:p>
            <w:pPr>
              <w:pStyle w:val="nTable"/>
              <w:spacing w:after="40"/>
              <w:rPr>
                <w:sz w:val="19"/>
              </w:rPr>
            </w:pPr>
            <w:r>
              <w:rPr>
                <w:sz w:val="19"/>
              </w:rPr>
              <w:t>30 Jun 2000 pp.3401-2</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Pr>
          <w:p>
            <w:pPr>
              <w:pStyle w:val="nTable"/>
              <w:spacing w:after="40"/>
              <w:ind w:right="113"/>
              <w:rPr>
                <w:i/>
                <w:sz w:val="19"/>
              </w:rPr>
            </w:pPr>
            <w:r>
              <w:rPr>
                <w:i/>
                <w:sz w:val="19"/>
              </w:rPr>
              <w:t>Forest Management Amendment Regulations 2003</w:t>
            </w:r>
          </w:p>
        </w:tc>
        <w:tc>
          <w:tcPr>
            <w:tcW w:w="1276" w:type="dxa"/>
          </w:tcPr>
          <w:p>
            <w:pPr>
              <w:pStyle w:val="nTable"/>
              <w:spacing w:after="40"/>
              <w:rPr>
                <w:sz w:val="19"/>
              </w:rPr>
            </w:pPr>
            <w:r>
              <w:rPr>
                <w:sz w:val="19"/>
              </w:rPr>
              <w:t>12 Aug 2003 p. 3657</w:t>
            </w:r>
            <w:r>
              <w:rPr>
                <w:sz w:val="19"/>
              </w:rPr>
              <w:noBreakHyphen/>
              <w:t>8</w:t>
            </w:r>
          </w:p>
        </w:tc>
        <w:tc>
          <w:tcPr>
            <w:tcW w:w="2693" w:type="dxa"/>
          </w:tcPr>
          <w:p>
            <w:pPr>
              <w:pStyle w:val="nTable"/>
              <w:spacing w:after="40"/>
              <w:rPr>
                <w:sz w:val="19"/>
              </w:rPr>
            </w:pPr>
            <w:r>
              <w:rPr>
                <w:sz w:val="19"/>
              </w:rPr>
              <w:t>12 Aug 2003</w:t>
            </w:r>
          </w:p>
        </w:tc>
      </w:tr>
      <w:tr>
        <w:trPr>
          <w:cantSplit/>
          <w:ins w:id="951" w:author="Master Repository Process" w:date="2021-08-01T15:45:00Z"/>
        </w:trPr>
        <w:tc>
          <w:tcPr>
            <w:tcW w:w="3118" w:type="dxa"/>
            <w:tcBorders>
              <w:bottom w:val="single" w:sz="8" w:space="0" w:color="auto"/>
            </w:tcBorders>
          </w:tcPr>
          <w:p>
            <w:pPr>
              <w:pStyle w:val="nTable"/>
              <w:spacing w:after="40"/>
              <w:ind w:right="113"/>
              <w:rPr>
                <w:ins w:id="952" w:author="Master Repository Process" w:date="2021-08-01T15:45:00Z"/>
                <w:i/>
                <w:sz w:val="19"/>
              </w:rPr>
            </w:pPr>
            <w:ins w:id="953" w:author="Master Repository Process" w:date="2021-08-01T15:45:00Z">
              <w:r>
                <w:rPr>
                  <w:i/>
                  <w:sz w:val="19"/>
                </w:rPr>
                <w:t>Forest Management Amendment Regulations (No. 2) 2006</w:t>
              </w:r>
            </w:ins>
          </w:p>
        </w:tc>
        <w:tc>
          <w:tcPr>
            <w:tcW w:w="1276" w:type="dxa"/>
            <w:tcBorders>
              <w:bottom w:val="single" w:sz="8" w:space="0" w:color="auto"/>
            </w:tcBorders>
          </w:tcPr>
          <w:p>
            <w:pPr>
              <w:pStyle w:val="nTable"/>
              <w:spacing w:after="40"/>
              <w:rPr>
                <w:ins w:id="954" w:author="Master Repository Process" w:date="2021-08-01T15:45:00Z"/>
                <w:sz w:val="19"/>
              </w:rPr>
            </w:pPr>
            <w:ins w:id="955" w:author="Master Repository Process" w:date="2021-08-01T15:45:00Z">
              <w:r>
                <w:rPr>
                  <w:sz w:val="19"/>
                </w:rPr>
                <w:t>22 Dec 2006 p. 5804</w:t>
              </w:r>
            </w:ins>
          </w:p>
        </w:tc>
        <w:tc>
          <w:tcPr>
            <w:tcW w:w="2693" w:type="dxa"/>
            <w:tcBorders>
              <w:bottom w:val="single" w:sz="8" w:space="0" w:color="auto"/>
            </w:tcBorders>
          </w:tcPr>
          <w:p>
            <w:pPr>
              <w:pStyle w:val="nTable"/>
              <w:spacing w:after="40"/>
              <w:rPr>
                <w:ins w:id="956" w:author="Master Repository Process" w:date="2021-08-01T15:45:00Z"/>
                <w:sz w:val="19"/>
              </w:rPr>
            </w:pPr>
            <w:ins w:id="957" w:author="Master Repository Process" w:date="2021-08-01T15:45:00Z">
              <w:r>
                <w:rPr>
                  <w:sz w:val="19"/>
                </w:rPr>
                <w:t xml:space="preserve">1 Jan 2007 (see r. 2 and </w:t>
              </w:r>
              <w:r>
                <w:rPr>
                  <w:i/>
                  <w:sz w:val="19"/>
                </w:rPr>
                <w:t>Gazette</w:t>
              </w:r>
              <w:r>
                <w:rPr>
                  <w:iCs/>
                  <w:sz w:val="19"/>
                </w:rPr>
                <w:t xml:space="preserve"> 8 Dec 2006 p. 5369)</w:t>
              </w:r>
            </w:ins>
          </w:p>
        </w:tc>
      </w:tr>
    </w:tbl>
    <w:p>
      <w:pPr>
        <w:pStyle w:val="nSubsection"/>
      </w:pPr>
      <w:bookmarkStart w:id="958" w:name="UpToHere"/>
      <w:bookmarkEnd w:id="958"/>
      <w:r>
        <w:rPr>
          <w:vertAlign w:val="superscript"/>
        </w:rPr>
        <w:t>2</w:t>
      </w:r>
      <w:r>
        <w:tab/>
        <w:t xml:space="preserve">The </w:t>
      </w:r>
      <w:r>
        <w:rPr>
          <w:i/>
        </w:rPr>
        <w:t>Land Act 1933</w:t>
      </w:r>
      <w:r>
        <w:t xml:space="preserve"> was repealed by the </w:t>
      </w:r>
      <w:r>
        <w:rPr>
          <w:i/>
        </w:rPr>
        <w:t>Land Administration Act 1997</w:t>
      </w:r>
      <w:r>
        <w:t xml:space="preserve"> (No. 30 of 1997) s.</w:t>
      </w:r>
      <w:ins w:id="959" w:author="Master Repository Process" w:date="2021-08-01T15:45:00Z">
        <w:r>
          <w:t> </w:t>
        </w:r>
      </w:ins>
      <w:r>
        <w:t>281(1).</w:t>
      </w:r>
    </w:p>
    <w:p>
      <w:pPr>
        <w:pStyle w:val="nSubsection"/>
      </w:pPr>
      <w:r>
        <w:rPr>
          <w:vertAlign w:val="superscript"/>
        </w:rPr>
        <w:t>3</w:t>
      </w:r>
      <w:r>
        <w:tab/>
        <w:t xml:space="preserve">The </w:t>
      </w:r>
      <w:r>
        <w:rPr>
          <w:i/>
        </w:rPr>
        <w:t xml:space="preserve">Forest Regulations 1957 </w:t>
      </w:r>
      <w:r>
        <w:t>are repealed by regulation 153(1) of these regulations.</w:t>
      </w:r>
    </w:p>
    <w:p>
      <w:pPr>
        <w:pStyle w:val="nSubsection"/>
      </w:pPr>
      <w:r>
        <w:rPr>
          <w:vertAlign w:val="superscript"/>
        </w:rPr>
        <w:t>4</w:t>
      </w:r>
      <w:r>
        <w:tab/>
        <w:t xml:space="preserve">The </w:t>
      </w:r>
      <w:r>
        <w:rPr>
          <w:i/>
        </w:rPr>
        <w:t>Forest Diseases Regulations 1975</w:t>
      </w:r>
      <w:r>
        <w:t xml:space="preserve"> are repealed by regulation</w:t>
      </w:r>
      <w:del w:id="960" w:author="Master Repository Process" w:date="2021-08-01T15:45:00Z">
        <w:r>
          <w:delText xml:space="preserve"> </w:delText>
        </w:r>
      </w:del>
      <w:ins w:id="961" w:author="Master Repository Process" w:date="2021-08-01T15:45:00Z">
        <w:r>
          <w:t> </w:t>
        </w:r>
      </w:ins>
      <w:r>
        <w:t>153(2) of these regulations.</w:t>
      </w:r>
    </w:p>
    <w:p>
      <w:pPr>
        <w:pStyle w:val="nSubsection"/>
      </w:pPr>
      <w:r>
        <w:rPr>
          <w:vertAlign w:val="superscript"/>
        </w:rPr>
        <w:t>5</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962" w:name="_Toc5508229"/>
      <w:bookmarkStart w:id="963" w:name="_Toc8119197"/>
      <w:bookmarkStart w:id="964" w:name="_Toc8119455"/>
      <w:r>
        <w:rPr>
          <w:snapToGrid w:val="0"/>
        </w:rPr>
        <w:t>116.</w:t>
      </w:r>
      <w:r>
        <w:rPr>
          <w:snapToGrid w:val="0"/>
        </w:rPr>
        <w:tab/>
        <w:t>Saving</w:t>
      </w:r>
      <w:bookmarkEnd w:id="962"/>
      <w:bookmarkEnd w:id="963"/>
      <w:bookmarkEnd w:id="964"/>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del w:id="965" w:author="Master Repository Process" w:date="2021-08-01T15:45:00Z">
        <w:r>
          <w:rPr>
            <w:b/>
          </w:rPr>
          <w:delText>“</w:delText>
        </w:r>
      </w:del>
      <w:r>
        <w:rPr>
          <w:rStyle w:val="CharDefText"/>
        </w:rPr>
        <w:t>former provision</w:t>
      </w:r>
      <w:del w:id="966" w:author="Master Repository Process" w:date="2021-08-01T15:45:00Z">
        <w:r>
          <w:rPr>
            <w:b/>
          </w:rPr>
          <w:delText>”</w:delText>
        </w:r>
      </w:del>
      <w:r>
        <w:t xml:space="preserve"> means a provision repealed by regulation 114 or 115.</w:t>
      </w:r>
    </w:p>
    <w:p>
      <w:pPr>
        <w:pStyle w:val="MiscClose"/>
      </w:pPr>
      <w:r>
        <w:t>”.</w:t>
      </w: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B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C21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506A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F769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867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C1A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7C55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9A06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9A7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24CB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5C4FA6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85AC00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40444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F0FCB6A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832"/>
    <w:docVar w:name="WAFER_20151211140832" w:val="RemoveTrackChanges"/>
    <w:docVar w:name="WAFER_20151211140832_GUID" w:val="4a514b6b-9bc5-4ee1-b9e9-b2e159ac06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4C65EDE-C725-48C6-8BE2-CA3855C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8.xml"/><Relationship Id="rId21" Type="http://schemas.openxmlformats.org/officeDocument/2006/relationships/image" Target="media/image9.png"/><Relationship Id="rId34" Type="http://schemas.openxmlformats.org/officeDocument/2006/relationships/footer" Target="footer4.xml"/><Relationship Id="rId42" Type="http://schemas.openxmlformats.org/officeDocument/2006/relationships/header" Target="header11.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9.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5.xml"/><Relationship Id="rId43" Type="http://schemas.openxmlformats.org/officeDocument/2006/relationships/header" Target="header12.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18746</Words>
  <Characters>89421</Characters>
  <Application>Microsoft Office Word</Application>
  <DocSecurity>0</DocSecurity>
  <Lines>2554</Lines>
  <Paragraphs>1545</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106622</CharactersWithSpaces>
  <SharedDoc>false</SharedDoc>
  <HLinks>
    <vt:vector size="102" baseType="variant">
      <vt:variant>
        <vt:i4>8257639</vt:i4>
      </vt:variant>
      <vt:variant>
        <vt:i4>84400</vt:i4>
      </vt:variant>
      <vt:variant>
        <vt:i4>1025</vt:i4>
      </vt:variant>
      <vt:variant>
        <vt:i4>1</vt:i4>
      </vt:variant>
      <vt:variant>
        <vt:lpwstr>Forest1</vt:lpwstr>
      </vt:variant>
      <vt:variant>
        <vt:lpwstr/>
      </vt:variant>
      <vt:variant>
        <vt:i4>8257639</vt:i4>
      </vt:variant>
      <vt:variant>
        <vt:i4>84430</vt:i4>
      </vt:variant>
      <vt:variant>
        <vt:i4>1026</vt:i4>
      </vt:variant>
      <vt:variant>
        <vt:i4>1</vt:i4>
      </vt:variant>
      <vt:variant>
        <vt:lpwstr>Forest3</vt:lpwstr>
      </vt:variant>
      <vt:variant>
        <vt:lpwstr/>
      </vt:variant>
      <vt:variant>
        <vt:i4>8257639</vt:i4>
      </vt:variant>
      <vt:variant>
        <vt:i4>84432</vt:i4>
      </vt:variant>
      <vt:variant>
        <vt:i4>1027</vt:i4>
      </vt:variant>
      <vt:variant>
        <vt:i4>1</vt:i4>
      </vt:variant>
      <vt:variant>
        <vt:lpwstr>Forest4</vt:lpwstr>
      </vt:variant>
      <vt:variant>
        <vt:lpwstr/>
      </vt:variant>
      <vt:variant>
        <vt:i4>8257639</vt:i4>
      </vt:variant>
      <vt:variant>
        <vt:i4>84434</vt:i4>
      </vt:variant>
      <vt:variant>
        <vt:i4>1028</vt:i4>
      </vt:variant>
      <vt:variant>
        <vt:i4>1</vt:i4>
      </vt:variant>
      <vt:variant>
        <vt:lpwstr>Forest5</vt:lpwstr>
      </vt:variant>
      <vt:variant>
        <vt:lpwstr/>
      </vt:variant>
      <vt:variant>
        <vt:i4>8257639</vt:i4>
      </vt:variant>
      <vt:variant>
        <vt:i4>84436</vt:i4>
      </vt:variant>
      <vt:variant>
        <vt:i4>1029</vt:i4>
      </vt:variant>
      <vt:variant>
        <vt:i4>1</vt:i4>
      </vt:variant>
      <vt:variant>
        <vt:lpwstr>Forest6</vt:lpwstr>
      </vt:variant>
      <vt:variant>
        <vt:lpwstr/>
      </vt:variant>
      <vt:variant>
        <vt:i4>8257639</vt:i4>
      </vt:variant>
      <vt:variant>
        <vt:i4>84438</vt:i4>
      </vt:variant>
      <vt:variant>
        <vt:i4>1030</vt:i4>
      </vt:variant>
      <vt:variant>
        <vt:i4>1</vt:i4>
      </vt:variant>
      <vt:variant>
        <vt:lpwstr>Forest7</vt:lpwstr>
      </vt:variant>
      <vt:variant>
        <vt:lpwstr/>
      </vt:variant>
      <vt:variant>
        <vt:i4>8257639</vt:i4>
      </vt:variant>
      <vt:variant>
        <vt:i4>84440</vt:i4>
      </vt:variant>
      <vt:variant>
        <vt:i4>1031</vt:i4>
      </vt:variant>
      <vt:variant>
        <vt:i4>1</vt:i4>
      </vt:variant>
      <vt:variant>
        <vt:lpwstr>Forest8</vt:lpwstr>
      </vt:variant>
      <vt:variant>
        <vt:lpwstr/>
      </vt:variant>
      <vt:variant>
        <vt:i4>8257639</vt:i4>
      </vt:variant>
      <vt:variant>
        <vt:i4>84442</vt:i4>
      </vt:variant>
      <vt:variant>
        <vt:i4>1032</vt:i4>
      </vt:variant>
      <vt:variant>
        <vt:i4>1</vt:i4>
      </vt:variant>
      <vt:variant>
        <vt:lpwstr>Forest9</vt:lpwstr>
      </vt:variant>
      <vt:variant>
        <vt:lpwstr/>
      </vt:variant>
      <vt:variant>
        <vt:i4>5111894</vt:i4>
      </vt:variant>
      <vt:variant>
        <vt:i4>84444</vt:i4>
      </vt:variant>
      <vt:variant>
        <vt:i4>1033</vt:i4>
      </vt:variant>
      <vt:variant>
        <vt:i4>1</vt:i4>
      </vt:variant>
      <vt:variant>
        <vt:lpwstr>Forest10</vt:lpwstr>
      </vt:variant>
      <vt:variant>
        <vt:lpwstr/>
      </vt:variant>
      <vt:variant>
        <vt:i4>8257639</vt:i4>
      </vt:variant>
      <vt:variant>
        <vt:i4>84814</vt:i4>
      </vt:variant>
      <vt:variant>
        <vt:i4>1034</vt:i4>
      </vt:variant>
      <vt:variant>
        <vt:i4>1</vt:i4>
      </vt:variant>
      <vt:variant>
        <vt:lpwstr>forest2</vt:lpwstr>
      </vt:variant>
      <vt:variant>
        <vt:lpwstr/>
      </vt:variant>
      <vt:variant>
        <vt:i4>8257639</vt:i4>
      </vt:variant>
      <vt:variant>
        <vt:i4>84896</vt:i4>
      </vt:variant>
      <vt:variant>
        <vt:i4>1035</vt:i4>
      </vt:variant>
      <vt:variant>
        <vt:i4>1</vt:i4>
      </vt:variant>
      <vt:variant>
        <vt:lpwstr>forest3</vt:lpwstr>
      </vt:variant>
      <vt:variant>
        <vt:lpwstr/>
      </vt:variant>
      <vt:variant>
        <vt:i4>8257639</vt:i4>
      </vt:variant>
      <vt:variant>
        <vt:i4>84960</vt:i4>
      </vt:variant>
      <vt:variant>
        <vt:i4>1036</vt:i4>
      </vt:variant>
      <vt:variant>
        <vt:i4>1</vt:i4>
      </vt:variant>
      <vt:variant>
        <vt:lpwstr>forest4</vt:lpwstr>
      </vt:variant>
      <vt:variant>
        <vt:lpwstr/>
      </vt:variant>
      <vt:variant>
        <vt:i4>4849750</vt:i4>
      </vt:variant>
      <vt:variant>
        <vt:i4>85120</vt:i4>
      </vt:variant>
      <vt:variant>
        <vt:i4>1037</vt:i4>
      </vt:variant>
      <vt:variant>
        <vt:i4>1</vt:i4>
      </vt:variant>
      <vt:variant>
        <vt:lpwstr>Forest14</vt:lpwstr>
      </vt:variant>
      <vt:variant>
        <vt:lpwstr/>
      </vt:variant>
      <vt:variant>
        <vt:i4>4915286</vt:i4>
      </vt:variant>
      <vt:variant>
        <vt:i4>85122</vt:i4>
      </vt:variant>
      <vt:variant>
        <vt:i4>1038</vt:i4>
      </vt:variant>
      <vt:variant>
        <vt:i4>1</vt:i4>
      </vt:variant>
      <vt:variant>
        <vt:lpwstr>Forest15</vt:lpwstr>
      </vt:variant>
      <vt:variant>
        <vt:lpwstr/>
      </vt:variant>
      <vt:variant>
        <vt:i4>4718678</vt:i4>
      </vt:variant>
      <vt:variant>
        <vt:i4>85125</vt:i4>
      </vt:variant>
      <vt:variant>
        <vt:i4>1039</vt:i4>
      </vt:variant>
      <vt:variant>
        <vt:i4>1</vt:i4>
      </vt:variant>
      <vt:variant>
        <vt:lpwstr>Forest16</vt:lpwstr>
      </vt:variant>
      <vt:variant>
        <vt:lpwstr/>
      </vt:variant>
      <vt:variant>
        <vt:i4>4784214</vt:i4>
      </vt:variant>
      <vt:variant>
        <vt:i4>85127</vt:i4>
      </vt:variant>
      <vt:variant>
        <vt:i4>1040</vt:i4>
      </vt:variant>
      <vt:variant>
        <vt:i4>1</vt:i4>
      </vt:variant>
      <vt:variant>
        <vt:lpwstr>Forest17</vt:lpwstr>
      </vt:variant>
      <vt:variant>
        <vt:lpwstr/>
      </vt:variant>
      <vt:variant>
        <vt:i4>4587606</vt:i4>
      </vt:variant>
      <vt:variant>
        <vt:i4>85129</vt:i4>
      </vt:variant>
      <vt:variant>
        <vt:i4>1041</vt:i4>
      </vt:variant>
      <vt:variant>
        <vt:i4>1</vt:i4>
      </vt:variant>
      <vt:variant>
        <vt:lpwstr>Forest18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01-c0-05 - 01-d0-08</dc:title>
  <dc:subject/>
  <dc:creator/>
  <cp:keywords/>
  <dc:description/>
  <cp:lastModifiedBy>Master Repository Process</cp:lastModifiedBy>
  <cp:revision>2</cp:revision>
  <cp:lastPrinted>1999-09-29T03:22:00Z</cp:lastPrinted>
  <dcterms:created xsi:type="dcterms:W3CDTF">2021-08-01T07:45:00Z</dcterms:created>
  <dcterms:modified xsi:type="dcterms:W3CDTF">2021-08-01T07:45:00Z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4453</vt:i4>
  </property>
  <property fmtid="{D5CDD505-2E9C-101B-9397-08002B2CF9AE}" pid="6" name="FromSuffix">
    <vt:lpwstr>01-c0-05</vt:lpwstr>
  </property>
  <property fmtid="{D5CDD505-2E9C-101B-9397-08002B2CF9AE}" pid="7" name="FromAsAtDate">
    <vt:lpwstr>12 Aug 2003</vt:lpwstr>
  </property>
  <property fmtid="{D5CDD505-2E9C-101B-9397-08002B2CF9AE}" pid="8" name="ToSuffix">
    <vt:lpwstr>01-d0-08</vt:lpwstr>
  </property>
  <property fmtid="{D5CDD505-2E9C-101B-9397-08002B2CF9AE}" pid="9" name="ToAsAtDate">
    <vt:lpwstr>01 Jan 2007</vt:lpwstr>
  </property>
</Properties>
</file>