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0" w:name="_Toc92604887"/>
      <w:bookmarkStart w:id="1" w:name="_Toc95105431"/>
      <w:bookmarkStart w:id="2" w:name="_Toc95105449"/>
      <w:bookmarkStart w:id="3" w:name="_Toc97366539"/>
      <w:bookmarkStart w:id="4" w:name="_Toc97366708"/>
      <w:bookmarkStart w:id="5" w:name="_Toc99963660"/>
      <w:bookmarkStart w:id="6" w:name="_Toc99963744"/>
      <w:bookmarkStart w:id="7" w:name="_Toc107973218"/>
      <w:bookmarkStart w:id="8" w:name="_Toc139430913"/>
      <w:bookmarkStart w:id="9" w:name="_Toc139683965"/>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468775759"/>
      <w:bookmarkStart w:id="18" w:name="_Toc28162117"/>
      <w:bookmarkStart w:id="19" w:name="_Toc107973219"/>
      <w:bookmarkStart w:id="20" w:name="_Toc139683966"/>
      <w:r>
        <w:rPr>
          <w:rStyle w:val="CharSectno"/>
        </w:rPr>
        <w:t>1</w:t>
      </w:r>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21" w:name="_Toc468775760"/>
      <w:bookmarkStart w:id="22" w:name="_Toc28162118"/>
      <w:bookmarkStart w:id="23" w:name="_Toc107973220"/>
      <w:bookmarkStart w:id="24" w:name="_Toc139683967"/>
      <w:r>
        <w:rPr>
          <w:rStyle w:val="CharSectno"/>
        </w:rPr>
        <w:t>2</w:t>
      </w:r>
      <w:r>
        <w:t>.</w:t>
      </w:r>
      <w:r>
        <w:tab/>
        <w:t>Definitions</w:t>
      </w:r>
      <w:bookmarkEnd w:id="21"/>
      <w:bookmarkEnd w:id="22"/>
      <w:bookmarkEnd w:id="23"/>
      <w:bookmarkEnd w:id="24"/>
    </w:p>
    <w:p>
      <w:pPr>
        <w:pStyle w:val="Subsection"/>
      </w:pPr>
      <w:r>
        <w:tab/>
        <w:t>(1)</w:t>
      </w:r>
      <w:r>
        <w:tab/>
        <w:t>In these regulations, unless the contrary intention appears —</w:t>
      </w:r>
    </w:p>
    <w:p>
      <w:pPr>
        <w:pStyle w:val="Defstart"/>
      </w:pPr>
      <w:r>
        <w:tab/>
      </w:r>
      <w:del w:id="25" w:author="Master Repository Process" w:date="2021-08-28T10:13:00Z">
        <w:r>
          <w:rPr>
            <w:b/>
          </w:rPr>
          <w:delText>“</w:delText>
        </w:r>
      </w:del>
      <w:r>
        <w:rPr>
          <w:rStyle w:val="CharDefText"/>
        </w:rPr>
        <w:t>allowed period</w:t>
      </w:r>
      <w:del w:id="26" w:author="Master Repository Process" w:date="2021-08-28T10:13:00Z">
        <w:r>
          <w:rPr>
            <w:b/>
          </w:rPr>
          <w:delText>”</w:delText>
        </w:r>
      </w:del>
      <w:r>
        <w:t xml:space="preserve"> means the period referred to in regulation 4(2) or such further period as the arbitrator may allow;</w:t>
      </w:r>
    </w:p>
    <w:p>
      <w:pPr>
        <w:pStyle w:val="Defstart"/>
      </w:pPr>
      <w:r>
        <w:tab/>
      </w:r>
      <w:del w:id="27" w:author="Master Repository Process" w:date="2021-08-28T10:13:00Z">
        <w:r>
          <w:rPr>
            <w:b/>
          </w:rPr>
          <w:delText>“</w:delText>
        </w:r>
      </w:del>
      <w:r>
        <w:rPr>
          <w:rStyle w:val="CharDefText"/>
        </w:rPr>
        <w:t>arbitrator</w:t>
      </w:r>
      <w:del w:id="28" w:author="Master Repository Process" w:date="2021-08-28T10:13:00Z">
        <w:r>
          <w:rPr>
            <w:b/>
          </w:rPr>
          <w:delText>”</w:delText>
        </w:r>
      </w:del>
      <w:r>
        <w:t xml:space="preserve"> has the same meaning as in Part 6 Division 3 of the Act;</w:t>
      </w:r>
    </w:p>
    <w:p>
      <w:pPr>
        <w:pStyle w:val="Defstart"/>
      </w:pPr>
      <w:r>
        <w:tab/>
      </w:r>
      <w:del w:id="29" w:author="Master Repository Process" w:date="2021-08-28T10:13:00Z">
        <w:r>
          <w:rPr>
            <w:b/>
          </w:rPr>
          <w:delText>“</w:delText>
        </w:r>
      </w:del>
      <w:r>
        <w:rPr>
          <w:rStyle w:val="CharDefText"/>
        </w:rPr>
        <w:t>assessment amount</w:t>
      </w:r>
      <w:del w:id="30" w:author="Master Repository Process" w:date="2021-08-28T10:13:00Z">
        <w:r>
          <w:rPr>
            <w:b/>
          </w:rPr>
          <w:delText>”</w:delText>
        </w:r>
      </w:del>
      <w:r>
        <w:t xml:space="preserve"> means the total amount payable as specified in a notice of assessment under regulation 4(1)(b)(i);</w:t>
      </w:r>
    </w:p>
    <w:p>
      <w:pPr>
        <w:pStyle w:val="Defstart"/>
      </w:pPr>
      <w:r>
        <w:tab/>
      </w:r>
      <w:del w:id="31" w:author="Master Repository Process" w:date="2021-08-28T10:13:00Z">
        <w:r>
          <w:rPr>
            <w:b/>
          </w:rPr>
          <w:delText>“</w:delText>
        </w:r>
      </w:del>
      <w:r>
        <w:rPr>
          <w:rStyle w:val="CharDefText"/>
        </w:rPr>
        <w:t>Board</w:t>
      </w:r>
      <w:del w:id="32" w:author="Master Repository Process" w:date="2021-08-28T10:13:00Z">
        <w:r>
          <w:rPr>
            <w:b/>
          </w:rPr>
          <w:delText>”</w:delText>
        </w:r>
      </w:del>
      <w:r>
        <w:t xml:space="preserve"> has the same meaning as in Part 6 Division 2 of the Act; </w:t>
      </w:r>
    </w:p>
    <w:p>
      <w:pPr>
        <w:pStyle w:val="Defstart"/>
      </w:pPr>
      <w:r>
        <w:tab/>
      </w:r>
      <w:del w:id="33" w:author="Master Repository Process" w:date="2021-08-28T10:13:00Z">
        <w:r>
          <w:rPr>
            <w:b/>
          </w:rPr>
          <w:delText>“</w:delText>
        </w:r>
      </w:del>
      <w:r>
        <w:rPr>
          <w:rStyle w:val="CharDefText"/>
        </w:rPr>
        <w:t>Code</w:t>
      </w:r>
      <w:del w:id="34" w:author="Master Repository Process" w:date="2021-08-28T10:13:00Z">
        <w:r>
          <w:rPr>
            <w:b/>
          </w:rPr>
          <w:delText>”</w:delText>
        </w:r>
      </w:del>
      <w:r>
        <w:t xml:space="preserve"> has the meaning given by section 11 of the Act;</w:t>
      </w:r>
    </w:p>
    <w:p>
      <w:pPr>
        <w:pStyle w:val="Defstart"/>
      </w:pPr>
      <w:r>
        <w:rPr>
          <w:b/>
        </w:rPr>
        <w:tab/>
      </w:r>
      <w:del w:id="35" w:author="Master Repository Process" w:date="2021-08-28T10:13:00Z">
        <w:r>
          <w:rPr>
            <w:b/>
          </w:rPr>
          <w:delText>“</w:delText>
        </w:r>
      </w:del>
      <w:r>
        <w:rPr>
          <w:rStyle w:val="CharDefText"/>
        </w:rPr>
        <w:t>core function costs</w:t>
      </w:r>
      <w:del w:id="36" w:author="Master Repository Process" w:date="2021-08-28T10:13:00Z">
        <w:r>
          <w:rPr>
            <w:b/>
          </w:rPr>
          <w:delText>”</w:delText>
        </w:r>
      </w:del>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del w:id="37" w:author="Master Repository Process" w:date="2021-08-28T10:13:00Z">
        <w:r>
          <w:rPr>
            <w:b/>
          </w:rPr>
          <w:delText>“</w:delText>
        </w:r>
      </w:del>
      <w:r>
        <w:rPr>
          <w:rStyle w:val="CharDefText"/>
        </w:rPr>
        <w:t>pipeline operator</w:t>
      </w:r>
      <w:del w:id="38" w:author="Master Repository Process" w:date="2021-08-28T10:13:00Z">
        <w:r>
          <w:rPr>
            <w:b/>
          </w:rPr>
          <w:delText>”</w:delText>
        </w:r>
      </w:del>
      <w:r>
        <w:t xml:space="preserve"> means the owner or operator of a covered pipeline;</w:t>
      </w:r>
    </w:p>
    <w:p>
      <w:pPr>
        <w:pStyle w:val="Defstart"/>
      </w:pPr>
      <w:r>
        <w:tab/>
      </w:r>
      <w:del w:id="39" w:author="Master Repository Process" w:date="2021-08-28T10:13:00Z">
        <w:r>
          <w:rPr>
            <w:b/>
          </w:rPr>
          <w:delText>“</w:delText>
        </w:r>
      </w:del>
      <w:r>
        <w:rPr>
          <w:rStyle w:val="CharDefText"/>
        </w:rPr>
        <w:t>prescribed rate</w:t>
      </w:r>
      <w:del w:id="40" w:author="Master Repository Process" w:date="2021-08-28T10:13:00Z">
        <w:r>
          <w:rPr>
            <w:b/>
          </w:rPr>
          <w:delText>”</w:delText>
        </w:r>
      </w:del>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del w:id="41" w:author="Master Repository Process" w:date="2021-08-28T10:13:00Z">
        <w:r>
          <w:rPr>
            <w:b/>
          </w:rPr>
          <w:delText>“</w:delText>
        </w:r>
      </w:del>
      <w:r>
        <w:rPr>
          <w:rStyle w:val="CharDefText"/>
        </w:rPr>
        <w:t>quarter</w:t>
      </w:r>
      <w:del w:id="42" w:author="Master Repository Process" w:date="2021-08-28T10:13:00Z">
        <w:r>
          <w:rPr>
            <w:b/>
          </w:rPr>
          <w:delText>”</w:delText>
        </w:r>
      </w:del>
      <w:r>
        <w:t xml:space="preserve"> means a period of 3 months beginning on 1 July, 1 October, 1 January or 1 April;</w:t>
      </w:r>
    </w:p>
    <w:p>
      <w:pPr>
        <w:pStyle w:val="Defstart"/>
      </w:pPr>
      <w:r>
        <w:tab/>
      </w:r>
      <w:del w:id="43" w:author="Master Repository Process" w:date="2021-08-28T10:13:00Z">
        <w:r>
          <w:rPr>
            <w:b/>
          </w:rPr>
          <w:delText>“</w:delText>
        </w:r>
      </w:del>
      <w:r>
        <w:rPr>
          <w:rStyle w:val="CharDefText"/>
        </w:rPr>
        <w:t>standing charge</w:t>
      </w:r>
      <w:del w:id="44" w:author="Master Repository Process" w:date="2021-08-28T10:13:00Z">
        <w:r>
          <w:rPr>
            <w:b/>
          </w:rPr>
          <w:delText>”</w:delText>
        </w:r>
      </w:del>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45" w:name="_Toc92604890"/>
      <w:bookmarkStart w:id="46" w:name="_Toc95105434"/>
      <w:bookmarkStart w:id="47" w:name="_Toc95105452"/>
      <w:bookmarkStart w:id="48" w:name="_Toc97366542"/>
      <w:bookmarkStart w:id="49" w:name="_Toc97366711"/>
      <w:bookmarkStart w:id="50" w:name="_Toc99963663"/>
      <w:bookmarkStart w:id="51" w:name="_Toc99963747"/>
      <w:bookmarkStart w:id="52" w:name="_Toc107973221"/>
      <w:bookmarkStart w:id="53" w:name="_Toc139430916"/>
      <w:bookmarkStart w:id="54" w:name="_Toc139683968"/>
      <w:r>
        <w:rPr>
          <w:rStyle w:val="CharPartNo"/>
        </w:rPr>
        <w:t>Part 2</w:t>
      </w:r>
      <w:r>
        <w:rPr>
          <w:rStyle w:val="CharDivNo"/>
        </w:rPr>
        <w:t xml:space="preserve"> </w:t>
      </w:r>
      <w:r>
        <w:t>—</w:t>
      </w:r>
      <w:r>
        <w:rPr>
          <w:rStyle w:val="CharDivText"/>
        </w:rPr>
        <w:t xml:space="preserve"> </w:t>
      </w:r>
      <w:r>
        <w:rPr>
          <w:rStyle w:val="CharPartText"/>
        </w:rPr>
        <w:t>Charges</w:t>
      </w:r>
      <w:bookmarkEnd w:id="45"/>
      <w:bookmarkEnd w:id="46"/>
      <w:bookmarkEnd w:id="47"/>
      <w:bookmarkEnd w:id="48"/>
      <w:bookmarkEnd w:id="49"/>
      <w:bookmarkEnd w:id="50"/>
      <w:bookmarkEnd w:id="51"/>
      <w:bookmarkEnd w:id="52"/>
      <w:bookmarkEnd w:id="53"/>
      <w:bookmarkEnd w:id="54"/>
    </w:p>
    <w:p>
      <w:pPr>
        <w:pStyle w:val="Heading5"/>
      </w:pPr>
      <w:bookmarkStart w:id="55" w:name="_Toc468775761"/>
      <w:bookmarkStart w:id="56" w:name="_Toc28162119"/>
      <w:bookmarkStart w:id="57" w:name="_Toc107973222"/>
      <w:bookmarkStart w:id="58" w:name="_Toc139683969"/>
      <w:r>
        <w:rPr>
          <w:rStyle w:val="CharSectno"/>
        </w:rPr>
        <w:t>3</w:t>
      </w:r>
      <w:r>
        <w:t>.</w:t>
      </w:r>
      <w:r>
        <w:tab/>
        <w:t>Standing charges</w:t>
      </w:r>
      <w:bookmarkEnd w:id="55"/>
      <w:bookmarkEnd w:id="56"/>
      <w:bookmarkEnd w:id="57"/>
      <w:bookmarkEnd w:id="58"/>
    </w:p>
    <w:p>
      <w:pPr>
        <w:pStyle w:val="Ednotesubsection"/>
      </w:pPr>
      <w:r>
        <w:tab/>
        <w:t>[(1)</w:t>
      </w:r>
      <w:r>
        <w:tab/>
      </w:r>
      <w:del w:id="59" w:author="Master Repository Process" w:date="2021-08-28T10:13:00Z">
        <w:r>
          <w:delText>repealed</w:delText>
        </w:r>
      </w:del>
      <w:ins w:id="60" w:author="Master Repository Process" w:date="2021-08-28T10:13:00Z">
        <w:r>
          <w:t>deleted</w:t>
        </w:r>
      </w:ins>
      <w:r>
        <w:t>]</w:t>
      </w:r>
    </w:p>
    <w:p>
      <w:pPr>
        <w:pStyle w:val="Subsection"/>
      </w:pPr>
      <w:r>
        <w:tab/>
        <w:t>(2)</w:t>
      </w:r>
      <w:r>
        <w:tab/>
        <w:t>For each quarter</w:t>
      </w:r>
      <w:ins w:id="61" w:author="Master Repository Process" w:date="2021-08-28T10:13:00Z">
        <w:r>
          <w:t>, for each pipeline that</w:t>
        </w:r>
      </w:ins>
      <w:r>
        <w:t xml:space="preserve"> during any of </w:t>
      </w:r>
      <w:del w:id="62" w:author="Master Repository Process" w:date="2021-08-28T10:13:00Z">
        <w:r>
          <w:delText xml:space="preserve">which a pipeline </w:delText>
        </w:r>
      </w:del>
      <w:ins w:id="63" w:author="Master Repository Process" w:date="2021-08-28T10:13:00Z">
        <w:r>
          <w:t xml:space="preserve">the quarter is </w:t>
        </w:r>
      </w:ins>
      <w:r>
        <w:t xml:space="preserve">specified in Schedule 1 </w:t>
      </w:r>
      <w:ins w:id="64" w:author="Master Repository Process" w:date="2021-08-28T10:13:00Z">
        <w:r>
          <w:t xml:space="preserve">and </w:t>
        </w:r>
      </w:ins>
      <w:r>
        <w:t>is a covered pipeline, a charge is payable</w:t>
      </w:r>
      <w:del w:id="65" w:author="Master Repository Process" w:date="2021-08-28T10:13:00Z">
        <w:r>
          <w:delText xml:space="preserve"> for each specified pipeline</w:delText>
        </w:r>
      </w:del>
      <w:r>
        <w:t xml:space="preserve"> in connection with the performance of the functions of the arbitrator and the Board under Part 6 of the Act.</w:t>
      </w:r>
    </w:p>
    <w:p>
      <w:pPr>
        <w:pStyle w:val="Subsection"/>
      </w:pPr>
      <w:bookmarkStart w:id="66" w:name="_Toc468775762"/>
      <w:r>
        <w:tab/>
        <w:t>(3)</w:t>
      </w:r>
      <w:r>
        <w:tab/>
        <w:t>The charge under subregulation (2) for a pipeline is to be calculated using the formula —</w:t>
      </w:r>
    </w:p>
    <w:p>
      <w:pPr>
        <w:pStyle w:val="Equation"/>
        <w:tabs>
          <w:tab w:val="left" w:pos="840"/>
        </w:tabs>
        <w:spacing w:before="120"/>
        <w:jc w:val="center"/>
        <w:rPr>
          <w:del w:id="67" w:author="Master Repository Process" w:date="2021-08-28T10:13:00Z"/>
        </w:rPr>
      </w:pPr>
      <w:del w:id="68" w:author="Master Repository Process" w:date="2021-08-28T10:1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4.25pt">
              <v:imagedata r:id="rId14" o:title=""/>
            </v:shape>
          </w:pict>
        </w:r>
      </w:del>
    </w:p>
    <w:p>
      <w:pPr>
        <w:pStyle w:val="Equation"/>
        <w:tabs>
          <w:tab w:val="left" w:pos="840"/>
        </w:tabs>
        <w:spacing w:before="120"/>
        <w:jc w:val="center"/>
        <w:rPr>
          <w:ins w:id="69" w:author="Master Repository Process" w:date="2021-08-28T10:13:00Z"/>
        </w:rPr>
      </w:pPr>
      <w:ins w:id="70" w:author="Master Repository Process" w:date="2021-08-28T10:13:00Z">
        <w:r>
          <w:rPr>
            <w:position w:val="-10"/>
          </w:rPr>
          <w:pict>
            <v:shape id="_x0000_i1026" type="#_x0000_t75" style="width:27pt;height:15pt">
              <v:imagedata r:id="rId14" o:title=""/>
            </v:shape>
          </w:pict>
        </w:r>
      </w:ins>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w:t>
      </w:r>
      <w:ins w:id="71" w:author="Master Repository Process" w:date="2021-08-28T10:13:00Z">
        <w:r>
          <w:t>; 30 Jun 2006 p. 2360</w:t>
        </w:r>
      </w:ins>
      <w:r>
        <w:t>.]</w:t>
      </w:r>
    </w:p>
    <w:p>
      <w:pPr>
        <w:pStyle w:val="Heading5"/>
      </w:pPr>
      <w:bookmarkStart w:id="72" w:name="_Toc28162120"/>
      <w:bookmarkStart w:id="73" w:name="_Toc107973223"/>
      <w:bookmarkStart w:id="74" w:name="_Toc139683970"/>
      <w:r>
        <w:rPr>
          <w:rStyle w:val="CharSectno"/>
        </w:rPr>
        <w:t>4</w:t>
      </w:r>
      <w:r>
        <w:t>.</w:t>
      </w:r>
      <w:r>
        <w:tab/>
        <w:t>Assessment and payment of standing charges</w:t>
      </w:r>
      <w:bookmarkEnd w:id="66"/>
      <w:bookmarkEnd w:id="72"/>
      <w:bookmarkEnd w:id="73"/>
      <w:bookmarkEnd w:id="74"/>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del w:id="75" w:author="Master Repository Process" w:date="2021-08-28T10:13:00Z">
        <w:r>
          <w:delText>Repealed</w:delText>
        </w:r>
      </w:del>
      <w:ins w:id="76" w:author="Master Repository Process" w:date="2021-08-28T10:13:00Z">
        <w:r>
          <w:t>Deleted</w:t>
        </w:r>
      </w:ins>
      <w:r>
        <w:t xml:space="preserve"> in Gazette 30 Dec 2003 p. 5735.]</w:t>
      </w:r>
    </w:p>
    <w:p>
      <w:pPr>
        <w:pStyle w:val="Ednotepart"/>
      </w:pPr>
      <w:r>
        <w:t>[Part 3 (r. 6</w:t>
      </w:r>
      <w:r>
        <w:noBreakHyphen/>
        <w:t xml:space="preserve">8) </w:t>
      </w:r>
      <w:del w:id="77" w:author="Master Repository Process" w:date="2021-08-28T10:13:00Z">
        <w:r>
          <w:delText>repealed</w:delText>
        </w:r>
      </w:del>
      <w:ins w:id="78" w:author="Master Repository Process" w:date="2021-08-28T10:13:00Z">
        <w:r>
          <w:t>deleted</w:t>
        </w:r>
      </w:ins>
      <w:r>
        <w:t xml:space="preserve"> in Gazette 30 Dec 2003 p. 5735.]</w:t>
      </w:r>
    </w:p>
    <w:p>
      <w:pPr>
        <w:pStyle w:val="Heading2"/>
      </w:pPr>
      <w:bookmarkStart w:id="79" w:name="_Toc92604893"/>
      <w:bookmarkStart w:id="80" w:name="_Toc95105437"/>
      <w:bookmarkStart w:id="81" w:name="_Toc95105455"/>
      <w:bookmarkStart w:id="82" w:name="_Toc97366545"/>
      <w:bookmarkStart w:id="83" w:name="_Toc97366714"/>
      <w:bookmarkStart w:id="84" w:name="_Toc99963666"/>
      <w:bookmarkStart w:id="85" w:name="_Toc99963750"/>
      <w:bookmarkStart w:id="86" w:name="_Toc107973224"/>
      <w:bookmarkStart w:id="87" w:name="_Toc139430919"/>
      <w:bookmarkStart w:id="88" w:name="_Toc139683971"/>
      <w:r>
        <w:rPr>
          <w:rStyle w:val="CharPartNo"/>
        </w:rPr>
        <w:t>Part 4</w:t>
      </w:r>
      <w:r>
        <w:rPr>
          <w:rStyle w:val="CharDivNo"/>
        </w:rPr>
        <w:t xml:space="preserve"> </w:t>
      </w:r>
      <w:r>
        <w:t>—</w:t>
      </w:r>
      <w:r>
        <w:rPr>
          <w:rStyle w:val="CharDivText"/>
        </w:rPr>
        <w:t xml:space="preserve"> </w:t>
      </w:r>
      <w:r>
        <w:rPr>
          <w:rStyle w:val="CharPartText"/>
        </w:rPr>
        <w:t>Miscellaneous</w:t>
      </w:r>
      <w:bookmarkEnd w:id="79"/>
      <w:bookmarkEnd w:id="80"/>
      <w:bookmarkEnd w:id="81"/>
      <w:bookmarkEnd w:id="82"/>
      <w:bookmarkEnd w:id="83"/>
      <w:bookmarkEnd w:id="84"/>
      <w:bookmarkEnd w:id="85"/>
      <w:bookmarkEnd w:id="86"/>
      <w:bookmarkEnd w:id="87"/>
      <w:bookmarkEnd w:id="88"/>
    </w:p>
    <w:p>
      <w:pPr>
        <w:pStyle w:val="Heading5"/>
      </w:pPr>
      <w:bookmarkStart w:id="89" w:name="_Toc468775767"/>
      <w:bookmarkStart w:id="90" w:name="_Toc28162125"/>
      <w:bookmarkStart w:id="91" w:name="_Toc107973225"/>
      <w:bookmarkStart w:id="92" w:name="_Toc139683972"/>
      <w:r>
        <w:rPr>
          <w:rStyle w:val="CharSectno"/>
        </w:rPr>
        <w:t>9</w:t>
      </w:r>
      <w:r>
        <w:t>.</w:t>
      </w:r>
      <w:r>
        <w:tab/>
        <w:t>Board’s power in relation to cost and expenses of proceedings</w:t>
      </w:r>
      <w:bookmarkEnd w:id="89"/>
      <w:bookmarkEnd w:id="90"/>
      <w:bookmarkEnd w:id="91"/>
      <w:bookmarkEnd w:id="92"/>
    </w:p>
    <w:p>
      <w:pPr>
        <w:pStyle w:val="Subsection"/>
      </w:pPr>
      <w:r>
        <w:tab/>
        <w:t>(1)</w:t>
      </w:r>
      <w:r>
        <w:tab/>
        <w:t>In this regulation —</w:t>
      </w:r>
    </w:p>
    <w:p>
      <w:pPr>
        <w:pStyle w:val="Defstart"/>
      </w:pPr>
      <w:r>
        <w:tab/>
      </w:r>
      <w:del w:id="93" w:author="Master Repository Process" w:date="2021-08-28T10:13:00Z">
        <w:r>
          <w:rPr>
            <w:b/>
          </w:rPr>
          <w:delText>“</w:delText>
        </w:r>
      </w:del>
      <w:r>
        <w:rPr>
          <w:rStyle w:val="CharDefText"/>
        </w:rPr>
        <w:t>proceedings</w:t>
      </w:r>
      <w:del w:id="94" w:author="Master Repository Process" w:date="2021-08-28T10:13:00Z">
        <w:r>
          <w:rPr>
            <w:b/>
          </w:rPr>
          <w:delText>”</w:delText>
        </w:r>
      </w:del>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95" w:name="_Toc468775768"/>
      <w:bookmarkStart w:id="96" w:name="_Toc28162126"/>
      <w:bookmarkStart w:id="97" w:name="_Toc107973226"/>
      <w:bookmarkStart w:id="98" w:name="_Toc139683973"/>
      <w:r>
        <w:rPr>
          <w:rStyle w:val="CharSectno"/>
        </w:rPr>
        <w:t>10</w:t>
      </w:r>
      <w:r>
        <w:t>.</w:t>
      </w:r>
      <w:r>
        <w:tab/>
        <w:t>Recovery of unpaid amounts</w:t>
      </w:r>
      <w:bookmarkEnd w:id="95"/>
      <w:bookmarkEnd w:id="96"/>
      <w:bookmarkEnd w:id="97"/>
      <w:bookmarkEnd w:id="98"/>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99" w:name="_Toc107973227"/>
      <w:bookmarkStart w:id="100" w:name="_Toc139683974"/>
      <w:r>
        <w:rPr>
          <w:rStyle w:val="CharSectno"/>
        </w:rPr>
        <w:t>11</w:t>
      </w:r>
      <w:r>
        <w:t>.</w:t>
      </w:r>
      <w:r>
        <w:tab/>
        <w:t>Matters to be included in arbitrator’s annual report</w:t>
      </w:r>
      <w:bookmarkEnd w:id="99"/>
      <w:bookmarkEnd w:id="100"/>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 w:name="_Toc139430924"/>
      <w:bookmarkStart w:id="102" w:name="_Toc139683975"/>
      <w:bookmarkStart w:id="103" w:name="_Toc107973228"/>
      <w:r>
        <w:rPr>
          <w:rStyle w:val="CharSchNo"/>
        </w:rPr>
        <w:t>Schedule 1</w:t>
      </w:r>
      <w:r>
        <w:t xml:space="preserve"> — </w:t>
      </w:r>
      <w:r>
        <w:rPr>
          <w:rStyle w:val="CharSchText"/>
        </w:rPr>
        <w:t>Percentages for certain pipelines</w:t>
      </w:r>
      <w:bookmarkEnd w:id="101"/>
      <w:bookmarkEnd w:id="102"/>
      <w:bookmarkEnd w:id="103"/>
    </w:p>
    <w:p>
      <w:pPr>
        <w:pStyle w:val="yShoulderClause"/>
      </w:pPr>
      <w:r>
        <w:t>[r.</w:t>
      </w:r>
      <w:del w:id="104" w:author="Master Repository Process" w:date="2021-08-28T10:13:00Z">
        <w:r>
          <w:delText xml:space="preserve"> </w:delText>
        </w:r>
      </w:del>
      <w:ins w:id="105" w:author="Master Repository Process" w:date="2021-08-28T10:13:00Z">
        <w:r>
          <w:t> </w:t>
        </w:r>
      </w:ins>
      <w:r>
        <w:t>3]</w:t>
      </w:r>
    </w:p>
    <w:p>
      <w:pPr>
        <w:pStyle w:val="yFootnoteheading"/>
        <w:rPr>
          <w:ins w:id="106" w:author="Master Repository Process" w:date="2021-08-28T10:13:00Z"/>
        </w:rPr>
      </w:pPr>
      <w:ins w:id="107" w:author="Master Repository Process" w:date="2021-08-28T10:13:00Z">
        <w:r>
          <w:tab/>
          <w:t>[Schedule 1 inserted in Gazette 30 Jun 2006 p. 2360.]</w:t>
        </w:r>
      </w:ins>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r>
            <w:del w:id="108" w:author="Master Repository Process" w:date="2021-08-28T10:13:00Z">
              <w:r>
                <w:delText>23.39</w:delText>
              </w:r>
            </w:del>
            <w:ins w:id="109" w:author="Master Repository Process" w:date="2021-08-28T10:13:00Z">
              <w:r>
                <w:t>27.01</w:t>
              </w:r>
            </w:ins>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r>
            <w:del w:id="110" w:author="Master Repository Process" w:date="2021-08-28T10:13:00Z">
              <w:r>
                <w:delText>49.90</w:delText>
              </w:r>
            </w:del>
            <w:ins w:id="111" w:author="Master Repository Process" w:date="2021-08-28T10:13:00Z">
              <w:r>
                <w:t>50.00</w:t>
              </w:r>
            </w:ins>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w:t>
            </w:r>
            <w:del w:id="112" w:author="Master Repository Process" w:date="2021-08-28T10:13:00Z">
              <w:r>
                <w:delText>66</w:delText>
              </w:r>
            </w:del>
            <w:ins w:id="113" w:author="Master Repository Process" w:date="2021-08-28T10:13:00Z">
              <w:r>
                <w:t>27</w:t>
              </w:r>
            </w:ins>
          </w:p>
        </w:tc>
      </w:tr>
      <w:tr>
        <w:trPr>
          <w:del w:id="114" w:author="Master Repository Process" w:date="2021-08-28T10:13:00Z"/>
        </w:trPr>
        <w:tc>
          <w:tcPr>
            <w:tcW w:w="5430" w:type="dxa"/>
          </w:tcPr>
          <w:p>
            <w:pPr>
              <w:pStyle w:val="yTable"/>
              <w:tabs>
                <w:tab w:val="left" w:pos="459"/>
              </w:tabs>
              <w:ind w:left="459" w:hanging="459"/>
              <w:rPr>
                <w:del w:id="115" w:author="Master Repository Process" w:date="2021-08-28T10:13:00Z"/>
              </w:rPr>
            </w:pPr>
            <w:del w:id="116" w:author="Master Repository Process" w:date="2021-08-28T10:13:00Z">
              <w:r>
                <w:delText>4.</w:delText>
              </w:r>
              <w:r>
                <w:tab/>
                <w:delText>Tubridgi Pipeline System</w:delText>
              </w:r>
              <w:r>
                <w:br/>
                <w:delText>(WA:PL16 and WA:PL19)</w:delText>
              </w:r>
            </w:del>
          </w:p>
        </w:tc>
        <w:tc>
          <w:tcPr>
            <w:tcW w:w="1530" w:type="dxa"/>
          </w:tcPr>
          <w:p>
            <w:pPr>
              <w:pStyle w:val="yTable"/>
              <w:tabs>
                <w:tab w:val="decimal" w:pos="459"/>
              </w:tabs>
              <w:rPr>
                <w:del w:id="117" w:author="Master Repository Process" w:date="2021-08-28T10:13:00Z"/>
              </w:rPr>
            </w:pPr>
            <w:del w:id="118" w:author="Master Repository Process" w:date="2021-08-28T10:13:00Z">
              <w:r>
                <w:br/>
                <w:delText>3.30</w:delText>
              </w:r>
            </w:del>
          </w:p>
        </w:tc>
      </w:tr>
      <w:tr>
        <w:tc>
          <w:tcPr>
            <w:tcW w:w="5244" w:type="dxa"/>
            <w:tcBorders>
              <w:bottom w:val="single" w:sz="4" w:space="0" w:color="auto"/>
            </w:tcBorders>
          </w:tcPr>
          <w:p>
            <w:pPr>
              <w:pStyle w:val="yTable"/>
              <w:tabs>
                <w:tab w:val="left" w:pos="459"/>
              </w:tabs>
              <w:ind w:left="459" w:hanging="459"/>
            </w:pPr>
            <w:del w:id="119" w:author="Master Repository Process" w:date="2021-08-28T10:13:00Z">
              <w:r>
                <w:delText>5</w:delText>
              </w:r>
            </w:del>
            <w:ins w:id="120" w:author="Master Repository Process" w:date="2021-08-28T10:13:00Z">
              <w:r>
                <w:t>4</w:t>
              </w:r>
            </w:ins>
            <w:r>
              <w:t>.</w:t>
            </w:r>
            <w:r>
              <w:tab/>
              <w:t>Kalgoorlie to Kambalda Pipeline</w:t>
            </w:r>
            <w:r>
              <w:br/>
              <w:t>(WA:PL27)</w:t>
            </w:r>
          </w:p>
        </w:tc>
        <w:tc>
          <w:tcPr>
            <w:tcW w:w="1530" w:type="dxa"/>
            <w:tcBorders>
              <w:bottom w:val="single" w:sz="4" w:space="0" w:color="auto"/>
            </w:tcBorders>
          </w:tcPr>
          <w:p>
            <w:pPr>
              <w:pStyle w:val="yTable"/>
              <w:tabs>
                <w:tab w:val="decimal" w:pos="459"/>
              </w:tabs>
            </w:pPr>
            <w:r>
              <w:br/>
              <w:t>2.</w:t>
            </w:r>
            <w:del w:id="121" w:author="Master Repository Process" w:date="2021-08-28T10:13:00Z">
              <w:r>
                <w:delText>75</w:delText>
              </w:r>
            </w:del>
            <w:ins w:id="122" w:author="Master Repository Process" w:date="2021-08-28T10:13:00Z">
              <w:r>
                <w:t>72</w:t>
              </w:r>
            </w:ins>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w:t>
      </w:r>
      <w:del w:id="123" w:author="Master Repository Process" w:date="2021-08-28T10:13:00Z">
        <w:r>
          <w:delText> </w:delText>
        </w:r>
      </w:del>
      <w:ins w:id="124" w:author="Master Repository Process" w:date="2021-08-28T10:13:00Z">
        <w:r>
          <w:t xml:space="preserve"> </w:t>
        </w:r>
      </w:ins>
      <w:r>
        <w:t xml:space="preserve">1 inserted in Gazette </w:t>
      </w:r>
      <w:del w:id="125" w:author="Master Repository Process" w:date="2021-08-28T10:13:00Z">
        <w:r>
          <w:delText>20 Dec 2002</w:delText>
        </w:r>
      </w:del>
      <w:ins w:id="126" w:author="Master Repository Process" w:date="2021-08-28T10:13:00Z">
        <w:r>
          <w:t>30 Jun 2006</w:t>
        </w:r>
      </w:ins>
      <w:r>
        <w:t xml:space="preserve"> p. </w:t>
      </w:r>
      <w:del w:id="127" w:author="Master Repository Process" w:date="2021-08-28T10:13:00Z">
        <w:r>
          <w:delText>6019</w:delText>
        </w:r>
      </w:del>
      <w:ins w:id="128" w:author="Master Repository Process" w:date="2021-08-28T10:13:00Z">
        <w:r>
          <w:t>2360</w:t>
        </w:r>
      </w:ins>
      <w:r>
        <w:t>.]</w:t>
      </w:r>
    </w:p>
    <w:p>
      <w:pPr>
        <w:pStyle w:val="yEdnoteschedule"/>
      </w:pPr>
      <w:r>
        <w:t xml:space="preserve">[Schedule 2 </w:t>
      </w:r>
      <w:del w:id="129" w:author="Master Repository Process" w:date="2021-08-28T10:13:00Z">
        <w:r>
          <w:delText>repealed</w:delText>
        </w:r>
      </w:del>
      <w:ins w:id="130" w:author="Master Repository Process" w:date="2021-08-28T10:13:00Z">
        <w:r>
          <w:t>deleted</w:t>
        </w:r>
      </w:ins>
      <w:r>
        <w:t xml:space="preserve"> in Gazette 30 Dec 2003 p. 5736.]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1" w:name="_Toc92604898"/>
      <w:bookmarkStart w:id="132" w:name="_Toc95105442"/>
      <w:bookmarkStart w:id="133" w:name="_Toc95105460"/>
      <w:bookmarkStart w:id="134" w:name="_Toc97366550"/>
      <w:bookmarkStart w:id="135" w:name="_Toc97366719"/>
      <w:bookmarkStart w:id="136" w:name="_Toc99963671"/>
      <w:bookmarkStart w:id="137" w:name="_Toc99963755"/>
      <w:bookmarkStart w:id="138" w:name="_Toc107973229"/>
      <w:bookmarkStart w:id="139" w:name="_Toc139430925"/>
      <w:bookmarkStart w:id="140" w:name="_Toc139683976"/>
      <w:r>
        <w:t>Notes</w:t>
      </w:r>
      <w:bookmarkEnd w:id="131"/>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41" w:name="_Toc107973230"/>
      <w:bookmarkStart w:id="142" w:name="_Toc139683977"/>
      <w:r>
        <w:t>Compilation table</w:t>
      </w:r>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349"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Gas Pipelines Access (Western Australia) (Funding) Regulations 1999</w:t>
            </w:r>
          </w:p>
        </w:tc>
        <w:tc>
          <w:tcPr>
            <w:tcW w:w="1349" w:type="dxa"/>
            <w:gridSpan w:val="2"/>
            <w:tcBorders>
              <w:top w:val="single" w:sz="8" w:space="0" w:color="auto"/>
            </w:tcBorders>
          </w:tcPr>
          <w:p>
            <w:pPr>
              <w:pStyle w:val="nTable"/>
              <w:spacing w:after="40"/>
              <w:rPr>
                <w:sz w:val="19"/>
              </w:rPr>
            </w:pPr>
            <w:r>
              <w:rPr>
                <w:sz w:val="19"/>
              </w:rPr>
              <w:t>14 Jan  2000 p. 171</w:t>
            </w:r>
            <w:r>
              <w:rPr>
                <w:sz w:val="19"/>
              </w:rPr>
              <w:noBreakHyphen/>
              <w:t>81</w:t>
            </w:r>
          </w:p>
        </w:tc>
        <w:tc>
          <w:tcPr>
            <w:tcW w:w="2620" w:type="dxa"/>
            <w:tcBorders>
              <w:top w:val="single" w:sz="8" w:space="0" w:color="auto"/>
            </w:tcBorders>
          </w:tcPr>
          <w:p>
            <w:pPr>
              <w:pStyle w:val="nTable"/>
              <w:spacing w:after="40"/>
              <w:rPr>
                <w:sz w:val="19"/>
              </w:rPr>
            </w:pPr>
            <w:r>
              <w:rPr>
                <w:sz w:val="19"/>
              </w:rPr>
              <w:t>14 Jan 2000</w:t>
            </w:r>
          </w:p>
        </w:tc>
      </w:tr>
      <w:tr>
        <w:tc>
          <w:tcPr>
            <w:tcW w:w="3119" w:type="dxa"/>
          </w:tcPr>
          <w:p>
            <w:pPr>
              <w:pStyle w:val="nTable"/>
              <w:spacing w:after="40"/>
              <w:rPr>
                <w:sz w:val="19"/>
              </w:rPr>
            </w:pPr>
            <w:r>
              <w:rPr>
                <w:i/>
                <w:sz w:val="19"/>
              </w:rPr>
              <w:t>Gas Pipelines Access (Western Australia) (Funding) Amendment Regulations 2001</w:t>
            </w:r>
          </w:p>
        </w:tc>
        <w:tc>
          <w:tcPr>
            <w:tcW w:w="1349" w:type="dxa"/>
            <w:gridSpan w:val="2"/>
          </w:tcPr>
          <w:p>
            <w:pPr>
              <w:pStyle w:val="nTable"/>
              <w:spacing w:after="40"/>
              <w:rPr>
                <w:sz w:val="19"/>
              </w:rPr>
            </w:pPr>
            <w:r>
              <w:rPr>
                <w:sz w:val="19"/>
              </w:rPr>
              <w:t>11 Sep 2001 p. 4999</w:t>
            </w:r>
          </w:p>
        </w:tc>
        <w:tc>
          <w:tcPr>
            <w:tcW w:w="2620" w:type="dxa"/>
          </w:tcPr>
          <w:p>
            <w:pPr>
              <w:pStyle w:val="nTable"/>
              <w:spacing w:after="40"/>
              <w:rPr>
                <w:sz w:val="19"/>
              </w:rPr>
            </w:pPr>
            <w:r>
              <w:rPr>
                <w:sz w:val="19"/>
              </w:rPr>
              <w:t>11 Sep 2001</w:t>
            </w:r>
          </w:p>
        </w:tc>
      </w:tr>
      <w:tr>
        <w:tc>
          <w:tcPr>
            <w:tcW w:w="3119" w:type="dxa"/>
          </w:tcPr>
          <w:p>
            <w:pPr>
              <w:pStyle w:val="nTable"/>
              <w:spacing w:after="40"/>
              <w:rPr>
                <w:i/>
                <w:sz w:val="19"/>
              </w:rPr>
            </w:pPr>
            <w:r>
              <w:rPr>
                <w:i/>
                <w:sz w:val="19"/>
              </w:rPr>
              <w:t>Gas Pipelines Access (Western Australia) (Funding) Amendment Regulations 2002</w:t>
            </w:r>
          </w:p>
        </w:tc>
        <w:tc>
          <w:tcPr>
            <w:tcW w:w="1349" w:type="dxa"/>
            <w:gridSpan w:val="2"/>
          </w:tcPr>
          <w:p>
            <w:pPr>
              <w:pStyle w:val="nTable"/>
              <w:spacing w:after="40"/>
              <w:rPr>
                <w:sz w:val="19"/>
              </w:rPr>
            </w:pPr>
            <w:r>
              <w:rPr>
                <w:sz w:val="19"/>
              </w:rPr>
              <w:t>20 Dec 2002 p. 6017</w:t>
            </w:r>
            <w:r>
              <w:rPr>
                <w:sz w:val="19"/>
              </w:rPr>
              <w:noBreakHyphen/>
              <w:t>19</w:t>
            </w:r>
          </w:p>
        </w:tc>
        <w:tc>
          <w:tcPr>
            <w:tcW w:w="2620" w:type="dxa"/>
          </w:tcPr>
          <w:p>
            <w:pPr>
              <w:pStyle w:val="nTable"/>
              <w:spacing w:after="40"/>
              <w:rPr>
                <w:sz w:val="19"/>
              </w:rPr>
            </w:pPr>
            <w:r>
              <w:rPr>
                <w:sz w:val="19"/>
              </w:rPr>
              <w:t>20 Dec 2002</w:t>
            </w:r>
          </w:p>
        </w:tc>
      </w:tr>
      <w:tr>
        <w:tc>
          <w:tcPr>
            <w:tcW w:w="3119" w:type="dxa"/>
          </w:tcPr>
          <w:p>
            <w:pPr>
              <w:pStyle w:val="nTable"/>
              <w:spacing w:after="40"/>
              <w:rPr>
                <w:i/>
                <w:sz w:val="19"/>
              </w:rPr>
            </w:pPr>
            <w:r>
              <w:rPr>
                <w:i/>
                <w:sz w:val="19"/>
              </w:rPr>
              <w:t>Gas Pipelines Access (Western Australia) (Funding) Amendment Regulations 2003</w:t>
            </w:r>
          </w:p>
        </w:tc>
        <w:tc>
          <w:tcPr>
            <w:tcW w:w="1349" w:type="dxa"/>
            <w:gridSpan w:val="2"/>
          </w:tcPr>
          <w:p>
            <w:pPr>
              <w:pStyle w:val="nTable"/>
              <w:spacing w:after="40"/>
              <w:rPr>
                <w:sz w:val="19"/>
              </w:rPr>
            </w:pPr>
            <w:r>
              <w:rPr>
                <w:sz w:val="19"/>
              </w:rPr>
              <w:t>30 Dec 2003 p. 5734</w:t>
            </w:r>
            <w:r>
              <w:rPr>
                <w:sz w:val="19"/>
              </w:rPr>
              <w:noBreakHyphen/>
              <w:t>6</w:t>
            </w:r>
          </w:p>
        </w:tc>
        <w:tc>
          <w:tcPr>
            <w:tcW w:w="2620" w:type="dxa"/>
          </w:tcPr>
          <w:p>
            <w:pPr>
              <w:pStyle w:val="nTable"/>
              <w:spacing w:after="40"/>
              <w:rPr>
                <w:sz w:val="19"/>
              </w:rPr>
            </w:pPr>
            <w:r>
              <w:rPr>
                <w:sz w:val="19"/>
              </w:rPr>
              <w:t>1 Jan 2004 (see r. 2)</w:t>
            </w:r>
          </w:p>
        </w:tc>
      </w:tr>
      <w:tr>
        <w:trPr>
          <w:cantSplit/>
        </w:trPr>
        <w:tc>
          <w:tcPr>
            <w:tcW w:w="7088" w:type="dxa"/>
            <w:gridSpan w:val="4"/>
          </w:tcPr>
          <w:p>
            <w:pPr>
              <w:pStyle w:val="nTable"/>
              <w:spacing w:after="40"/>
              <w:rPr>
                <w:sz w:val="19"/>
              </w:rPr>
            </w:pPr>
            <w:r>
              <w:rPr>
                <w:b/>
                <w:sz w:val="19"/>
              </w:rPr>
              <w:t>Reprint 1: The</w:t>
            </w:r>
            <w:r>
              <w:rPr>
                <w:b/>
                <w:i/>
                <w:sz w:val="19"/>
              </w:rPr>
              <w:t xml:space="preserve"> Gas Pipelines Access (Western Australia) (Funding) Regulations 1999</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sz w:val="19"/>
              </w:rPr>
            </w:pPr>
            <w:r>
              <w:rPr>
                <w:i/>
                <w:sz w:val="19"/>
              </w:rPr>
              <w:t>Gas Pipelines Access (Western Australia) (Funding) Amendment Regulations 2005</w:t>
            </w:r>
          </w:p>
        </w:tc>
        <w:tc>
          <w:tcPr>
            <w:tcW w:w="1320" w:type="dxa"/>
          </w:tcPr>
          <w:p>
            <w:pPr>
              <w:pStyle w:val="nTable"/>
              <w:spacing w:after="40"/>
              <w:rPr>
                <w:sz w:val="19"/>
              </w:rPr>
            </w:pPr>
            <w:r>
              <w:rPr>
                <w:sz w:val="19"/>
              </w:rPr>
              <w:t>1 Jul 2005 p. 2999</w:t>
            </w:r>
          </w:p>
        </w:tc>
        <w:tc>
          <w:tcPr>
            <w:tcW w:w="2620" w:type="dxa"/>
          </w:tcPr>
          <w:p>
            <w:pPr>
              <w:pStyle w:val="nTable"/>
              <w:spacing w:after="40"/>
              <w:rPr>
                <w:sz w:val="19"/>
              </w:rPr>
            </w:pPr>
            <w:r>
              <w:rPr>
                <w:sz w:val="19"/>
              </w:rPr>
              <w:t>1 Jul 2005</w:t>
            </w:r>
          </w:p>
        </w:tc>
      </w:tr>
      <w:tr>
        <w:trPr>
          <w:cantSplit/>
          <w:ins w:id="143" w:author="Master Repository Process" w:date="2021-08-28T10:13:00Z"/>
        </w:trPr>
        <w:tc>
          <w:tcPr>
            <w:tcW w:w="3148" w:type="dxa"/>
            <w:gridSpan w:val="2"/>
            <w:tcBorders>
              <w:bottom w:val="single" w:sz="8" w:space="0" w:color="auto"/>
            </w:tcBorders>
          </w:tcPr>
          <w:p>
            <w:pPr>
              <w:pStyle w:val="nTable"/>
              <w:spacing w:after="40"/>
              <w:rPr>
                <w:ins w:id="144" w:author="Master Repository Process" w:date="2021-08-28T10:13:00Z"/>
                <w:i/>
                <w:sz w:val="19"/>
              </w:rPr>
            </w:pPr>
            <w:ins w:id="145" w:author="Master Repository Process" w:date="2021-08-28T10:13:00Z">
              <w:r>
                <w:rPr>
                  <w:i/>
                  <w:sz w:val="19"/>
                </w:rPr>
                <w:t>Gas Pipelines Access (Western Australia) (Funding) Amendment Regulations (No. 2) 2006</w:t>
              </w:r>
            </w:ins>
          </w:p>
        </w:tc>
        <w:tc>
          <w:tcPr>
            <w:tcW w:w="1320" w:type="dxa"/>
            <w:tcBorders>
              <w:bottom w:val="single" w:sz="8" w:space="0" w:color="auto"/>
            </w:tcBorders>
          </w:tcPr>
          <w:p>
            <w:pPr>
              <w:pStyle w:val="nTable"/>
              <w:spacing w:after="40"/>
              <w:rPr>
                <w:ins w:id="146" w:author="Master Repository Process" w:date="2021-08-28T10:13:00Z"/>
                <w:sz w:val="19"/>
              </w:rPr>
            </w:pPr>
            <w:ins w:id="147" w:author="Master Repository Process" w:date="2021-08-28T10:13:00Z">
              <w:r>
                <w:rPr>
                  <w:sz w:val="19"/>
                </w:rPr>
                <w:t>30 Jun 2006 p. 2359-60</w:t>
              </w:r>
            </w:ins>
          </w:p>
        </w:tc>
        <w:tc>
          <w:tcPr>
            <w:tcW w:w="2620" w:type="dxa"/>
            <w:tcBorders>
              <w:bottom w:val="single" w:sz="8" w:space="0" w:color="auto"/>
            </w:tcBorders>
          </w:tcPr>
          <w:p>
            <w:pPr>
              <w:pStyle w:val="nTable"/>
              <w:spacing w:after="40"/>
              <w:rPr>
                <w:ins w:id="148" w:author="Master Repository Process" w:date="2021-08-28T10:13:00Z"/>
                <w:sz w:val="19"/>
              </w:rPr>
            </w:pPr>
            <w:ins w:id="149" w:author="Master Repository Process" w:date="2021-08-28T10:13:00Z">
              <w:r>
                <w:rPr>
                  <w:sz w:val="19"/>
                </w:rPr>
                <w:t>1 Jul 2006 (see r. 2)</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50" w:name="UpToHere"/>
      <w:bookmarkEnd w:id="150"/>
    </w:p>
    <w:sectPr>
      <w:headerReference w:type="even" r:id="rId27"/>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1314"/>
            </w:tabs>
            <w:jc w:val="left"/>
          </w:pPr>
          <w:r>
            <w:tab/>
          </w: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10AB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18D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26E3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501C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EA65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EA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0C2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E1D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EAC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102C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E7A9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4DE999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21354"/>
    <w:docVar w:name="WAFER_20151211121354" w:val="RemoveTrackChanges"/>
    <w:docVar w:name="WAFER_20151211121354_GUID" w:val="0b793b05-1083-4da5-b73f-041d4d0bf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D7D80A-7CB9-490B-80AD-BA3E39C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7437</Characters>
  <Application>Microsoft Office Word</Application>
  <DocSecurity>0</DocSecurity>
  <Lines>232</Lines>
  <Paragraphs>139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01-b0-04 - 01-c0-06</dc:title>
  <dc:subject/>
  <dc:creator/>
  <cp:keywords/>
  <dc:description/>
  <cp:lastModifiedBy>Master Repository Process</cp:lastModifiedBy>
  <cp:revision>2</cp:revision>
  <cp:lastPrinted>2005-03-01T07:00:00Z</cp:lastPrinted>
  <dcterms:created xsi:type="dcterms:W3CDTF">2021-08-28T02:13:00Z</dcterms:created>
  <dcterms:modified xsi:type="dcterms:W3CDTF">2021-08-28T02:13:00Z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969</vt:i4>
  </property>
  <property fmtid="{D5CDD505-2E9C-101B-9397-08002B2CF9AE}" pid="6" name="FromSuffix">
    <vt:lpwstr>01-b0-04</vt:lpwstr>
  </property>
  <property fmtid="{D5CDD505-2E9C-101B-9397-08002B2CF9AE}" pid="7" name="FromAsAtDate">
    <vt:lpwstr>01 Jul 2005</vt:lpwstr>
  </property>
  <property fmtid="{D5CDD505-2E9C-101B-9397-08002B2CF9AE}" pid="8" name="ToSuffix">
    <vt:lpwstr>01-c0-06</vt:lpwstr>
  </property>
  <property fmtid="{D5CDD505-2E9C-101B-9397-08002B2CF9AE}" pid="9" name="ToAsAtDate">
    <vt:lpwstr>01 Jul 2006</vt:lpwstr>
  </property>
</Properties>
</file>