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2017</w:t>
      </w:r>
      <w:r>
        <w:fldChar w:fldCharType="end"/>
      </w:r>
      <w:r>
        <w:t xml:space="preserve">, </w:t>
      </w:r>
      <w:r>
        <w:fldChar w:fldCharType="begin"/>
      </w:r>
      <w:r>
        <w:instrText xml:space="preserve"> DocProperty FromSuffix </w:instrText>
      </w:r>
      <w:r>
        <w:fldChar w:fldCharType="separate"/>
      </w:r>
      <w:r>
        <w:t>06-j0-00</w:t>
      </w:r>
      <w:r>
        <w:fldChar w:fldCharType="end"/>
      </w:r>
      <w:r>
        <w:t>] and [</w:t>
      </w:r>
      <w:r>
        <w:fldChar w:fldCharType="begin"/>
      </w:r>
      <w:r>
        <w:instrText xml:space="preserve"> DocProperty ToAsAtDate</w:instrText>
      </w:r>
      <w:r>
        <w:fldChar w:fldCharType="separate"/>
      </w:r>
      <w:r>
        <w:t>12 Jul 2017</w:t>
      </w:r>
      <w:r>
        <w:fldChar w:fldCharType="end"/>
      </w:r>
      <w:r>
        <w:t xml:space="preserve">, </w:t>
      </w:r>
      <w:r>
        <w:fldChar w:fldCharType="begin"/>
      </w:r>
      <w:r>
        <w:instrText xml:space="preserve"> DocProperty ToSuffix</w:instrText>
      </w:r>
      <w:r>
        <w:fldChar w:fldCharType="separate"/>
      </w:r>
      <w:r>
        <w:t>06-k0-00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1" w:name="_Toc483482081"/>
      <w:bookmarkStart w:id="2" w:name="_Toc483552728"/>
      <w:bookmarkStart w:id="3" w:name="_Toc487543690"/>
      <w:bookmarkStart w:id="4" w:name="_Toc487551219"/>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6" w:name="_Toc487551220"/>
      <w:bookmarkStart w:id="7" w:name="_Toc483552729"/>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8" w:name="_Toc487551221"/>
      <w:bookmarkStart w:id="9" w:name="_Toc483552730"/>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10" w:name="_Toc487551222"/>
      <w:bookmarkStart w:id="11" w:name="_Toc483552731"/>
      <w:r>
        <w:rPr>
          <w:rStyle w:val="CharSectno"/>
        </w:rPr>
        <w:t>3</w:t>
      </w:r>
      <w:r>
        <w:rPr>
          <w:snapToGrid w:val="0"/>
        </w:rPr>
        <w:t>.</w:t>
      </w:r>
      <w:r>
        <w:rPr>
          <w:snapToGrid w:val="0"/>
        </w:rPr>
        <w:tab/>
        <w:t>Interpretation; compliance with forms</w:t>
      </w:r>
      <w:bookmarkEnd w:id="10"/>
      <w:bookmarkEnd w:id="11"/>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pPr>
      <w:bookmarkStart w:id="12" w:name="_Toc487551223"/>
      <w:bookmarkStart w:id="13" w:name="_Toc483552732"/>
      <w:r>
        <w:rPr>
          <w:rStyle w:val="CharSectno"/>
        </w:rPr>
        <w:t>4A</w:t>
      </w:r>
      <w:r>
        <w:t>.</w:t>
      </w:r>
      <w:r>
        <w:tab/>
        <w:t>Notes in the text</w:t>
      </w:r>
      <w:bookmarkEnd w:id="12"/>
      <w:bookmarkEnd w:id="13"/>
    </w:p>
    <w:p>
      <w:pPr>
        <w:pStyle w:val="Subsection"/>
      </w:pPr>
      <w:r>
        <w:tab/>
      </w:r>
      <w:r>
        <w:tab/>
        <w:t>A note included in these regulations (other than in a form in Schedule 3) is explanatory and is not part of these regulations.</w:t>
      </w:r>
    </w:p>
    <w:p>
      <w:pPr>
        <w:pStyle w:val="Footnotesection"/>
      </w:pPr>
      <w:r>
        <w:tab/>
        <w:t>[Regulation 4A inserted in Gazette 12 Aug 2011 p. 3249.]</w:t>
      </w:r>
    </w:p>
    <w:p>
      <w:pPr>
        <w:pStyle w:val="Heading5"/>
        <w:rPr>
          <w:snapToGrid w:val="0"/>
        </w:rPr>
      </w:pPr>
      <w:bookmarkStart w:id="14" w:name="_Toc487551224"/>
      <w:bookmarkStart w:id="15" w:name="_Toc483552733"/>
      <w:r>
        <w:rPr>
          <w:rStyle w:val="CharSectno"/>
        </w:rPr>
        <w:t>4</w:t>
      </w:r>
      <w:r>
        <w:rPr>
          <w:snapToGrid w:val="0"/>
        </w:rPr>
        <w:t>.</w:t>
      </w:r>
      <w:r>
        <w:rPr>
          <w:snapToGrid w:val="0"/>
        </w:rPr>
        <w:tab/>
        <w:t>Prescribed fees</w:t>
      </w:r>
      <w:bookmarkEnd w:id="14"/>
      <w:bookmarkEnd w:id="15"/>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16" w:name="_Toc483482087"/>
      <w:bookmarkStart w:id="17" w:name="_Toc483552734"/>
      <w:bookmarkStart w:id="18" w:name="_Toc487543696"/>
      <w:bookmarkStart w:id="19" w:name="_Toc487551225"/>
      <w:r>
        <w:rPr>
          <w:rStyle w:val="CharPartNo"/>
        </w:rPr>
        <w:t>Part 2</w:t>
      </w:r>
      <w:r>
        <w:rPr>
          <w:rStyle w:val="CharDivNo"/>
        </w:rPr>
        <w:t> </w:t>
      </w:r>
      <w:r>
        <w:t>—</w:t>
      </w:r>
      <w:r>
        <w:rPr>
          <w:rStyle w:val="CharDivText"/>
        </w:rPr>
        <w:t> </w:t>
      </w:r>
      <w:r>
        <w:rPr>
          <w:rStyle w:val="CharPartText"/>
        </w:rPr>
        <w:t>Enforcement</w:t>
      </w:r>
      <w:bookmarkEnd w:id="16"/>
      <w:bookmarkEnd w:id="17"/>
      <w:bookmarkEnd w:id="18"/>
      <w:bookmarkEnd w:id="19"/>
    </w:p>
    <w:p>
      <w:pPr>
        <w:pStyle w:val="Heading5"/>
        <w:rPr>
          <w:snapToGrid w:val="0"/>
        </w:rPr>
      </w:pPr>
      <w:bookmarkStart w:id="20" w:name="_Toc487551226"/>
      <w:bookmarkStart w:id="21" w:name="_Toc483552735"/>
      <w:r>
        <w:rPr>
          <w:rStyle w:val="CharSectno"/>
        </w:rPr>
        <w:t>5</w:t>
      </w:r>
      <w:r>
        <w:rPr>
          <w:snapToGrid w:val="0"/>
        </w:rPr>
        <w:t>.</w:t>
      </w:r>
      <w:r>
        <w:rPr>
          <w:snapToGrid w:val="0"/>
        </w:rPr>
        <w:tab/>
        <w:t>Forfeiture, offences prescribed (Act s. 32(2))</w:t>
      </w:r>
      <w:bookmarkEnd w:id="20"/>
      <w:bookmarkEnd w:id="21"/>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22" w:name="_Toc487551227"/>
      <w:bookmarkStart w:id="23" w:name="_Toc483552736"/>
      <w:r>
        <w:rPr>
          <w:rStyle w:val="CharSectno"/>
        </w:rPr>
        <w:t>6</w:t>
      </w:r>
      <w:r>
        <w:rPr>
          <w:snapToGrid w:val="0"/>
        </w:rPr>
        <w:t>.</w:t>
      </w:r>
      <w:r>
        <w:rPr>
          <w:snapToGrid w:val="0"/>
        </w:rPr>
        <w:tab/>
        <w:t>Modified penalties and infringement notices (Act s. 36(1))</w:t>
      </w:r>
      <w:bookmarkEnd w:id="22"/>
      <w:bookmarkEnd w:id="23"/>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24" w:name="_Toc487551228"/>
      <w:bookmarkStart w:id="25" w:name="_Toc483552737"/>
      <w:r>
        <w:rPr>
          <w:rStyle w:val="CharSectno"/>
        </w:rPr>
        <w:t>6A</w:t>
      </w:r>
      <w:r>
        <w:rPr>
          <w:snapToGrid w:val="0"/>
        </w:rPr>
        <w:t>.</w:t>
      </w:r>
      <w:r>
        <w:rPr>
          <w:snapToGrid w:val="0"/>
        </w:rPr>
        <w:tab/>
        <w:t>Warrant, form of (Act s. 25)</w:t>
      </w:r>
      <w:bookmarkEnd w:id="24"/>
      <w:bookmarkEnd w:id="25"/>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26" w:name="_Toc483482091"/>
      <w:bookmarkStart w:id="27" w:name="_Toc483552738"/>
      <w:bookmarkStart w:id="28" w:name="_Toc487543700"/>
      <w:bookmarkStart w:id="29" w:name="_Toc487551229"/>
      <w:r>
        <w:rPr>
          <w:rStyle w:val="CharPartNo"/>
        </w:rPr>
        <w:t>Part 3</w:t>
      </w:r>
      <w:r>
        <w:rPr>
          <w:rStyle w:val="CharDivNo"/>
        </w:rPr>
        <w:t> </w:t>
      </w:r>
      <w:r>
        <w:t>—</w:t>
      </w:r>
      <w:r>
        <w:rPr>
          <w:rStyle w:val="CharDivText"/>
        </w:rPr>
        <w:t> </w:t>
      </w:r>
      <w:r>
        <w:rPr>
          <w:rStyle w:val="CharPartText"/>
        </w:rPr>
        <w:t>The register</w:t>
      </w:r>
      <w:bookmarkEnd w:id="26"/>
      <w:bookmarkEnd w:id="27"/>
      <w:bookmarkEnd w:id="28"/>
      <w:bookmarkEnd w:id="29"/>
    </w:p>
    <w:p>
      <w:pPr>
        <w:pStyle w:val="Heading5"/>
        <w:rPr>
          <w:snapToGrid w:val="0"/>
        </w:rPr>
      </w:pPr>
      <w:bookmarkStart w:id="30" w:name="_Toc487551230"/>
      <w:bookmarkStart w:id="31" w:name="_Toc483552739"/>
      <w:r>
        <w:rPr>
          <w:rStyle w:val="CharSectno"/>
        </w:rPr>
        <w:t>7</w:t>
      </w:r>
      <w:r>
        <w:rPr>
          <w:snapToGrid w:val="0"/>
        </w:rPr>
        <w:t>.</w:t>
      </w:r>
      <w:r>
        <w:rPr>
          <w:snapToGrid w:val="0"/>
        </w:rPr>
        <w:tab/>
        <w:t>Manner of recording and search fees prescribed (Act s. 50)</w:t>
      </w:r>
      <w:bookmarkEnd w:id="30"/>
      <w:bookmarkEnd w:id="31"/>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32" w:name="_Toc483482093"/>
      <w:bookmarkStart w:id="33" w:name="_Toc483552740"/>
      <w:bookmarkStart w:id="34" w:name="_Toc487543702"/>
      <w:bookmarkStart w:id="35" w:name="_Toc487551231"/>
      <w:r>
        <w:rPr>
          <w:rStyle w:val="CharPartNo"/>
        </w:rPr>
        <w:t>Part 4</w:t>
      </w:r>
      <w:r>
        <w:t> — </w:t>
      </w:r>
      <w:r>
        <w:rPr>
          <w:rStyle w:val="CharPartText"/>
        </w:rPr>
        <w:t>Permitted gaming</w:t>
      </w:r>
      <w:bookmarkEnd w:id="32"/>
      <w:bookmarkEnd w:id="33"/>
      <w:bookmarkEnd w:id="34"/>
      <w:bookmarkEnd w:id="35"/>
    </w:p>
    <w:p>
      <w:pPr>
        <w:pStyle w:val="Heading3"/>
        <w:spacing w:before="220"/>
      </w:pPr>
      <w:bookmarkStart w:id="36" w:name="_Toc483482094"/>
      <w:bookmarkStart w:id="37" w:name="_Toc483552741"/>
      <w:bookmarkStart w:id="38" w:name="_Toc487543703"/>
      <w:bookmarkStart w:id="39" w:name="_Toc487551232"/>
      <w:r>
        <w:rPr>
          <w:rStyle w:val="CharDivNo"/>
        </w:rPr>
        <w:t>Division 1</w:t>
      </w:r>
      <w:r>
        <w:rPr>
          <w:snapToGrid w:val="0"/>
        </w:rPr>
        <w:t> — </w:t>
      </w:r>
      <w:r>
        <w:rPr>
          <w:rStyle w:val="CharDivText"/>
        </w:rPr>
        <w:t>Gaming generally</w:t>
      </w:r>
      <w:bookmarkEnd w:id="36"/>
      <w:bookmarkEnd w:id="37"/>
      <w:bookmarkEnd w:id="38"/>
      <w:bookmarkEnd w:id="39"/>
    </w:p>
    <w:p>
      <w:pPr>
        <w:pStyle w:val="Heading5"/>
      </w:pPr>
      <w:bookmarkStart w:id="40" w:name="_Toc466447656"/>
      <w:bookmarkStart w:id="41" w:name="_Toc466447901"/>
      <w:bookmarkStart w:id="42" w:name="_Toc487551233"/>
      <w:bookmarkStart w:id="43" w:name="_Toc483552742"/>
      <w:r>
        <w:rPr>
          <w:rStyle w:val="CharSectno"/>
        </w:rPr>
        <w:t>8A</w:t>
      </w:r>
      <w:r>
        <w:t>.</w:t>
      </w:r>
      <w:r>
        <w:tab/>
        <w:t>Gaming on cruise ships</w:t>
      </w:r>
      <w:bookmarkEnd w:id="40"/>
      <w:bookmarkEnd w:id="41"/>
      <w:bookmarkEnd w:id="42"/>
      <w:bookmarkEnd w:id="43"/>
    </w:p>
    <w:p>
      <w:pPr>
        <w:pStyle w:val="Subsection"/>
      </w:pPr>
      <w:r>
        <w:tab/>
        <w:t>(1)</w:t>
      </w:r>
      <w:r>
        <w:tab/>
        <w:t xml:space="preserve">In this regulation — </w:t>
      </w:r>
    </w:p>
    <w:p>
      <w:pPr>
        <w:pStyle w:val="Defstart"/>
      </w:pPr>
      <w:r>
        <w:tab/>
      </w:r>
      <w:r>
        <w:rPr>
          <w:b/>
          <w:i/>
        </w:rPr>
        <w:t>cruise ship</w:t>
      </w:r>
      <w:r>
        <w:t xml:space="preserve"> means — </w:t>
      </w:r>
    </w:p>
    <w:p>
      <w:pPr>
        <w:pStyle w:val="Defpara"/>
      </w:pPr>
      <w:r>
        <w:tab/>
        <w:t>(a)</w:t>
      </w:r>
      <w:r>
        <w:tab/>
        <w:t xml:space="preserve">a vessel that — </w:t>
      </w:r>
    </w:p>
    <w:p>
      <w:pPr>
        <w:pStyle w:val="Defsubpara"/>
      </w:pPr>
      <w:r>
        <w:tab/>
        <w:t>(i)</w:t>
      </w:r>
      <w:r>
        <w:tab/>
        <w:t>has a minimum capacity of 100 passenger berths; and</w:t>
      </w:r>
    </w:p>
    <w:p>
      <w:pPr>
        <w:pStyle w:val="Defsubpara"/>
      </w:pPr>
      <w:r>
        <w:tab/>
        <w:t>(ii)</w:t>
      </w:r>
      <w:r>
        <w:tab/>
        <w:t>is conducting a scheduled deep water cruise; and</w:t>
      </w:r>
    </w:p>
    <w:p>
      <w:pPr>
        <w:pStyle w:val="Defsubpara"/>
      </w:pPr>
      <w:r>
        <w:tab/>
        <w:t>(iii)</w:t>
      </w:r>
      <w:r>
        <w:tab/>
        <w:t>is transiting through Western Australian ports from and to locations overseas or interstate;</w:t>
      </w:r>
    </w:p>
    <w:p>
      <w:pPr>
        <w:pStyle w:val="Defpara"/>
      </w:pPr>
      <w:r>
        <w:tab/>
      </w:r>
      <w:r>
        <w:tab/>
        <w:t>or</w:t>
      </w:r>
    </w:p>
    <w:p>
      <w:pPr>
        <w:pStyle w:val="Defpara"/>
      </w:pPr>
      <w:r>
        <w:tab/>
        <w:t>(b)</w:t>
      </w:r>
      <w:r>
        <w:tab/>
        <w:t>a vessel that —</w:t>
      </w:r>
    </w:p>
    <w:p>
      <w:pPr>
        <w:pStyle w:val="Defsubpara"/>
      </w:pPr>
      <w:r>
        <w:tab/>
        <w:t>(i)</w:t>
      </w:r>
      <w:r>
        <w:tab/>
        <w:t>has a minimum capacity of 100 passenger berths; and</w:t>
      </w:r>
    </w:p>
    <w:p>
      <w:pPr>
        <w:pStyle w:val="Defsubpara"/>
      </w:pPr>
      <w:r>
        <w:tab/>
        <w:t>(ii)</w:t>
      </w:r>
      <w:r>
        <w:tab/>
        <w:t>is conducting a scheduled deep water cruise that departed from the Port of Fremantle; and</w:t>
      </w:r>
    </w:p>
    <w:p>
      <w:pPr>
        <w:pStyle w:val="Defsubpara"/>
      </w:pPr>
      <w:r>
        <w:tab/>
        <w:t>(iii)</w:t>
      </w:r>
      <w:r>
        <w:tab/>
        <w:t>is transiting through the Port of Bunbury, the Port of Geraldton or any other Western Australian port south of the Port of Bunbury or north of the Port of Geraldton; and</w:t>
      </w:r>
    </w:p>
    <w:p>
      <w:pPr>
        <w:pStyle w:val="Defsubpara"/>
      </w:pPr>
      <w:r>
        <w:tab/>
        <w:t>(iv)</w:t>
      </w:r>
      <w:r>
        <w:tab/>
        <w:t>is scheduled to remain at a port referred to in subparagraph (iii) for a period of at least 6 hours before continuing with the remainder of the deep water cruise.</w:t>
      </w:r>
    </w:p>
    <w:p>
      <w:pPr>
        <w:pStyle w:val="Subsection"/>
      </w:pPr>
      <w:r>
        <w:tab/>
        <w:t>(2)</w:t>
      </w:r>
      <w:r>
        <w:tab/>
        <w:t xml:space="preserve">For the purposes of section 46(2A), gaming on a cruise ship is prescribed if — </w:t>
      </w:r>
    </w:p>
    <w:p>
      <w:pPr>
        <w:pStyle w:val="Indenta"/>
      </w:pPr>
      <w:r>
        <w:tab/>
        <w:t>(a)</w:t>
      </w:r>
      <w:r>
        <w:tab/>
        <w:t>the cruise ship is outside a distance of 12 nautical miles from a scheduled destination where the cruise ship is to berth or anchor; and</w:t>
      </w:r>
    </w:p>
    <w:p>
      <w:pPr>
        <w:pStyle w:val="Indenta"/>
      </w:pPr>
      <w:r>
        <w:tab/>
        <w:t>(b)</w:t>
      </w:r>
      <w:r>
        <w:tab/>
        <w:t>the gaming is operated only as an ancillary service on the cruise ship.</w:t>
      </w:r>
    </w:p>
    <w:p>
      <w:pPr>
        <w:pStyle w:val="Footnotesection"/>
      </w:pPr>
      <w:r>
        <w:tab/>
        <w:t>[Regulation 8A inserted in Gazette 26 May 2017 p. 2633.]</w:t>
      </w:r>
    </w:p>
    <w:p>
      <w:pPr>
        <w:pStyle w:val="Heading5"/>
        <w:rPr>
          <w:snapToGrid w:val="0"/>
        </w:rPr>
      </w:pPr>
      <w:bookmarkStart w:id="44" w:name="_Toc487551234"/>
      <w:bookmarkStart w:id="45" w:name="_Toc483552743"/>
      <w:r>
        <w:rPr>
          <w:rStyle w:val="CharSectno"/>
        </w:rPr>
        <w:t>8</w:t>
      </w:r>
      <w:r>
        <w:rPr>
          <w:snapToGrid w:val="0"/>
        </w:rPr>
        <w:t>.</w:t>
      </w:r>
      <w:r>
        <w:rPr>
          <w:snapToGrid w:val="0"/>
        </w:rPr>
        <w:tab/>
        <w:t>Gaming permits, form and conditions of (Act s. 47(1)(a) or (b))</w:t>
      </w:r>
      <w:bookmarkEnd w:id="44"/>
      <w:bookmarkEnd w:id="45"/>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46" w:name="_Toc487551235"/>
      <w:bookmarkStart w:id="47" w:name="_Toc483552744"/>
      <w:r>
        <w:rPr>
          <w:rStyle w:val="CharSectno"/>
        </w:rPr>
        <w:t>9</w:t>
      </w:r>
      <w:r>
        <w:rPr>
          <w:snapToGrid w:val="0"/>
        </w:rPr>
        <w:t>.</w:t>
      </w:r>
      <w:r>
        <w:rPr>
          <w:snapToGrid w:val="0"/>
        </w:rPr>
        <w:tab/>
        <w:t>Gaming permits, application for</w:t>
      </w:r>
      <w:bookmarkEnd w:id="46"/>
      <w:bookmarkEnd w:id="47"/>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in Gazette 30 Jan 2004 p. 415; 18 May 2004 p. 1572.]</w:t>
      </w:r>
    </w:p>
    <w:p>
      <w:pPr>
        <w:pStyle w:val="Heading5"/>
        <w:rPr>
          <w:snapToGrid w:val="0"/>
        </w:rPr>
      </w:pPr>
      <w:bookmarkStart w:id="48" w:name="_Toc487551236"/>
      <w:bookmarkStart w:id="49" w:name="_Toc483552745"/>
      <w:r>
        <w:rPr>
          <w:rStyle w:val="CharSectno"/>
        </w:rPr>
        <w:t>10</w:t>
      </w:r>
      <w:r>
        <w:rPr>
          <w:snapToGrid w:val="0"/>
        </w:rPr>
        <w:t>.</w:t>
      </w:r>
      <w:r>
        <w:rPr>
          <w:snapToGrid w:val="0"/>
        </w:rPr>
        <w:tab/>
        <w:t>Approval to use premises, application for (Act s. 55)</w:t>
      </w:r>
      <w:bookmarkEnd w:id="48"/>
      <w:bookmarkEnd w:id="49"/>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50" w:name="_Toc487551237"/>
      <w:bookmarkStart w:id="51" w:name="_Toc483552746"/>
      <w:r>
        <w:rPr>
          <w:rStyle w:val="CharSectno"/>
        </w:rPr>
        <w:t>11</w:t>
      </w:r>
      <w:r>
        <w:rPr>
          <w:snapToGrid w:val="0"/>
        </w:rPr>
        <w:t>.</w:t>
      </w:r>
      <w:r>
        <w:rPr>
          <w:snapToGrid w:val="0"/>
        </w:rPr>
        <w:tab/>
        <w:t>Renewals etc., applications for (Act s. 56)</w:t>
      </w:r>
      <w:bookmarkEnd w:id="50"/>
      <w:bookmarkEnd w:id="51"/>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52" w:name="_Toc487551238"/>
      <w:bookmarkStart w:id="53" w:name="_Toc483552747"/>
      <w:r>
        <w:rPr>
          <w:rStyle w:val="CharSectno"/>
        </w:rPr>
        <w:t>12</w:t>
      </w:r>
      <w:r>
        <w:rPr>
          <w:snapToGrid w:val="0"/>
        </w:rPr>
        <w:t>.</w:t>
      </w:r>
      <w:r>
        <w:rPr>
          <w:snapToGrid w:val="0"/>
        </w:rPr>
        <w:tab/>
        <w:t>Financial statements, permit holders to provide etc.</w:t>
      </w:r>
      <w:bookmarkEnd w:id="52"/>
      <w:bookmarkEnd w:id="53"/>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in Gazette 28 Jun 1996 p. 3099; 16 May 1997 p. 2393.]</w:t>
      </w:r>
    </w:p>
    <w:p>
      <w:pPr>
        <w:pStyle w:val="Heading5"/>
        <w:rPr>
          <w:snapToGrid w:val="0"/>
        </w:rPr>
      </w:pPr>
      <w:bookmarkStart w:id="54" w:name="_Toc487551239"/>
      <w:bookmarkStart w:id="55" w:name="_Toc483552748"/>
      <w:r>
        <w:rPr>
          <w:rStyle w:val="CharSectno"/>
        </w:rPr>
        <w:t>13</w:t>
      </w:r>
      <w:r>
        <w:rPr>
          <w:snapToGrid w:val="0"/>
        </w:rPr>
        <w:t>.</w:t>
      </w:r>
      <w:r>
        <w:rPr>
          <w:snapToGrid w:val="0"/>
        </w:rPr>
        <w:tab/>
        <w:t>No permit required if gaming etc. deemed permitted</w:t>
      </w:r>
      <w:bookmarkEnd w:id="54"/>
      <w:bookmarkEnd w:id="55"/>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56" w:name="_Toc487551240"/>
      <w:bookmarkStart w:id="57" w:name="_Toc483552749"/>
      <w:r>
        <w:rPr>
          <w:rStyle w:val="CharSectno"/>
        </w:rPr>
        <w:t>13A</w:t>
      </w:r>
      <w:r>
        <w:t>.</w:t>
      </w:r>
      <w:r>
        <w:tab/>
        <w:t>Conviction of license holder etc., holders to notify Commission</w:t>
      </w:r>
      <w:bookmarkEnd w:id="56"/>
      <w:bookmarkEnd w:id="57"/>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58" w:name="_Toc483482103"/>
      <w:bookmarkStart w:id="59" w:name="_Toc483552750"/>
      <w:bookmarkStart w:id="60" w:name="_Toc487543712"/>
      <w:bookmarkStart w:id="61" w:name="_Toc487551241"/>
      <w:r>
        <w:rPr>
          <w:rStyle w:val="CharDivNo"/>
        </w:rPr>
        <w:t>Division 2</w:t>
      </w:r>
      <w:r>
        <w:t> — </w:t>
      </w:r>
      <w:r>
        <w:rPr>
          <w:rStyle w:val="CharDivText"/>
        </w:rPr>
        <w:t>Continuing lotteries</w:t>
      </w:r>
      <w:bookmarkEnd w:id="58"/>
      <w:bookmarkEnd w:id="59"/>
      <w:bookmarkEnd w:id="60"/>
      <w:bookmarkEnd w:id="61"/>
    </w:p>
    <w:p>
      <w:pPr>
        <w:pStyle w:val="Footnoteheading"/>
      </w:pPr>
      <w:r>
        <w:tab/>
        <w:t>[Heading inserted in Gazette 23 Jun 2000 p. 3206]</w:t>
      </w:r>
    </w:p>
    <w:p>
      <w:pPr>
        <w:pStyle w:val="Heading5"/>
        <w:keepLines w:val="0"/>
        <w:spacing w:before="240"/>
      </w:pPr>
      <w:bookmarkStart w:id="62" w:name="_Toc487551242"/>
      <w:bookmarkStart w:id="63" w:name="_Toc483552751"/>
      <w:r>
        <w:rPr>
          <w:rStyle w:val="CharSectno"/>
        </w:rPr>
        <w:t>14</w:t>
      </w:r>
      <w:r>
        <w:t>.</w:t>
      </w:r>
      <w:r>
        <w:tab/>
        <w:t>Maximum number of tickets prescribed (Act s. 104L(1))</w:t>
      </w:r>
      <w:bookmarkEnd w:id="62"/>
      <w:bookmarkEnd w:id="63"/>
    </w:p>
    <w:p>
      <w:pPr>
        <w:pStyle w:val="Subsection"/>
        <w:spacing w:before="180"/>
      </w:pPr>
      <w:r>
        <w:tab/>
      </w:r>
      <w:r>
        <w:tab/>
        <w:t>For the purposes of section 104L(1) of the Act the maximum number of tickets that may be in one batch shall be 5 000.</w:t>
      </w:r>
    </w:p>
    <w:p>
      <w:pPr>
        <w:pStyle w:val="Footnotesection"/>
      </w:pPr>
      <w:r>
        <w:tab/>
        <w:t>[Regulation 14 inserted in Gazette 23 Jun 2000 p. 3206.]</w:t>
      </w:r>
    </w:p>
    <w:p>
      <w:pPr>
        <w:pStyle w:val="Heading5"/>
        <w:spacing w:before="240"/>
      </w:pPr>
      <w:bookmarkStart w:id="64" w:name="_Toc487551243"/>
      <w:bookmarkStart w:id="65" w:name="_Toc483552752"/>
      <w:r>
        <w:rPr>
          <w:rStyle w:val="CharSectno"/>
        </w:rPr>
        <w:t>15</w:t>
      </w:r>
      <w:r>
        <w:t>.</w:t>
      </w:r>
      <w:r>
        <w:tab/>
        <w:t>Records to be kept by licensed suppliers for Act Part V Div. 7</w:t>
      </w:r>
      <w:bookmarkEnd w:id="64"/>
      <w:bookmarkEnd w:id="65"/>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66" w:name="_Toc483482106"/>
      <w:bookmarkStart w:id="67" w:name="_Toc483552753"/>
      <w:bookmarkStart w:id="68" w:name="_Toc487543715"/>
      <w:bookmarkStart w:id="69" w:name="_Toc487551244"/>
      <w:r>
        <w:rPr>
          <w:rStyle w:val="CharDivNo"/>
        </w:rPr>
        <w:t>Division 3</w:t>
      </w:r>
      <w:r>
        <w:rPr>
          <w:snapToGrid w:val="0"/>
        </w:rPr>
        <w:t> — </w:t>
      </w:r>
      <w:r>
        <w:rPr>
          <w:rStyle w:val="CharDivText"/>
        </w:rPr>
        <w:t>Permitted two</w:t>
      </w:r>
      <w:r>
        <w:rPr>
          <w:rStyle w:val="CharDivText"/>
        </w:rPr>
        <w:noBreakHyphen/>
        <w:t>up</w:t>
      </w:r>
      <w:bookmarkEnd w:id="66"/>
      <w:bookmarkEnd w:id="67"/>
      <w:bookmarkEnd w:id="68"/>
      <w:bookmarkEnd w:id="69"/>
    </w:p>
    <w:p>
      <w:pPr>
        <w:pStyle w:val="Heading5"/>
        <w:spacing w:before="240"/>
        <w:rPr>
          <w:snapToGrid w:val="0"/>
        </w:rPr>
      </w:pPr>
      <w:bookmarkStart w:id="70" w:name="_Toc487551245"/>
      <w:bookmarkStart w:id="71" w:name="_Toc483552754"/>
      <w:r>
        <w:rPr>
          <w:rStyle w:val="CharSectno"/>
        </w:rPr>
        <w:t>16</w:t>
      </w:r>
      <w:r>
        <w:rPr>
          <w:snapToGrid w:val="0"/>
        </w:rPr>
        <w:t>.</w:t>
      </w:r>
      <w:r>
        <w:rPr>
          <w:snapToGrid w:val="0"/>
        </w:rPr>
        <w:tab/>
        <w:t>Financial information to be provided about games</w:t>
      </w:r>
      <w:bookmarkEnd w:id="70"/>
      <w:bookmarkEnd w:id="71"/>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such further information as to the conduct of the game and the moneys involved as is requested.</w:t>
      </w:r>
    </w:p>
    <w:p>
      <w:pPr>
        <w:pStyle w:val="Subsection"/>
        <w:spacing w:before="180"/>
        <w:rPr>
          <w:snapToGrid w:val="0"/>
        </w:rPr>
      </w:pPr>
      <w:r>
        <w:rPr>
          <w:snapToGrid w:val="0"/>
        </w:rPr>
        <w:tab/>
        <w:t>(2)</w:t>
      </w:r>
      <w:r>
        <w:rPr>
          <w:snapToGrid w:val="0"/>
        </w:rPr>
        <w:tab/>
        <w:t>Within 14 days of conduct of a game to which section 80 applies, the committee of the club on behalf of which the permit relating to that game was issued</w:t>
      </w:r>
      <w:r>
        <w:t xml:space="preserve"> must give to the Commission a financial statement —</w:t>
      </w:r>
    </w:p>
    <w:p>
      <w:pPr>
        <w:pStyle w:val="Indenta"/>
      </w:pPr>
      <w:r>
        <w:tab/>
        <w:t>(a)</w:t>
      </w:r>
      <w:r>
        <w:tab/>
        <w:t>in the form, or substantially in the form, that is annexed to the permit; and</w:t>
      </w:r>
    </w:p>
    <w:p>
      <w:pPr>
        <w:pStyle w:val="Indenta"/>
      </w:pPr>
      <w:r>
        <w:tab/>
        <w:t>(b)</w:t>
      </w:r>
      <w:r>
        <w:tab/>
        <w:t>in accordance with any directions of the Commission which relate to that form.</w:t>
      </w:r>
    </w:p>
    <w:p>
      <w:pPr>
        <w:pStyle w:val="Subsection"/>
        <w:spacing w:before="180"/>
        <w:rPr>
          <w:snapToGrid w:val="0"/>
        </w:rPr>
      </w:pPr>
      <w:r>
        <w:rPr>
          <w:snapToGrid w:val="0"/>
        </w:rPr>
        <w:tab/>
        <w:t>(2a)</w:t>
      </w:r>
      <w:r>
        <w:rPr>
          <w:snapToGrid w:val="0"/>
        </w:rPr>
        <w:tab/>
        <w:t xml:space="preserve">Where a person to whom subregulation (1) applies fails to give the committee the information required to enable the committee to comply with subregulation (2), the committee </w:t>
      </w:r>
      <w:r>
        <w:t>must give</w:t>
      </w:r>
      <w:r>
        <w:rPr>
          <w:snapToGrid w:val="0"/>
        </w:rPr>
        <w:t xml:space="preserve">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as that officer or member of the Police Force may by notice in writing require.</w:t>
      </w:r>
    </w:p>
    <w:p>
      <w:pPr>
        <w:pStyle w:val="Footnotesection"/>
      </w:pPr>
      <w:r>
        <w:tab/>
        <w:t>[Regulation 16 amended in Gazette 28 Jun 1996 p. 3099; 16 May 1997 p. 2393; 1 Dec 2015 p. 4824.]</w:t>
      </w:r>
    </w:p>
    <w:p>
      <w:pPr>
        <w:pStyle w:val="Heading5"/>
        <w:rPr>
          <w:snapToGrid w:val="0"/>
        </w:rPr>
      </w:pPr>
      <w:bookmarkStart w:id="72" w:name="_Toc487551246"/>
      <w:bookmarkStart w:id="73" w:name="_Toc483552755"/>
      <w:r>
        <w:rPr>
          <w:rStyle w:val="CharSectno"/>
        </w:rPr>
        <w:t>17</w:t>
      </w:r>
      <w:r>
        <w:rPr>
          <w:snapToGrid w:val="0"/>
        </w:rPr>
        <w:t>.</w:t>
      </w:r>
      <w:r>
        <w:rPr>
          <w:snapToGrid w:val="0"/>
        </w:rPr>
        <w:tab/>
        <w:t>Suspending permit for game</w:t>
      </w:r>
      <w:bookmarkEnd w:id="72"/>
      <w:bookmarkEnd w:id="73"/>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74" w:name="_Toc487551247"/>
      <w:bookmarkStart w:id="75" w:name="_Toc483552756"/>
      <w:r>
        <w:rPr>
          <w:rStyle w:val="CharSectno"/>
        </w:rPr>
        <w:t>17A</w:t>
      </w:r>
      <w:r>
        <w:t>.</w:t>
      </w:r>
      <w:r>
        <w:tab/>
        <w:t>Prescribed gaming equipment (Act s. 84(1))</w:t>
      </w:r>
      <w:bookmarkEnd w:id="74"/>
      <w:bookmarkEnd w:id="75"/>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in Gazette 30 Jan 2004 p. 402.]</w:t>
      </w:r>
    </w:p>
    <w:p>
      <w:pPr>
        <w:pStyle w:val="Heading3"/>
        <w:keepLines/>
      </w:pPr>
      <w:bookmarkStart w:id="76" w:name="_Toc483482110"/>
      <w:bookmarkStart w:id="77" w:name="_Toc483552757"/>
      <w:bookmarkStart w:id="78" w:name="_Toc487543719"/>
      <w:bookmarkStart w:id="79" w:name="_Toc487551248"/>
      <w:r>
        <w:rPr>
          <w:rStyle w:val="CharDivNo"/>
        </w:rPr>
        <w:t>Division 4</w:t>
      </w:r>
      <w:r>
        <w:rPr>
          <w:snapToGrid w:val="0"/>
        </w:rPr>
        <w:t> — </w:t>
      </w:r>
      <w:r>
        <w:rPr>
          <w:rStyle w:val="CharDivText"/>
        </w:rPr>
        <w:t>Gaming machines and other equipment</w:t>
      </w:r>
      <w:bookmarkEnd w:id="76"/>
      <w:bookmarkEnd w:id="77"/>
      <w:bookmarkEnd w:id="78"/>
      <w:bookmarkEnd w:id="79"/>
    </w:p>
    <w:p>
      <w:pPr>
        <w:pStyle w:val="Heading5"/>
        <w:rPr>
          <w:snapToGrid w:val="0"/>
        </w:rPr>
      </w:pPr>
      <w:bookmarkStart w:id="80" w:name="_Toc487551249"/>
      <w:bookmarkStart w:id="81" w:name="_Toc483552758"/>
      <w:r>
        <w:rPr>
          <w:rStyle w:val="CharSectno"/>
        </w:rPr>
        <w:t>18</w:t>
      </w:r>
      <w:r>
        <w:rPr>
          <w:snapToGrid w:val="0"/>
        </w:rPr>
        <w:t>.</w:t>
      </w:r>
      <w:r>
        <w:rPr>
          <w:snapToGrid w:val="0"/>
        </w:rPr>
        <w:tab/>
        <w:t>Records etc. to be kept etc. by persons renting equipment from others</w:t>
      </w:r>
      <w:bookmarkEnd w:id="80"/>
      <w:bookmarkEnd w:id="81"/>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82" w:name="_Toc487551250"/>
      <w:bookmarkStart w:id="83" w:name="_Toc483552759"/>
      <w:r>
        <w:rPr>
          <w:rStyle w:val="CharSectno"/>
        </w:rPr>
        <w:t>18A</w:t>
      </w:r>
      <w:r>
        <w:rPr>
          <w:snapToGrid w:val="0"/>
        </w:rPr>
        <w:t>.</w:t>
      </w:r>
      <w:r>
        <w:rPr>
          <w:snapToGrid w:val="0"/>
        </w:rPr>
        <w:tab/>
        <w:t>Skilltester, Merchandiser and similar machines, possession etc. of</w:t>
      </w:r>
      <w:bookmarkEnd w:id="82"/>
      <w:bookmarkEnd w:id="83"/>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in Gazette 22 Oct 1993 p. 5805</w:t>
      </w:r>
      <w:r>
        <w:noBreakHyphen/>
        <w:t>6; amended in Gazette 22 Apr 1994 p. 1710; 30 Jan 2004 p. 415.]</w:t>
      </w:r>
    </w:p>
    <w:p>
      <w:pPr>
        <w:pStyle w:val="Heading5"/>
        <w:rPr>
          <w:snapToGrid w:val="0"/>
        </w:rPr>
      </w:pPr>
      <w:bookmarkStart w:id="84" w:name="_Toc487551251"/>
      <w:bookmarkStart w:id="85" w:name="_Toc483552760"/>
      <w:r>
        <w:rPr>
          <w:rStyle w:val="CharSectno"/>
        </w:rPr>
        <w:t>18AA</w:t>
      </w:r>
      <w:r>
        <w:rPr>
          <w:snapToGrid w:val="0"/>
        </w:rPr>
        <w:t>.</w:t>
      </w:r>
      <w:r>
        <w:rPr>
          <w:snapToGrid w:val="0"/>
        </w:rPr>
        <w:tab/>
        <w:t>Video lottery terminals, possession etc. of</w:t>
      </w:r>
      <w:bookmarkEnd w:id="84"/>
      <w:bookmarkEnd w:id="85"/>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86" w:name="_Toc487551252"/>
      <w:bookmarkStart w:id="87" w:name="_Toc483552761"/>
      <w:r>
        <w:rPr>
          <w:rStyle w:val="CharSectno"/>
        </w:rPr>
        <w:t>18B</w:t>
      </w:r>
      <w:r>
        <w:rPr>
          <w:snapToGrid w:val="0"/>
        </w:rPr>
        <w:t>.</w:t>
      </w:r>
      <w:r>
        <w:rPr>
          <w:snapToGrid w:val="0"/>
        </w:rPr>
        <w:tab/>
        <w:t>Machines that dispense vouchers, possession etc. of</w:t>
      </w:r>
      <w:bookmarkEnd w:id="86"/>
      <w:bookmarkEnd w:id="87"/>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pPr>
      <w:bookmarkStart w:id="88" w:name="_Toc487551253"/>
      <w:bookmarkStart w:id="89" w:name="_Toc483552762"/>
      <w:r>
        <w:rPr>
          <w:rStyle w:val="CharSectno"/>
        </w:rPr>
        <w:t>18C</w:t>
      </w:r>
      <w:r>
        <w:t>.</w:t>
      </w:r>
      <w:r>
        <w:tab/>
        <w:t>Possession of certain gaming machines on cruise ships</w:t>
      </w:r>
      <w:bookmarkEnd w:id="88"/>
      <w:bookmarkEnd w:id="89"/>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 berths;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PermNoteHeading"/>
      </w:pPr>
      <w:r>
        <w:tab/>
        <w:t>Note:</w:t>
      </w:r>
    </w:p>
    <w:p>
      <w:pPr>
        <w:pStyle w:val="PermNoteText"/>
      </w:pPr>
      <w:r>
        <w:tab/>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in Gazette 12 Aug 2011 p. 3249-50; amended in Gazette 26 May 2017 p. 2633.]</w:t>
      </w:r>
    </w:p>
    <w:p>
      <w:pPr>
        <w:pStyle w:val="Heading3"/>
      </w:pPr>
      <w:bookmarkStart w:id="90" w:name="_Toc483482116"/>
      <w:bookmarkStart w:id="91" w:name="_Toc483552763"/>
      <w:bookmarkStart w:id="92" w:name="_Toc487543725"/>
      <w:bookmarkStart w:id="93" w:name="_Toc487551254"/>
      <w:r>
        <w:rPr>
          <w:rStyle w:val="CharDivNo"/>
        </w:rPr>
        <w:t>Division 5</w:t>
      </w:r>
      <w:r>
        <w:rPr>
          <w:snapToGrid w:val="0"/>
        </w:rPr>
        <w:t> — </w:t>
      </w:r>
      <w:r>
        <w:rPr>
          <w:rStyle w:val="CharDivText"/>
        </w:rPr>
        <w:t>Permitted bingo</w:t>
      </w:r>
      <w:bookmarkEnd w:id="90"/>
      <w:bookmarkEnd w:id="91"/>
      <w:bookmarkEnd w:id="92"/>
      <w:bookmarkEnd w:id="93"/>
    </w:p>
    <w:p>
      <w:pPr>
        <w:pStyle w:val="Heading5"/>
        <w:rPr>
          <w:snapToGrid w:val="0"/>
        </w:rPr>
      </w:pPr>
      <w:bookmarkStart w:id="94" w:name="_Toc487551255"/>
      <w:bookmarkStart w:id="95" w:name="_Toc483552764"/>
      <w:r>
        <w:rPr>
          <w:rStyle w:val="CharSectno"/>
        </w:rPr>
        <w:t>19</w:t>
      </w:r>
      <w:r>
        <w:rPr>
          <w:snapToGrid w:val="0"/>
        </w:rPr>
        <w:t>.</w:t>
      </w:r>
      <w:r>
        <w:rPr>
          <w:snapToGrid w:val="0"/>
        </w:rPr>
        <w:tab/>
        <w:t>Rules for conducting bingo; rules to be displayed</w:t>
      </w:r>
      <w:bookmarkEnd w:id="94"/>
      <w:bookmarkEnd w:id="95"/>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96" w:name="_Toc487551256"/>
      <w:bookmarkStart w:id="97" w:name="_Toc483552765"/>
      <w:r>
        <w:rPr>
          <w:rStyle w:val="CharSectno"/>
        </w:rPr>
        <w:t>20</w:t>
      </w:r>
      <w:r>
        <w:rPr>
          <w:snapToGrid w:val="0"/>
        </w:rPr>
        <w:t>.</w:t>
      </w:r>
      <w:r>
        <w:rPr>
          <w:snapToGrid w:val="0"/>
        </w:rPr>
        <w:tab/>
        <w:t>Bingo for senior citizens’ clubs, no fees payable for</w:t>
      </w:r>
      <w:bookmarkEnd w:id="96"/>
      <w:bookmarkEnd w:id="97"/>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98" w:name="_Toc487551257"/>
      <w:bookmarkStart w:id="99" w:name="_Toc483552766"/>
      <w:r>
        <w:rPr>
          <w:rStyle w:val="CharSectno"/>
        </w:rPr>
        <w:t>21</w:t>
      </w:r>
      <w:r>
        <w:rPr>
          <w:snapToGrid w:val="0"/>
        </w:rPr>
        <w:t>.</w:t>
      </w:r>
      <w:r>
        <w:rPr>
          <w:snapToGrid w:val="0"/>
        </w:rPr>
        <w:tab/>
        <w:t>Percentage of receipts to be paid to Commission</w:t>
      </w:r>
      <w:bookmarkEnd w:id="98"/>
      <w:bookmarkEnd w:id="99"/>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100" w:name="_Toc487551258"/>
      <w:bookmarkStart w:id="101" w:name="_Toc483552767"/>
      <w:r>
        <w:rPr>
          <w:rStyle w:val="CharSectno"/>
        </w:rPr>
        <w:t>21A</w:t>
      </w:r>
      <w:r>
        <w:rPr>
          <w:snapToGrid w:val="0"/>
        </w:rPr>
        <w:t>.</w:t>
      </w:r>
      <w:r>
        <w:rPr>
          <w:snapToGrid w:val="0"/>
        </w:rPr>
        <w:tab/>
        <w:t>Times and number of sessions</w:t>
      </w:r>
      <w:bookmarkEnd w:id="100"/>
      <w:bookmarkEnd w:id="101"/>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102" w:name="_Toc487551259"/>
      <w:bookmarkStart w:id="103" w:name="_Toc483552768"/>
      <w:r>
        <w:rPr>
          <w:rStyle w:val="CharSectno"/>
        </w:rPr>
        <w:t>22</w:t>
      </w:r>
      <w:r>
        <w:rPr>
          <w:snapToGrid w:val="0"/>
        </w:rPr>
        <w:t>.</w:t>
      </w:r>
      <w:r>
        <w:rPr>
          <w:snapToGrid w:val="0"/>
        </w:rPr>
        <w:tab/>
        <w:t>Sessions of bingo</w:t>
      </w:r>
      <w:bookmarkEnd w:id="102"/>
      <w:bookmarkEnd w:id="103"/>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104" w:name="_Toc487551260"/>
      <w:bookmarkStart w:id="105" w:name="_Toc483552769"/>
      <w:r>
        <w:rPr>
          <w:rStyle w:val="CharSectno"/>
        </w:rPr>
        <w:t>23</w:t>
      </w:r>
      <w:r>
        <w:rPr>
          <w:snapToGrid w:val="0"/>
        </w:rPr>
        <w:t>.</w:t>
      </w:r>
      <w:r>
        <w:rPr>
          <w:snapToGrid w:val="0"/>
        </w:rPr>
        <w:tab/>
        <w:t>Controllers of sessions, appointment and duties of</w:t>
      </w:r>
      <w:bookmarkEnd w:id="104"/>
      <w:bookmarkEnd w:id="105"/>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106" w:name="_Toc487551261"/>
      <w:bookmarkStart w:id="107" w:name="_Toc483552770"/>
      <w:r>
        <w:rPr>
          <w:rStyle w:val="CharSectno"/>
        </w:rPr>
        <w:t>23A</w:t>
      </w:r>
      <w:r>
        <w:rPr>
          <w:snapToGrid w:val="0"/>
        </w:rPr>
        <w:t>.</w:t>
      </w:r>
      <w:r>
        <w:rPr>
          <w:snapToGrid w:val="0"/>
        </w:rPr>
        <w:tab/>
        <w:t>Advertising value of prizes prohibited</w:t>
      </w:r>
      <w:bookmarkEnd w:id="106"/>
      <w:bookmarkEnd w:id="107"/>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in Gazette 27 Feb 1991 p. 5068; amended in Gazette 22 Aug 2006 p. 3465</w:t>
      </w:r>
      <w:r>
        <w:noBreakHyphen/>
        <w:t>6.]</w:t>
      </w:r>
    </w:p>
    <w:p>
      <w:pPr>
        <w:pStyle w:val="Heading5"/>
        <w:rPr>
          <w:snapToGrid w:val="0"/>
        </w:rPr>
      </w:pPr>
      <w:bookmarkStart w:id="108" w:name="_Toc487551262"/>
      <w:bookmarkStart w:id="109" w:name="_Toc483552771"/>
      <w:r>
        <w:rPr>
          <w:rStyle w:val="CharSectno"/>
        </w:rPr>
        <w:t>24</w:t>
      </w:r>
      <w:r>
        <w:rPr>
          <w:snapToGrid w:val="0"/>
        </w:rPr>
        <w:t>.</w:t>
      </w:r>
      <w:r>
        <w:rPr>
          <w:snapToGrid w:val="0"/>
        </w:rPr>
        <w:tab/>
        <w:t>Prizes, permitted value of</w:t>
      </w:r>
      <w:bookmarkEnd w:id="108"/>
      <w:bookmarkEnd w:id="109"/>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THeadingNAm"/>
        <w:rPr>
          <w:snapToGrid w:val="0"/>
        </w:rPr>
      </w:pPr>
      <w: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rPr>
                <w:b/>
                <w:bCs/>
                <w:szCs w:val="24"/>
              </w:rPr>
            </w:pPr>
            <w:r>
              <w:rPr>
                <w:b/>
                <w:bCs/>
                <w:szCs w:val="24"/>
              </w:rPr>
              <w:t>Gross receipts</w:t>
            </w:r>
          </w:p>
        </w:tc>
        <w:tc>
          <w:tcPr>
            <w:tcW w:w="2040" w:type="dxa"/>
            <w:tcBorders>
              <w:top w:val="single" w:sz="4" w:space="0" w:color="auto"/>
              <w:bottom w:val="single" w:sz="4" w:space="0" w:color="auto"/>
            </w:tcBorders>
          </w:tcPr>
          <w:p>
            <w:pPr>
              <w:pStyle w:val="TableNAm"/>
              <w:rPr>
                <w:b/>
                <w:bCs/>
                <w:szCs w:val="24"/>
              </w:rPr>
            </w:pPr>
            <w:r>
              <w:rPr>
                <w:b/>
                <w:bCs/>
                <w:szCs w:val="24"/>
              </w:rPr>
              <w:t>Total of prizes</w:t>
            </w:r>
          </w:p>
        </w:tc>
        <w:tc>
          <w:tcPr>
            <w:tcW w:w="1680" w:type="dxa"/>
            <w:tcBorders>
              <w:top w:val="single" w:sz="4" w:space="0" w:color="auto"/>
              <w:bottom w:val="single" w:sz="4" w:space="0" w:color="auto"/>
            </w:tcBorders>
          </w:tcPr>
          <w:p>
            <w:pPr>
              <w:pStyle w:val="TableNAm"/>
              <w:rPr>
                <w:b/>
                <w:bCs/>
                <w:szCs w:val="24"/>
              </w:rPr>
            </w:pPr>
            <w:r>
              <w:rPr>
                <w:b/>
                <w:bCs/>
                <w:szCs w:val="24"/>
              </w:rPr>
              <w:t>Permitted variation</w:t>
            </w:r>
          </w:p>
        </w:tc>
      </w:tr>
      <w:tr>
        <w:tc>
          <w:tcPr>
            <w:tcW w:w="2400" w:type="dxa"/>
            <w:tcBorders>
              <w:top w:val="single" w:sz="4" w:space="0" w:color="auto"/>
            </w:tcBorders>
          </w:tcPr>
          <w:p>
            <w:pPr>
              <w:pStyle w:val="TableNAm"/>
              <w:rPr>
                <w:szCs w:val="24"/>
              </w:rPr>
            </w:pPr>
            <w:r>
              <w:rPr>
                <w:szCs w:val="24"/>
              </w:rPr>
              <w:t>$</w:t>
            </w:r>
            <w:del w:id="110" w:author="Master Repository Process" w:date="2021-08-28T11:03:00Z">
              <w:r>
                <w:rPr>
                  <w:sz w:val="22"/>
                </w:rPr>
                <w:delText>3</w:delText>
              </w:r>
            </w:del>
            <w:ins w:id="111" w:author="Master Repository Process" w:date="2021-08-28T11:03:00Z">
              <w:r>
                <w:rPr>
                  <w:szCs w:val="24"/>
                </w:rPr>
                <w:t>5</w:t>
              </w:r>
            </w:ins>
            <w:r>
              <w:rPr>
                <w:szCs w:val="24"/>
              </w:rPr>
              <w:t> 000 and under</w:t>
            </w:r>
          </w:p>
        </w:tc>
        <w:tc>
          <w:tcPr>
            <w:tcW w:w="2040" w:type="dxa"/>
            <w:tcBorders>
              <w:top w:val="single" w:sz="4" w:space="0" w:color="auto"/>
            </w:tcBorders>
          </w:tcPr>
          <w:p>
            <w:pPr>
              <w:pStyle w:val="TableNAm"/>
              <w:rPr>
                <w:szCs w:val="24"/>
              </w:rPr>
            </w:pPr>
            <w:r>
              <w:rPr>
                <w:szCs w:val="24"/>
              </w:rPr>
              <w:t>no limit</w:t>
            </w:r>
          </w:p>
        </w:tc>
        <w:tc>
          <w:tcPr>
            <w:tcW w:w="1680" w:type="dxa"/>
            <w:tcBorders>
              <w:top w:val="single" w:sz="4" w:space="0" w:color="auto"/>
            </w:tcBorders>
          </w:tcPr>
          <w:p>
            <w:pPr>
              <w:pStyle w:val="TableNAm"/>
              <w:rPr>
                <w:szCs w:val="24"/>
              </w:rPr>
            </w:pPr>
            <w:r>
              <w:rPr>
                <w:szCs w:val="24"/>
              </w:rPr>
              <w:t>—</w:t>
            </w:r>
          </w:p>
        </w:tc>
      </w:tr>
      <w:tr>
        <w:tc>
          <w:tcPr>
            <w:tcW w:w="2400" w:type="dxa"/>
            <w:tcBorders>
              <w:bottom w:val="single" w:sz="4" w:space="0" w:color="auto"/>
            </w:tcBorders>
          </w:tcPr>
          <w:p>
            <w:pPr>
              <w:pStyle w:val="TableNAm"/>
              <w:rPr>
                <w:szCs w:val="24"/>
              </w:rPr>
            </w:pPr>
            <w:del w:id="112" w:author="Master Repository Process" w:date="2021-08-28T11:03:00Z">
              <w:r>
                <w:rPr>
                  <w:sz w:val="22"/>
                </w:rPr>
                <w:delText>$3 001 and above</w:delText>
              </w:r>
            </w:del>
            <w:ins w:id="113" w:author="Master Repository Process" w:date="2021-08-28T11:03:00Z">
              <w:r>
                <w:t>Over $5 000</w:t>
              </w:r>
            </w:ins>
          </w:p>
        </w:tc>
        <w:tc>
          <w:tcPr>
            <w:tcW w:w="2040" w:type="dxa"/>
            <w:tcBorders>
              <w:bottom w:val="single" w:sz="4" w:space="0" w:color="auto"/>
            </w:tcBorders>
          </w:tcPr>
          <w:p>
            <w:pPr>
              <w:pStyle w:val="TableNAm"/>
              <w:rPr>
                <w:szCs w:val="24"/>
              </w:rPr>
            </w:pPr>
            <w:r>
              <w:rPr>
                <w:szCs w:val="24"/>
              </w:rPr>
              <w:t>60%</w:t>
            </w:r>
          </w:p>
        </w:tc>
        <w:tc>
          <w:tcPr>
            <w:tcW w:w="1680" w:type="dxa"/>
            <w:tcBorders>
              <w:bottom w:val="single" w:sz="4" w:space="0" w:color="auto"/>
            </w:tcBorders>
          </w:tcPr>
          <w:p>
            <w:pPr>
              <w:pStyle w:val="TableNAm"/>
              <w:rPr>
                <w:szCs w:val="24"/>
              </w:rPr>
            </w:pPr>
            <w:r>
              <w:rPr>
                <w:szCs w:val="24"/>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ins w:id="114" w:author="Master Repository Process" w:date="2021-08-28T11:03:00Z">
        <w:r>
          <w:t>; 11 Jul 2017 p. 3834</w:t>
        </w:r>
      </w:ins>
      <w:r>
        <w:t>.]</w:t>
      </w:r>
    </w:p>
    <w:p>
      <w:pPr>
        <w:pStyle w:val="Heading5"/>
        <w:rPr>
          <w:snapToGrid w:val="0"/>
        </w:rPr>
      </w:pPr>
      <w:bookmarkStart w:id="115" w:name="_Toc487551263"/>
      <w:bookmarkStart w:id="116" w:name="_Toc483552772"/>
      <w:r>
        <w:rPr>
          <w:rStyle w:val="CharSectno"/>
        </w:rPr>
        <w:t>25</w:t>
      </w:r>
      <w:r>
        <w:rPr>
          <w:snapToGrid w:val="0"/>
        </w:rPr>
        <w:t>.</w:t>
      </w:r>
      <w:r>
        <w:rPr>
          <w:snapToGrid w:val="0"/>
        </w:rPr>
        <w:tab/>
        <w:t>Expenses, maximum and calculation of</w:t>
      </w:r>
      <w:bookmarkEnd w:id="115"/>
      <w:bookmarkEnd w:id="116"/>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spacing w:before="6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117" w:name="_Toc487551264"/>
      <w:bookmarkStart w:id="118" w:name="_Toc483552773"/>
      <w:r>
        <w:rPr>
          <w:rStyle w:val="CharSectno"/>
        </w:rPr>
        <w:t>26</w:t>
      </w:r>
      <w:r>
        <w:rPr>
          <w:snapToGrid w:val="0"/>
        </w:rPr>
        <w:t>.</w:t>
      </w:r>
      <w:r>
        <w:rPr>
          <w:snapToGrid w:val="0"/>
        </w:rPr>
        <w:tab/>
        <w:t>Playing other games of chance at bingo premises</w:t>
      </w:r>
      <w:bookmarkEnd w:id="117"/>
      <w:bookmarkEnd w:id="118"/>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in Gazette 6 Apr 1990 p. 1768</w:t>
      </w:r>
      <w:r>
        <w:noBreakHyphen/>
        <w:t>9; amended in Gazette 22 Aug 2006 p. 3467.]</w:t>
      </w:r>
    </w:p>
    <w:p>
      <w:pPr>
        <w:pStyle w:val="Heading3"/>
      </w:pPr>
      <w:bookmarkStart w:id="119" w:name="_Toc483482127"/>
      <w:bookmarkStart w:id="120" w:name="_Toc483552774"/>
      <w:bookmarkStart w:id="121" w:name="_Toc487543736"/>
      <w:bookmarkStart w:id="122" w:name="_Toc487551265"/>
      <w:r>
        <w:rPr>
          <w:rStyle w:val="CharDivNo"/>
        </w:rPr>
        <w:t>Division 6</w:t>
      </w:r>
      <w:r>
        <w:rPr>
          <w:snapToGrid w:val="0"/>
        </w:rPr>
        <w:t> — </w:t>
      </w:r>
      <w:r>
        <w:rPr>
          <w:rStyle w:val="CharDivText"/>
        </w:rPr>
        <w:t>Lotteries, etc.</w:t>
      </w:r>
      <w:bookmarkEnd w:id="119"/>
      <w:bookmarkEnd w:id="120"/>
      <w:bookmarkEnd w:id="121"/>
      <w:bookmarkEnd w:id="122"/>
    </w:p>
    <w:p>
      <w:pPr>
        <w:pStyle w:val="Heading4"/>
        <w:spacing w:before="220"/>
        <w:rPr>
          <w:snapToGrid w:val="0"/>
        </w:rPr>
      </w:pPr>
      <w:bookmarkStart w:id="123" w:name="_Toc483482128"/>
      <w:bookmarkStart w:id="124" w:name="_Toc483552775"/>
      <w:bookmarkStart w:id="125" w:name="_Toc487543737"/>
      <w:bookmarkStart w:id="126" w:name="_Toc487551266"/>
      <w:r>
        <w:rPr>
          <w:snapToGrid w:val="0"/>
        </w:rPr>
        <w:t>Subdivision 1 — Standard lotteries</w:t>
      </w:r>
      <w:bookmarkEnd w:id="123"/>
      <w:bookmarkEnd w:id="124"/>
      <w:bookmarkEnd w:id="125"/>
      <w:bookmarkEnd w:id="126"/>
    </w:p>
    <w:p>
      <w:pPr>
        <w:pStyle w:val="Footnoteheading"/>
      </w:pPr>
      <w:r>
        <w:tab/>
        <w:t>[Heading amended in Gazette 6 Sep 2016 p. 3833.]</w:t>
      </w:r>
    </w:p>
    <w:p>
      <w:pPr>
        <w:pStyle w:val="Heading5"/>
        <w:rPr>
          <w:snapToGrid w:val="0"/>
        </w:rPr>
      </w:pPr>
      <w:bookmarkStart w:id="127" w:name="_Toc487551267"/>
      <w:bookmarkStart w:id="128" w:name="_Toc483552776"/>
      <w:r>
        <w:rPr>
          <w:rStyle w:val="CharSectno"/>
        </w:rPr>
        <w:t>27</w:t>
      </w:r>
      <w:r>
        <w:rPr>
          <w:snapToGrid w:val="0"/>
        </w:rPr>
        <w:t>.</w:t>
      </w:r>
      <w:r>
        <w:rPr>
          <w:snapToGrid w:val="0"/>
        </w:rPr>
        <w:tab/>
        <w:t>Rules for conducting standard lottery</w:t>
      </w:r>
      <w:bookmarkEnd w:id="127"/>
      <w:bookmarkEnd w:id="128"/>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129" w:name="_Toc487551268"/>
      <w:bookmarkStart w:id="130" w:name="_Toc483552777"/>
      <w:r>
        <w:rPr>
          <w:rStyle w:val="CharSectno"/>
        </w:rPr>
        <w:t>28</w:t>
      </w:r>
      <w:r>
        <w:rPr>
          <w:snapToGrid w:val="0"/>
        </w:rPr>
        <w:t>.</w:t>
      </w:r>
      <w:r>
        <w:rPr>
          <w:snapToGrid w:val="0"/>
        </w:rPr>
        <w:tab/>
        <w:t>Conditions relating to standard lottery</w:t>
      </w:r>
      <w:bookmarkEnd w:id="129"/>
      <w:bookmarkEnd w:id="130"/>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in Gazette 11 May 1993 p. 2397.]</w:t>
      </w:r>
    </w:p>
    <w:p>
      <w:pPr>
        <w:pStyle w:val="Ednotesection"/>
      </w:pPr>
      <w:r>
        <w:t>[</w:t>
      </w:r>
      <w:r>
        <w:rPr>
          <w:b/>
        </w:rPr>
        <w:t>28A, 28B.</w:t>
      </w:r>
      <w:r>
        <w:tab/>
        <w:t>Deleted in Gazette 6 Jul 1993 p. 3312.]</w:t>
      </w:r>
    </w:p>
    <w:p>
      <w:pPr>
        <w:pStyle w:val="Heading5"/>
        <w:rPr>
          <w:snapToGrid w:val="0"/>
        </w:rPr>
      </w:pPr>
      <w:bookmarkStart w:id="131" w:name="_Toc487551269"/>
      <w:bookmarkStart w:id="132" w:name="_Toc483552778"/>
      <w:r>
        <w:rPr>
          <w:rStyle w:val="CharSectno"/>
        </w:rPr>
        <w:t>28C</w:t>
      </w:r>
      <w:r>
        <w:rPr>
          <w:snapToGrid w:val="0"/>
        </w:rPr>
        <w:t>.</w:t>
      </w:r>
      <w:r>
        <w:rPr>
          <w:snapToGrid w:val="0"/>
        </w:rPr>
        <w:tab/>
        <w:t>Lottery tickets etc. not to be sent etc. to persons for sale etc. without their consent</w:t>
      </w:r>
      <w:bookmarkEnd w:id="131"/>
      <w:bookmarkEnd w:id="132"/>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133" w:name="_Toc487551270"/>
      <w:bookmarkStart w:id="134" w:name="_Toc483552779"/>
      <w:r>
        <w:rPr>
          <w:rStyle w:val="CharSectno"/>
        </w:rPr>
        <w:t>29</w:t>
      </w:r>
      <w:r>
        <w:rPr>
          <w:snapToGrid w:val="0"/>
        </w:rPr>
        <w:t>.</w:t>
      </w:r>
      <w:r>
        <w:rPr>
          <w:snapToGrid w:val="0"/>
        </w:rPr>
        <w:tab/>
        <w:t>When standard lottery must be drawn</w:t>
      </w:r>
      <w:bookmarkEnd w:id="133"/>
      <w:bookmarkEnd w:id="134"/>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in Gazette 11 May 1993 p. 2398; amended in Gazette 23 Feb 1996 p. 674.]</w:t>
      </w:r>
    </w:p>
    <w:p>
      <w:pPr>
        <w:pStyle w:val="Heading5"/>
        <w:rPr>
          <w:snapToGrid w:val="0"/>
        </w:rPr>
      </w:pPr>
      <w:bookmarkStart w:id="135" w:name="_Toc487551271"/>
      <w:bookmarkStart w:id="136" w:name="_Toc483552780"/>
      <w:r>
        <w:rPr>
          <w:rStyle w:val="CharSectno"/>
        </w:rPr>
        <w:t>30</w:t>
      </w:r>
      <w:r>
        <w:rPr>
          <w:snapToGrid w:val="0"/>
        </w:rPr>
        <w:t>.</w:t>
      </w:r>
      <w:r>
        <w:rPr>
          <w:snapToGrid w:val="0"/>
        </w:rPr>
        <w:tab/>
        <w:t>Unclaimed prizes in standard lotteries</w:t>
      </w:r>
      <w:bookmarkEnd w:id="135"/>
      <w:bookmarkEnd w:id="136"/>
    </w:p>
    <w:p>
      <w:pPr>
        <w:pStyle w:val="Subsection"/>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137" w:name="_Toc487551272"/>
      <w:bookmarkStart w:id="138" w:name="_Toc483552781"/>
      <w:r>
        <w:rPr>
          <w:rStyle w:val="CharSectno"/>
        </w:rPr>
        <w:t>30A</w:t>
      </w:r>
      <w:r>
        <w:rPr>
          <w:snapToGrid w:val="0"/>
        </w:rPr>
        <w:t>.</w:t>
      </w:r>
      <w:r>
        <w:rPr>
          <w:snapToGrid w:val="0"/>
        </w:rPr>
        <w:tab/>
        <w:t>Prizes from donor organizations</w:t>
      </w:r>
      <w:bookmarkEnd w:id="137"/>
      <w:bookmarkEnd w:id="138"/>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139" w:name="_Toc487551273"/>
      <w:bookmarkStart w:id="140" w:name="_Toc483552782"/>
      <w:r>
        <w:rPr>
          <w:rStyle w:val="CharSectno"/>
        </w:rPr>
        <w:t>30B</w:t>
      </w:r>
      <w:r>
        <w:rPr>
          <w:snapToGrid w:val="0"/>
        </w:rPr>
        <w:t>.</w:t>
      </w:r>
      <w:r>
        <w:rPr>
          <w:snapToGrid w:val="0"/>
        </w:rPr>
        <w:tab/>
        <w:t>Body not to buy ticket etc. in its own lottery</w:t>
      </w:r>
      <w:bookmarkEnd w:id="139"/>
      <w:bookmarkEnd w:id="140"/>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141" w:name="_Toc487551274"/>
      <w:bookmarkStart w:id="142" w:name="_Toc483552783"/>
      <w:r>
        <w:rPr>
          <w:rStyle w:val="CharSectno"/>
        </w:rPr>
        <w:t>31</w:t>
      </w:r>
      <w:r>
        <w:rPr>
          <w:snapToGrid w:val="0"/>
        </w:rPr>
        <w:t>.</w:t>
      </w:r>
      <w:r>
        <w:rPr>
          <w:snapToGrid w:val="0"/>
        </w:rPr>
        <w:tab/>
        <w:t>Small private lotteries (Act s. 103)</w:t>
      </w:r>
      <w:bookmarkEnd w:id="141"/>
      <w:bookmarkEnd w:id="142"/>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143" w:name="_Toc483482137"/>
      <w:bookmarkStart w:id="144" w:name="_Toc483552784"/>
      <w:bookmarkStart w:id="145" w:name="_Toc487543746"/>
      <w:bookmarkStart w:id="146" w:name="_Toc487551275"/>
      <w:r>
        <w:rPr>
          <w:snapToGrid w:val="0"/>
        </w:rPr>
        <w:t>Subdivision 2 — Continuing lotteries</w:t>
      </w:r>
      <w:bookmarkEnd w:id="143"/>
      <w:bookmarkEnd w:id="144"/>
      <w:bookmarkEnd w:id="145"/>
      <w:bookmarkEnd w:id="146"/>
    </w:p>
    <w:p>
      <w:pPr>
        <w:pStyle w:val="Footnoteheading"/>
      </w:pPr>
      <w:r>
        <w:tab/>
        <w:t>[Heading amended in Gazette 6 Sep 2016 p. 3833.]</w:t>
      </w:r>
    </w:p>
    <w:p>
      <w:pPr>
        <w:pStyle w:val="Heading5"/>
        <w:rPr>
          <w:snapToGrid w:val="0"/>
        </w:rPr>
      </w:pPr>
      <w:bookmarkStart w:id="147" w:name="_Toc487551276"/>
      <w:bookmarkStart w:id="148" w:name="_Toc483552785"/>
      <w:r>
        <w:rPr>
          <w:rStyle w:val="CharSectno"/>
        </w:rPr>
        <w:t>32</w:t>
      </w:r>
      <w:r>
        <w:rPr>
          <w:snapToGrid w:val="0"/>
        </w:rPr>
        <w:t>.</w:t>
      </w:r>
      <w:r>
        <w:rPr>
          <w:snapToGrid w:val="0"/>
        </w:rPr>
        <w:tab/>
        <w:t>Rules for conducting continuing lotteries</w:t>
      </w:r>
      <w:bookmarkEnd w:id="147"/>
      <w:bookmarkEnd w:id="148"/>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149" w:name="_Toc487551277"/>
      <w:bookmarkStart w:id="150" w:name="_Toc483552786"/>
      <w:r>
        <w:rPr>
          <w:rStyle w:val="CharSectno"/>
        </w:rPr>
        <w:t>33</w:t>
      </w:r>
      <w:r>
        <w:rPr>
          <w:snapToGrid w:val="0"/>
        </w:rPr>
        <w:t>.</w:t>
      </w:r>
      <w:r>
        <w:rPr>
          <w:snapToGrid w:val="0"/>
        </w:rPr>
        <w:tab/>
        <w:t>Conditions relating to continuing lottery</w:t>
      </w:r>
      <w:bookmarkEnd w:id="149"/>
      <w:bookmarkEnd w:id="150"/>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w:t>
      </w:r>
      <w:r>
        <w:t xml:space="preserve"> supplier;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Footnotesection"/>
      </w:pPr>
      <w:r>
        <w:tab/>
        <w:t>[Regulation 33 amended in Gazette 1 Dec 2015 p. 4824.]</w:t>
      </w:r>
    </w:p>
    <w:p>
      <w:pPr>
        <w:pStyle w:val="Heading5"/>
        <w:rPr>
          <w:snapToGrid w:val="0"/>
        </w:rPr>
      </w:pPr>
      <w:bookmarkStart w:id="151" w:name="_Toc487551278"/>
      <w:bookmarkStart w:id="152" w:name="_Toc483552787"/>
      <w:r>
        <w:rPr>
          <w:rStyle w:val="CharSectno"/>
        </w:rPr>
        <w:t>34</w:t>
      </w:r>
      <w:r>
        <w:rPr>
          <w:snapToGrid w:val="0"/>
        </w:rPr>
        <w:t>.</w:t>
      </w:r>
      <w:r>
        <w:rPr>
          <w:snapToGrid w:val="0"/>
        </w:rPr>
        <w:tab/>
        <w:t>Vending machines for continuing lotteries, location of and conditions as to (Act s. 105(2))</w:t>
      </w:r>
      <w:bookmarkEnd w:id="151"/>
      <w:bookmarkEnd w:id="152"/>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153" w:name="_Toc487551279"/>
      <w:bookmarkStart w:id="154" w:name="_Toc483552788"/>
      <w:r>
        <w:rPr>
          <w:rStyle w:val="CharSectno"/>
        </w:rPr>
        <w:t>35</w:t>
      </w:r>
      <w:r>
        <w:rPr>
          <w:snapToGrid w:val="0"/>
        </w:rPr>
        <w:t>.</w:t>
      </w:r>
      <w:r>
        <w:rPr>
          <w:snapToGrid w:val="0"/>
        </w:rPr>
        <w:tab/>
        <w:t>Accounts etc. of continuing lottery to be available for inspection</w:t>
      </w:r>
      <w:bookmarkEnd w:id="153"/>
      <w:bookmarkEnd w:id="154"/>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155" w:name="_Toc487551280"/>
      <w:bookmarkStart w:id="156" w:name="_Toc483552789"/>
      <w:r>
        <w:rPr>
          <w:rStyle w:val="CharSectno"/>
        </w:rPr>
        <w:t>36</w:t>
      </w:r>
      <w:r>
        <w:rPr>
          <w:snapToGrid w:val="0"/>
        </w:rPr>
        <w:t>.</w:t>
      </w:r>
      <w:r>
        <w:rPr>
          <w:snapToGrid w:val="0"/>
        </w:rPr>
        <w:tab/>
        <w:t>Distribution of benefit</w:t>
      </w:r>
      <w:bookmarkEnd w:id="155"/>
      <w:bookmarkEnd w:id="156"/>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pPr>
      <w:bookmarkStart w:id="157" w:name="_Toc483482143"/>
      <w:bookmarkStart w:id="158" w:name="_Toc483552790"/>
      <w:bookmarkStart w:id="159" w:name="_Toc487543752"/>
      <w:bookmarkStart w:id="160" w:name="_Toc487551281"/>
      <w:r>
        <w:t>Subdivision 3 — Trade promotion lotteries</w:t>
      </w:r>
      <w:bookmarkEnd w:id="157"/>
      <w:bookmarkEnd w:id="158"/>
      <w:bookmarkEnd w:id="159"/>
      <w:bookmarkEnd w:id="160"/>
    </w:p>
    <w:p>
      <w:pPr>
        <w:pStyle w:val="Footnoteheading"/>
      </w:pPr>
      <w:r>
        <w:tab/>
        <w:t>[Heading inserted in Gazette 6 Sep 2016 p. 3831.]</w:t>
      </w:r>
    </w:p>
    <w:p>
      <w:pPr>
        <w:pStyle w:val="Heading5"/>
      </w:pPr>
      <w:bookmarkStart w:id="161" w:name="_Toc487551282"/>
      <w:bookmarkStart w:id="162" w:name="_Toc483552791"/>
      <w:r>
        <w:rPr>
          <w:rStyle w:val="CharSectno"/>
        </w:rPr>
        <w:t>36A</w:t>
      </w:r>
      <w:r>
        <w:t>.</w:t>
      </w:r>
      <w:r>
        <w:tab/>
        <w:t>Prescribed conditions for trade promotion lottery (Act s. 102)</w:t>
      </w:r>
      <w:bookmarkEnd w:id="161"/>
      <w:bookmarkEnd w:id="162"/>
    </w:p>
    <w:p>
      <w:pPr>
        <w:pStyle w:val="Subsection"/>
      </w:pPr>
      <w:r>
        <w:tab/>
        <w:t>(1)</w:t>
      </w:r>
      <w:r>
        <w:tab/>
        <w:t>For the purposes of section 102 of the Act, the conditions specified in Schedule 5 are prescribed for a trade promotion lottery.</w:t>
      </w:r>
    </w:p>
    <w:p>
      <w:pPr>
        <w:pStyle w:val="Subsection"/>
      </w:pPr>
      <w:r>
        <w:tab/>
        <w:t>(2)</w:t>
      </w:r>
      <w:r>
        <w:tab/>
        <w:t xml:space="preserve">In Schedule 5 — </w:t>
      </w:r>
    </w:p>
    <w:p>
      <w:pPr>
        <w:pStyle w:val="Defstart"/>
      </w:pPr>
      <w:r>
        <w:tab/>
      </w:r>
      <w:r>
        <w:rPr>
          <w:rStyle w:val="CharDefText"/>
        </w:rPr>
        <w:t>lottery terms and conditions</w:t>
      </w:r>
      <w:r>
        <w:t>, in relation to a trade promotion lottery, means the terms and conditions applying to the conduct of the lottery including the terms and conditions of entry.</w:t>
      </w:r>
    </w:p>
    <w:p>
      <w:pPr>
        <w:pStyle w:val="Footnotesection"/>
      </w:pPr>
      <w:r>
        <w:tab/>
        <w:t>[Regulation 36A inserted in Gazette 6 Sep 2016 p. 3831-2.]</w:t>
      </w:r>
    </w:p>
    <w:p>
      <w:pPr>
        <w:pStyle w:val="Heading4"/>
        <w:rPr>
          <w:snapToGrid w:val="0"/>
        </w:rPr>
      </w:pPr>
      <w:bookmarkStart w:id="163" w:name="_Toc483482145"/>
      <w:bookmarkStart w:id="164" w:name="_Toc483552792"/>
      <w:bookmarkStart w:id="165" w:name="_Toc487543754"/>
      <w:bookmarkStart w:id="166" w:name="_Toc487551283"/>
      <w:r>
        <w:rPr>
          <w:snapToGrid w:val="0"/>
        </w:rPr>
        <w:t>Subdivision 4 — Lotteries generally</w:t>
      </w:r>
      <w:bookmarkEnd w:id="163"/>
      <w:bookmarkEnd w:id="164"/>
      <w:bookmarkEnd w:id="165"/>
      <w:bookmarkEnd w:id="166"/>
    </w:p>
    <w:p>
      <w:pPr>
        <w:pStyle w:val="Footnoteheading"/>
      </w:pPr>
      <w:r>
        <w:tab/>
        <w:t>[Heading amended in Gazette 6 Sep 2016 p. 3833.]</w:t>
      </w:r>
    </w:p>
    <w:p>
      <w:pPr>
        <w:pStyle w:val="Heading5"/>
        <w:rPr>
          <w:snapToGrid w:val="0"/>
        </w:rPr>
      </w:pPr>
      <w:bookmarkStart w:id="167" w:name="_Toc487551284"/>
      <w:bookmarkStart w:id="168" w:name="_Toc483552793"/>
      <w:r>
        <w:rPr>
          <w:rStyle w:val="CharSectno"/>
        </w:rPr>
        <w:t>37</w:t>
      </w:r>
      <w:r>
        <w:rPr>
          <w:snapToGrid w:val="0"/>
        </w:rPr>
        <w:t>.</w:t>
      </w:r>
      <w:r>
        <w:rPr>
          <w:snapToGrid w:val="0"/>
        </w:rPr>
        <w:tab/>
        <w:t>Account book, form of (Act s. 104(3)(a))</w:t>
      </w:r>
      <w:bookmarkEnd w:id="167"/>
      <w:bookmarkEnd w:id="168"/>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169" w:name="_Toc487551285"/>
      <w:bookmarkStart w:id="170" w:name="_Toc483552794"/>
      <w:r>
        <w:rPr>
          <w:rStyle w:val="CharSectno"/>
        </w:rPr>
        <w:t>38</w:t>
      </w:r>
      <w:r>
        <w:rPr>
          <w:snapToGrid w:val="0"/>
        </w:rPr>
        <w:t>.</w:t>
      </w:r>
      <w:r>
        <w:rPr>
          <w:snapToGrid w:val="0"/>
        </w:rPr>
        <w:tab/>
        <w:t>Prohibition as to private gain etc.</w:t>
      </w:r>
      <w:bookmarkEnd w:id="169"/>
      <w:bookmarkEnd w:id="170"/>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171" w:name="_Toc487551286"/>
      <w:bookmarkStart w:id="172" w:name="_Toc483552795"/>
      <w:r>
        <w:rPr>
          <w:rStyle w:val="CharSectno"/>
        </w:rPr>
        <w:t>38A</w:t>
      </w:r>
      <w:r>
        <w:rPr>
          <w:snapToGrid w:val="0"/>
        </w:rPr>
        <w:t>.</w:t>
      </w:r>
      <w:r>
        <w:rPr>
          <w:snapToGrid w:val="0"/>
        </w:rPr>
        <w:tab/>
        <w:t>Offences related to permitted lotteries</w:t>
      </w:r>
      <w:bookmarkEnd w:id="171"/>
      <w:bookmarkEnd w:id="172"/>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173" w:name="_Toc483482149"/>
      <w:bookmarkStart w:id="174" w:name="_Toc483552796"/>
      <w:bookmarkStart w:id="175" w:name="_Toc487543758"/>
      <w:bookmarkStart w:id="176" w:name="_Toc487551287"/>
      <w:r>
        <w:rPr>
          <w:snapToGrid w:val="0"/>
        </w:rPr>
        <w:t>Subdivision 5 — Amusements, etc.</w:t>
      </w:r>
      <w:bookmarkEnd w:id="173"/>
      <w:bookmarkEnd w:id="174"/>
      <w:bookmarkEnd w:id="175"/>
      <w:bookmarkEnd w:id="176"/>
    </w:p>
    <w:p>
      <w:pPr>
        <w:pStyle w:val="Footnoteheading"/>
      </w:pPr>
      <w:r>
        <w:tab/>
        <w:t>[Heading amended in Gazette 6 Sep 2016 p. 3833.]</w:t>
      </w:r>
    </w:p>
    <w:p>
      <w:pPr>
        <w:pStyle w:val="Heading5"/>
        <w:rPr>
          <w:snapToGrid w:val="0"/>
        </w:rPr>
      </w:pPr>
      <w:bookmarkStart w:id="177" w:name="_Toc487551288"/>
      <w:bookmarkStart w:id="178" w:name="_Toc483552797"/>
      <w:r>
        <w:rPr>
          <w:rStyle w:val="CharSectno"/>
        </w:rPr>
        <w:t>39</w:t>
      </w:r>
      <w:r>
        <w:rPr>
          <w:snapToGrid w:val="0"/>
        </w:rPr>
        <w:t>.</w:t>
      </w:r>
      <w:r>
        <w:rPr>
          <w:snapToGrid w:val="0"/>
        </w:rPr>
        <w:tab/>
        <w:t>Amusements with prizes at agricultural shows etc., matters prescribed for (Act s. 107(4))</w:t>
      </w:r>
      <w:bookmarkEnd w:id="177"/>
      <w:bookmarkEnd w:id="178"/>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rPr>
          <w:snapToGrid w:val="0"/>
        </w:rPr>
      </w:pPr>
      <w:bookmarkStart w:id="179" w:name="_Toc487551289"/>
      <w:bookmarkStart w:id="180" w:name="_Toc483552798"/>
      <w:r>
        <w:rPr>
          <w:rStyle w:val="CharSectno"/>
        </w:rPr>
        <w:t>39A</w:t>
      </w:r>
      <w:r>
        <w:rPr>
          <w:snapToGrid w:val="0"/>
        </w:rPr>
        <w:t>.</w:t>
      </w:r>
      <w:r>
        <w:rPr>
          <w:snapToGrid w:val="0"/>
        </w:rPr>
        <w:tab/>
        <w:t>Amusements with prizes at sporting events etc., matters prescribed for (Act s. 107(1))</w:t>
      </w:r>
      <w:bookmarkEnd w:id="179"/>
      <w:bookmarkEnd w:id="180"/>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rPr>
          <w:snapToGrid w:val="0"/>
        </w:rPr>
      </w:pPr>
      <w:bookmarkStart w:id="181" w:name="_Toc487551290"/>
      <w:bookmarkStart w:id="182" w:name="_Toc483552799"/>
      <w:r>
        <w:rPr>
          <w:rStyle w:val="CharSectno"/>
        </w:rPr>
        <w:t>40</w:t>
      </w:r>
      <w:r>
        <w:rPr>
          <w:snapToGrid w:val="0"/>
        </w:rPr>
        <w:t>.</w:t>
      </w:r>
      <w:r>
        <w:rPr>
          <w:snapToGrid w:val="0"/>
        </w:rPr>
        <w:tab/>
        <w:t>Minor fund raising activities (Act s. 108)</w:t>
      </w:r>
      <w:bookmarkEnd w:id="181"/>
      <w:bookmarkEnd w:id="182"/>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183" w:name="_Toc487551291"/>
      <w:bookmarkStart w:id="184" w:name="_Toc483552800"/>
      <w:r>
        <w:rPr>
          <w:rStyle w:val="CharSectno"/>
        </w:rPr>
        <w:t>40A</w:t>
      </w:r>
      <w:r>
        <w:t>.</w:t>
      </w:r>
      <w:r>
        <w:tab/>
        <w:t>Football tipping competitions (Act s. 108)</w:t>
      </w:r>
      <w:bookmarkEnd w:id="183"/>
      <w:bookmarkEnd w:id="184"/>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185" w:name="_Toc483482154"/>
      <w:bookmarkStart w:id="186" w:name="_Toc483552801"/>
      <w:bookmarkStart w:id="187" w:name="_Toc487543763"/>
      <w:bookmarkStart w:id="188" w:name="_Toc487551292"/>
      <w:r>
        <w:rPr>
          <w:rStyle w:val="CharPartNo"/>
        </w:rPr>
        <w:t>Part 5</w:t>
      </w:r>
      <w:r>
        <w:rPr>
          <w:rStyle w:val="CharDivText"/>
        </w:rPr>
        <w:t> </w:t>
      </w:r>
      <w:r>
        <w:t>—</w:t>
      </w:r>
      <w:r>
        <w:rPr>
          <w:rStyle w:val="CharDivNo"/>
        </w:rPr>
        <w:t xml:space="preserve"> </w:t>
      </w:r>
      <w:r>
        <w:rPr>
          <w:rStyle w:val="CharPartText"/>
        </w:rPr>
        <w:t>Miscellaneous</w:t>
      </w:r>
      <w:bookmarkEnd w:id="185"/>
      <w:bookmarkEnd w:id="186"/>
      <w:bookmarkEnd w:id="187"/>
      <w:bookmarkEnd w:id="188"/>
    </w:p>
    <w:p>
      <w:pPr>
        <w:pStyle w:val="Footnoteheading"/>
      </w:pPr>
      <w:r>
        <w:tab/>
        <w:t>[Heading inserted in Gazette 4 Aug 1998 p. 3989.]</w:t>
      </w:r>
    </w:p>
    <w:p>
      <w:pPr>
        <w:pStyle w:val="Heading5"/>
      </w:pPr>
      <w:bookmarkStart w:id="189" w:name="_Toc487551293"/>
      <w:bookmarkStart w:id="190" w:name="_Toc483552802"/>
      <w:r>
        <w:rPr>
          <w:rStyle w:val="CharSectno"/>
        </w:rPr>
        <w:t>41</w:t>
      </w:r>
      <w:r>
        <w:t>.</w:t>
      </w:r>
      <w:r>
        <w:tab/>
        <w:t>Premises where amusement machines are permitted (Act s. 39(2)(e))</w:t>
      </w:r>
      <w:bookmarkEnd w:id="189"/>
      <w:bookmarkEnd w:id="190"/>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191" w:name="_Toc487551294"/>
      <w:bookmarkStart w:id="192" w:name="_Toc483552803"/>
      <w:r>
        <w:rPr>
          <w:rStyle w:val="CharSectno"/>
        </w:rPr>
        <w:t>42</w:t>
      </w:r>
      <w:r>
        <w:t>.</w:t>
      </w:r>
      <w:r>
        <w:tab/>
        <w:t>Unclaimed winnings (Act s. 109B(1))</w:t>
      </w:r>
      <w:bookmarkEnd w:id="191"/>
      <w:bookmarkEnd w:id="192"/>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193" w:name="_Toc487551295"/>
      <w:bookmarkStart w:id="194" w:name="_Toc483552804"/>
      <w:r>
        <w:rPr>
          <w:rStyle w:val="CharSectno"/>
        </w:rPr>
        <w:t>43</w:t>
      </w:r>
      <w:r>
        <w:t>.</w:t>
      </w:r>
      <w:r>
        <w:tab/>
        <w:t>Certain advertising prohibited</w:t>
      </w:r>
      <w:bookmarkEnd w:id="193"/>
      <w:bookmarkEnd w:id="194"/>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195" w:name="_Toc487551296"/>
      <w:bookmarkStart w:id="196" w:name="_Toc483552805"/>
      <w:r>
        <w:rPr>
          <w:rStyle w:val="CharSectno"/>
        </w:rPr>
        <w:t>44</w:t>
      </w:r>
      <w:r>
        <w:t>.</w:t>
      </w:r>
      <w:r>
        <w:tab/>
        <w:t>Prescribed interval (Act s. 110B(4)(b))</w:t>
      </w:r>
      <w:bookmarkEnd w:id="195"/>
      <w:bookmarkEnd w:id="196"/>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97" w:name="_Toc483482159"/>
      <w:bookmarkStart w:id="198" w:name="_Toc483552806"/>
      <w:bookmarkStart w:id="199" w:name="_Toc487543768"/>
      <w:bookmarkStart w:id="200" w:name="_Toc487551297"/>
      <w:r>
        <w:rPr>
          <w:rStyle w:val="CharSchNo"/>
        </w:rPr>
        <w:t>Schedule 1</w:t>
      </w:r>
      <w:r>
        <w:t> — </w:t>
      </w:r>
      <w:r>
        <w:rPr>
          <w:rStyle w:val="CharSchText"/>
        </w:rPr>
        <w:t>Prescribed fees</w:t>
      </w:r>
      <w:bookmarkEnd w:id="197"/>
      <w:bookmarkEnd w:id="198"/>
      <w:bookmarkEnd w:id="199"/>
      <w:bookmarkEnd w:id="200"/>
    </w:p>
    <w:p>
      <w:pPr>
        <w:pStyle w:val="yShoulderClause"/>
      </w:pPr>
      <w:r>
        <w:t>[r. 4]</w:t>
      </w:r>
    </w:p>
    <w:p>
      <w:pPr>
        <w:pStyle w:val="yFootnoteheading"/>
        <w:spacing w:after="120"/>
      </w:pPr>
      <w:r>
        <w:tab/>
        <w:t>[Heading inserted in Gazette 30 Oct 2009 p. 4317.]</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rPr>
                <w:b/>
                <w:bCs/>
              </w:rPr>
            </w:pPr>
            <w:r>
              <w:rPr>
                <w:b/>
                <w:bCs/>
              </w:rPr>
              <w:t>Item</w:t>
            </w:r>
          </w:p>
        </w:tc>
        <w:tc>
          <w:tcPr>
            <w:tcW w:w="5245" w:type="dxa"/>
            <w:tcBorders>
              <w:bottom w:val="single" w:sz="4" w:space="0" w:color="auto"/>
            </w:tcBorders>
          </w:tcPr>
          <w:p>
            <w:pPr>
              <w:pStyle w:val="yTableNAm"/>
              <w:jc w:val="center"/>
              <w:rPr>
                <w:b/>
                <w:bCs/>
              </w:rPr>
            </w:pPr>
            <w:r>
              <w:rPr>
                <w:b/>
                <w:bCs/>
              </w:rPr>
              <w:t>Description</w:t>
            </w:r>
          </w:p>
        </w:tc>
        <w:tc>
          <w:tcPr>
            <w:tcW w:w="992" w:type="dxa"/>
            <w:tcBorders>
              <w:bottom w:val="single" w:sz="4" w:space="0" w:color="auto"/>
            </w:tcBorders>
          </w:tcPr>
          <w:p>
            <w:pPr>
              <w:pStyle w:val="yTableNAm"/>
              <w:jc w:val="center"/>
              <w:rPr>
                <w:b/>
                <w:bCs/>
              </w:rPr>
            </w:pPr>
            <w:r>
              <w:rPr>
                <w:b/>
                <w:bCs/>
              </w:rPr>
              <w:t>Fee</w:t>
            </w:r>
            <w:r>
              <w:rPr>
                <w:b/>
                <w:bCs/>
              </w:rPr>
              <w:br/>
              <w:t>$</w:t>
            </w:r>
          </w:p>
        </w:tc>
      </w:tr>
      <w:tr>
        <w:tc>
          <w:tcPr>
            <w:tcW w:w="851" w:type="dxa"/>
            <w:tcBorders>
              <w:top w:val="single" w:sz="4" w:space="0" w:color="auto"/>
              <w:bottom w:val="single" w:sz="4" w:space="0" w:color="auto"/>
            </w:tcBorders>
          </w:tcPr>
          <w:p>
            <w:pPr>
              <w:pStyle w:val="yTableNAm"/>
            </w:pPr>
            <w:r>
              <w:t>1.</w:t>
            </w:r>
          </w:p>
        </w:tc>
        <w:tc>
          <w:tcPr>
            <w:tcW w:w="5245" w:type="dxa"/>
            <w:tcBorders>
              <w:top w:val="single" w:sz="4" w:space="0" w:color="auto"/>
              <w:bottom w:val="single" w:sz="4" w:space="0" w:color="auto"/>
            </w:tcBorders>
          </w:tcPr>
          <w:p>
            <w:pPr>
              <w:pStyle w:val="yTableNAm"/>
              <w:tabs>
                <w:tab w:val="left" w:leader="dot" w:pos="567"/>
                <w:tab w:val="right" w:leader="dot" w:pos="4963"/>
                <w:tab w:val="left" w:leader="dot" w:pos="5103"/>
                <w:tab w:val="left" w:leader="dot" w:pos="5443"/>
              </w:tabs>
            </w:pPr>
            <w:r>
              <w:t xml:space="preserve">Search of the register for an identified entry </w:t>
            </w:r>
            <w:r>
              <w:tab/>
            </w:r>
          </w:p>
        </w:tc>
        <w:tc>
          <w:tcPr>
            <w:tcW w:w="992" w:type="dxa"/>
            <w:tcBorders>
              <w:top w:val="single" w:sz="4" w:space="0" w:color="auto"/>
              <w:bottom w:val="single" w:sz="4" w:space="0" w:color="auto"/>
            </w:tcBorders>
          </w:tcPr>
          <w:p>
            <w:pPr>
              <w:pStyle w:val="yTableNAm"/>
              <w:jc w:val="center"/>
            </w:pPr>
            <w:r>
              <w:t>8</w:t>
            </w:r>
          </w:p>
        </w:tc>
      </w:tr>
      <w:tr>
        <w:tc>
          <w:tcPr>
            <w:tcW w:w="851" w:type="dxa"/>
            <w:tcBorders>
              <w:top w:val="single" w:sz="4" w:space="0" w:color="auto"/>
            </w:tcBorders>
          </w:tcPr>
          <w:p>
            <w:pPr>
              <w:pStyle w:val="yTableNAm"/>
            </w:pPr>
            <w:r>
              <w:t>2.</w:t>
            </w:r>
          </w:p>
        </w:tc>
        <w:tc>
          <w:tcPr>
            <w:tcW w:w="5245" w:type="dxa"/>
            <w:tcBorders>
              <w:top w:val="single" w:sz="4" w:space="0" w:color="auto"/>
            </w:tcBorders>
          </w:tcPr>
          <w:p>
            <w:pPr>
              <w:pStyle w:val="yTableNAm"/>
              <w:tabs>
                <w:tab w:val="right" w:leader="dot" w:pos="4963"/>
                <w:tab w:val="left" w:leader="dot" w:pos="5443"/>
              </w:tabs>
            </w:pPr>
            <w:r>
              <w:t xml:space="preserve">Copy of extract from register </w:t>
            </w:r>
            <w:r>
              <w:tab/>
            </w:r>
          </w:p>
        </w:tc>
        <w:tc>
          <w:tcPr>
            <w:tcW w:w="992" w:type="dxa"/>
            <w:tcBorders>
              <w:top w:val="single" w:sz="4" w:space="0" w:color="auto"/>
            </w:tcBorders>
          </w:tcPr>
          <w:p>
            <w:pPr>
              <w:pStyle w:val="yTableNAm"/>
              <w:jc w:val="center"/>
            </w:pPr>
            <w:r>
              <w:t>14</w:t>
            </w:r>
          </w:p>
        </w:tc>
      </w:tr>
      <w:tr>
        <w:tc>
          <w:tcPr>
            <w:tcW w:w="851" w:type="dxa"/>
          </w:tcPr>
          <w:p>
            <w:pPr>
              <w:pStyle w:val="yTableNAm"/>
            </w:pPr>
            <w:r>
              <w:t>3.</w:t>
            </w:r>
          </w:p>
        </w:tc>
        <w:tc>
          <w:tcPr>
            <w:tcW w:w="5245" w:type="dxa"/>
          </w:tcPr>
          <w:p>
            <w:pPr>
              <w:pStyle w:val="yTableNAm"/>
              <w:tabs>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443"/>
              </w:tabs>
              <w:ind w:left="579" w:hanging="579"/>
            </w:pPr>
            <w:r>
              <w:t>(a)</w:t>
            </w:r>
            <w:r>
              <w:tab/>
              <w:t xml:space="preserve">an item of gaming equipment (r. 18B(2)(a))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(b)</w:t>
            </w:r>
            <w:r>
              <w:tab/>
              <w:t xml:space="preserve">a class of gaming equipment (r. 18B(2)(b)) </w:t>
            </w:r>
            <w:r>
              <w:tab/>
            </w:r>
          </w:p>
        </w:tc>
        <w:tc>
          <w:tcPr>
            <w:tcW w:w="992" w:type="dxa"/>
          </w:tcPr>
          <w:p>
            <w:pPr>
              <w:pStyle w:val="yTableNAm"/>
              <w:jc w:val="center"/>
            </w:pPr>
            <w:r>
              <w:rPr>
                <w:szCs w:val="22"/>
              </w:rPr>
              <w:t>59</w:t>
            </w:r>
          </w:p>
        </w:tc>
      </w:tr>
      <w:tr>
        <w:tc>
          <w:tcPr>
            <w:tcW w:w="851" w:type="dxa"/>
          </w:tcPr>
          <w:p>
            <w:pPr>
              <w:pStyle w:val="yTableNAm"/>
            </w:pPr>
            <w:r>
              <w:t>4.</w:t>
            </w:r>
          </w:p>
        </w:tc>
        <w:tc>
          <w:tcPr>
            <w:tcW w:w="5245" w:type="dxa"/>
          </w:tcPr>
          <w:p>
            <w:pPr>
              <w:pStyle w:val="yTableNAm"/>
              <w:tabs>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a video lottery terminal (r. 18AA(7))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an item of gaming equipment (r. 18B(2)(a)) </w:t>
            </w:r>
            <w:r>
              <w:tab/>
            </w:r>
          </w:p>
        </w:tc>
        <w:tc>
          <w:tcPr>
            <w:tcW w:w="992" w:type="dxa"/>
          </w:tcPr>
          <w:p>
            <w:pPr>
              <w:pStyle w:val="yTableNAm"/>
              <w:jc w:val="center"/>
              <w:rPr>
                <w:i/>
              </w:rPr>
            </w:pPr>
            <w:r>
              <w:rPr>
                <w:szCs w:val="22"/>
              </w:rPr>
              <w:t>64</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 class of gaming equipment (r. 18B(2)(b)) </w:t>
            </w:r>
            <w:r>
              <w:tab/>
            </w:r>
          </w:p>
        </w:tc>
        <w:tc>
          <w:tcPr>
            <w:tcW w:w="992" w:type="dxa"/>
          </w:tcPr>
          <w:p>
            <w:pPr>
              <w:pStyle w:val="yTableNAm"/>
              <w:jc w:val="center"/>
              <w:rPr>
                <w:i/>
              </w:rPr>
            </w:pPr>
            <w:r>
              <w:rPr>
                <w:szCs w:val="22"/>
              </w:rPr>
              <w:t>114</w:t>
            </w:r>
          </w:p>
        </w:tc>
      </w:tr>
      <w:tr>
        <w:tc>
          <w:tcPr>
            <w:tcW w:w="851" w:type="dxa"/>
          </w:tcPr>
          <w:p>
            <w:pPr>
              <w:pStyle w:val="yTableNAm"/>
            </w:pPr>
            <w:r>
              <w:t>5.</w:t>
            </w:r>
          </w:p>
        </w:tc>
        <w:tc>
          <w:tcPr>
            <w:tcW w:w="5245" w:type="dxa"/>
          </w:tcPr>
          <w:p>
            <w:pPr>
              <w:pStyle w:val="yTableNAm"/>
              <w:tabs>
                <w:tab w:val="right" w:pos="4299"/>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bingo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(b)</w:t>
            </w:r>
            <w:r>
              <w:tab/>
              <w:t xml:space="preserve">multiple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(c)</w:t>
            </w:r>
            <w:r>
              <w:tab/>
              <w:t>simultaneous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(d)</w:t>
            </w:r>
            <w:r>
              <w:tab/>
              <w:t>a standard lottery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where the total retail value of prizes or prize money does not exceed $5 000 </w:t>
            </w:r>
            <w:r>
              <w:tab/>
            </w:r>
          </w:p>
        </w:tc>
        <w:tc>
          <w:tcPr>
            <w:tcW w:w="992" w:type="dxa"/>
          </w:tcPr>
          <w:p>
            <w:pPr>
              <w:pStyle w:val="yTableNAm"/>
              <w:jc w:val="center"/>
            </w:pPr>
            <w:r>
              <w:br/>
              <w:t>30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r>
              <w:rPr>
                <w:szCs w:val="22"/>
              </w:rPr>
              <w:t>74</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r>
            <w:r>
              <w:rPr>
                <w:szCs w:val="22"/>
              </w:rPr>
              <w:t>74</w:t>
            </w:r>
          </w:p>
        </w:tc>
      </w:tr>
      <w:tr>
        <w:tblPrEx>
          <w:tblCellMar>
            <w:left w:w="108" w:type="dxa"/>
            <w:right w:w="108" w:type="dxa"/>
          </w:tblCellMar>
        </w:tblPrEx>
        <w:trPr>
          <w:cantSplit/>
        </w:trPr>
        <w:tc>
          <w:tcPr>
            <w:tcW w:w="851" w:type="dxa"/>
          </w:tcPr>
          <w:p>
            <w:pPr>
              <w:pStyle w:val="yTableNAm"/>
            </w:pPr>
          </w:p>
        </w:tc>
        <w:tc>
          <w:tcPr>
            <w:tcW w:w="5245" w:type="dxa"/>
          </w:tcPr>
          <w:p>
            <w:pPr>
              <w:pStyle w:val="yTableNAm"/>
              <w:tabs>
                <w:tab w:val="right" w:leader="dot" w:pos="4963"/>
                <w:tab w:val="left" w:leader="dot" w:pos="5443"/>
              </w:tabs>
              <w:ind w:left="579" w:hanging="579"/>
            </w:pPr>
            <w:r>
              <w:t>(e)</w:t>
            </w:r>
            <w:r>
              <w:tab/>
              <w:t xml:space="preserve">a continuing lottery </w:t>
            </w:r>
            <w:r>
              <w:tab/>
            </w:r>
          </w:p>
        </w:tc>
        <w:tc>
          <w:tcPr>
            <w:tcW w:w="992" w:type="dxa"/>
          </w:tcPr>
          <w:p>
            <w:pPr>
              <w:pStyle w:val="yTableNAm"/>
              <w:jc w:val="center"/>
            </w:pPr>
            <w:r>
              <w:t>15</w:t>
            </w:r>
          </w:p>
        </w:tc>
      </w:tr>
      <w:tr>
        <w:tc>
          <w:tcPr>
            <w:tcW w:w="851" w:type="dxa"/>
          </w:tcPr>
          <w:p>
            <w:pPr>
              <w:pStyle w:val="yTableNAm"/>
              <w:keepNext/>
            </w:pPr>
          </w:p>
        </w:tc>
        <w:tc>
          <w:tcPr>
            <w:tcW w:w="5245" w:type="dxa"/>
          </w:tcPr>
          <w:p>
            <w:pPr>
              <w:pStyle w:val="yTableNAm"/>
              <w:keepNext/>
              <w:tabs>
                <w:tab w:val="right" w:leader="dot" w:pos="4963"/>
                <w:tab w:val="left" w:leader="dot" w:pos="5443"/>
              </w:tabs>
              <w:ind w:left="579" w:hanging="579"/>
            </w:pPr>
            <w:r>
              <w:t>(f)</w:t>
            </w:r>
            <w:r>
              <w:tab/>
              <w:t>gaming (per day authorised) —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r>
              <w:rPr>
                <w:szCs w:val="22"/>
              </w:rPr>
              <w:t>226</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r>
              <w:rPr>
                <w:szCs w:val="22"/>
              </w:rPr>
              <w:t>378</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r>
              <w:rPr>
                <w:szCs w:val="22"/>
              </w:rPr>
              <w:t>422</w:t>
            </w:r>
          </w:p>
        </w:tc>
      </w:tr>
      <w:tr>
        <w:tc>
          <w:tcPr>
            <w:tcW w:w="851" w:type="dxa"/>
          </w:tcPr>
          <w:p>
            <w:pPr>
              <w:pStyle w:val="yTableNAm"/>
            </w:pPr>
          </w:p>
        </w:tc>
        <w:tc>
          <w:tcPr>
            <w:tcW w:w="5245" w:type="dxa"/>
          </w:tcPr>
          <w:p>
            <w:pPr>
              <w:pStyle w:val="yTableNAm"/>
              <w:tabs>
                <w:tab w:val="right" w:pos="4299"/>
                <w:tab w:val="right" w:leader="dot" w:pos="4963"/>
                <w:tab w:val="left" w:leader="dot" w:pos="5443"/>
              </w:tabs>
            </w:pPr>
            <w:r>
              <w:t>(g)</w:t>
            </w:r>
            <w:r>
              <w:tab/>
              <w:t>two</w:t>
            </w:r>
            <w:r>
              <w:noBreakHyphen/>
              <w:t>up </w:t>
            </w:r>
            <w:r>
              <w:rPr>
                <w:snapToGrid w:val="0"/>
              </w:rPr>
              <w:t>—</w:t>
            </w:r>
            <w:r>
              <w:t>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w:t>
            </w:r>
            <w:r>
              <w:tab/>
            </w:r>
          </w:p>
        </w:tc>
        <w:tc>
          <w:tcPr>
            <w:tcW w:w="992" w:type="dxa"/>
          </w:tcPr>
          <w:p>
            <w:pPr>
              <w:pStyle w:val="yTableNAm"/>
              <w:jc w:val="center"/>
            </w:pPr>
            <w:r>
              <w:rPr>
                <w:szCs w:val="22"/>
              </w:rPr>
              <w:t>152</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r>
              <w:rPr>
                <w:szCs w:val="22"/>
              </w:rPr>
              <w:t>226</w:t>
            </w:r>
          </w:p>
        </w:tc>
      </w:tr>
      <w:tr>
        <w:tc>
          <w:tcPr>
            <w:tcW w:w="851" w:type="dxa"/>
          </w:tcPr>
          <w:p>
            <w:pPr>
              <w:pStyle w:val="yTableNAm"/>
            </w:pPr>
            <w:r>
              <w:t>6.</w:t>
            </w:r>
          </w:p>
        </w:tc>
        <w:tc>
          <w:tcPr>
            <w:tcW w:w="5245" w:type="dxa"/>
          </w:tcPr>
          <w:p>
            <w:pPr>
              <w:pStyle w:val="yTableNAm"/>
              <w:tabs>
                <w:tab w:val="right" w:pos="4299"/>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bingo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multiple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simultaneous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pos="4299"/>
                <w:tab w:val="right" w:leader="dot" w:pos="4963"/>
                <w:tab w:val="left" w:leader="dot" w:pos="5443"/>
              </w:tabs>
              <w:ind w:left="579" w:hanging="579"/>
            </w:pPr>
            <w:r>
              <w:t>(d)</w:t>
            </w:r>
            <w:r>
              <w:tab/>
              <w:t>a standard lottery, where the total retail value of prizes or prize money is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not more than $5 000 </w:t>
            </w:r>
            <w:r>
              <w:tab/>
            </w:r>
          </w:p>
        </w:tc>
        <w:tc>
          <w:tcPr>
            <w:tcW w:w="992" w:type="dxa"/>
          </w:tcPr>
          <w:p>
            <w:pPr>
              <w:pStyle w:val="yTableNAm"/>
              <w:jc w:val="center"/>
            </w:pPr>
            <w:r>
              <w:rPr>
                <w:szCs w:val="22"/>
              </w:rPr>
              <w:t>48</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more than $5 000 but not more than $50 000 </w:t>
            </w:r>
            <w:r>
              <w:tab/>
            </w:r>
          </w:p>
        </w:tc>
        <w:tc>
          <w:tcPr>
            <w:tcW w:w="992" w:type="dxa"/>
          </w:tcPr>
          <w:p>
            <w:pPr>
              <w:pStyle w:val="yTableNAm"/>
              <w:jc w:val="center"/>
              <w:rPr>
                <w:i/>
              </w:rPr>
            </w:pPr>
            <w:r>
              <w:rPr>
                <w:u w:val="single"/>
              </w:rPr>
              <w:br/>
            </w:r>
            <w:r>
              <w:rPr>
                <w:szCs w:val="22"/>
              </w:rPr>
              <w:t>114</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more than $50 000 but not more than $100 000 </w:t>
            </w:r>
            <w:r>
              <w:tab/>
            </w:r>
          </w:p>
        </w:tc>
        <w:tc>
          <w:tcPr>
            <w:tcW w:w="992" w:type="dxa"/>
          </w:tcPr>
          <w:p>
            <w:pPr>
              <w:pStyle w:val="yTableNAm"/>
              <w:jc w:val="center"/>
              <w:rPr>
                <w:i/>
              </w:rPr>
            </w:pPr>
            <w:r>
              <w:rPr>
                <w:u w:val="single"/>
              </w:rPr>
              <w:br/>
            </w:r>
            <w:r>
              <w:rPr>
                <w:szCs w:val="22"/>
              </w:rPr>
              <w:t>221</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(iv)</w:t>
            </w:r>
            <w:r>
              <w:tab/>
              <w:t xml:space="preserve">more than $100 000 but not more than $200 000 </w:t>
            </w:r>
            <w:r>
              <w:tab/>
            </w:r>
          </w:p>
        </w:tc>
        <w:tc>
          <w:tcPr>
            <w:tcW w:w="992" w:type="dxa"/>
          </w:tcPr>
          <w:p>
            <w:pPr>
              <w:pStyle w:val="yTableNAm"/>
              <w:jc w:val="center"/>
              <w:rPr>
                <w:i/>
              </w:rPr>
            </w:pPr>
            <w:r>
              <w:rPr>
                <w:u w:val="single"/>
              </w:rPr>
              <w:br/>
            </w:r>
            <w:r>
              <w:rPr>
                <w:szCs w:val="22"/>
              </w:rPr>
              <w:t>455</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(v)</w:t>
            </w:r>
            <w:r>
              <w:tab/>
              <w:t xml:space="preserve">more than $200 000 </w:t>
            </w:r>
            <w:r>
              <w:tab/>
            </w:r>
          </w:p>
        </w:tc>
        <w:tc>
          <w:tcPr>
            <w:tcW w:w="992" w:type="dxa"/>
          </w:tcPr>
          <w:p>
            <w:pPr>
              <w:pStyle w:val="yTableNAm"/>
              <w:jc w:val="center"/>
            </w:pPr>
            <w:r>
              <w:rPr>
                <w:szCs w:val="22"/>
              </w:rPr>
              <w:t>697</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r>
            <w:r>
              <w:rPr>
                <w:szCs w:val="22"/>
              </w:rPr>
              <w:t>152</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(e)</w:t>
            </w:r>
            <w:r>
              <w:tab/>
              <w:t xml:space="preserve">a continuing lottery </w:t>
            </w:r>
            <w:r>
              <w:tab/>
            </w:r>
          </w:p>
        </w:tc>
        <w:tc>
          <w:tcPr>
            <w:tcW w:w="992" w:type="dxa"/>
          </w:tcPr>
          <w:p>
            <w:pPr>
              <w:pStyle w:val="yTableNAm"/>
              <w:jc w:val="center"/>
            </w:pPr>
            <w:r>
              <w:t>25</w:t>
            </w:r>
          </w:p>
        </w:tc>
      </w:tr>
      <w:tr>
        <w:tc>
          <w:tcPr>
            <w:tcW w:w="851" w:type="dxa"/>
          </w:tcPr>
          <w:p>
            <w:pPr>
              <w:pStyle w:val="yTableNAm"/>
              <w:keepNext/>
            </w:pPr>
          </w:p>
        </w:tc>
        <w:tc>
          <w:tcPr>
            <w:tcW w:w="5245" w:type="dxa"/>
          </w:tcPr>
          <w:p>
            <w:pPr>
              <w:pStyle w:val="yTableNAm"/>
              <w:tabs>
                <w:tab w:val="right" w:leader="dot" w:pos="4963"/>
                <w:tab w:val="left" w:leader="dot" w:pos="5103"/>
                <w:tab w:val="left" w:leader="dot" w:pos="5443"/>
              </w:tabs>
              <w:ind w:left="579" w:hanging="579"/>
            </w:pPr>
            <w:r>
              <w:t>(f)</w:t>
            </w:r>
            <w:r>
              <w:tab/>
              <w:t>gaming (per day authorised)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r>
              <w:rPr>
                <w:szCs w:val="22"/>
              </w:rPr>
              <w:t>181</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r>
              <w:rPr>
                <w:szCs w:val="22"/>
              </w:rPr>
              <w:t>333</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r>
              <w:rPr>
                <w:szCs w:val="22"/>
              </w:rPr>
              <w:t>416</w:t>
            </w:r>
          </w:p>
        </w:tc>
      </w:tr>
      <w:tr>
        <w:tc>
          <w:tcPr>
            <w:tcW w:w="851" w:type="dxa"/>
          </w:tcPr>
          <w:p>
            <w:pPr>
              <w:pStyle w:val="yTableNAm"/>
              <w:keepNext/>
            </w:pPr>
          </w:p>
        </w:tc>
        <w:tc>
          <w:tcPr>
            <w:tcW w:w="5245" w:type="dxa"/>
          </w:tcPr>
          <w:p>
            <w:pPr>
              <w:pStyle w:val="yTableNAm"/>
              <w:keepNext/>
              <w:tabs>
                <w:tab w:val="right" w:leader="dot" w:pos="4963"/>
                <w:tab w:val="left" w:leader="dot" w:pos="5103"/>
                <w:tab w:val="left" w:leader="dot" w:pos="5443"/>
              </w:tabs>
              <w:ind w:left="579" w:hanging="579"/>
            </w:pPr>
            <w:r>
              <w:t>(g)</w:t>
            </w:r>
            <w:r>
              <w:tab/>
              <w:t>two</w:t>
            </w:r>
            <w:r>
              <w:noBreakHyphen/>
              <w:t>up </w:t>
            </w:r>
            <w:r>
              <w:rPr>
                <w:snapToGrid w:val="0"/>
              </w:rPr>
              <w:t>—</w:t>
            </w:r>
            <w:r>
              <w:t>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per day authorised </w:t>
            </w:r>
            <w:r>
              <w:tab/>
            </w:r>
          </w:p>
        </w:tc>
        <w:tc>
          <w:tcPr>
            <w:tcW w:w="992" w:type="dxa"/>
          </w:tcPr>
          <w:p>
            <w:pPr>
              <w:pStyle w:val="yTableNAm"/>
              <w:jc w:val="center"/>
              <w:rPr>
                <w:i/>
              </w:rPr>
            </w:pPr>
            <w:r>
              <w:rPr>
                <w:szCs w:val="22"/>
              </w:rPr>
              <w:t>120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per day authorised </w:t>
            </w:r>
            <w:r>
              <w:tab/>
            </w:r>
          </w:p>
        </w:tc>
        <w:tc>
          <w:tcPr>
            <w:tcW w:w="992" w:type="dxa"/>
          </w:tcPr>
          <w:p>
            <w:pPr>
              <w:pStyle w:val="yTableNAm"/>
              <w:jc w:val="center"/>
            </w:pPr>
            <w:r>
              <w:rPr>
                <w:szCs w:val="22"/>
              </w:rPr>
              <w:t>181</w:t>
            </w:r>
          </w:p>
        </w:tc>
      </w:tr>
      <w:tr>
        <w:tc>
          <w:tcPr>
            <w:tcW w:w="851" w:type="dxa"/>
          </w:tcPr>
          <w:p>
            <w:pPr>
              <w:pStyle w:val="yTableNAm"/>
            </w:pPr>
            <w:r>
              <w:t>7.</w:t>
            </w:r>
          </w:p>
        </w:tc>
        <w:tc>
          <w:tcPr>
            <w:tcW w:w="5245" w:type="dxa"/>
          </w:tcPr>
          <w:p>
            <w:pPr>
              <w:pStyle w:val="yTableNAm"/>
              <w:tabs>
                <w:tab w:val="right" w:pos="4299"/>
                <w:tab w:val="right" w:leader="dot" w:pos="4963"/>
                <w:tab w:val="left" w:leader="dot" w:pos="5443"/>
              </w:tabs>
            </w:pPr>
            <w:r>
              <w:t>Application for approval of premises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a specific function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functions from time to time </w:t>
            </w:r>
            <w:r>
              <w:tab/>
            </w:r>
          </w:p>
        </w:tc>
        <w:tc>
          <w:tcPr>
            <w:tcW w:w="992" w:type="dxa"/>
          </w:tcPr>
          <w:p>
            <w:pPr>
              <w:pStyle w:val="yTableNAm"/>
              <w:jc w:val="center"/>
            </w:pPr>
            <w:r>
              <w:rPr>
                <w:szCs w:val="22"/>
              </w:rPr>
              <w:t>74</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permit of a continuing nature </w:t>
            </w:r>
            <w:r>
              <w:tab/>
            </w:r>
          </w:p>
        </w:tc>
        <w:tc>
          <w:tcPr>
            <w:tcW w:w="992" w:type="dxa"/>
          </w:tcPr>
          <w:p>
            <w:pPr>
              <w:pStyle w:val="yTableNAm"/>
              <w:jc w:val="center"/>
            </w:pPr>
            <w:r>
              <w:rPr>
                <w:szCs w:val="22"/>
              </w:rPr>
              <w:t>74</w:t>
            </w:r>
          </w:p>
        </w:tc>
      </w:tr>
      <w:tr>
        <w:tc>
          <w:tcPr>
            <w:tcW w:w="851" w:type="dxa"/>
          </w:tcPr>
          <w:p>
            <w:pPr>
              <w:pStyle w:val="yTableNAm"/>
            </w:pPr>
            <w:r>
              <w:t>8.</w:t>
            </w:r>
          </w:p>
        </w:tc>
        <w:tc>
          <w:tcPr>
            <w:tcW w:w="5245" w:type="dxa"/>
          </w:tcPr>
          <w:p>
            <w:pPr>
              <w:pStyle w:val="yTableNAm"/>
              <w:tabs>
                <w:tab w:val="right" w:pos="4299"/>
                <w:tab w:val="right" w:leader="dot" w:pos="4963"/>
                <w:tab w:val="left" w:leader="dot" w:pos="5443"/>
              </w:tabs>
            </w:pPr>
            <w:r>
              <w:t>Issue of a certificate under section 92 relating to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multiple bingo </w:t>
            </w:r>
            <w:r>
              <w:tab/>
            </w:r>
          </w:p>
        </w:tc>
        <w:tc>
          <w:tcPr>
            <w:tcW w:w="992" w:type="dxa"/>
          </w:tcPr>
          <w:p>
            <w:pPr>
              <w:pStyle w:val="yTableNAm"/>
              <w:jc w:val="center"/>
            </w:pPr>
            <w:r>
              <w:rPr>
                <w:szCs w:val="22"/>
              </w:rPr>
              <w:t>152</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simultaneous bingo</w:t>
            </w:r>
            <w:r>
              <w:tab/>
            </w:r>
          </w:p>
        </w:tc>
        <w:tc>
          <w:tcPr>
            <w:tcW w:w="992" w:type="dxa"/>
          </w:tcPr>
          <w:p>
            <w:pPr>
              <w:pStyle w:val="yTableNAm"/>
              <w:jc w:val="center"/>
            </w:pPr>
            <w:r>
              <w:rPr>
                <w:szCs w:val="22"/>
              </w:rPr>
              <w:t>152</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assisting in the conduct of bingo, for hire or reward </w:t>
            </w:r>
            <w:r>
              <w:tab/>
            </w:r>
          </w:p>
        </w:tc>
        <w:tc>
          <w:tcPr>
            <w:tcW w:w="992" w:type="dxa"/>
          </w:tcPr>
          <w:p>
            <w:pPr>
              <w:pStyle w:val="yTableNAm"/>
              <w:jc w:val="center"/>
              <w:rPr>
                <w:i/>
              </w:rPr>
            </w:pPr>
            <w:r>
              <w:br/>
            </w:r>
            <w:r>
              <w:rPr>
                <w:szCs w:val="22"/>
              </w:rPr>
              <w:t>152</w:t>
            </w:r>
          </w:p>
        </w:tc>
      </w:tr>
      <w:tr>
        <w:tc>
          <w:tcPr>
            <w:tcW w:w="851" w:type="dxa"/>
          </w:tcPr>
          <w:p>
            <w:pPr>
              <w:pStyle w:val="yTableNAm"/>
            </w:pPr>
            <w:r>
              <w:t>9.</w:t>
            </w:r>
          </w:p>
        </w:tc>
        <w:tc>
          <w:tcPr>
            <w:tcW w:w="5245" w:type="dxa"/>
          </w:tcPr>
          <w:p>
            <w:pPr>
              <w:pStyle w:val="yTableNAm"/>
              <w:tabs>
                <w:tab w:val="right" w:leader="dot" w:pos="4963"/>
                <w:tab w:val="left" w:leader="dot" w:pos="5103"/>
                <w:tab w:val="left" w:leader="dot" w:pos="5443"/>
              </w:tabs>
              <w:ind w:left="579" w:hanging="579"/>
            </w:pPr>
            <w:r>
              <w:t xml:space="preserve">Issue of an approved operator’s certificate </w:t>
            </w:r>
            <w:r>
              <w:tab/>
            </w:r>
          </w:p>
        </w:tc>
        <w:tc>
          <w:tcPr>
            <w:tcW w:w="992" w:type="dxa"/>
          </w:tcPr>
          <w:p>
            <w:pPr>
              <w:pStyle w:val="yTableNAm"/>
              <w:jc w:val="center"/>
            </w:pPr>
            <w:r>
              <w:rPr>
                <w:szCs w:val="22"/>
              </w:rPr>
              <w:t>249</w:t>
            </w:r>
          </w:p>
        </w:tc>
      </w:tr>
      <w:tr>
        <w:tc>
          <w:tcPr>
            <w:tcW w:w="851" w:type="dxa"/>
          </w:tcPr>
          <w:p>
            <w:pPr>
              <w:pStyle w:val="yTableNAm"/>
            </w:pPr>
            <w:r>
              <w:t>10.</w:t>
            </w:r>
          </w:p>
        </w:tc>
        <w:tc>
          <w:tcPr>
            <w:tcW w:w="5245" w:type="dxa"/>
          </w:tcPr>
          <w:p>
            <w:pPr>
              <w:pStyle w:val="yTableNAm"/>
              <w:tabs>
                <w:tab w:val="right" w:leader="dot" w:pos="4963"/>
                <w:tab w:val="left" w:leader="dot" w:pos="5103"/>
                <w:tab w:val="left" w:leader="dot" w:pos="5443"/>
              </w:tabs>
              <w:ind w:left="579" w:hanging="579"/>
            </w:pPr>
            <w:r>
              <w:t xml:space="preserve">Issue of a certificate under section 88(5) </w:t>
            </w:r>
            <w:r>
              <w:tab/>
            </w:r>
          </w:p>
        </w:tc>
        <w:tc>
          <w:tcPr>
            <w:tcW w:w="992" w:type="dxa"/>
          </w:tcPr>
          <w:p>
            <w:pPr>
              <w:pStyle w:val="yTableNAm"/>
              <w:jc w:val="center"/>
            </w:pPr>
            <w:r>
              <w:rPr>
                <w:szCs w:val="22"/>
              </w:rPr>
              <w:t>327</w:t>
            </w:r>
          </w:p>
        </w:tc>
      </w:tr>
      <w:tr>
        <w:tc>
          <w:tcPr>
            <w:tcW w:w="851" w:type="dxa"/>
          </w:tcPr>
          <w:p>
            <w:pPr>
              <w:pStyle w:val="yTableNAm"/>
            </w:pPr>
            <w:r>
              <w:t>11.</w:t>
            </w:r>
          </w:p>
        </w:tc>
        <w:tc>
          <w:tcPr>
            <w:tcW w:w="5245" w:type="dxa"/>
          </w:tcPr>
          <w:p>
            <w:pPr>
              <w:pStyle w:val="yTableNAm"/>
              <w:tabs>
                <w:tab w:val="right" w:leader="dot" w:pos="4963"/>
                <w:tab w:val="left" w:leader="dot" w:pos="5103"/>
                <w:tab w:val="left" w:leader="dot" w:pos="5443"/>
              </w:tabs>
              <w:ind w:left="579" w:hanging="579"/>
            </w:pPr>
            <w:r>
              <w:t xml:space="preserve">Application to be a licensed supplier </w:t>
            </w:r>
            <w:r>
              <w:tab/>
            </w:r>
          </w:p>
        </w:tc>
        <w:tc>
          <w:tcPr>
            <w:tcW w:w="992" w:type="dxa"/>
          </w:tcPr>
          <w:p>
            <w:pPr>
              <w:pStyle w:val="yTableNAm"/>
              <w:jc w:val="center"/>
            </w:pPr>
            <w:r>
              <w:rPr>
                <w:szCs w:val="22"/>
              </w:rPr>
              <w:t>304</w:t>
            </w:r>
          </w:p>
        </w:tc>
      </w:tr>
      <w:tr>
        <w:tc>
          <w:tcPr>
            <w:tcW w:w="851" w:type="dxa"/>
          </w:tcPr>
          <w:p>
            <w:pPr>
              <w:pStyle w:val="yTableNAm"/>
            </w:pPr>
            <w:r>
              <w:t>12.</w:t>
            </w:r>
          </w:p>
        </w:tc>
        <w:tc>
          <w:tcPr>
            <w:tcW w:w="5245" w:type="dxa"/>
          </w:tcPr>
          <w:p>
            <w:pPr>
              <w:pStyle w:val="yTableNAm"/>
              <w:tabs>
                <w:tab w:val="clear" w:pos="567"/>
                <w:tab w:val="left" w:pos="0"/>
                <w:tab w:val="right" w:leader="dot" w:pos="4963"/>
                <w:tab w:val="left" w:leader="dot" w:pos="5103"/>
                <w:tab w:val="left" w:leader="dot" w:pos="5443"/>
              </w:tabs>
            </w:pPr>
            <w:r>
              <w:t xml:space="preserve">Approval to operate, or remove money from, gaming equipment </w:t>
            </w:r>
            <w:r>
              <w:tab/>
            </w:r>
          </w:p>
        </w:tc>
        <w:tc>
          <w:tcPr>
            <w:tcW w:w="992" w:type="dxa"/>
          </w:tcPr>
          <w:p>
            <w:pPr>
              <w:pStyle w:val="yTableNAm"/>
              <w:jc w:val="center"/>
            </w:pPr>
            <w:r>
              <w:br/>
              <w:t>25</w:t>
            </w:r>
          </w:p>
        </w:tc>
      </w:tr>
    </w:tbl>
    <w:p>
      <w:pPr>
        <w:pStyle w:val="yFootnotesection"/>
      </w:pPr>
      <w:r>
        <w:tab/>
        <w:t>[Schedule 1 inserted in Gazette 30 Oct 2009 p. 4317</w:t>
      </w:r>
      <w:r>
        <w:noBreakHyphen/>
        <w:t>19; amended in Gazette 19 Nov 2010 p. 5748 (correction in Gazette 20 May 2011 p. 1840); 4 Nov 2011 p. 4645</w:t>
      </w:r>
      <w:r>
        <w:noBreakHyphen/>
        <w:t>6; 16 Nov 2012 p. 5650</w:t>
      </w:r>
      <w:r>
        <w:noBreakHyphen/>
        <w:t xml:space="preserve">1; </w:t>
      </w:r>
      <w:r>
        <w:rPr>
          <w:szCs w:val="22"/>
        </w:rPr>
        <w:t>8 Nov 2013 p</w:t>
      </w:r>
      <w:r>
        <w:t>. 4976</w:t>
      </w:r>
      <w:r>
        <w:noBreakHyphen/>
        <w:t>7; 14 Nov 2014 p. 4282</w:t>
      </w:r>
      <w:r>
        <w:noBreakHyphen/>
        <w:t>4; 6 Nov 2015 p. 4583-4; 28 Oct 2016 p. 4912</w:t>
      </w:r>
      <w:r>
        <w:noBreakHyphen/>
        <w:t>13.]</w:t>
      </w:r>
    </w:p>
    <w:p>
      <w:pPr>
        <w:pStyle w:val="yScheduleHeading"/>
      </w:pPr>
      <w:bookmarkStart w:id="201" w:name="_Toc483482160"/>
      <w:bookmarkStart w:id="202" w:name="_Toc483552807"/>
      <w:bookmarkStart w:id="203" w:name="_Toc487543769"/>
      <w:bookmarkStart w:id="204" w:name="_Toc487551298"/>
      <w:r>
        <w:rPr>
          <w:rStyle w:val="CharSchNo"/>
        </w:rPr>
        <w:t>Schedule 2</w:t>
      </w:r>
      <w:r>
        <w:t> — </w:t>
      </w:r>
      <w:r>
        <w:rPr>
          <w:rStyle w:val="CharSchText"/>
        </w:rPr>
        <w:t>Prescribed penalties under section 36(1)</w:t>
      </w:r>
      <w:bookmarkEnd w:id="201"/>
      <w:bookmarkEnd w:id="202"/>
      <w:bookmarkEnd w:id="203"/>
      <w:bookmarkEnd w:id="204"/>
    </w:p>
    <w:p>
      <w:pPr>
        <w:pStyle w:val="yFootnoteheading"/>
        <w:spacing w:before="80" w:after="80"/>
      </w:pPr>
      <w:r>
        <w:tab/>
        <w:t>[Heading inserted in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in Gazette 10 Jun 2008 p. 2495</w:t>
      </w:r>
      <w:r>
        <w:noBreakHyphen/>
        <w:t>6; amended in Gazette 12 Aug 2011 p 3250.]</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06" w:name="_Toc483482161"/>
      <w:bookmarkStart w:id="207" w:name="_Toc483552808"/>
      <w:bookmarkStart w:id="208" w:name="_Toc487543770"/>
      <w:bookmarkStart w:id="209" w:name="_Toc487551299"/>
      <w:r>
        <w:rPr>
          <w:rStyle w:val="CharSchNo"/>
        </w:rPr>
        <w:t>Schedule 3</w:t>
      </w:r>
      <w:bookmarkEnd w:id="206"/>
      <w:bookmarkEnd w:id="207"/>
      <w:bookmarkEnd w:id="208"/>
      <w:bookmarkEnd w:id="209"/>
    </w:p>
    <w:p>
      <w:pPr>
        <w:pStyle w:val="yHeading2"/>
      </w:pPr>
      <w:bookmarkStart w:id="210" w:name="_Toc483482162"/>
      <w:bookmarkStart w:id="211" w:name="_Toc483552809"/>
      <w:bookmarkStart w:id="212" w:name="_Toc487543771"/>
      <w:bookmarkStart w:id="213" w:name="_Toc487551300"/>
      <w:r>
        <w:rPr>
          <w:rStyle w:val="CharSchText"/>
        </w:rPr>
        <w:t>Forms</w:t>
      </w:r>
      <w:bookmarkEnd w:id="210"/>
      <w:bookmarkEnd w:id="211"/>
      <w:bookmarkEnd w:id="212"/>
      <w:bookmarkEnd w:id="213"/>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in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214" w:name="_Toc483482163"/>
      <w:bookmarkStart w:id="215" w:name="_Toc483552810"/>
      <w:bookmarkStart w:id="216" w:name="_Toc487543772"/>
      <w:bookmarkStart w:id="217" w:name="_Toc487551301"/>
      <w:r>
        <w:rPr>
          <w:rStyle w:val="CharSchNo"/>
        </w:rPr>
        <w:t>Schedule 4</w:t>
      </w:r>
      <w:bookmarkEnd w:id="214"/>
      <w:bookmarkEnd w:id="215"/>
      <w:bookmarkEnd w:id="216"/>
      <w:bookmarkEnd w:id="217"/>
    </w:p>
    <w:p>
      <w:pPr>
        <w:pStyle w:val="yHeading2"/>
        <w:keepNext w:val="0"/>
      </w:pPr>
      <w:bookmarkStart w:id="218" w:name="_Toc483482164"/>
      <w:bookmarkStart w:id="219" w:name="_Toc483552811"/>
      <w:bookmarkStart w:id="220" w:name="_Toc487543773"/>
      <w:bookmarkStart w:id="221" w:name="_Toc487551302"/>
      <w:r>
        <w:rPr>
          <w:rStyle w:val="CharSchText"/>
        </w:rPr>
        <w:t>Rules for the conduct of permitted games</w:t>
      </w:r>
      <w:bookmarkEnd w:id="218"/>
      <w:bookmarkEnd w:id="219"/>
      <w:bookmarkEnd w:id="220"/>
      <w:bookmarkEnd w:id="221"/>
    </w:p>
    <w:p>
      <w:pPr>
        <w:pStyle w:val="yHeading3"/>
      </w:pPr>
      <w:bookmarkStart w:id="222" w:name="_Toc483482165"/>
      <w:bookmarkStart w:id="223" w:name="_Toc483552812"/>
      <w:bookmarkStart w:id="224" w:name="_Toc487543774"/>
      <w:bookmarkStart w:id="225" w:name="_Toc487551303"/>
      <w:r>
        <w:rPr>
          <w:rStyle w:val="CharSDivNo"/>
        </w:rPr>
        <w:t>Part 1</w:t>
      </w:r>
      <w:r>
        <w:t> — </w:t>
      </w:r>
      <w:r>
        <w:rPr>
          <w:rStyle w:val="CharSDivText"/>
        </w:rPr>
        <w:t>Permitted bingo</w:t>
      </w:r>
      <w:bookmarkEnd w:id="222"/>
      <w:bookmarkEnd w:id="223"/>
      <w:bookmarkEnd w:id="224"/>
      <w:bookmarkEnd w:id="225"/>
    </w:p>
    <w:p>
      <w:pPr>
        <w:pStyle w:val="yMiscellaneousBody"/>
        <w:jc w:val="center"/>
        <w:rPr>
          <w:b/>
          <w:snapToGrid w:val="0"/>
        </w:rPr>
      </w:pPr>
      <w:r>
        <w:rPr>
          <w:b/>
          <w:snapToGrid w:val="0"/>
        </w:rPr>
        <w:t>Rules for the conduct of bingo</w:t>
      </w:r>
    </w:p>
    <w:p>
      <w:pPr>
        <w:pStyle w:val="yHeading5"/>
        <w:rPr>
          <w:snapToGrid w:val="0"/>
        </w:rPr>
      </w:pPr>
      <w:bookmarkStart w:id="226" w:name="_Toc487551304"/>
      <w:bookmarkStart w:id="227" w:name="_Toc483552813"/>
      <w:r>
        <w:rPr>
          <w:rStyle w:val="CharSClsNo"/>
        </w:rPr>
        <w:t>1</w:t>
      </w:r>
      <w:r>
        <w:rPr>
          <w:snapToGrid w:val="0"/>
        </w:rPr>
        <w:t>.</w:t>
      </w:r>
      <w:r>
        <w:rPr>
          <w:snapToGrid w:val="0"/>
        </w:rPr>
        <w:tab/>
        <w:t>Children cannot play</w:t>
      </w:r>
      <w:bookmarkEnd w:id="226"/>
      <w:bookmarkEnd w:id="227"/>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228" w:name="_Toc487551305"/>
      <w:bookmarkStart w:id="229" w:name="_Toc483552814"/>
      <w:r>
        <w:rPr>
          <w:rStyle w:val="CharSClsNo"/>
        </w:rPr>
        <w:t>2</w:t>
      </w:r>
      <w:r>
        <w:rPr>
          <w:snapToGrid w:val="0"/>
        </w:rPr>
        <w:t>.</w:t>
      </w:r>
      <w:r>
        <w:rPr>
          <w:snapToGrid w:val="0"/>
        </w:rPr>
        <w:tab/>
        <w:t>Spotters cannot play</w:t>
      </w:r>
      <w:bookmarkEnd w:id="228"/>
      <w:bookmarkEnd w:id="229"/>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230" w:name="_Toc487551306"/>
      <w:bookmarkStart w:id="231" w:name="_Toc483552815"/>
      <w:r>
        <w:rPr>
          <w:rStyle w:val="CharSClsNo"/>
        </w:rPr>
        <w:t>3</w:t>
      </w:r>
      <w:r>
        <w:rPr>
          <w:snapToGrid w:val="0"/>
        </w:rPr>
        <w:t>.</w:t>
      </w:r>
      <w:r>
        <w:rPr>
          <w:snapToGrid w:val="0"/>
        </w:rPr>
        <w:tab/>
        <w:t>Call backs, who can take part in</w:t>
      </w:r>
      <w:bookmarkEnd w:id="230"/>
      <w:bookmarkEnd w:id="231"/>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232" w:name="_Toc487551307"/>
      <w:bookmarkStart w:id="233" w:name="_Toc483552816"/>
      <w:r>
        <w:rPr>
          <w:rStyle w:val="CharSClsNo"/>
        </w:rPr>
        <w:t>4</w:t>
      </w:r>
      <w:r>
        <w:rPr>
          <w:snapToGrid w:val="0"/>
        </w:rPr>
        <w:t>.</w:t>
      </w:r>
      <w:r>
        <w:rPr>
          <w:snapToGrid w:val="0"/>
        </w:rPr>
        <w:tab/>
        <w:t>Bingo cards</w:t>
      </w:r>
      <w:bookmarkEnd w:id="232"/>
      <w:bookmarkEnd w:id="233"/>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234" w:name="_Toc487551308"/>
      <w:bookmarkStart w:id="235" w:name="_Toc483552817"/>
      <w:r>
        <w:rPr>
          <w:rStyle w:val="CharSClsNo"/>
        </w:rPr>
        <w:t>5</w:t>
      </w:r>
      <w:r>
        <w:rPr>
          <w:snapToGrid w:val="0"/>
        </w:rPr>
        <w:t>.</w:t>
      </w:r>
      <w:r>
        <w:rPr>
          <w:snapToGrid w:val="0"/>
        </w:rPr>
        <w:tab/>
        <w:t>Split games</w:t>
      </w:r>
      <w:bookmarkEnd w:id="234"/>
      <w:bookmarkEnd w:id="235"/>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in Gazette 15 Feb 1994 p. 553.]</w:t>
      </w:r>
    </w:p>
    <w:p>
      <w:pPr>
        <w:pStyle w:val="yHeading5"/>
        <w:rPr>
          <w:snapToGrid w:val="0"/>
        </w:rPr>
      </w:pPr>
      <w:bookmarkStart w:id="236" w:name="_Toc487551309"/>
      <w:bookmarkStart w:id="237" w:name="_Toc483552818"/>
      <w:r>
        <w:rPr>
          <w:rStyle w:val="CharSClsNo"/>
        </w:rPr>
        <w:t>5A</w:t>
      </w:r>
      <w:r>
        <w:rPr>
          <w:snapToGrid w:val="0"/>
        </w:rPr>
        <w:t>.</w:t>
      </w:r>
      <w:r>
        <w:rPr>
          <w:snapToGrid w:val="0"/>
        </w:rPr>
        <w:tab/>
        <w:t>Prizes, who is eligible for</w:t>
      </w:r>
      <w:bookmarkEnd w:id="236"/>
      <w:bookmarkEnd w:id="237"/>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in Gazette 15 Feb 1994 p. 553.]</w:t>
      </w:r>
    </w:p>
    <w:p>
      <w:pPr>
        <w:pStyle w:val="yHeading5"/>
        <w:rPr>
          <w:snapToGrid w:val="0"/>
        </w:rPr>
      </w:pPr>
      <w:bookmarkStart w:id="238" w:name="_Toc487551310"/>
      <w:bookmarkStart w:id="239" w:name="_Toc483552819"/>
      <w:r>
        <w:rPr>
          <w:rStyle w:val="CharSClsNo"/>
        </w:rPr>
        <w:t>5B</w:t>
      </w:r>
      <w:r>
        <w:rPr>
          <w:snapToGrid w:val="0"/>
        </w:rPr>
        <w:t>.</w:t>
      </w:r>
      <w:r>
        <w:rPr>
          <w:snapToGrid w:val="0"/>
        </w:rPr>
        <w:tab/>
        <w:t>When games conclude</w:t>
      </w:r>
      <w:bookmarkEnd w:id="238"/>
      <w:bookmarkEnd w:id="239"/>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in Gazette 15 Feb 1994 p. 553.]</w:t>
      </w:r>
    </w:p>
    <w:p>
      <w:pPr>
        <w:pStyle w:val="yHeading5"/>
        <w:rPr>
          <w:snapToGrid w:val="0"/>
        </w:rPr>
      </w:pPr>
      <w:bookmarkStart w:id="240" w:name="_Toc487551311"/>
      <w:bookmarkStart w:id="241" w:name="_Toc483552820"/>
      <w:r>
        <w:rPr>
          <w:rStyle w:val="CharSClsNo"/>
        </w:rPr>
        <w:t>6</w:t>
      </w:r>
      <w:r>
        <w:rPr>
          <w:snapToGrid w:val="0"/>
        </w:rPr>
        <w:t>.</w:t>
      </w:r>
      <w:r>
        <w:rPr>
          <w:snapToGrid w:val="0"/>
        </w:rPr>
        <w:tab/>
        <w:t>Miscellaneous rules</w:t>
      </w:r>
      <w:bookmarkEnd w:id="240"/>
      <w:bookmarkEnd w:id="241"/>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242" w:name="_Toc487551312"/>
      <w:bookmarkStart w:id="243" w:name="_Toc483552821"/>
      <w:r>
        <w:rPr>
          <w:rStyle w:val="CharSClsNo"/>
        </w:rPr>
        <w:t>7</w:t>
      </w:r>
      <w:r>
        <w:rPr>
          <w:snapToGrid w:val="0"/>
        </w:rPr>
        <w:t>.</w:t>
      </w:r>
      <w:r>
        <w:rPr>
          <w:snapToGrid w:val="0"/>
        </w:rPr>
        <w:tab/>
        <w:t>Prizes, announcement of etc.</w:t>
      </w:r>
      <w:bookmarkEnd w:id="242"/>
      <w:bookmarkEnd w:id="243"/>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in Gazette 16 May 1997 p. 2394.]</w:t>
      </w:r>
    </w:p>
    <w:p>
      <w:pPr>
        <w:pStyle w:val="yHeading5"/>
        <w:rPr>
          <w:snapToGrid w:val="0"/>
        </w:rPr>
      </w:pPr>
      <w:bookmarkStart w:id="244" w:name="_Toc487551313"/>
      <w:bookmarkStart w:id="245" w:name="_Toc483552822"/>
      <w:r>
        <w:rPr>
          <w:rStyle w:val="CharSClsNo"/>
        </w:rPr>
        <w:t>8</w:t>
      </w:r>
      <w:r>
        <w:rPr>
          <w:snapToGrid w:val="0"/>
        </w:rPr>
        <w:t>.</w:t>
      </w:r>
      <w:r>
        <w:rPr>
          <w:snapToGrid w:val="0"/>
        </w:rPr>
        <w:tab/>
        <w:t>Prize shared if more than one winner</w:t>
      </w:r>
      <w:bookmarkEnd w:id="244"/>
      <w:bookmarkEnd w:id="245"/>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in Gazette 16 May 1997 p. 2394.]</w:t>
      </w:r>
    </w:p>
    <w:p>
      <w:pPr>
        <w:pStyle w:val="yHeading5"/>
        <w:rPr>
          <w:snapToGrid w:val="0"/>
        </w:rPr>
      </w:pPr>
      <w:bookmarkStart w:id="246" w:name="_Toc487551314"/>
      <w:bookmarkStart w:id="247" w:name="_Toc483552823"/>
      <w:r>
        <w:rPr>
          <w:rStyle w:val="CharSClsNo"/>
        </w:rPr>
        <w:t>9</w:t>
      </w:r>
      <w:r>
        <w:rPr>
          <w:snapToGrid w:val="0"/>
        </w:rPr>
        <w:t>.</w:t>
      </w:r>
      <w:r>
        <w:rPr>
          <w:snapToGrid w:val="0"/>
        </w:rPr>
        <w:tab/>
        <w:t>Prizes paid as soon as practicable</w:t>
      </w:r>
      <w:bookmarkEnd w:id="246"/>
      <w:bookmarkEnd w:id="247"/>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248" w:name="_Toc487551315"/>
      <w:bookmarkStart w:id="249" w:name="_Toc483552824"/>
      <w:r>
        <w:rPr>
          <w:rStyle w:val="CharSClsNo"/>
        </w:rPr>
        <w:t>10</w:t>
      </w:r>
      <w:r>
        <w:rPr>
          <w:snapToGrid w:val="0"/>
        </w:rPr>
        <w:t>.</w:t>
      </w:r>
      <w:r>
        <w:rPr>
          <w:snapToGrid w:val="0"/>
        </w:rPr>
        <w:tab/>
        <w:t>Player who makes incorrect call allowed to continue play</w:t>
      </w:r>
      <w:bookmarkEnd w:id="248"/>
      <w:bookmarkEnd w:id="249"/>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in Gazette 15 Feb 1994 p. 554.]</w:t>
      </w:r>
    </w:p>
    <w:p>
      <w:pPr>
        <w:pStyle w:val="yHeading5"/>
        <w:rPr>
          <w:snapToGrid w:val="0"/>
        </w:rPr>
      </w:pPr>
      <w:bookmarkStart w:id="250" w:name="_Toc487551316"/>
      <w:bookmarkStart w:id="251" w:name="_Toc483552825"/>
      <w:r>
        <w:rPr>
          <w:rStyle w:val="CharSClsNo"/>
        </w:rPr>
        <w:t>11</w:t>
      </w:r>
      <w:r>
        <w:rPr>
          <w:snapToGrid w:val="0"/>
        </w:rPr>
        <w:t>.</w:t>
      </w:r>
      <w:r>
        <w:rPr>
          <w:snapToGrid w:val="0"/>
        </w:rPr>
        <w:tab/>
        <w:t>Late calls by players</w:t>
      </w:r>
      <w:bookmarkEnd w:id="250"/>
      <w:bookmarkEnd w:id="251"/>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in Gazette 15 Feb 1994 p. 554.]</w:t>
      </w:r>
    </w:p>
    <w:p>
      <w:pPr>
        <w:pStyle w:val="yHeading5"/>
        <w:rPr>
          <w:snapToGrid w:val="0"/>
        </w:rPr>
      </w:pPr>
      <w:bookmarkStart w:id="252" w:name="_Toc487551317"/>
      <w:bookmarkStart w:id="253" w:name="_Toc483552826"/>
      <w:r>
        <w:rPr>
          <w:rStyle w:val="CharSClsNo"/>
        </w:rPr>
        <w:t>12</w:t>
      </w:r>
      <w:r>
        <w:rPr>
          <w:snapToGrid w:val="0"/>
        </w:rPr>
        <w:t>.</w:t>
      </w:r>
      <w:r>
        <w:rPr>
          <w:snapToGrid w:val="0"/>
        </w:rPr>
        <w:tab/>
        <w:t>Calls must be acknowledged</w:t>
      </w:r>
      <w:bookmarkEnd w:id="252"/>
      <w:bookmarkEnd w:id="253"/>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in Gazette 15 Feb 1994 p. 554.]</w:t>
      </w:r>
    </w:p>
    <w:p>
      <w:pPr>
        <w:pStyle w:val="yHeading3"/>
      </w:pPr>
      <w:bookmarkStart w:id="254" w:name="_Toc483482180"/>
      <w:bookmarkStart w:id="255" w:name="_Toc483552827"/>
      <w:bookmarkStart w:id="256" w:name="_Toc487543789"/>
      <w:bookmarkStart w:id="257" w:name="_Toc487551318"/>
      <w:r>
        <w:rPr>
          <w:rStyle w:val="CharSDivNo"/>
        </w:rPr>
        <w:t>Part 2</w:t>
      </w:r>
      <w:r>
        <w:t> — </w:t>
      </w:r>
      <w:r>
        <w:rPr>
          <w:rStyle w:val="CharSDivText"/>
        </w:rPr>
        <w:t>Permitted lotteries</w:t>
      </w:r>
      <w:bookmarkEnd w:id="254"/>
      <w:bookmarkEnd w:id="255"/>
      <w:bookmarkEnd w:id="256"/>
      <w:bookmarkEnd w:id="257"/>
    </w:p>
    <w:p>
      <w:pPr>
        <w:pStyle w:val="yHeading4"/>
        <w:rPr>
          <w:snapToGrid w:val="0"/>
        </w:rPr>
      </w:pPr>
      <w:bookmarkStart w:id="258" w:name="_Toc483482181"/>
      <w:bookmarkStart w:id="259" w:name="_Toc483552828"/>
      <w:bookmarkStart w:id="260" w:name="_Toc487543790"/>
      <w:bookmarkStart w:id="261" w:name="_Toc487551319"/>
      <w:r>
        <w:rPr>
          <w:snapToGrid w:val="0"/>
        </w:rPr>
        <w:t>Division 1 — Rules for the conduct of a standard lottery</w:t>
      </w:r>
      <w:bookmarkEnd w:id="258"/>
      <w:bookmarkEnd w:id="259"/>
      <w:bookmarkEnd w:id="260"/>
      <w:bookmarkEnd w:id="261"/>
    </w:p>
    <w:p>
      <w:pPr>
        <w:pStyle w:val="yHeading5"/>
        <w:rPr>
          <w:snapToGrid w:val="0"/>
        </w:rPr>
      </w:pPr>
      <w:bookmarkStart w:id="262" w:name="_Toc487551320"/>
      <w:bookmarkStart w:id="263" w:name="_Toc483552829"/>
      <w:r>
        <w:rPr>
          <w:rStyle w:val="CharSClsNo"/>
        </w:rPr>
        <w:t>1</w:t>
      </w:r>
      <w:r>
        <w:rPr>
          <w:snapToGrid w:val="0"/>
        </w:rPr>
        <w:t>.</w:t>
      </w:r>
      <w:r>
        <w:rPr>
          <w:snapToGrid w:val="0"/>
        </w:rPr>
        <w:tab/>
        <w:t>Chances, number of etc.</w:t>
      </w:r>
      <w:bookmarkEnd w:id="262"/>
      <w:bookmarkEnd w:id="263"/>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in Gazette 11 May 1993 p. 2399.]</w:t>
      </w:r>
    </w:p>
    <w:p>
      <w:pPr>
        <w:pStyle w:val="yHeading5"/>
        <w:rPr>
          <w:snapToGrid w:val="0"/>
        </w:rPr>
      </w:pPr>
      <w:bookmarkStart w:id="264" w:name="_Toc487551321"/>
      <w:bookmarkStart w:id="265" w:name="_Toc483552830"/>
      <w:r>
        <w:rPr>
          <w:rStyle w:val="CharSClsNo"/>
        </w:rPr>
        <w:t>2</w:t>
      </w:r>
      <w:r>
        <w:rPr>
          <w:snapToGrid w:val="0"/>
        </w:rPr>
        <w:t>.</w:t>
      </w:r>
      <w:r>
        <w:rPr>
          <w:snapToGrid w:val="0"/>
        </w:rPr>
        <w:tab/>
        <w:t>Chances, information on</w:t>
      </w:r>
      <w:bookmarkEnd w:id="264"/>
      <w:bookmarkEnd w:id="265"/>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in Gazette 11 May 1993 p. 2399; 23 Feb 1996 p. 675; 28 Jun 1996 p. 3100; 27 Oct 2000 p. 6030.]</w:t>
      </w:r>
    </w:p>
    <w:p>
      <w:pPr>
        <w:pStyle w:val="yHeading5"/>
        <w:rPr>
          <w:snapToGrid w:val="0"/>
        </w:rPr>
      </w:pPr>
      <w:bookmarkStart w:id="266" w:name="_Toc487551322"/>
      <w:bookmarkStart w:id="267" w:name="_Toc483552831"/>
      <w:r>
        <w:rPr>
          <w:rStyle w:val="CharSClsNo"/>
        </w:rPr>
        <w:t>2A</w:t>
      </w:r>
      <w:r>
        <w:rPr>
          <w:snapToGrid w:val="0"/>
        </w:rPr>
        <w:t>.</w:t>
      </w:r>
      <w:r>
        <w:rPr>
          <w:snapToGrid w:val="0"/>
        </w:rPr>
        <w:tab/>
        <w:t>Chance holders, identification of</w:t>
      </w:r>
      <w:bookmarkEnd w:id="266"/>
      <w:bookmarkEnd w:id="267"/>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in Gazette 11 May 1993 p. 2399.]</w:t>
      </w:r>
    </w:p>
    <w:p>
      <w:pPr>
        <w:pStyle w:val="yHeading5"/>
        <w:rPr>
          <w:snapToGrid w:val="0"/>
        </w:rPr>
      </w:pPr>
      <w:bookmarkStart w:id="268" w:name="_Toc487551323"/>
      <w:bookmarkStart w:id="269" w:name="_Toc483552832"/>
      <w:r>
        <w:rPr>
          <w:rStyle w:val="CharSClsNo"/>
        </w:rPr>
        <w:t>3</w:t>
      </w:r>
      <w:r>
        <w:rPr>
          <w:snapToGrid w:val="0"/>
        </w:rPr>
        <w:t>.</w:t>
      </w:r>
      <w:r>
        <w:rPr>
          <w:snapToGrid w:val="0"/>
        </w:rPr>
        <w:tab/>
        <w:t>Results of draw</w:t>
      </w:r>
      <w:bookmarkEnd w:id="268"/>
      <w:bookmarkEnd w:id="269"/>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in Gazette 28 Jun 1996 p. 3100.]</w:t>
      </w:r>
    </w:p>
    <w:p>
      <w:pPr>
        <w:pStyle w:val="yHeading5"/>
        <w:rPr>
          <w:snapToGrid w:val="0"/>
        </w:rPr>
      </w:pPr>
      <w:bookmarkStart w:id="270" w:name="_Toc487551324"/>
      <w:bookmarkStart w:id="271" w:name="_Toc483552833"/>
      <w:r>
        <w:rPr>
          <w:rStyle w:val="CharSClsNo"/>
        </w:rPr>
        <w:t>4</w:t>
      </w:r>
      <w:r>
        <w:rPr>
          <w:snapToGrid w:val="0"/>
        </w:rPr>
        <w:t>.</w:t>
      </w:r>
      <w:r>
        <w:rPr>
          <w:snapToGrid w:val="0"/>
        </w:rPr>
        <w:tab/>
        <w:t>Order in which prizes are to be drawn</w:t>
      </w:r>
      <w:bookmarkEnd w:id="270"/>
      <w:bookmarkEnd w:id="271"/>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in Gazette 11 May 1993 p. 2399.]</w:t>
      </w:r>
    </w:p>
    <w:p>
      <w:pPr>
        <w:pStyle w:val="yHeading4"/>
        <w:rPr>
          <w:snapToGrid w:val="0"/>
        </w:rPr>
      </w:pPr>
      <w:bookmarkStart w:id="272" w:name="_Toc483482187"/>
      <w:bookmarkStart w:id="273" w:name="_Toc483552834"/>
      <w:bookmarkStart w:id="274" w:name="_Toc487543796"/>
      <w:bookmarkStart w:id="275" w:name="_Toc487551325"/>
      <w:r>
        <w:rPr>
          <w:snapToGrid w:val="0"/>
        </w:rPr>
        <w:t>Division 2 — Rules for the conduct of a continuing lottery</w:t>
      </w:r>
      <w:bookmarkEnd w:id="272"/>
      <w:bookmarkEnd w:id="273"/>
      <w:bookmarkEnd w:id="274"/>
      <w:bookmarkEnd w:id="275"/>
    </w:p>
    <w:p>
      <w:pPr>
        <w:pStyle w:val="yHeading5"/>
        <w:rPr>
          <w:snapToGrid w:val="0"/>
        </w:rPr>
      </w:pPr>
      <w:bookmarkStart w:id="276" w:name="_Toc487551326"/>
      <w:bookmarkStart w:id="277" w:name="_Toc483552835"/>
      <w:r>
        <w:rPr>
          <w:rStyle w:val="CharSClsNo"/>
        </w:rPr>
        <w:t>1</w:t>
      </w:r>
      <w:r>
        <w:rPr>
          <w:snapToGrid w:val="0"/>
        </w:rPr>
        <w:t>.</w:t>
      </w:r>
      <w:r>
        <w:rPr>
          <w:snapToGrid w:val="0"/>
        </w:rPr>
        <w:tab/>
        <w:t>Information on each ticket</w:t>
      </w:r>
      <w:bookmarkEnd w:id="276"/>
      <w:bookmarkEnd w:id="277"/>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278" w:name="_Toc487551327"/>
      <w:bookmarkStart w:id="279" w:name="_Toc483552836"/>
      <w:r>
        <w:rPr>
          <w:rStyle w:val="CharSClsNo"/>
        </w:rPr>
        <w:t>2</w:t>
      </w:r>
      <w:r>
        <w:rPr>
          <w:snapToGrid w:val="0"/>
        </w:rPr>
        <w:t>.</w:t>
      </w:r>
      <w:r>
        <w:rPr>
          <w:snapToGrid w:val="0"/>
        </w:rPr>
        <w:tab/>
        <w:t>Where tickets may be sold</w:t>
      </w:r>
      <w:bookmarkEnd w:id="278"/>
      <w:bookmarkEnd w:id="279"/>
    </w:p>
    <w:p>
      <w:pPr>
        <w:pStyle w:val="ySubsection"/>
        <w:rPr>
          <w:snapToGrid w:val="0"/>
        </w:rPr>
      </w:pPr>
      <w:r>
        <w:rPr>
          <w:snapToGrid w:val="0"/>
        </w:rPr>
        <w:tab/>
      </w:r>
      <w:r>
        <w:rPr>
          <w:snapToGrid w:val="0"/>
        </w:rPr>
        <w:tab/>
        <w:t>Tickets shall be sold only at premises or locations specified in the permit.</w:t>
      </w:r>
    </w:p>
    <w:p>
      <w:pPr>
        <w:pStyle w:val="yEdnotedivision"/>
      </w:pPr>
      <w:r>
        <w:t>[Part 3 deleted in Gazette 4 Aug 1992 p. 3831.]</w:t>
      </w:r>
    </w:p>
    <w:p>
      <w:pPr>
        <w:sectPr>
          <w:headerReference w:type="even" r:id="rId26"/>
          <w:headerReference w:type="default" r:id="rId27"/>
          <w:headerReference w:type="first" r:id="rId28"/>
          <w:pgSz w:w="11907" w:h="16840" w:code="9"/>
          <w:pgMar w:top="2376" w:right="2404" w:bottom="3544" w:left="2404" w:header="709" w:footer="3379" w:gutter="0"/>
          <w:cols w:space="720"/>
          <w:noEndnote/>
          <w:docGrid w:linePitch="326"/>
        </w:sectPr>
      </w:pPr>
    </w:p>
    <w:p>
      <w:pPr>
        <w:pStyle w:val="yScheduleHeading"/>
      </w:pPr>
      <w:bookmarkStart w:id="280" w:name="_Toc483482190"/>
      <w:bookmarkStart w:id="281" w:name="_Toc483552837"/>
      <w:bookmarkStart w:id="282" w:name="_Toc487543799"/>
      <w:bookmarkStart w:id="283" w:name="_Toc487551328"/>
      <w:r>
        <w:rPr>
          <w:rStyle w:val="CharSchNo"/>
        </w:rPr>
        <w:t>Schedule 5</w:t>
      </w:r>
      <w:r>
        <w:rPr>
          <w:rStyle w:val="CharSDivNo"/>
        </w:rPr>
        <w:t> </w:t>
      </w:r>
      <w:r>
        <w:t>—</w:t>
      </w:r>
      <w:r>
        <w:rPr>
          <w:rStyle w:val="CharSDivText"/>
        </w:rPr>
        <w:t> </w:t>
      </w:r>
      <w:r>
        <w:rPr>
          <w:rStyle w:val="CharSchText"/>
        </w:rPr>
        <w:t>Conditions for trade promotion lottery</w:t>
      </w:r>
      <w:bookmarkEnd w:id="280"/>
      <w:bookmarkEnd w:id="281"/>
      <w:bookmarkEnd w:id="282"/>
      <w:bookmarkEnd w:id="283"/>
    </w:p>
    <w:p>
      <w:pPr>
        <w:pStyle w:val="yShoulderClause"/>
      </w:pPr>
      <w:r>
        <w:t>[r. 36A]</w:t>
      </w:r>
    </w:p>
    <w:p>
      <w:pPr>
        <w:pStyle w:val="yFootnoteheading"/>
      </w:pPr>
      <w:r>
        <w:tab/>
        <w:t>[Heading inserted in Gazette 6 Sep 2016 p. 3832.]</w:t>
      </w:r>
    </w:p>
    <w:p>
      <w:pPr>
        <w:pStyle w:val="yNumberedItem"/>
      </w:pPr>
      <w:r>
        <w:t>1.</w:t>
      </w:r>
      <w:r>
        <w:tab/>
        <w:t>There must be no cost to enter the lottery.</w:t>
      </w:r>
    </w:p>
    <w:p>
      <w:pPr>
        <w:pStyle w:val="yNumberedItem"/>
      </w:pPr>
      <w:r>
        <w:t>2.</w:t>
      </w:r>
      <w:r>
        <w:tab/>
        <w:t>If entry to the lottery is made using a telephone or other electronic medium, the cost of using the telephone or other medium to make the entry must not exceed 55 cents.</w:t>
      </w:r>
    </w:p>
    <w:p>
      <w:pPr>
        <w:pStyle w:val="yNumberedItem"/>
      </w:pPr>
      <w:r>
        <w:t>3.</w:t>
      </w:r>
      <w:r>
        <w:tab/>
        <w:t>If entry to the lottery is made using the Internet, there must be no cost to the participant to register the participant’s name other than the cost paid by the participant to access the website via the internet service provider.</w:t>
      </w:r>
    </w:p>
    <w:p>
      <w:pPr>
        <w:pStyle w:val="yNumberedItem"/>
      </w:pPr>
      <w:r>
        <w:t>4.</w:t>
      </w:r>
      <w:r>
        <w:tab/>
        <w:t>A prize in the lottery must not consist of or include cosmetic surgical or medical procedures.</w:t>
      </w:r>
    </w:p>
    <w:p>
      <w:pPr>
        <w:pStyle w:val="yNumberedItem"/>
      </w:pPr>
      <w:r>
        <w:t>5.</w:t>
      </w:r>
      <w:r>
        <w:tab/>
        <w:t>The lottery must not be conducted for more than 12 months.</w:t>
      </w:r>
    </w:p>
    <w:p>
      <w:pPr>
        <w:pStyle w:val="yNumberedItem"/>
      </w:pPr>
      <w:r>
        <w:t>6.</w:t>
      </w:r>
      <w:r>
        <w:tab/>
        <w:t>The draw must be conducted within one month after closure of the lottery.</w:t>
      </w:r>
    </w:p>
    <w:p>
      <w:pPr>
        <w:pStyle w:val="yNumberedItem"/>
      </w:pPr>
      <w:r>
        <w:t>7.</w:t>
      </w:r>
      <w:r>
        <w:tab/>
        <w:t xml:space="preserve">If entry to the lottery is by an entry form or coupon — </w:t>
      </w:r>
    </w:p>
    <w:p>
      <w:pPr>
        <w:pStyle w:val="yNumberedItemPara"/>
      </w:pPr>
      <w:r>
        <w:tab/>
        <w:t>(a)</w:t>
      </w:r>
      <w:r>
        <w:tab/>
        <w:t>a description of the prize or prizes must be printed on the entry form or coupon; and</w:t>
      </w:r>
    </w:p>
    <w:p>
      <w:pPr>
        <w:pStyle w:val="yNumberedItemPara"/>
      </w:pPr>
      <w:r>
        <w:tab/>
        <w:t>(b)</w:t>
      </w:r>
      <w:r>
        <w:tab/>
        <w:t xml:space="preserve">the lottery terms and conditions must be — </w:t>
      </w:r>
    </w:p>
    <w:p>
      <w:pPr>
        <w:pStyle w:val="yNumberedItemSubPara"/>
      </w:pPr>
      <w:r>
        <w:tab/>
        <w:t>(i)</w:t>
      </w:r>
      <w:r>
        <w:tab/>
        <w:t>printed on the entry form or coupon; or</w:t>
      </w:r>
    </w:p>
    <w:p>
      <w:pPr>
        <w:pStyle w:val="yNumberedItemSubPara"/>
      </w:pPr>
      <w:r>
        <w:tab/>
        <w:t>(ii)</w:t>
      </w:r>
      <w:r>
        <w:tab/>
        <w:t>published in a newspaper published nationally (if the lottery originates outside the State) or in a newspaper published throughout the State (if the lottery originates in the State); or</w:t>
      </w:r>
    </w:p>
    <w:p>
      <w:pPr>
        <w:pStyle w:val="yNumberedItemSubPara"/>
      </w:pPr>
      <w:r>
        <w:tab/>
        <w:t>(iii)</w:t>
      </w:r>
      <w:r>
        <w:tab/>
        <w:t>published on the Internet;</w:t>
      </w:r>
    </w:p>
    <w:p>
      <w:pPr>
        <w:pStyle w:val="yNumberedItemPara"/>
      </w:pPr>
      <w:r>
        <w:tab/>
      </w:r>
      <w:r>
        <w:tab/>
        <w:t>and</w:t>
      </w:r>
    </w:p>
    <w:p>
      <w:pPr>
        <w:pStyle w:val="yNumberedItemPara"/>
      </w:pPr>
      <w:r>
        <w:tab/>
        <w:t>(c)</w:t>
      </w:r>
      <w:r>
        <w:tab/>
        <w:t>if the lottery terms and conditions are published in a newspaper or on the Internet, a reference to that publication must be printed on the entry form or coupon.</w:t>
      </w:r>
    </w:p>
    <w:p>
      <w:pPr>
        <w:pStyle w:val="yNumberedItem"/>
      </w:pPr>
      <w:r>
        <w:t>8.</w:t>
      </w:r>
      <w:r>
        <w:tab/>
        <w:t xml:space="preserve">If the lottery is conducted by audio or visual media — </w:t>
      </w:r>
    </w:p>
    <w:p>
      <w:pPr>
        <w:pStyle w:val="yNumberedItemPara"/>
      </w:pPr>
      <w:r>
        <w:tab/>
        <w:t>(a)</w:t>
      </w:r>
      <w:r>
        <w:tab/>
        <w:t>a description of the prize or prizes must be included in the broadcast; and</w:t>
      </w:r>
    </w:p>
    <w:p>
      <w:pPr>
        <w:pStyle w:val="yNumberedItemPara"/>
      </w:pPr>
      <w:r>
        <w:tab/>
        <w:t>(b)</w:t>
      </w:r>
      <w:r>
        <w:tab/>
        <w:t>the lottery terms and conditions must be included in the broadcast or the broadcast must direct participants to where those terms and conditions can be found.</w:t>
      </w:r>
    </w:p>
    <w:p>
      <w:pPr>
        <w:pStyle w:val="yNumberedItem"/>
      </w:pPr>
      <w:r>
        <w:t>9.</w:t>
      </w:r>
      <w:r>
        <w:tab/>
        <w:t>If the lottery is conducted by electronic media (other than audio or visual), all advertising of the lottery must include a description of the prize or prizes and direct participants to where the lottery terms and conditions can be found.</w:t>
      </w:r>
    </w:p>
    <w:p>
      <w:pPr>
        <w:pStyle w:val="yNumberedItem"/>
      </w:pPr>
      <w:r>
        <w:t>10.</w:t>
      </w:r>
      <w:r>
        <w:tab/>
        <w:t>If the lottery is conducted in any other way, all advertising of the lottery must include a description of the prize or prizes and the lottery terms and conditions.</w:t>
      </w:r>
    </w:p>
    <w:p>
      <w:pPr>
        <w:pStyle w:val="yNumberedItem"/>
      </w:pPr>
      <w:r>
        <w:t>11.</w:t>
      </w:r>
      <w:r>
        <w:tab/>
        <w:t>The method for determining the winner of the lottery must be clearly stated in the lottery terms and conditions.</w:t>
      </w:r>
    </w:p>
    <w:p>
      <w:pPr>
        <w:pStyle w:val="yNumberedItem"/>
      </w:pPr>
      <w:r>
        <w:t>12.</w:t>
      </w:r>
      <w:r>
        <w:tab/>
        <w:t>If the lottery is to be conducted by audio, visual or other electronic media, a copy of the lottery terms and conditions must be lodged with the Commission before commencement of the lottery.</w:t>
      </w:r>
    </w:p>
    <w:p>
      <w:pPr>
        <w:pStyle w:val="yNumberedItem"/>
      </w:pPr>
      <w:r>
        <w:t>13.</w:t>
      </w:r>
      <w:r>
        <w:tab/>
        <w:t>If the lottery has commenced, the lottery terms and conditions cannot be amended without the prior written approval of the Commission.</w:t>
      </w:r>
    </w:p>
    <w:p>
      <w:pPr>
        <w:pStyle w:val="yNumberedItem"/>
      </w:pPr>
      <w:r>
        <w:t>14.</w:t>
      </w:r>
      <w:r>
        <w:tab/>
        <w:t>If the lottery has commenced, it cannot be cancelled or withdrawn without the prior written approval of the Commission.</w:t>
      </w:r>
    </w:p>
    <w:p>
      <w:pPr>
        <w:pStyle w:val="yNumberedItem"/>
      </w:pPr>
      <w:r>
        <w:t>15.</w:t>
      </w:r>
      <w:r>
        <w:tab/>
        <w:t>Records relating to the lottery must be kept for 12 months and must be made available to an authorised officer or member of the Police Force on request.</w:t>
      </w:r>
    </w:p>
    <w:p>
      <w:pPr>
        <w:pStyle w:val="yNumberedItem"/>
      </w:pPr>
      <w:r>
        <w:t>16.</w:t>
      </w:r>
      <w:r>
        <w:tab/>
        <w:t>If practicable, members of the public must be given the opportunity to witness the prize draw. If that is not practicable, audit records confirming the prize draw must be made available to an authorised officer or member of the Police Force on request.</w:t>
      </w:r>
    </w:p>
    <w:p>
      <w:pPr>
        <w:pStyle w:val="yFootnotesection"/>
      </w:pPr>
      <w:r>
        <w:tab/>
        <w:t>[Schedule 5 inserted in Gazette 6 Sep 2016 p. 3832-3.]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4" w:bottom="3544" w:left="2404" w:header="709" w:footer="3379" w:gutter="0"/>
          <w:cols w:space="720"/>
          <w:noEndnote/>
          <w:docGrid w:linePitch="326"/>
        </w:sectPr>
      </w:pPr>
    </w:p>
    <w:p>
      <w:pPr>
        <w:pStyle w:val="nHeading2"/>
      </w:pPr>
      <w:bookmarkStart w:id="284" w:name="_Toc483482191"/>
      <w:bookmarkStart w:id="285" w:name="_Toc483552838"/>
      <w:bookmarkStart w:id="286" w:name="_Toc487543800"/>
      <w:bookmarkStart w:id="287" w:name="_Toc487551329"/>
      <w:r>
        <w:t>Notes</w:t>
      </w:r>
      <w:bookmarkEnd w:id="284"/>
      <w:bookmarkEnd w:id="285"/>
      <w:bookmarkEnd w:id="286"/>
      <w:bookmarkEnd w:id="287"/>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 </w:t>
      </w:r>
      <w:r>
        <w:rPr>
          <w:snapToGrid w:val="0"/>
          <w:vertAlign w:val="superscript"/>
        </w:rPr>
        <w:t>5</w:t>
      </w:r>
      <w:r>
        <w:rPr>
          <w:snapToGrid w:val="0"/>
        </w:rPr>
        <w:t>.  The table also contains information about any reprint.</w:t>
      </w:r>
    </w:p>
    <w:p>
      <w:pPr>
        <w:pStyle w:val="nHeading3"/>
        <w:rPr>
          <w:snapToGrid w:val="0"/>
        </w:rPr>
      </w:pPr>
      <w:bookmarkStart w:id="288" w:name="_Toc487551330"/>
      <w:bookmarkStart w:id="289" w:name="_Toc483552839"/>
      <w:r>
        <w:rPr>
          <w:snapToGrid w:val="0"/>
        </w:rPr>
        <w:t>Compilation table</w:t>
      </w:r>
      <w:bookmarkEnd w:id="288"/>
      <w:bookmarkEnd w:id="289"/>
    </w:p>
    <w:tbl>
      <w:tblPr>
        <w:tblW w:w="0" w:type="auto"/>
        <w:tblInd w:w="36" w:type="dxa"/>
        <w:tblLayout w:type="fixed"/>
        <w:tblCellMar>
          <w:left w:w="56" w:type="dxa"/>
          <w:right w:w="56" w:type="dxa"/>
        </w:tblCellMar>
        <w:tblLook w:val="0000" w:firstRow="0" w:lastRow="0" w:firstColumn="0" w:lastColumn="0" w:noHBand="0" w:noVBand="0"/>
      </w:tblPr>
      <w:tblGrid>
        <w:gridCol w:w="20"/>
        <w:gridCol w:w="3099"/>
        <w:gridCol w:w="19"/>
        <w:gridCol w:w="1257"/>
        <w:gridCol w:w="19"/>
        <w:gridCol w:w="2694"/>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0" w:type="dxa"/>
          <w:cantSplit/>
        </w:trPr>
        <w:tc>
          <w:tcPr>
            <w:tcW w:w="3118" w:type="dxa"/>
            <w:gridSpan w:val="2"/>
          </w:tcPr>
          <w:p>
            <w:pPr>
              <w:pStyle w:val="nTable"/>
              <w:spacing w:after="40"/>
              <w:ind w:right="113"/>
              <w:rPr>
                <w:vertAlign w:val="superscript"/>
              </w:rPr>
            </w:pPr>
            <w:r>
              <w:rPr>
                <w:i/>
              </w:rPr>
              <w:t>Gaming Commission Regulations 1988</w:t>
            </w:r>
            <w:r>
              <w:rPr>
                <w:snapToGrid w:val="0"/>
                <w:vertAlign w:val="superscript"/>
              </w:rPr>
              <w:t> 6</w:t>
            </w:r>
          </w:p>
        </w:tc>
        <w:tc>
          <w:tcPr>
            <w:tcW w:w="1276" w:type="dxa"/>
            <w:gridSpan w:val="2"/>
          </w:tcPr>
          <w:p>
            <w:pPr>
              <w:pStyle w:val="nTable"/>
              <w:spacing w:after="40"/>
            </w:pPr>
            <w:r>
              <w:t>29 Apr 1988 p. 1295</w:t>
            </w:r>
            <w:r>
              <w:noBreakHyphen/>
              <w:t>304</w:t>
            </w:r>
          </w:p>
        </w:tc>
        <w:tc>
          <w:tcPr>
            <w:tcW w:w="2694" w:type="dxa"/>
          </w:tcPr>
          <w:p>
            <w:pPr>
              <w:pStyle w:val="nTable"/>
              <w:spacing w:after="40"/>
            </w:pPr>
            <w:r>
              <w:t>2 May 1988 (see r. 2)</w:t>
            </w:r>
          </w:p>
        </w:tc>
      </w:tr>
      <w:tr>
        <w:trPr>
          <w:gridBefore w:val="1"/>
          <w:wBefore w:w="20" w:type="dxa"/>
          <w:cantSplit/>
        </w:trPr>
        <w:tc>
          <w:tcPr>
            <w:tcW w:w="3118" w:type="dxa"/>
            <w:gridSpan w:val="2"/>
          </w:tcPr>
          <w:p>
            <w:pPr>
              <w:pStyle w:val="nTable"/>
              <w:spacing w:after="40"/>
              <w:ind w:right="113"/>
            </w:pPr>
            <w:r>
              <w:rPr>
                <w:i/>
              </w:rPr>
              <w:t>Gaming Commission Amendment Regulations 1988</w:t>
            </w:r>
          </w:p>
        </w:tc>
        <w:tc>
          <w:tcPr>
            <w:tcW w:w="1276" w:type="dxa"/>
            <w:gridSpan w:val="2"/>
          </w:tcPr>
          <w:p>
            <w:pPr>
              <w:pStyle w:val="nTable"/>
              <w:spacing w:after="40"/>
            </w:pPr>
            <w:r>
              <w:t>7 Oct 1988 p. 4106</w:t>
            </w:r>
          </w:p>
        </w:tc>
        <w:tc>
          <w:tcPr>
            <w:tcW w:w="2694" w:type="dxa"/>
          </w:tcPr>
          <w:p>
            <w:pPr>
              <w:pStyle w:val="nTable"/>
              <w:spacing w:after="40"/>
            </w:pPr>
            <w:r>
              <w:t>7 Oct 1988</w:t>
            </w:r>
          </w:p>
        </w:tc>
      </w:tr>
      <w:tr>
        <w:trPr>
          <w:gridBefore w:val="1"/>
          <w:wBefore w:w="20" w:type="dxa"/>
          <w:cantSplit/>
        </w:trPr>
        <w:tc>
          <w:tcPr>
            <w:tcW w:w="3118" w:type="dxa"/>
            <w:gridSpan w:val="2"/>
          </w:tcPr>
          <w:p>
            <w:pPr>
              <w:pStyle w:val="nTable"/>
              <w:spacing w:after="40"/>
              <w:ind w:right="113"/>
            </w:pPr>
            <w:r>
              <w:rPr>
                <w:i/>
              </w:rPr>
              <w:t>Gaming Commission Amendment Regulations (No. 2) 1988</w:t>
            </w:r>
          </w:p>
        </w:tc>
        <w:tc>
          <w:tcPr>
            <w:tcW w:w="1276" w:type="dxa"/>
            <w:gridSpan w:val="2"/>
          </w:tcPr>
          <w:p>
            <w:pPr>
              <w:pStyle w:val="nTable"/>
              <w:spacing w:after="40"/>
            </w:pPr>
            <w:r>
              <w:t>18 Nov 1988 p. 4527</w:t>
            </w:r>
            <w:r>
              <w:noBreakHyphen/>
              <w:t>9</w:t>
            </w:r>
          </w:p>
        </w:tc>
        <w:tc>
          <w:tcPr>
            <w:tcW w:w="2694" w:type="dxa"/>
          </w:tcPr>
          <w:p>
            <w:pPr>
              <w:pStyle w:val="nTable"/>
              <w:spacing w:after="40"/>
            </w:pPr>
            <w:r>
              <w:t>18 Nov 1988</w:t>
            </w:r>
          </w:p>
        </w:tc>
      </w:tr>
      <w:tr>
        <w:trPr>
          <w:gridBefore w:val="1"/>
          <w:wBefore w:w="20" w:type="dxa"/>
          <w:cantSplit/>
        </w:trPr>
        <w:tc>
          <w:tcPr>
            <w:tcW w:w="3118" w:type="dxa"/>
            <w:gridSpan w:val="2"/>
          </w:tcPr>
          <w:p>
            <w:pPr>
              <w:pStyle w:val="nTable"/>
              <w:spacing w:after="40"/>
              <w:ind w:right="113"/>
            </w:pPr>
            <w:r>
              <w:rPr>
                <w:i/>
              </w:rPr>
              <w:t>Gaming Commission Amendment Regulations 1989</w:t>
            </w:r>
          </w:p>
        </w:tc>
        <w:tc>
          <w:tcPr>
            <w:tcW w:w="1276" w:type="dxa"/>
            <w:gridSpan w:val="2"/>
          </w:tcPr>
          <w:p>
            <w:pPr>
              <w:pStyle w:val="nTable"/>
              <w:spacing w:after="40"/>
            </w:pPr>
            <w:r>
              <w:t>26 May 1989 p. 1548</w:t>
            </w:r>
          </w:p>
        </w:tc>
        <w:tc>
          <w:tcPr>
            <w:tcW w:w="2694" w:type="dxa"/>
          </w:tcPr>
          <w:p>
            <w:pPr>
              <w:pStyle w:val="nTable"/>
              <w:spacing w:after="40"/>
            </w:pPr>
            <w:r>
              <w:t>26 May 1989</w:t>
            </w:r>
          </w:p>
        </w:tc>
      </w:tr>
      <w:tr>
        <w:trPr>
          <w:gridBefore w:val="1"/>
          <w:wBefore w:w="20" w:type="dxa"/>
          <w:cantSplit/>
        </w:trPr>
        <w:tc>
          <w:tcPr>
            <w:tcW w:w="3118" w:type="dxa"/>
            <w:gridSpan w:val="2"/>
          </w:tcPr>
          <w:p>
            <w:pPr>
              <w:pStyle w:val="nTable"/>
              <w:spacing w:after="40"/>
              <w:ind w:right="113"/>
            </w:pPr>
            <w:r>
              <w:rPr>
                <w:i/>
              </w:rPr>
              <w:t>Gaming Commission Amendment Regulations (No. 2) 1989</w:t>
            </w:r>
          </w:p>
        </w:tc>
        <w:tc>
          <w:tcPr>
            <w:tcW w:w="1276" w:type="dxa"/>
            <w:gridSpan w:val="2"/>
          </w:tcPr>
          <w:p>
            <w:pPr>
              <w:pStyle w:val="nTable"/>
              <w:spacing w:after="40"/>
            </w:pPr>
            <w:r>
              <w:t>4 Aug 1989 p. 2497</w:t>
            </w:r>
            <w:r>
              <w:noBreakHyphen/>
              <w:t>500</w:t>
            </w:r>
          </w:p>
        </w:tc>
        <w:tc>
          <w:tcPr>
            <w:tcW w:w="2694" w:type="dxa"/>
          </w:tcPr>
          <w:p>
            <w:pPr>
              <w:pStyle w:val="nTable"/>
              <w:spacing w:after="40"/>
            </w:pPr>
            <w:r>
              <w:t>4 Aug 1989</w:t>
            </w:r>
          </w:p>
        </w:tc>
      </w:tr>
      <w:tr>
        <w:trPr>
          <w:gridBefore w:val="1"/>
          <w:wBefore w:w="20" w:type="dxa"/>
          <w:cantSplit/>
        </w:trPr>
        <w:tc>
          <w:tcPr>
            <w:tcW w:w="3118" w:type="dxa"/>
            <w:gridSpan w:val="2"/>
          </w:tcPr>
          <w:p>
            <w:pPr>
              <w:pStyle w:val="nTable"/>
              <w:spacing w:after="40"/>
              <w:ind w:right="113"/>
            </w:pPr>
            <w:r>
              <w:rPr>
                <w:i/>
              </w:rPr>
              <w:t>Gaming Commission Amendment Regulations (No. 3) 1989</w:t>
            </w:r>
          </w:p>
        </w:tc>
        <w:tc>
          <w:tcPr>
            <w:tcW w:w="1276" w:type="dxa"/>
            <w:gridSpan w:val="2"/>
          </w:tcPr>
          <w:p>
            <w:pPr>
              <w:pStyle w:val="nTable"/>
              <w:spacing w:after="40"/>
            </w:pPr>
            <w:r>
              <w:t>25 Aug 1989 p. 2835</w:t>
            </w:r>
          </w:p>
        </w:tc>
        <w:tc>
          <w:tcPr>
            <w:tcW w:w="2694" w:type="dxa"/>
          </w:tcPr>
          <w:p>
            <w:pPr>
              <w:pStyle w:val="nTable"/>
              <w:spacing w:after="40"/>
            </w:pPr>
            <w:r>
              <w:t>25 Aug 1989</w:t>
            </w:r>
          </w:p>
        </w:tc>
      </w:tr>
      <w:tr>
        <w:trPr>
          <w:gridBefore w:val="1"/>
          <w:wBefore w:w="20" w:type="dxa"/>
          <w:cantSplit/>
        </w:trPr>
        <w:tc>
          <w:tcPr>
            <w:tcW w:w="3118" w:type="dxa"/>
            <w:gridSpan w:val="2"/>
          </w:tcPr>
          <w:p>
            <w:pPr>
              <w:pStyle w:val="nTable"/>
              <w:spacing w:after="40"/>
              <w:ind w:right="113"/>
            </w:pPr>
            <w:r>
              <w:rPr>
                <w:i/>
              </w:rPr>
              <w:t>Gaming Commission Amendment Regulations (No. 4) 1989</w:t>
            </w:r>
          </w:p>
        </w:tc>
        <w:tc>
          <w:tcPr>
            <w:tcW w:w="1276" w:type="dxa"/>
            <w:gridSpan w:val="2"/>
          </w:tcPr>
          <w:p>
            <w:pPr>
              <w:pStyle w:val="nTable"/>
              <w:spacing w:after="40"/>
            </w:pPr>
            <w:r>
              <w:t>6 Apr 1990 p. 1768</w:t>
            </w:r>
            <w:r>
              <w:noBreakHyphen/>
              <w:t>9</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1990</w:t>
            </w:r>
          </w:p>
        </w:tc>
        <w:tc>
          <w:tcPr>
            <w:tcW w:w="1276" w:type="dxa"/>
            <w:gridSpan w:val="2"/>
          </w:tcPr>
          <w:p>
            <w:pPr>
              <w:pStyle w:val="nTable"/>
              <w:spacing w:after="40"/>
            </w:pPr>
            <w:r>
              <w:t>6 Apr 1990 p. 1770</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(No. 2) 1990</w:t>
            </w:r>
          </w:p>
        </w:tc>
        <w:tc>
          <w:tcPr>
            <w:tcW w:w="1276" w:type="dxa"/>
            <w:gridSpan w:val="2"/>
          </w:tcPr>
          <w:p>
            <w:pPr>
              <w:pStyle w:val="nTable"/>
              <w:spacing w:after="40"/>
            </w:pPr>
            <w:r>
              <w:t>4 May 1990 p. 2243</w:t>
            </w:r>
          </w:p>
        </w:tc>
        <w:tc>
          <w:tcPr>
            <w:tcW w:w="2694" w:type="dxa"/>
          </w:tcPr>
          <w:p>
            <w:pPr>
              <w:pStyle w:val="nTable"/>
              <w:spacing w:after="40"/>
            </w:pPr>
            <w:r>
              <w:t>4 May 1990</w:t>
            </w:r>
          </w:p>
        </w:tc>
      </w:tr>
      <w:tr>
        <w:trPr>
          <w:gridBefore w:val="1"/>
          <w:wBefore w:w="20" w:type="dxa"/>
          <w:cantSplit/>
        </w:trPr>
        <w:tc>
          <w:tcPr>
            <w:tcW w:w="3118" w:type="dxa"/>
            <w:gridSpan w:val="2"/>
          </w:tcPr>
          <w:p>
            <w:pPr>
              <w:pStyle w:val="nTable"/>
              <w:spacing w:after="40"/>
              <w:ind w:right="113"/>
            </w:pPr>
            <w:r>
              <w:rPr>
                <w:i/>
              </w:rPr>
              <w:t>Gaming Commission Amendment Regulations (No. 4) 1990</w:t>
            </w:r>
          </w:p>
        </w:tc>
        <w:tc>
          <w:tcPr>
            <w:tcW w:w="1276" w:type="dxa"/>
            <w:gridSpan w:val="2"/>
          </w:tcPr>
          <w:p>
            <w:pPr>
              <w:pStyle w:val="nTable"/>
              <w:spacing w:after="40"/>
            </w:pPr>
            <w:r>
              <w:t>8 Feb 1991 p. 651</w:t>
            </w:r>
          </w:p>
        </w:tc>
        <w:tc>
          <w:tcPr>
            <w:tcW w:w="2694" w:type="dxa"/>
          </w:tcPr>
          <w:p>
            <w:pPr>
              <w:pStyle w:val="nTable"/>
              <w:spacing w:after="40"/>
            </w:pPr>
            <w:r>
              <w:t>8 Feb 1991</w:t>
            </w:r>
          </w:p>
        </w:tc>
      </w:tr>
      <w:tr>
        <w:trPr>
          <w:gridBefore w:val="1"/>
          <w:wBefore w:w="20" w:type="dxa"/>
          <w:cantSplit/>
        </w:trPr>
        <w:tc>
          <w:tcPr>
            <w:tcW w:w="3118" w:type="dxa"/>
            <w:gridSpan w:val="2"/>
          </w:tcPr>
          <w:p>
            <w:pPr>
              <w:pStyle w:val="nTable"/>
              <w:spacing w:after="40"/>
              <w:ind w:right="113"/>
            </w:pPr>
            <w:r>
              <w:rPr>
                <w:i/>
              </w:rPr>
              <w:t>Gaming Commission Amendment Regulations 1991</w:t>
            </w:r>
          </w:p>
        </w:tc>
        <w:tc>
          <w:tcPr>
            <w:tcW w:w="1276" w:type="dxa"/>
            <w:gridSpan w:val="2"/>
          </w:tcPr>
          <w:p>
            <w:pPr>
              <w:pStyle w:val="nTable"/>
              <w:spacing w:after="40"/>
            </w:pPr>
            <w:r>
              <w:t>27 Sep 1991 p. 5068</w:t>
            </w:r>
            <w:r>
              <w:noBreakHyphen/>
              <w:t>9</w:t>
            </w:r>
          </w:p>
        </w:tc>
        <w:tc>
          <w:tcPr>
            <w:tcW w:w="2694" w:type="dxa"/>
          </w:tcPr>
          <w:p>
            <w:pPr>
              <w:pStyle w:val="nTable"/>
              <w:spacing w:after="40"/>
            </w:pPr>
            <w:r>
              <w:t>27 Sep 1991</w:t>
            </w:r>
          </w:p>
        </w:tc>
      </w:tr>
      <w:tr>
        <w:trPr>
          <w:gridBefore w:val="1"/>
          <w:wBefore w:w="20" w:type="dxa"/>
          <w:cantSplit/>
        </w:trPr>
        <w:tc>
          <w:tcPr>
            <w:tcW w:w="3118" w:type="dxa"/>
            <w:gridSpan w:val="2"/>
          </w:tcPr>
          <w:p>
            <w:pPr>
              <w:pStyle w:val="nTable"/>
              <w:spacing w:after="40"/>
              <w:ind w:right="113"/>
            </w:pPr>
            <w:r>
              <w:rPr>
                <w:i/>
              </w:rPr>
              <w:t>Gaming Commission Amendment Regulations 1992</w:t>
            </w:r>
          </w:p>
        </w:tc>
        <w:tc>
          <w:tcPr>
            <w:tcW w:w="1276" w:type="dxa"/>
            <w:gridSpan w:val="2"/>
          </w:tcPr>
          <w:p>
            <w:pPr>
              <w:pStyle w:val="nTable"/>
              <w:spacing w:after="40"/>
            </w:pPr>
            <w:r>
              <w:t>27 Mar 1992 p. 1370</w:t>
            </w:r>
          </w:p>
        </w:tc>
        <w:tc>
          <w:tcPr>
            <w:tcW w:w="2694" w:type="dxa"/>
          </w:tcPr>
          <w:p>
            <w:pPr>
              <w:pStyle w:val="nTable"/>
              <w:spacing w:after="40"/>
            </w:pPr>
            <w:r>
              <w:t>27 Mar 1992</w:t>
            </w:r>
          </w:p>
        </w:tc>
      </w:tr>
      <w:tr>
        <w:trPr>
          <w:gridBefore w:val="1"/>
          <w:wBefore w:w="20" w:type="dxa"/>
          <w:cantSplit/>
        </w:trPr>
        <w:tc>
          <w:tcPr>
            <w:tcW w:w="3118" w:type="dxa"/>
            <w:gridSpan w:val="2"/>
          </w:tcPr>
          <w:p>
            <w:pPr>
              <w:pStyle w:val="nTable"/>
              <w:spacing w:after="40"/>
              <w:ind w:right="113"/>
            </w:pPr>
            <w:r>
              <w:rPr>
                <w:i/>
              </w:rPr>
              <w:t>Gaming Commission Amendment Regulations (No. 2) 1992</w:t>
            </w:r>
          </w:p>
        </w:tc>
        <w:tc>
          <w:tcPr>
            <w:tcW w:w="1276" w:type="dxa"/>
            <w:gridSpan w:val="2"/>
          </w:tcPr>
          <w:p>
            <w:pPr>
              <w:pStyle w:val="nTable"/>
              <w:spacing w:after="40"/>
            </w:pPr>
            <w:r>
              <w:t>4 Aug 1992 p. 3831</w:t>
            </w:r>
          </w:p>
        </w:tc>
        <w:tc>
          <w:tcPr>
            <w:tcW w:w="2694" w:type="dxa"/>
          </w:tcPr>
          <w:p>
            <w:pPr>
              <w:pStyle w:val="nTable"/>
              <w:spacing w:after="40"/>
            </w:pPr>
            <w:r>
              <w:t>4 Aug 1992</w:t>
            </w:r>
          </w:p>
        </w:tc>
      </w:tr>
      <w:tr>
        <w:trPr>
          <w:gridBefore w:val="1"/>
          <w:wBefore w:w="20" w:type="dxa"/>
          <w:cantSplit/>
        </w:trPr>
        <w:tc>
          <w:tcPr>
            <w:tcW w:w="3118" w:type="dxa"/>
            <w:gridSpan w:val="2"/>
          </w:tcPr>
          <w:p>
            <w:pPr>
              <w:pStyle w:val="nTable"/>
              <w:spacing w:after="40"/>
              <w:ind w:right="113"/>
            </w:pPr>
            <w:r>
              <w:rPr>
                <w:i/>
              </w:rPr>
              <w:t>Gaming Commission Amendment Regulations (No. 2) 1993</w:t>
            </w:r>
          </w:p>
        </w:tc>
        <w:tc>
          <w:tcPr>
            <w:tcW w:w="1276" w:type="dxa"/>
            <w:gridSpan w:val="2"/>
          </w:tcPr>
          <w:p>
            <w:pPr>
              <w:pStyle w:val="nTable"/>
              <w:spacing w:after="40"/>
            </w:pPr>
            <w:r>
              <w:t>30 Apr 1993 p. 2282</w:t>
            </w:r>
            <w:r>
              <w:noBreakHyphen/>
              <w:t>3</w:t>
            </w:r>
          </w:p>
        </w:tc>
        <w:tc>
          <w:tcPr>
            <w:tcW w:w="2694" w:type="dxa"/>
          </w:tcPr>
          <w:p>
            <w:pPr>
              <w:pStyle w:val="nTable"/>
              <w:spacing w:after="40"/>
            </w:pPr>
            <w:r>
              <w:t>30 Apr 1993</w:t>
            </w:r>
          </w:p>
        </w:tc>
      </w:tr>
      <w:tr>
        <w:trPr>
          <w:gridBefore w:val="1"/>
          <w:wBefore w:w="20" w:type="dxa"/>
          <w:cantSplit/>
        </w:trPr>
        <w:tc>
          <w:tcPr>
            <w:tcW w:w="3118" w:type="dxa"/>
            <w:gridSpan w:val="2"/>
          </w:tcPr>
          <w:p>
            <w:pPr>
              <w:pStyle w:val="nTable"/>
              <w:spacing w:after="40"/>
              <w:ind w:right="113"/>
            </w:pPr>
            <w:r>
              <w:rPr>
                <w:i/>
              </w:rPr>
              <w:t>Gaming Commission Amendment Regulations 1993</w:t>
            </w:r>
          </w:p>
        </w:tc>
        <w:tc>
          <w:tcPr>
            <w:tcW w:w="1276" w:type="dxa"/>
            <w:gridSpan w:val="2"/>
          </w:tcPr>
          <w:p>
            <w:pPr>
              <w:pStyle w:val="nTable"/>
              <w:spacing w:after="40"/>
            </w:pPr>
            <w:r>
              <w:t>11 May 1993 p. 2397</w:t>
            </w:r>
            <w:r>
              <w:noBreakHyphen/>
              <w:t>9</w:t>
            </w:r>
          </w:p>
        </w:tc>
        <w:tc>
          <w:tcPr>
            <w:tcW w:w="2694" w:type="dxa"/>
          </w:tcPr>
          <w:p>
            <w:pPr>
              <w:pStyle w:val="nTable"/>
              <w:spacing w:after="40"/>
            </w:pPr>
            <w:r>
              <w:t>11 May 1993</w:t>
            </w:r>
          </w:p>
        </w:tc>
      </w:tr>
      <w:tr>
        <w:trPr>
          <w:gridBefore w:val="1"/>
          <w:wBefore w:w="20" w:type="dxa"/>
          <w:cantSplit/>
        </w:trPr>
        <w:tc>
          <w:tcPr>
            <w:tcW w:w="3118" w:type="dxa"/>
            <w:gridSpan w:val="2"/>
          </w:tcPr>
          <w:p>
            <w:pPr>
              <w:pStyle w:val="nTable"/>
              <w:spacing w:after="40"/>
              <w:ind w:right="113"/>
            </w:pPr>
            <w:r>
              <w:rPr>
                <w:i/>
              </w:rPr>
              <w:t>Gaming Commission Amendment Regulations (No. 3) 1993</w:t>
            </w:r>
          </w:p>
        </w:tc>
        <w:tc>
          <w:tcPr>
            <w:tcW w:w="1276" w:type="dxa"/>
            <w:gridSpan w:val="2"/>
          </w:tcPr>
          <w:p>
            <w:pPr>
              <w:pStyle w:val="nTable"/>
              <w:spacing w:after="40"/>
            </w:pPr>
            <w:r>
              <w:t>21 May 1993 p. 2519</w:t>
            </w:r>
            <w:r>
              <w:noBreakHyphen/>
              <w:t>20</w:t>
            </w:r>
          </w:p>
        </w:tc>
        <w:tc>
          <w:tcPr>
            <w:tcW w:w="2694" w:type="dxa"/>
          </w:tcPr>
          <w:p>
            <w:pPr>
              <w:pStyle w:val="nTable"/>
              <w:spacing w:after="40"/>
            </w:pPr>
            <w:r>
              <w:t>21 May 1993</w:t>
            </w:r>
          </w:p>
        </w:tc>
      </w:tr>
      <w:tr>
        <w:trPr>
          <w:gridBefore w:val="1"/>
          <w:wBefore w:w="20" w:type="dxa"/>
          <w:cantSplit/>
        </w:trPr>
        <w:tc>
          <w:tcPr>
            <w:tcW w:w="3118" w:type="dxa"/>
            <w:gridSpan w:val="2"/>
          </w:tcPr>
          <w:p>
            <w:pPr>
              <w:pStyle w:val="nTable"/>
              <w:spacing w:after="40"/>
              <w:ind w:right="113"/>
            </w:pPr>
            <w:r>
              <w:rPr>
                <w:i/>
              </w:rPr>
              <w:t>Gaming Commission Amendment Regulations (No. 4) 1993</w:t>
            </w:r>
          </w:p>
        </w:tc>
        <w:tc>
          <w:tcPr>
            <w:tcW w:w="1276" w:type="dxa"/>
            <w:gridSpan w:val="2"/>
          </w:tcPr>
          <w:p>
            <w:pPr>
              <w:pStyle w:val="nTable"/>
              <w:spacing w:after="40"/>
            </w:pPr>
            <w:r>
              <w:t>6 Jul 1993 p. 3312</w:t>
            </w:r>
          </w:p>
        </w:tc>
        <w:tc>
          <w:tcPr>
            <w:tcW w:w="2694" w:type="dxa"/>
          </w:tcPr>
          <w:p>
            <w:pPr>
              <w:pStyle w:val="nTable"/>
              <w:spacing w:after="40"/>
            </w:pPr>
            <w:r>
              <w:t>6 Jul 1993</w:t>
            </w:r>
          </w:p>
        </w:tc>
      </w:tr>
      <w:tr>
        <w:trPr>
          <w:gridBefore w:val="1"/>
          <w:wBefore w:w="20" w:type="dxa"/>
          <w:cantSplit/>
        </w:trPr>
        <w:tc>
          <w:tcPr>
            <w:tcW w:w="3118" w:type="dxa"/>
            <w:gridSpan w:val="2"/>
          </w:tcPr>
          <w:p>
            <w:pPr>
              <w:pStyle w:val="nTable"/>
              <w:spacing w:after="40"/>
              <w:ind w:right="113"/>
            </w:pPr>
            <w:r>
              <w:rPr>
                <w:i/>
              </w:rPr>
              <w:t>Gaming Commission Amendment Regulations (No. 5) 1993</w:t>
            </w:r>
          </w:p>
        </w:tc>
        <w:tc>
          <w:tcPr>
            <w:tcW w:w="1276" w:type="dxa"/>
            <w:gridSpan w:val="2"/>
          </w:tcPr>
          <w:p>
            <w:pPr>
              <w:pStyle w:val="nTable"/>
              <w:spacing w:after="40"/>
            </w:pPr>
            <w:r>
              <w:t>22 Oct 1993 p. 5805</w:t>
            </w:r>
            <w:r>
              <w:noBreakHyphen/>
              <w:t>6</w:t>
            </w:r>
          </w:p>
        </w:tc>
        <w:tc>
          <w:tcPr>
            <w:tcW w:w="2694" w:type="dxa"/>
          </w:tcPr>
          <w:p>
            <w:pPr>
              <w:pStyle w:val="nTable"/>
              <w:spacing w:after="40"/>
            </w:pPr>
            <w:r>
              <w:t>22 Oct 1993</w:t>
            </w:r>
          </w:p>
        </w:tc>
      </w:tr>
      <w:tr>
        <w:trPr>
          <w:gridBefore w:val="1"/>
          <w:wBefore w:w="20" w:type="dxa"/>
          <w:cantSplit/>
        </w:trPr>
        <w:tc>
          <w:tcPr>
            <w:tcW w:w="3118" w:type="dxa"/>
            <w:gridSpan w:val="2"/>
          </w:tcPr>
          <w:p>
            <w:pPr>
              <w:pStyle w:val="nTable"/>
              <w:spacing w:after="40"/>
              <w:ind w:right="113"/>
            </w:pPr>
            <w:r>
              <w:rPr>
                <w:i/>
              </w:rPr>
              <w:t>Gaming Commission Amendment Regulations 1994</w:t>
            </w:r>
          </w:p>
        </w:tc>
        <w:tc>
          <w:tcPr>
            <w:tcW w:w="1276" w:type="dxa"/>
            <w:gridSpan w:val="2"/>
          </w:tcPr>
          <w:p>
            <w:pPr>
              <w:pStyle w:val="nTable"/>
              <w:spacing w:after="40"/>
            </w:pPr>
            <w:r>
              <w:t>15 Feb 1994 p. 552</w:t>
            </w:r>
            <w:r>
              <w:noBreakHyphen/>
              <w:t>4</w:t>
            </w:r>
          </w:p>
        </w:tc>
        <w:tc>
          <w:tcPr>
            <w:tcW w:w="2694" w:type="dxa"/>
          </w:tcPr>
          <w:p>
            <w:pPr>
              <w:pStyle w:val="nTable"/>
              <w:spacing w:after="40"/>
            </w:pPr>
            <w:r>
              <w:t>15 Feb 1994</w:t>
            </w:r>
          </w:p>
        </w:tc>
      </w:tr>
      <w:tr>
        <w:trPr>
          <w:gridBefore w:val="1"/>
          <w:wBefore w:w="20" w:type="dxa"/>
          <w:cantSplit/>
        </w:trPr>
        <w:tc>
          <w:tcPr>
            <w:tcW w:w="3118" w:type="dxa"/>
            <w:gridSpan w:val="2"/>
          </w:tcPr>
          <w:p>
            <w:pPr>
              <w:pStyle w:val="nTable"/>
              <w:spacing w:after="40"/>
              <w:ind w:right="113"/>
            </w:pPr>
            <w:r>
              <w:rPr>
                <w:i/>
              </w:rPr>
              <w:t>Gaming Commission Amendment Regulations (No. 2) 1994</w:t>
            </w:r>
          </w:p>
        </w:tc>
        <w:tc>
          <w:tcPr>
            <w:tcW w:w="1276" w:type="dxa"/>
            <w:gridSpan w:val="2"/>
          </w:tcPr>
          <w:p>
            <w:pPr>
              <w:pStyle w:val="nTable"/>
              <w:spacing w:after="40"/>
            </w:pPr>
            <w:r>
              <w:t>22 Apr 1994 p. 1710</w:t>
            </w:r>
          </w:p>
        </w:tc>
        <w:tc>
          <w:tcPr>
            <w:tcW w:w="2694" w:type="dxa"/>
          </w:tcPr>
          <w:p>
            <w:pPr>
              <w:pStyle w:val="nTable"/>
              <w:spacing w:after="40"/>
            </w:pPr>
            <w:r>
              <w:t>22 Apr 1994</w:t>
            </w:r>
          </w:p>
        </w:tc>
      </w:tr>
      <w:tr>
        <w:trPr>
          <w:gridBefore w:val="1"/>
          <w:wBefore w:w="20" w:type="dxa"/>
          <w:cantSplit/>
        </w:trPr>
        <w:tc>
          <w:tcPr>
            <w:tcW w:w="3118" w:type="dxa"/>
            <w:gridSpan w:val="2"/>
          </w:tcPr>
          <w:p>
            <w:pPr>
              <w:pStyle w:val="nTable"/>
              <w:spacing w:after="40"/>
              <w:ind w:right="113"/>
            </w:pPr>
            <w:r>
              <w:rPr>
                <w:i/>
              </w:rPr>
              <w:t>Gaming Commission Amendment Regulations (No. 3) 1994</w:t>
            </w:r>
          </w:p>
        </w:tc>
        <w:tc>
          <w:tcPr>
            <w:tcW w:w="1276" w:type="dxa"/>
            <w:gridSpan w:val="2"/>
          </w:tcPr>
          <w:p>
            <w:pPr>
              <w:pStyle w:val="nTable"/>
              <w:spacing w:after="40"/>
            </w:pPr>
            <w:r>
              <w:t>6 Jan 1995 p. 27</w:t>
            </w:r>
            <w:r>
              <w:noBreakHyphen/>
              <w:t>8</w:t>
            </w:r>
          </w:p>
        </w:tc>
        <w:tc>
          <w:tcPr>
            <w:tcW w:w="2694" w:type="dxa"/>
          </w:tcPr>
          <w:p>
            <w:pPr>
              <w:pStyle w:val="nTable"/>
              <w:spacing w:after="40"/>
            </w:pPr>
            <w:r>
              <w:t>6 Jan 1995</w:t>
            </w:r>
          </w:p>
        </w:tc>
      </w:tr>
      <w:tr>
        <w:trPr>
          <w:gridBefore w:val="1"/>
          <w:wBefore w:w="20" w:type="dxa"/>
          <w:cantSplit/>
        </w:trPr>
        <w:tc>
          <w:tcPr>
            <w:tcW w:w="3118" w:type="dxa"/>
            <w:gridSpan w:val="2"/>
          </w:tcPr>
          <w:p>
            <w:pPr>
              <w:pStyle w:val="nTable"/>
              <w:spacing w:after="40"/>
              <w:ind w:right="113"/>
            </w:pPr>
            <w:r>
              <w:rPr>
                <w:i/>
              </w:rPr>
              <w:t>Gaming Commission Amendment Regulations 1995</w:t>
            </w:r>
          </w:p>
        </w:tc>
        <w:tc>
          <w:tcPr>
            <w:tcW w:w="1276" w:type="dxa"/>
            <w:gridSpan w:val="2"/>
          </w:tcPr>
          <w:p>
            <w:pPr>
              <w:pStyle w:val="nTable"/>
              <w:spacing w:after="40"/>
            </w:pPr>
            <w:r>
              <w:t>15 Dec 1995 p. 6124</w:t>
            </w:r>
            <w:r>
              <w:noBreakHyphen/>
              <w:t>5</w:t>
            </w:r>
          </w:p>
        </w:tc>
        <w:tc>
          <w:tcPr>
            <w:tcW w:w="2694" w:type="dxa"/>
          </w:tcPr>
          <w:p>
            <w:pPr>
              <w:pStyle w:val="nTable"/>
              <w:spacing w:after="40"/>
            </w:pPr>
            <w:r>
              <w:t>15 Dec 1995</w:t>
            </w:r>
          </w:p>
        </w:tc>
      </w:tr>
      <w:tr>
        <w:trPr>
          <w:gridBefore w:val="1"/>
          <w:wBefore w:w="20" w:type="dxa"/>
          <w:cantSplit/>
        </w:trPr>
        <w:tc>
          <w:tcPr>
            <w:tcW w:w="3118" w:type="dxa"/>
            <w:gridSpan w:val="2"/>
          </w:tcPr>
          <w:p>
            <w:pPr>
              <w:pStyle w:val="nTable"/>
              <w:spacing w:after="40"/>
              <w:ind w:right="113"/>
            </w:pPr>
            <w:r>
              <w:rPr>
                <w:i/>
              </w:rPr>
              <w:t>Gaming Commission Amendment Regulations 1996</w:t>
            </w:r>
          </w:p>
        </w:tc>
        <w:tc>
          <w:tcPr>
            <w:tcW w:w="1276" w:type="dxa"/>
            <w:gridSpan w:val="2"/>
          </w:tcPr>
          <w:p>
            <w:pPr>
              <w:pStyle w:val="nTable"/>
              <w:spacing w:after="40"/>
            </w:pPr>
            <w:r>
              <w:t>23 Feb 1996 p. 674</w:t>
            </w:r>
            <w:r>
              <w:noBreakHyphen/>
              <w:t>5</w:t>
            </w:r>
          </w:p>
        </w:tc>
        <w:tc>
          <w:tcPr>
            <w:tcW w:w="2694" w:type="dxa"/>
          </w:tcPr>
          <w:p>
            <w:pPr>
              <w:pStyle w:val="nTable"/>
              <w:spacing w:after="40"/>
            </w:pPr>
            <w:r>
              <w:t>23 Feb 1996</w:t>
            </w:r>
          </w:p>
        </w:tc>
      </w:tr>
      <w:tr>
        <w:trPr>
          <w:gridBefore w:val="1"/>
          <w:wBefore w:w="20" w:type="dxa"/>
          <w:cantSplit/>
        </w:trPr>
        <w:tc>
          <w:tcPr>
            <w:tcW w:w="3118" w:type="dxa"/>
            <w:gridSpan w:val="2"/>
          </w:tcPr>
          <w:p>
            <w:pPr>
              <w:pStyle w:val="nTable"/>
              <w:spacing w:after="40"/>
              <w:ind w:right="113"/>
            </w:pPr>
            <w:r>
              <w:rPr>
                <w:i/>
              </w:rPr>
              <w:t>Gaming Commission Amendment Regulations (No. 2) 1996</w:t>
            </w:r>
          </w:p>
        </w:tc>
        <w:tc>
          <w:tcPr>
            <w:tcW w:w="1276" w:type="dxa"/>
            <w:gridSpan w:val="2"/>
          </w:tcPr>
          <w:p>
            <w:pPr>
              <w:pStyle w:val="nTable"/>
              <w:spacing w:after="40"/>
            </w:pPr>
            <w:r>
              <w:t>28 Jun 1996 p. 3098</w:t>
            </w:r>
            <w:r>
              <w:noBreakHyphen/>
              <w:t>100</w:t>
            </w:r>
          </w:p>
        </w:tc>
        <w:tc>
          <w:tcPr>
            <w:tcW w:w="2694" w:type="dxa"/>
          </w:tcPr>
          <w:p>
            <w:pPr>
              <w:pStyle w:val="nTable"/>
              <w:spacing w:after="40"/>
            </w:pPr>
            <w:r>
              <w:t>1 Jul 1996 (see r. 2)</w:t>
            </w:r>
          </w:p>
        </w:tc>
      </w:tr>
      <w:tr>
        <w:trPr>
          <w:gridBefore w:val="1"/>
          <w:wBefore w:w="20" w:type="dxa"/>
          <w:cantSplit/>
        </w:trPr>
        <w:tc>
          <w:tcPr>
            <w:tcW w:w="3118" w:type="dxa"/>
            <w:gridSpan w:val="2"/>
          </w:tcPr>
          <w:p>
            <w:pPr>
              <w:pStyle w:val="nTable"/>
              <w:spacing w:after="40"/>
              <w:ind w:right="113"/>
            </w:pPr>
            <w:r>
              <w:rPr>
                <w:i/>
              </w:rPr>
              <w:t>Gaming Commission Amendment Regulations 1997</w:t>
            </w:r>
          </w:p>
        </w:tc>
        <w:tc>
          <w:tcPr>
            <w:tcW w:w="1276" w:type="dxa"/>
            <w:gridSpan w:val="2"/>
          </w:tcPr>
          <w:p>
            <w:pPr>
              <w:pStyle w:val="nTable"/>
              <w:spacing w:after="40"/>
            </w:pPr>
            <w:r>
              <w:t>16 May 1997 p. 2392</w:t>
            </w:r>
            <w:r>
              <w:noBreakHyphen/>
              <w:t>4</w:t>
            </w:r>
          </w:p>
        </w:tc>
        <w:tc>
          <w:tcPr>
            <w:tcW w:w="2694" w:type="dxa"/>
          </w:tcPr>
          <w:p>
            <w:pPr>
              <w:pStyle w:val="nTable"/>
              <w:spacing w:after="40"/>
            </w:pPr>
            <w:r>
              <w:t>16 May 1997</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in </w:t>
            </w:r>
            <w:r>
              <w:rPr>
                <w:i/>
              </w:rPr>
              <w:t>Gazette</w:t>
            </w:r>
            <w:r>
              <w:t xml:space="preserve"> 11 Jul 1997 p. 3623</w:t>
            </w:r>
            <w:r>
              <w:noBreakHyphen/>
              <w:t>4)</w:t>
            </w:r>
          </w:p>
        </w:tc>
      </w:tr>
      <w:tr>
        <w:trPr>
          <w:gridBefore w:val="1"/>
          <w:wBefore w:w="20" w:type="dxa"/>
          <w:cantSplit/>
        </w:trPr>
        <w:tc>
          <w:tcPr>
            <w:tcW w:w="3118" w:type="dxa"/>
            <w:gridSpan w:val="2"/>
          </w:tcPr>
          <w:p>
            <w:pPr>
              <w:pStyle w:val="nTable"/>
              <w:spacing w:after="40"/>
              <w:ind w:right="113"/>
            </w:pPr>
            <w:r>
              <w:rPr>
                <w:i/>
              </w:rPr>
              <w:t>Gaming Commission Amendment Regulations (No. 2) 1997</w:t>
            </w:r>
          </w:p>
        </w:tc>
        <w:tc>
          <w:tcPr>
            <w:tcW w:w="1276" w:type="dxa"/>
            <w:gridSpan w:val="2"/>
          </w:tcPr>
          <w:p>
            <w:pPr>
              <w:pStyle w:val="nTable"/>
              <w:spacing w:after="40"/>
            </w:pPr>
            <w:r>
              <w:t>14 Nov 1997 p. 6448</w:t>
            </w:r>
            <w:r>
              <w:noBreakHyphen/>
              <w:t>9</w:t>
            </w:r>
          </w:p>
        </w:tc>
        <w:tc>
          <w:tcPr>
            <w:tcW w:w="2694" w:type="dxa"/>
          </w:tcPr>
          <w:p>
            <w:pPr>
              <w:pStyle w:val="nTable"/>
              <w:spacing w:after="40"/>
            </w:pPr>
            <w:r>
              <w:t>1 Jan 1998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1998</w:t>
            </w:r>
          </w:p>
        </w:tc>
        <w:tc>
          <w:tcPr>
            <w:tcW w:w="1276" w:type="dxa"/>
            <w:gridSpan w:val="2"/>
          </w:tcPr>
          <w:p>
            <w:pPr>
              <w:pStyle w:val="nTable"/>
              <w:spacing w:after="40"/>
            </w:pPr>
            <w:r>
              <w:t>4 Aug 1998 p. 3988</w:t>
            </w:r>
            <w:r>
              <w:noBreakHyphen/>
              <w:t>9</w:t>
            </w:r>
          </w:p>
        </w:tc>
        <w:tc>
          <w:tcPr>
            <w:tcW w:w="2694" w:type="dxa"/>
          </w:tcPr>
          <w:p>
            <w:pPr>
              <w:pStyle w:val="nTable"/>
              <w:spacing w:after="40"/>
            </w:pPr>
            <w:r>
              <w:t xml:space="preserve">5 Aug 1998 (see r. 2 and </w:t>
            </w:r>
            <w:r>
              <w:rPr>
                <w:i/>
              </w:rPr>
              <w:t>Gazette</w:t>
            </w:r>
            <w:r>
              <w:t xml:space="preserve"> 4 Aug 1998 p. 3981)</w:t>
            </w:r>
          </w:p>
        </w:tc>
      </w:tr>
      <w:tr>
        <w:trPr>
          <w:gridBefore w:val="1"/>
          <w:wBefore w:w="20" w:type="dxa"/>
          <w:cantSplit/>
        </w:trPr>
        <w:tc>
          <w:tcPr>
            <w:tcW w:w="3118" w:type="dxa"/>
            <w:gridSpan w:val="2"/>
          </w:tcPr>
          <w:p>
            <w:pPr>
              <w:pStyle w:val="nTable"/>
              <w:spacing w:after="40"/>
              <w:ind w:right="113"/>
              <w:rPr>
                <w:i/>
              </w:rPr>
            </w:pPr>
            <w:r>
              <w:rPr>
                <w:i/>
              </w:rPr>
              <w:t>Gaming Commission Amendment Regulations (No. 2) 1998</w:t>
            </w:r>
          </w:p>
        </w:tc>
        <w:tc>
          <w:tcPr>
            <w:tcW w:w="1276" w:type="dxa"/>
            <w:gridSpan w:val="2"/>
          </w:tcPr>
          <w:p>
            <w:pPr>
              <w:pStyle w:val="nTable"/>
              <w:spacing w:after="40"/>
            </w:pPr>
            <w:r>
              <w:t>5 Feb 1999 p. 405</w:t>
            </w:r>
          </w:p>
        </w:tc>
        <w:tc>
          <w:tcPr>
            <w:tcW w:w="2694" w:type="dxa"/>
          </w:tcPr>
          <w:p>
            <w:pPr>
              <w:pStyle w:val="nTable"/>
              <w:spacing w:after="40"/>
            </w:pPr>
            <w:r>
              <w:t>5 Feb 1999</w:t>
            </w:r>
          </w:p>
        </w:tc>
      </w:tr>
      <w:tr>
        <w:trPr>
          <w:gridBefore w:val="1"/>
          <w:wBefore w:w="20" w:type="dxa"/>
          <w:cantSplit/>
        </w:trPr>
        <w:tc>
          <w:tcPr>
            <w:tcW w:w="3118" w:type="dxa"/>
            <w:gridSpan w:val="2"/>
          </w:tcPr>
          <w:p>
            <w:pPr>
              <w:pStyle w:val="nTable"/>
              <w:spacing w:after="40"/>
              <w:ind w:right="113"/>
              <w:rPr>
                <w:i/>
              </w:rPr>
            </w:pPr>
            <w:r>
              <w:rPr>
                <w:i/>
              </w:rPr>
              <w:t>Gaming Commission Amendment Regulations 1999</w:t>
            </w:r>
          </w:p>
        </w:tc>
        <w:tc>
          <w:tcPr>
            <w:tcW w:w="1276" w:type="dxa"/>
            <w:gridSpan w:val="2"/>
          </w:tcPr>
          <w:p>
            <w:pPr>
              <w:pStyle w:val="nTable"/>
              <w:spacing w:after="40"/>
            </w:pPr>
            <w:r>
              <w:t>2 Jul 1999 p. 2921</w:t>
            </w:r>
            <w:r>
              <w:noBreakHyphen/>
              <w:t>2</w:t>
            </w:r>
          </w:p>
        </w:tc>
        <w:tc>
          <w:tcPr>
            <w:tcW w:w="2694" w:type="dxa"/>
          </w:tcPr>
          <w:p>
            <w:pPr>
              <w:pStyle w:val="nTable"/>
              <w:spacing w:after="40"/>
            </w:pPr>
            <w:r>
              <w:t>2 Jul 1999</w:t>
            </w:r>
          </w:p>
        </w:tc>
      </w:tr>
      <w:tr>
        <w:trPr>
          <w:gridBefore w:val="1"/>
          <w:wBefore w:w="20" w:type="dxa"/>
          <w:cantSplit/>
        </w:trPr>
        <w:tc>
          <w:tcPr>
            <w:tcW w:w="3118" w:type="dxa"/>
            <w:gridSpan w:val="2"/>
          </w:tcPr>
          <w:p>
            <w:pPr>
              <w:pStyle w:val="nTable"/>
              <w:spacing w:after="40"/>
              <w:ind w:right="113"/>
              <w:rPr>
                <w:i/>
              </w:rPr>
            </w:pPr>
            <w:r>
              <w:rPr>
                <w:i/>
              </w:rPr>
              <w:t>Gaming Commission Amendment Regulations 2000</w:t>
            </w:r>
          </w:p>
        </w:tc>
        <w:tc>
          <w:tcPr>
            <w:tcW w:w="1276" w:type="dxa"/>
            <w:gridSpan w:val="2"/>
          </w:tcPr>
          <w:p>
            <w:pPr>
              <w:pStyle w:val="nTable"/>
              <w:spacing w:after="40"/>
            </w:pPr>
            <w:r>
              <w:t>12 May 2000 p. 2285</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2000</w:t>
            </w:r>
          </w:p>
        </w:tc>
        <w:tc>
          <w:tcPr>
            <w:tcW w:w="1276" w:type="dxa"/>
            <w:gridSpan w:val="2"/>
          </w:tcPr>
          <w:p>
            <w:pPr>
              <w:pStyle w:val="nTable"/>
              <w:spacing w:after="40"/>
            </w:pPr>
            <w:r>
              <w:t>23 Jun 2000 p. 3206</w:t>
            </w:r>
            <w:r>
              <w:noBreakHyphen/>
              <w:t>9</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2000</w:t>
            </w:r>
          </w:p>
        </w:tc>
        <w:tc>
          <w:tcPr>
            <w:tcW w:w="1276" w:type="dxa"/>
            <w:gridSpan w:val="2"/>
          </w:tcPr>
          <w:p>
            <w:pPr>
              <w:pStyle w:val="nTable"/>
              <w:spacing w:after="40"/>
            </w:pPr>
            <w:r>
              <w:t>27 Oct 2000 p. 6030</w:t>
            </w:r>
          </w:p>
        </w:tc>
        <w:tc>
          <w:tcPr>
            <w:tcW w:w="2694" w:type="dxa"/>
          </w:tcPr>
          <w:p>
            <w:pPr>
              <w:pStyle w:val="nTable"/>
              <w:spacing w:after="40"/>
            </w:pPr>
            <w:r>
              <w:t>27 Oct 2000</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rPr>
          <w:gridBefore w:val="1"/>
          <w:wBefore w:w="20" w:type="dxa"/>
          <w:cantSplit/>
        </w:trPr>
        <w:tc>
          <w:tcPr>
            <w:tcW w:w="3118" w:type="dxa"/>
            <w:gridSpan w:val="2"/>
          </w:tcPr>
          <w:p>
            <w:pPr>
              <w:pStyle w:val="nTable"/>
              <w:spacing w:after="40"/>
              <w:ind w:right="113"/>
              <w:rPr>
                <w:i/>
              </w:rPr>
            </w:pPr>
            <w:r>
              <w:rPr>
                <w:i/>
              </w:rPr>
              <w:t>Gaming Commission Amendment Regulations 2001</w:t>
            </w:r>
          </w:p>
        </w:tc>
        <w:tc>
          <w:tcPr>
            <w:tcW w:w="1276" w:type="dxa"/>
            <w:gridSpan w:val="2"/>
          </w:tcPr>
          <w:p>
            <w:pPr>
              <w:pStyle w:val="nTable"/>
              <w:spacing w:after="40"/>
            </w:pPr>
            <w:r>
              <w:t>2 Oct 2001 p. 5458</w:t>
            </w:r>
            <w:r>
              <w:noBreakHyphen/>
              <w:t>60</w:t>
            </w:r>
          </w:p>
        </w:tc>
        <w:tc>
          <w:tcPr>
            <w:tcW w:w="2694" w:type="dxa"/>
          </w:tcPr>
          <w:p>
            <w:pPr>
              <w:pStyle w:val="nTable"/>
              <w:spacing w:after="40"/>
            </w:pPr>
            <w:r>
              <w:t xml:space="preserve">2 Oct 2001 </w:t>
            </w:r>
            <w:r>
              <w:rPr>
                <w:vertAlign w:val="superscript"/>
              </w:rPr>
              <w:t>7</w:t>
            </w:r>
            <w:r>
              <w:t xml:space="preserve">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2001</w:t>
            </w:r>
          </w:p>
        </w:tc>
        <w:tc>
          <w:tcPr>
            <w:tcW w:w="1276" w:type="dxa"/>
            <w:gridSpan w:val="2"/>
          </w:tcPr>
          <w:p>
            <w:pPr>
              <w:pStyle w:val="nTable"/>
              <w:spacing w:after="40"/>
            </w:pPr>
            <w:r>
              <w:t>21 Dec 2001 p. 6550</w:t>
            </w:r>
            <w:r>
              <w:noBreakHyphen/>
              <w:t>1</w:t>
            </w:r>
          </w:p>
        </w:tc>
        <w:tc>
          <w:tcPr>
            <w:tcW w:w="2694" w:type="dxa"/>
          </w:tcPr>
          <w:p>
            <w:pPr>
              <w:pStyle w:val="nTable"/>
              <w:spacing w:after="40"/>
            </w:pPr>
            <w:r>
              <w:t>21 Dec 2001</w:t>
            </w:r>
          </w:p>
        </w:tc>
      </w:tr>
      <w:tr>
        <w:trPr>
          <w:gridBefore w:val="1"/>
          <w:wBefore w:w="20" w:type="dxa"/>
          <w:cantSplit/>
        </w:trPr>
        <w:tc>
          <w:tcPr>
            <w:tcW w:w="3118" w:type="dxa"/>
            <w:gridSpan w:val="2"/>
          </w:tcPr>
          <w:p>
            <w:pPr>
              <w:pStyle w:val="nTable"/>
              <w:spacing w:after="40"/>
              <w:ind w:right="113"/>
              <w:rPr>
                <w:i/>
              </w:rPr>
            </w:pPr>
            <w:r>
              <w:rPr>
                <w:i/>
              </w:rPr>
              <w:t>Gaming Commission Amendment Regulations 2002</w:t>
            </w:r>
          </w:p>
        </w:tc>
        <w:tc>
          <w:tcPr>
            <w:tcW w:w="1276" w:type="dxa"/>
            <w:gridSpan w:val="2"/>
          </w:tcPr>
          <w:p>
            <w:pPr>
              <w:pStyle w:val="nTable"/>
              <w:spacing w:after="40"/>
            </w:pPr>
            <w:r>
              <w:t>15 Mar 2002 p. 1313</w:t>
            </w:r>
          </w:p>
        </w:tc>
        <w:tc>
          <w:tcPr>
            <w:tcW w:w="2694" w:type="dxa"/>
          </w:tcPr>
          <w:p>
            <w:pPr>
              <w:pStyle w:val="nTable"/>
              <w:spacing w:after="40"/>
            </w:pPr>
            <w:r>
              <w:t>15 Mar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2002</w:t>
            </w:r>
          </w:p>
        </w:tc>
        <w:tc>
          <w:tcPr>
            <w:tcW w:w="1276" w:type="dxa"/>
            <w:gridSpan w:val="2"/>
          </w:tcPr>
          <w:p>
            <w:pPr>
              <w:pStyle w:val="nTable"/>
              <w:spacing w:after="40"/>
            </w:pPr>
            <w:r>
              <w:t>30 Jul 2002 p. 3530</w:t>
            </w:r>
          </w:p>
        </w:tc>
        <w:tc>
          <w:tcPr>
            <w:tcW w:w="2694" w:type="dxa"/>
          </w:tcPr>
          <w:p>
            <w:pPr>
              <w:pStyle w:val="nTable"/>
              <w:spacing w:after="40"/>
            </w:pPr>
            <w:r>
              <w:t>30 Jul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2002</w:t>
            </w:r>
          </w:p>
        </w:tc>
        <w:tc>
          <w:tcPr>
            <w:tcW w:w="1276" w:type="dxa"/>
            <w:gridSpan w:val="2"/>
          </w:tcPr>
          <w:p>
            <w:pPr>
              <w:pStyle w:val="nTable"/>
              <w:spacing w:after="40"/>
            </w:pPr>
            <w:r>
              <w:t>19 Nov 2002 p. 5516</w:t>
            </w:r>
            <w:r>
              <w:noBreakHyphen/>
              <w:t>18</w:t>
            </w:r>
          </w:p>
        </w:tc>
        <w:tc>
          <w:tcPr>
            <w:tcW w:w="2694" w:type="dxa"/>
          </w:tcPr>
          <w:p>
            <w:pPr>
              <w:pStyle w:val="nTable"/>
              <w:spacing w:after="40"/>
            </w:pPr>
            <w:r>
              <w:t>1 Jan 2003 (see r. 2)</w:t>
            </w:r>
          </w:p>
        </w:tc>
      </w:tr>
      <w:tr>
        <w:trPr>
          <w:gridBefore w:val="1"/>
          <w:wBefore w:w="20" w:type="dxa"/>
          <w:cantSplit/>
        </w:trPr>
        <w:tc>
          <w:tcPr>
            <w:tcW w:w="3118" w:type="dxa"/>
            <w:gridSpan w:val="2"/>
          </w:tcPr>
          <w:p>
            <w:pPr>
              <w:pStyle w:val="nTable"/>
              <w:spacing w:after="40"/>
            </w:pPr>
            <w:r>
              <w:rPr>
                <w:i/>
              </w:rPr>
              <w:t>Gaming Commission Amendment Regulations 2003</w:t>
            </w:r>
          </w:p>
        </w:tc>
        <w:tc>
          <w:tcPr>
            <w:tcW w:w="1276" w:type="dxa"/>
            <w:gridSpan w:val="2"/>
          </w:tcPr>
          <w:p>
            <w:pPr>
              <w:pStyle w:val="nTable"/>
              <w:spacing w:after="40"/>
            </w:pPr>
            <w:r>
              <w:t>26 Sep 2003 p. 4220</w:t>
            </w:r>
            <w:r>
              <w:noBreakHyphen/>
              <w:t>1</w:t>
            </w:r>
          </w:p>
        </w:tc>
        <w:tc>
          <w:tcPr>
            <w:tcW w:w="2694" w:type="dxa"/>
          </w:tcPr>
          <w:p>
            <w:pPr>
              <w:pStyle w:val="nTable"/>
              <w:spacing w:after="40"/>
            </w:pPr>
            <w:r>
              <w:t>1 Jan 2004 (see r. 2)</w:t>
            </w:r>
          </w:p>
        </w:tc>
      </w:tr>
      <w:tr>
        <w:trPr>
          <w:gridBefore w:val="1"/>
          <w:wBefore w:w="20" w:type="dxa"/>
          <w:cantSplit/>
        </w:trPr>
        <w:tc>
          <w:tcPr>
            <w:tcW w:w="3118" w:type="dxa"/>
            <w:gridSpan w:val="2"/>
          </w:tcPr>
          <w:p>
            <w:pPr>
              <w:pStyle w:val="nTable"/>
              <w:spacing w:after="40"/>
              <w:rPr>
                <w:i/>
              </w:rPr>
            </w:pPr>
            <w:r>
              <w:rPr>
                <w:i/>
              </w:rPr>
              <w:t>Gaming Commission Amendment Regulations 2004</w:t>
            </w:r>
          </w:p>
        </w:tc>
        <w:tc>
          <w:tcPr>
            <w:tcW w:w="1276" w:type="dxa"/>
            <w:gridSpan w:val="2"/>
          </w:tcPr>
          <w:p>
            <w:pPr>
              <w:pStyle w:val="nTable"/>
              <w:spacing w:after="40"/>
            </w:pPr>
            <w:r>
              <w:t>30 Jan 2004 p. 401</w:t>
            </w:r>
            <w:r>
              <w:noBreakHyphen/>
              <w:t>2</w:t>
            </w:r>
          </w:p>
        </w:tc>
        <w:tc>
          <w:tcPr>
            <w:tcW w:w="2694" w:type="dxa"/>
          </w:tcPr>
          <w:p>
            <w:pPr>
              <w:pStyle w:val="nTable"/>
              <w:spacing w:after="40"/>
            </w:pPr>
            <w:r>
              <w:t xml:space="preserve">30 Jan 2004 </w:t>
            </w:r>
          </w:p>
        </w:tc>
      </w:tr>
      <w:tr>
        <w:trPr>
          <w:gridBefore w:val="1"/>
          <w:wBefore w:w="20" w:type="dxa"/>
          <w:cantSplit/>
        </w:trPr>
        <w:tc>
          <w:tcPr>
            <w:tcW w:w="3118" w:type="dxa"/>
            <w:gridSpan w:val="2"/>
          </w:tcPr>
          <w:p>
            <w:pPr>
              <w:pStyle w:val="nTable"/>
              <w:spacing w:after="40"/>
            </w:pPr>
            <w:r>
              <w:rPr>
                <w:i/>
              </w:rPr>
              <w:t xml:space="preserve">Racing and Gambling (Miscellaneous) Amendment Regulations 2004 </w:t>
            </w:r>
            <w:r>
              <w:t>Pt. 4</w:t>
            </w:r>
          </w:p>
        </w:tc>
        <w:tc>
          <w:tcPr>
            <w:tcW w:w="1276" w:type="dxa"/>
            <w:gridSpan w:val="2"/>
          </w:tcPr>
          <w:p>
            <w:pPr>
              <w:pStyle w:val="nTable"/>
              <w:spacing w:after="40"/>
            </w:pPr>
            <w:r>
              <w:t>30 Jan 2004 p. 413</w:t>
            </w:r>
            <w:r>
              <w:noBreakHyphen/>
              <w:t>18</w:t>
            </w:r>
          </w:p>
        </w:tc>
        <w:tc>
          <w:tcPr>
            <w:tcW w:w="2694" w:type="dxa"/>
          </w:tcPr>
          <w:p>
            <w:pPr>
              <w:pStyle w:val="nTable"/>
              <w:spacing w:after="40"/>
            </w:pPr>
            <w:r>
              <w:t>30 Jan 2004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2004</w:t>
            </w:r>
          </w:p>
        </w:tc>
        <w:tc>
          <w:tcPr>
            <w:tcW w:w="1276" w:type="dxa"/>
            <w:gridSpan w:val="2"/>
          </w:tcPr>
          <w:p>
            <w:pPr>
              <w:pStyle w:val="nTable"/>
              <w:spacing w:after="40"/>
            </w:pPr>
            <w:r>
              <w:t>18 May 2004 p. 1571</w:t>
            </w:r>
            <w:r>
              <w:noBreakHyphen/>
              <w:t>2</w:t>
            </w:r>
          </w:p>
        </w:tc>
        <w:tc>
          <w:tcPr>
            <w:tcW w:w="2694" w:type="dxa"/>
          </w:tcPr>
          <w:p>
            <w:pPr>
              <w:pStyle w:val="nTable"/>
              <w:spacing w:after="40"/>
            </w:pPr>
            <w:r>
              <w:t>18 May 2004</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2004</w:t>
            </w:r>
          </w:p>
        </w:tc>
        <w:tc>
          <w:tcPr>
            <w:tcW w:w="1276" w:type="dxa"/>
            <w:gridSpan w:val="2"/>
          </w:tcPr>
          <w:p>
            <w:pPr>
              <w:pStyle w:val="nTable"/>
              <w:spacing w:after="40"/>
            </w:pPr>
            <w:r>
              <w:t>9 Jul 2004 p. 2782</w:t>
            </w:r>
            <w:r>
              <w:noBreakHyphen/>
              <w:t>4</w:t>
            </w:r>
          </w:p>
        </w:tc>
        <w:tc>
          <w:tcPr>
            <w:tcW w:w="2694" w:type="dxa"/>
          </w:tcPr>
          <w:p>
            <w:pPr>
              <w:pStyle w:val="nTable"/>
              <w:spacing w:after="40"/>
            </w:pPr>
            <w:r>
              <w:t>1 Jan 2005 (see r. 2)</w:t>
            </w:r>
          </w:p>
        </w:tc>
      </w:tr>
      <w:tr>
        <w:trPr>
          <w:gridBefore w:val="1"/>
          <w:wBefore w:w="20" w:type="dxa"/>
          <w:cantSplit/>
        </w:trPr>
        <w:tc>
          <w:tcPr>
            <w:tcW w:w="7088" w:type="dxa"/>
            <w:gridSpan w:val="5"/>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rPr>
          <w:gridBefore w:val="1"/>
          <w:wBefore w:w="20" w:type="dxa"/>
          <w:cantSplit/>
        </w:trPr>
        <w:tc>
          <w:tcPr>
            <w:tcW w:w="3118" w:type="dxa"/>
            <w:gridSpan w:val="2"/>
          </w:tcPr>
          <w:p>
            <w:pPr>
              <w:pStyle w:val="nTable"/>
              <w:spacing w:after="40"/>
              <w:rPr>
                <w:i/>
              </w:rPr>
            </w:pPr>
            <w:r>
              <w:rPr>
                <w:i/>
              </w:rPr>
              <w:t>Gaming and Wagering Commission Amendment Regulations 2005</w:t>
            </w:r>
          </w:p>
        </w:tc>
        <w:tc>
          <w:tcPr>
            <w:tcW w:w="1276" w:type="dxa"/>
            <w:gridSpan w:val="2"/>
          </w:tcPr>
          <w:p>
            <w:pPr>
              <w:pStyle w:val="nTable"/>
              <w:spacing w:after="40"/>
            </w:pPr>
            <w:r>
              <w:t>14 Oct 2005 p. 4562</w:t>
            </w:r>
            <w:r>
              <w:noBreakHyphen/>
              <w:t>4</w:t>
            </w:r>
          </w:p>
        </w:tc>
        <w:tc>
          <w:tcPr>
            <w:tcW w:w="2694" w:type="dxa"/>
          </w:tcPr>
          <w:p>
            <w:pPr>
              <w:pStyle w:val="nTable"/>
              <w:spacing w:after="40"/>
            </w:pPr>
            <w:r>
              <w:t>1 Jan 2006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2006</w:t>
            </w:r>
          </w:p>
        </w:tc>
        <w:tc>
          <w:tcPr>
            <w:tcW w:w="1276" w:type="dxa"/>
            <w:gridSpan w:val="2"/>
          </w:tcPr>
          <w:p>
            <w:pPr>
              <w:pStyle w:val="nTable"/>
              <w:spacing w:after="40"/>
            </w:pPr>
            <w:r>
              <w:t>22 Aug 2006 p. 3465</w:t>
            </w:r>
            <w:r>
              <w:noBreakHyphen/>
              <w:t>8</w:t>
            </w:r>
          </w:p>
        </w:tc>
        <w:tc>
          <w:tcPr>
            <w:tcW w:w="2694" w:type="dxa"/>
          </w:tcPr>
          <w:p>
            <w:pPr>
              <w:pStyle w:val="nTable"/>
              <w:spacing w:after="40"/>
            </w:pPr>
            <w:r>
              <w:t>22 Aug 2006</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2006</w:t>
            </w:r>
          </w:p>
        </w:tc>
        <w:tc>
          <w:tcPr>
            <w:tcW w:w="1276" w:type="dxa"/>
            <w:gridSpan w:val="2"/>
          </w:tcPr>
          <w:p>
            <w:pPr>
              <w:pStyle w:val="nTable"/>
              <w:spacing w:after="40"/>
            </w:pPr>
            <w:r>
              <w:t>14 Nov 2006 p. 4731</w:t>
            </w:r>
            <w:r>
              <w:noBreakHyphen/>
              <w:t>3</w:t>
            </w:r>
          </w:p>
        </w:tc>
        <w:tc>
          <w:tcPr>
            <w:tcW w:w="2694" w:type="dxa"/>
          </w:tcPr>
          <w:p>
            <w:pPr>
              <w:pStyle w:val="nTable"/>
              <w:spacing w:after="40"/>
            </w:pPr>
            <w:r>
              <w:rPr>
                <w:snapToGrid w:val="0"/>
              </w:rPr>
              <w:t>1 Jan 2007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2007</w:t>
            </w:r>
            <w:r>
              <w:rPr>
                <w:iCs/>
              </w:rPr>
              <w:t xml:space="preserve"> </w:t>
            </w:r>
          </w:p>
        </w:tc>
        <w:tc>
          <w:tcPr>
            <w:tcW w:w="1276" w:type="dxa"/>
            <w:gridSpan w:val="2"/>
          </w:tcPr>
          <w:p>
            <w:pPr>
              <w:pStyle w:val="nTable"/>
              <w:spacing w:after="40"/>
            </w:pPr>
            <w:r>
              <w:t>9 Oct 2007 p. 5354</w:t>
            </w:r>
            <w:r>
              <w:noBreakHyphen/>
              <w:t>7</w:t>
            </w:r>
          </w:p>
        </w:tc>
        <w:tc>
          <w:tcPr>
            <w:tcW w:w="2694" w:type="dxa"/>
          </w:tcPr>
          <w:p>
            <w:pPr>
              <w:pStyle w:val="nTable"/>
              <w:spacing w:after="40"/>
              <w:rPr>
                <w:snapToGrid w:val="0"/>
              </w:rPr>
            </w:pPr>
            <w:r>
              <w:rPr>
                <w:snapToGrid w:val="0"/>
              </w:rPr>
              <w:t>r. 1 and 2: 9 Oct 2007 (see r. 2(a));</w:t>
            </w:r>
            <w:r>
              <w:rPr>
                <w:snapToGrid w:val="0"/>
              </w:rPr>
              <w:br/>
              <w:t>Regulations other than r. 1 and 2: 1 Jan 2008 (see r. 2(b))</w:t>
            </w:r>
          </w:p>
        </w:tc>
      </w:tr>
      <w:tr>
        <w:trPr>
          <w:gridBefore w:val="1"/>
          <w:wBefore w:w="20" w:type="dxa"/>
          <w:cantSplit/>
        </w:trPr>
        <w:tc>
          <w:tcPr>
            <w:tcW w:w="7088" w:type="dxa"/>
            <w:gridSpan w:val="5"/>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2008</w:t>
            </w:r>
          </w:p>
        </w:tc>
        <w:tc>
          <w:tcPr>
            <w:tcW w:w="1276" w:type="dxa"/>
            <w:gridSpan w:val="2"/>
          </w:tcPr>
          <w:p>
            <w:pPr>
              <w:pStyle w:val="nTable"/>
              <w:spacing w:after="40"/>
            </w:pPr>
            <w:r>
              <w:t>10 Jun 2008 p. 2495</w:t>
            </w:r>
            <w:r>
              <w:noBreakHyphen/>
              <w:t>6</w:t>
            </w:r>
          </w:p>
        </w:tc>
        <w:tc>
          <w:tcPr>
            <w:tcW w:w="2694" w:type="dxa"/>
          </w:tcPr>
          <w:p>
            <w:pPr>
              <w:pStyle w:val="nTable"/>
              <w:spacing w:after="40"/>
              <w:rPr>
                <w:snapToGrid w:val="0"/>
              </w:rPr>
            </w:pPr>
            <w:r>
              <w:rPr>
                <w:snapToGrid w:val="0"/>
              </w:rPr>
              <w:t>r. 1 and 2: 10 Jun 2008 (see r. 2(a));</w:t>
            </w:r>
            <w:r>
              <w:rPr>
                <w:snapToGrid w:val="0"/>
              </w:rPr>
              <w:br/>
              <w:t>Regulations other than r. 1 and 2: 11 Jun 2008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3) 2008</w:t>
            </w:r>
          </w:p>
        </w:tc>
        <w:tc>
          <w:tcPr>
            <w:tcW w:w="1276" w:type="dxa"/>
            <w:gridSpan w:val="2"/>
          </w:tcPr>
          <w:p>
            <w:pPr>
              <w:pStyle w:val="nTable"/>
              <w:spacing w:after="40"/>
            </w:pPr>
            <w:r>
              <w:t>28 Oct 2008 p. 4735</w:t>
            </w:r>
            <w:r>
              <w:noBreakHyphen/>
              <w:t>7</w:t>
            </w:r>
          </w:p>
        </w:tc>
        <w:tc>
          <w:tcPr>
            <w:tcW w:w="2694"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2009</w:t>
            </w:r>
          </w:p>
        </w:tc>
        <w:tc>
          <w:tcPr>
            <w:tcW w:w="1276" w:type="dxa"/>
            <w:gridSpan w:val="2"/>
          </w:tcPr>
          <w:p>
            <w:pPr>
              <w:pStyle w:val="nTable"/>
              <w:spacing w:after="40"/>
            </w:pPr>
            <w:r>
              <w:t>30 Oct 2009 p. 4316</w:t>
            </w:r>
            <w:r>
              <w:noBreakHyphen/>
              <w:t>19</w:t>
            </w:r>
          </w:p>
        </w:tc>
        <w:tc>
          <w:tcPr>
            <w:tcW w:w="2694"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2009</w:t>
            </w:r>
          </w:p>
        </w:tc>
        <w:tc>
          <w:tcPr>
            <w:tcW w:w="1276" w:type="dxa"/>
            <w:gridSpan w:val="2"/>
          </w:tcPr>
          <w:p>
            <w:pPr>
              <w:pStyle w:val="nTable"/>
              <w:spacing w:after="40"/>
            </w:pPr>
            <w:r>
              <w:t>8 Jan 2010 p. 17</w:t>
            </w:r>
            <w:r>
              <w:noBreakHyphen/>
              <w:t>19</w:t>
            </w:r>
          </w:p>
        </w:tc>
        <w:tc>
          <w:tcPr>
            <w:tcW w:w="2694"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rPr>
          <w:gridBefore w:val="1"/>
          <w:wBefore w:w="20" w:type="dxa"/>
          <w:cantSplit/>
        </w:trPr>
        <w:tc>
          <w:tcPr>
            <w:tcW w:w="3118" w:type="dxa"/>
            <w:gridSpan w:val="2"/>
          </w:tcPr>
          <w:p>
            <w:pPr>
              <w:pStyle w:val="nTable"/>
              <w:spacing w:after="40"/>
              <w:rPr>
                <w:i/>
              </w:rPr>
            </w:pPr>
            <w:r>
              <w:rPr>
                <w:i/>
              </w:rPr>
              <w:t>Gaming and Wagering Commission Amendment Regulations 2010</w:t>
            </w:r>
            <w:r>
              <w:rPr>
                <w:iCs/>
              </w:rPr>
              <w:t xml:space="preserve"> </w:t>
            </w:r>
          </w:p>
        </w:tc>
        <w:tc>
          <w:tcPr>
            <w:tcW w:w="1276" w:type="dxa"/>
            <w:gridSpan w:val="2"/>
          </w:tcPr>
          <w:p>
            <w:pPr>
              <w:pStyle w:val="nTable"/>
              <w:spacing w:after="40"/>
            </w:pPr>
            <w:r>
              <w:t>19 Nov 2010 p. 5747</w:t>
            </w:r>
            <w:r>
              <w:noBreakHyphen/>
              <w:t>8</w:t>
            </w:r>
          </w:p>
        </w:tc>
        <w:tc>
          <w:tcPr>
            <w:tcW w:w="2694" w:type="dxa"/>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rPr>
          <w:gridBefore w:val="1"/>
          <w:wBefore w:w="20" w:type="dxa"/>
          <w:cantSplit/>
        </w:trPr>
        <w:tc>
          <w:tcPr>
            <w:tcW w:w="7088" w:type="dxa"/>
            <w:gridSpan w:val="5"/>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rPr>
          <w:gridBefore w:val="1"/>
          <w:wBefore w:w="20" w:type="dxa"/>
          <w:cantSplit/>
        </w:trPr>
        <w:tc>
          <w:tcPr>
            <w:tcW w:w="3118" w:type="dxa"/>
            <w:gridSpan w:val="2"/>
          </w:tcPr>
          <w:p>
            <w:pPr>
              <w:pStyle w:val="nTable"/>
              <w:spacing w:after="40"/>
              <w:rPr>
                <w:i/>
              </w:rPr>
            </w:pPr>
            <w:r>
              <w:rPr>
                <w:i/>
              </w:rPr>
              <w:t>Gaming and Wagering Commission Amendment Regulations 2011</w:t>
            </w:r>
            <w:r>
              <w:rPr>
                <w:iCs/>
              </w:rPr>
              <w:t xml:space="preserve"> </w:t>
            </w:r>
          </w:p>
        </w:tc>
        <w:tc>
          <w:tcPr>
            <w:tcW w:w="1276" w:type="dxa"/>
            <w:gridSpan w:val="2"/>
          </w:tcPr>
          <w:p>
            <w:pPr>
              <w:pStyle w:val="nTable"/>
              <w:spacing w:after="40"/>
            </w:pPr>
            <w:r>
              <w:t>12 Aug 2011 p. 3248-50</w:t>
            </w:r>
          </w:p>
        </w:tc>
        <w:tc>
          <w:tcPr>
            <w:tcW w:w="2694" w:type="dxa"/>
          </w:tcPr>
          <w:p>
            <w:pPr>
              <w:pStyle w:val="nTable"/>
              <w:spacing w:after="40"/>
              <w:rPr>
                <w:snapToGrid w:val="0"/>
              </w:rPr>
            </w:pPr>
            <w:r>
              <w:rPr>
                <w:snapToGrid w:val="0"/>
              </w:rPr>
              <w:t>r. 1 and 2: 12 Aug 2011 (see r. 2(a));</w:t>
            </w:r>
            <w:r>
              <w:rPr>
                <w:snapToGrid w:val="0"/>
              </w:rPr>
              <w:br/>
              <w:t>Regulations other than r. 1 and 2: 13</w:t>
            </w:r>
            <w:r>
              <w:t> Aug 2011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2011</w:t>
            </w:r>
          </w:p>
        </w:tc>
        <w:tc>
          <w:tcPr>
            <w:tcW w:w="1276" w:type="dxa"/>
            <w:gridSpan w:val="2"/>
          </w:tcPr>
          <w:p>
            <w:pPr>
              <w:pStyle w:val="nTable"/>
              <w:spacing w:after="40"/>
            </w:pPr>
            <w:r>
              <w:t>4 Nov 2011 p. 4645-6</w:t>
            </w:r>
          </w:p>
        </w:tc>
        <w:tc>
          <w:tcPr>
            <w:tcW w:w="2694" w:type="dxa"/>
          </w:tcPr>
          <w:p>
            <w:pPr>
              <w:pStyle w:val="nTable"/>
              <w:spacing w:after="40"/>
              <w:rPr>
                <w:snapToGrid w:val="0"/>
                <w:spacing w:val="-2"/>
              </w:rPr>
            </w:pPr>
            <w:r>
              <w:t>r. 1 and 2: 4 Nov 2011 (see r. 2(a));</w:t>
            </w:r>
            <w:r>
              <w:br/>
              <w:t>Regulations other than r. 1 and 2: 1 Jan 2012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2012</w:t>
            </w:r>
          </w:p>
        </w:tc>
        <w:tc>
          <w:tcPr>
            <w:tcW w:w="1276" w:type="dxa"/>
            <w:gridSpan w:val="2"/>
          </w:tcPr>
          <w:p>
            <w:pPr>
              <w:pStyle w:val="nTable"/>
              <w:spacing w:after="40"/>
            </w:pPr>
            <w:r>
              <w:t>16 Nov 2012 p. 5649-51</w:t>
            </w:r>
          </w:p>
        </w:tc>
        <w:tc>
          <w:tcPr>
            <w:tcW w:w="2694" w:type="dxa"/>
          </w:tcPr>
          <w:p>
            <w:pPr>
              <w:pStyle w:val="nTable"/>
              <w:spacing w:after="40"/>
            </w:pPr>
            <w:r>
              <w:rPr>
                <w:snapToGrid w:val="0"/>
              </w:rPr>
              <w:t>r. 1 and 2: 16 Nov 2012 (see r. 2(a));</w:t>
            </w:r>
            <w:r>
              <w:rPr>
                <w:snapToGrid w:val="0"/>
              </w:rPr>
              <w:br/>
              <w:t xml:space="preserve">Regulations other than r. 1 and 2: </w:t>
            </w:r>
            <w:r>
              <w:t>1 Jan 2013 (see r. 2(b))</w:t>
            </w:r>
          </w:p>
        </w:tc>
      </w:tr>
      <w:tr>
        <w:trPr>
          <w:gridBefore w:val="1"/>
          <w:wBefore w:w="20" w:type="dxa"/>
          <w:cantSplit/>
        </w:trPr>
        <w:tc>
          <w:tcPr>
            <w:tcW w:w="3118" w:type="dxa"/>
            <w:gridSpan w:val="2"/>
            <w:shd w:val="clear" w:color="auto" w:fill="auto"/>
          </w:tcPr>
          <w:p>
            <w:pPr>
              <w:pStyle w:val="nTable"/>
              <w:spacing w:after="40"/>
              <w:rPr>
                <w:i/>
              </w:rPr>
            </w:pPr>
            <w:r>
              <w:rPr>
                <w:i/>
              </w:rPr>
              <w:t>Gaming and Wagering Commission Amendment Regulations 2013</w:t>
            </w:r>
          </w:p>
        </w:tc>
        <w:tc>
          <w:tcPr>
            <w:tcW w:w="1276" w:type="dxa"/>
            <w:gridSpan w:val="2"/>
            <w:shd w:val="clear" w:color="auto" w:fill="auto"/>
          </w:tcPr>
          <w:p>
            <w:pPr>
              <w:pStyle w:val="nTable"/>
              <w:spacing w:after="40"/>
            </w:pPr>
            <w:r>
              <w:t>8 Nov 2013 p. 4975</w:t>
            </w:r>
            <w:r>
              <w:noBreakHyphen/>
              <w:t>7</w:t>
            </w:r>
          </w:p>
        </w:tc>
        <w:tc>
          <w:tcPr>
            <w:tcW w:w="2694" w:type="dxa"/>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rPr>
          <w:gridBefore w:val="1"/>
          <w:wBefore w:w="20" w:type="dxa"/>
          <w:cantSplit/>
        </w:trPr>
        <w:tc>
          <w:tcPr>
            <w:tcW w:w="7088" w:type="dxa"/>
            <w:gridSpan w:val="5"/>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r>
        <w:trPr>
          <w:cantSplit/>
        </w:trPr>
        <w:tc>
          <w:tcPr>
            <w:tcW w:w="3119" w:type="dxa"/>
            <w:gridSpan w:val="2"/>
          </w:tcPr>
          <w:p>
            <w:pPr>
              <w:pStyle w:val="nTable"/>
              <w:spacing w:after="40"/>
              <w:ind w:right="113"/>
              <w:rPr>
                <w:vertAlign w:val="superscript"/>
              </w:rPr>
            </w:pPr>
            <w:r>
              <w:rPr>
                <w:i/>
              </w:rPr>
              <w:t>Gaming and Wagering Commission Amendment Regulations 2014</w:t>
            </w:r>
          </w:p>
        </w:tc>
        <w:tc>
          <w:tcPr>
            <w:tcW w:w="1276" w:type="dxa"/>
            <w:gridSpan w:val="2"/>
          </w:tcPr>
          <w:p>
            <w:pPr>
              <w:pStyle w:val="nTable"/>
              <w:spacing w:after="40"/>
            </w:pPr>
            <w:r>
              <w:t>14 Nov 2014 p. 4282</w:t>
            </w:r>
            <w:r>
              <w:noBreakHyphen/>
              <w:t>4</w:t>
            </w:r>
          </w:p>
        </w:tc>
        <w:tc>
          <w:tcPr>
            <w:tcW w:w="2713" w:type="dxa"/>
            <w:gridSpan w:val="2"/>
          </w:tcPr>
          <w:p>
            <w:pPr>
              <w:pStyle w:val="nTable"/>
              <w:spacing w:after="40"/>
            </w:pPr>
            <w:r>
              <w:rPr>
                <w:rFonts w:ascii="Times" w:hAnsi="Times"/>
                <w:bCs/>
                <w:snapToGrid w:val="0"/>
                <w:spacing w:val="-2"/>
              </w:rPr>
              <w:t>r. 1 and 2: 14 Nov 2014 (see r. 2(a));</w:t>
            </w:r>
            <w:r>
              <w:rPr>
                <w:rFonts w:ascii="Times" w:hAnsi="Times"/>
                <w:bCs/>
                <w:snapToGrid w:val="0"/>
                <w:spacing w:val="-2"/>
              </w:rPr>
              <w:br/>
              <w:t xml:space="preserve">Regulations other than r. 1 and 2: </w:t>
            </w:r>
            <w:r>
              <w:t>1 Jan 2015 (see r. 2(b))</w:t>
            </w:r>
          </w:p>
        </w:tc>
      </w:tr>
      <w:tr>
        <w:trPr>
          <w:cantSplit/>
        </w:trPr>
        <w:tc>
          <w:tcPr>
            <w:tcW w:w="3119" w:type="dxa"/>
            <w:gridSpan w:val="2"/>
          </w:tcPr>
          <w:p>
            <w:pPr>
              <w:pStyle w:val="nTable"/>
              <w:spacing w:after="40"/>
              <w:ind w:right="113"/>
              <w:rPr>
                <w:i/>
              </w:rPr>
            </w:pPr>
            <w:r>
              <w:rPr>
                <w:i/>
              </w:rPr>
              <w:t xml:space="preserve">Racing, Gaming and Liquor Regulations Amendment (Fees and Charges) Regulations 2015 </w:t>
            </w:r>
            <w:r>
              <w:t>Pt. 5</w:t>
            </w:r>
          </w:p>
        </w:tc>
        <w:tc>
          <w:tcPr>
            <w:tcW w:w="1276" w:type="dxa"/>
            <w:gridSpan w:val="2"/>
          </w:tcPr>
          <w:p>
            <w:pPr>
              <w:pStyle w:val="nTable"/>
              <w:spacing w:after="40"/>
            </w:pPr>
            <w:r>
              <w:t>6 Nov 2015 p. 4581-8</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1 Jan 2016</w:t>
            </w:r>
            <w:r>
              <w:t xml:space="preserve"> (see r. 2(b))</w:t>
            </w:r>
          </w:p>
        </w:tc>
      </w:tr>
      <w:tr>
        <w:trPr>
          <w:cantSplit/>
        </w:trPr>
        <w:tc>
          <w:tcPr>
            <w:tcW w:w="3119" w:type="dxa"/>
            <w:gridSpan w:val="2"/>
          </w:tcPr>
          <w:p>
            <w:pPr>
              <w:pStyle w:val="nTable"/>
              <w:spacing w:after="40"/>
              <w:ind w:right="113"/>
              <w:rPr>
                <w:i/>
              </w:rPr>
            </w:pPr>
            <w:r>
              <w:rPr>
                <w:i/>
              </w:rPr>
              <w:t>Gaming and Wagering Commission Amendment Regulations 2015</w:t>
            </w:r>
          </w:p>
        </w:tc>
        <w:tc>
          <w:tcPr>
            <w:tcW w:w="1276" w:type="dxa"/>
            <w:gridSpan w:val="2"/>
          </w:tcPr>
          <w:p>
            <w:pPr>
              <w:pStyle w:val="nTable"/>
              <w:spacing w:after="40"/>
            </w:pPr>
            <w:r>
              <w:t>1 Dec 2015 p. 4823</w:t>
            </w:r>
            <w:r>
              <w:noBreakHyphen/>
              <w:t>4</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r. 1 and 2: 1 Dec 2015 (see r. 2(a));</w:t>
            </w:r>
            <w:r>
              <w:rPr>
                <w:rFonts w:ascii="Times" w:hAnsi="Times"/>
                <w:bCs/>
                <w:snapToGrid w:val="0"/>
                <w:spacing w:val="-2"/>
              </w:rPr>
              <w:br/>
              <w:t>Regulations other than r. 1 and 2: 2</w:t>
            </w:r>
            <w:r>
              <w:t xml:space="preserve"> Dec 2015 (see r. 2(b))</w:t>
            </w:r>
          </w:p>
        </w:tc>
      </w:tr>
      <w:tr>
        <w:trPr>
          <w:cantSplit/>
        </w:trPr>
        <w:tc>
          <w:tcPr>
            <w:tcW w:w="3119" w:type="dxa"/>
            <w:gridSpan w:val="2"/>
          </w:tcPr>
          <w:p>
            <w:pPr>
              <w:pStyle w:val="nTable"/>
              <w:spacing w:after="40"/>
              <w:ind w:right="113"/>
              <w:rPr>
                <w:i/>
              </w:rPr>
            </w:pPr>
            <w:r>
              <w:rPr>
                <w:i/>
              </w:rPr>
              <w:t>Gaming and Wagering Commission Amendment Regulations 2016</w:t>
            </w:r>
          </w:p>
        </w:tc>
        <w:tc>
          <w:tcPr>
            <w:tcW w:w="1276" w:type="dxa"/>
            <w:gridSpan w:val="2"/>
          </w:tcPr>
          <w:p>
            <w:pPr>
              <w:pStyle w:val="nTable"/>
              <w:spacing w:after="40"/>
            </w:pPr>
            <w:r>
              <w:t>6 Sep 2016 p. 3831-3</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gridSpan w:val="2"/>
          </w:tcPr>
          <w:p>
            <w:pPr>
              <w:pStyle w:val="nTable"/>
              <w:spacing w:after="40"/>
              <w:ind w:right="113"/>
              <w:rPr>
                <w:i/>
              </w:rPr>
            </w:pPr>
            <w:r>
              <w:rPr>
                <w:i/>
              </w:rPr>
              <w:t>Racing, Gaming and Liquor Regulations Amendment (Fees and Charges) Regulations 2016</w:t>
            </w:r>
            <w:r>
              <w:t xml:space="preserve"> Pt. 5</w:t>
            </w:r>
          </w:p>
        </w:tc>
        <w:tc>
          <w:tcPr>
            <w:tcW w:w="1276" w:type="dxa"/>
            <w:gridSpan w:val="2"/>
          </w:tcPr>
          <w:p>
            <w:pPr>
              <w:pStyle w:val="nTable"/>
              <w:spacing w:after="40"/>
            </w:pPr>
            <w:r>
              <w:t>28 Oct 2016 p. 4910</w:t>
            </w:r>
            <w:r>
              <w:noBreakHyphen/>
              <w:t>16</w:t>
            </w:r>
          </w:p>
        </w:tc>
        <w:tc>
          <w:tcPr>
            <w:tcW w:w="2713" w:type="dxa"/>
            <w:gridSpan w:val="2"/>
          </w:tcPr>
          <w:p>
            <w:pPr>
              <w:pStyle w:val="nTable"/>
              <w:spacing w:after="40"/>
              <w:rPr>
                <w:rFonts w:ascii="Times" w:hAnsi="Times"/>
                <w:bCs/>
                <w:snapToGrid w:val="0"/>
                <w:spacing w:val="-2"/>
              </w:rPr>
            </w:pPr>
            <w:r>
              <w:t>1 Jan 2017 (see r. 2(b))</w:t>
            </w:r>
          </w:p>
        </w:tc>
      </w:tr>
      <w:tr>
        <w:trPr>
          <w:cantSplit/>
        </w:trPr>
        <w:tc>
          <w:tcPr>
            <w:tcW w:w="3119" w:type="dxa"/>
            <w:gridSpan w:val="2"/>
          </w:tcPr>
          <w:p>
            <w:pPr>
              <w:pStyle w:val="nTable"/>
              <w:spacing w:after="40"/>
              <w:ind w:right="113"/>
            </w:pPr>
            <w:r>
              <w:rPr>
                <w:i/>
              </w:rPr>
              <w:t>Gaming and Wagering Commission Amendment Regulations 2017</w:t>
            </w:r>
          </w:p>
        </w:tc>
        <w:tc>
          <w:tcPr>
            <w:tcW w:w="1276" w:type="dxa"/>
            <w:gridSpan w:val="2"/>
          </w:tcPr>
          <w:p>
            <w:pPr>
              <w:pStyle w:val="nTable"/>
              <w:spacing w:after="40"/>
            </w:pPr>
            <w:r>
              <w:t>26 May 2017 p. 2632</w:t>
            </w:r>
            <w:r>
              <w:noBreakHyphen/>
              <w:t>3</w:t>
            </w:r>
          </w:p>
        </w:tc>
        <w:tc>
          <w:tcPr>
            <w:tcW w:w="2713" w:type="dxa"/>
            <w:gridSpan w:val="2"/>
          </w:tcPr>
          <w:p>
            <w:pPr>
              <w:pStyle w:val="nTable"/>
              <w:spacing w:after="40"/>
            </w:pPr>
            <w:r>
              <w:t>r. 1 and 2: 26 May 2017 (see r. 2(a));</w:t>
            </w:r>
            <w:r>
              <w:br/>
              <w:t>Regulations other than r. 1 and 2: 27 May 2017 (see r. 2(b))</w:t>
            </w:r>
          </w:p>
        </w:tc>
      </w:tr>
      <w:tr>
        <w:trPr>
          <w:cantSplit/>
          <w:ins w:id="290" w:author="Master Repository Process" w:date="2021-08-28T11:03:00Z"/>
        </w:trPr>
        <w:tc>
          <w:tcPr>
            <w:tcW w:w="3119" w:type="dxa"/>
            <w:gridSpan w:val="2"/>
            <w:tcBorders>
              <w:bottom w:val="single" w:sz="4" w:space="0" w:color="auto"/>
            </w:tcBorders>
          </w:tcPr>
          <w:p>
            <w:pPr>
              <w:pStyle w:val="nTable"/>
              <w:spacing w:after="40"/>
              <w:ind w:right="113"/>
              <w:rPr>
                <w:ins w:id="291" w:author="Master Repository Process" w:date="2021-08-28T11:03:00Z"/>
                <w:i/>
              </w:rPr>
            </w:pPr>
            <w:ins w:id="292" w:author="Master Repository Process" w:date="2021-08-28T11:03:00Z">
              <w:r>
                <w:rPr>
                  <w:i/>
                </w:rPr>
                <w:t>Gaming and Wagering Commission Amendment Regulations (No. 3) 2017</w:t>
              </w:r>
            </w:ins>
          </w:p>
        </w:tc>
        <w:tc>
          <w:tcPr>
            <w:tcW w:w="1276" w:type="dxa"/>
            <w:gridSpan w:val="2"/>
            <w:tcBorders>
              <w:bottom w:val="single" w:sz="4" w:space="0" w:color="auto"/>
            </w:tcBorders>
          </w:tcPr>
          <w:p>
            <w:pPr>
              <w:pStyle w:val="nTable"/>
              <w:spacing w:after="40"/>
              <w:rPr>
                <w:ins w:id="293" w:author="Master Repository Process" w:date="2021-08-28T11:03:00Z"/>
              </w:rPr>
            </w:pPr>
            <w:ins w:id="294" w:author="Master Repository Process" w:date="2021-08-28T11:03:00Z">
              <w:r>
                <w:t>11 Jul 2017 p. 3833</w:t>
              </w:r>
              <w:r>
                <w:noBreakHyphen/>
                <w:t>4</w:t>
              </w:r>
            </w:ins>
          </w:p>
        </w:tc>
        <w:tc>
          <w:tcPr>
            <w:tcW w:w="2713" w:type="dxa"/>
            <w:gridSpan w:val="2"/>
            <w:tcBorders>
              <w:bottom w:val="single" w:sz="4" w:space="0" w:color="auto"/>
            </w:tcBorders>
          </w:tcPr>
          <w:p>
            <w:pPr>
              <w:pStyle w:val="nTable"/>
              <w:spacing w:after="40"/>
              <w:rPr>
                <w:ins w:id="295" w:author="Master Repository Process" w:date="2021-08-28T11:03:00Z"/>
              </w:rPr>
            </w:pPr>
            <w:ins w:id="296" w:author="Master Repository Process" w:date="2021-08-28T11:03:00Z">
              <w:r>
                <w:t>r. 1 and 2: 11 Jul 2017 (see r. 2(a));</w:t>
              </w:r>
              <w:r>
                <w:br/>
                <w:t>Regulations other than r. 1 and 2: 12 Jul 2017 (see r. 2(b))</w:t>
              </w:r>
            </w:ins>
          </w:p>
        </w:tc>
      </w:tr>
    </w:tbl>
    <w:p>
      <w:pPr>
        <w:pStyle w:val="nSubsection"/>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Deleted by the </w:t>
      </w:r>
      <w:r>
        <w:rPr>
          <w:i/>
        </w:rPr>
        <w:t>Acts Amendment (Continuing Lotteries) Act 2000</w:t>
      </w:r>
      <w:r>
        <w:t xml:space="preserve"> s. 5.</w:t>
      </w:r>
    </w:p>
    <w:p>
      <w:pPr>
        <w:pStyle w:val="nSubsection"/>
      </w:pPr>
      <w:r>
        <w:rPr>
          <w:vertAlign w:val="superscript"/>
        </w:rPr>
        <w:t>5</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in </w:t>
      </w:r>
      <w:r>
        <w:rPr>
          <w:i/>
          <w:iCs/>
        </w:rPr>
        <w:t>Gazette</w:t>
      </w:r>
      <w:r>
        <w:t xml:space="preserve"> 10 Jun 2008 p. 2496 due to an error in the citation of the principal regulations.</w:t>
      </w:r>
    </w:p>
    <w:p>
      <w:pPr>
        <w:pStyle w:val="nSubsection"/>
        <w:keepNext/>
        <w:keepLines/>
      </w:pPr>
      <w:r>
        <w:rPr>
          <w:vertAlign w:val="superscript"/>
        </w:rPr>
        <w:t>6</w:t>
      </w:r>
      <w:r>
        <w:tab/>
        <w:t xml:space="preserve">Now known as the </w:t>
      </w:r>
      <w:r>
        <w:rPr>
          <w:i/>
          <w:snapToGrid w:val="0"/>
        </w:rPr>
        <w:t>Gaming and Wagering Commission Regulations 1988</w:t>
      </w:r>
      <w:r>
        <w:t>; citation changed (see note under r. 1).</w:t>
      </w:r>
    </w:p>
    <w:p>
      <w:pPr>
        <w:pStyle w:val="nSubsection"/>
      </w:pPr>
      <w:r>
        <w:rPr>
          <w:vertAlign w:val="superscript"/>
        </w:rPr>
        <w:t>7</w:t>
      </w:r>
      <w:r>
        <w:tab/>
        <w:t>The commencement date of 1 Oct 2001 that was specified was before the date of gazettal.</w:t>
      </w: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jc w:val="both"/>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Rules for the conduct of permitted games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Permitted lotteries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Rules for the conduct of permitted games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Permitted lotteries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97" w:name="Compilation"/>
    <w:bookmarkEnd w:id="297"/>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8" w:name="Coversheet"/>
    <w:bookmarkEnd w:id="29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5" w:name="Schedule"/>
    <w:bookmarkEnd w:id="2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5145115"/>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 w:name="WAFER_20151105142012" w:val="UpdateStyles"/>
    <w:docVar w:name="WAFER_20151105142012_GUID" w:val="22c14843-cf89-4e3a-8108-6fc16ebe27af"/>
    <w:docVar w:name="WAFER_20151105142324" w:val="UsedStyles"/>
    <w:docVar w:name="WAFER_20151105142324_GUID" w:val="cf0e45ba-8119-460a-a924-cec6ce5fda84"/>
    <w:docVar w:name="WAFER_20170125145115" w:val="RemoveTocBookmarks,RemoveUnusedBookmarks,RemoveLanguageTags,UsedStyles,ResetPageSize"/>
    <w:docVar w:name="WAFER_20170125145115_GUID" w:val="ea8468be-7f65-45cd-b2b9-03a037bafa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95156C7-6549-4D03-A7D8-69D07ABE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FB727-945A-42F8-AB8F-3395F11F3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14675</Words>
  <Characters>71177</Characters>
  <Application>Microsoft Office Word</Application>
  <DocSecurity>0</DocSecurity>
  <Lines>2224</Lines>
  <Paragraphs>1407</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84445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06-j0-00 - 06-k0-00</dc:title>
  <dc:subject/>
  <dc:creator/>
  <cp:keywords/>
  <dc:description/>
  <cp:lastModifiedBy>Master Repository Process</cp:lastModifiedBy>
  <cp:revision>2</cp:revision>
  <cp:lastPrinted>2014-05-27T00:05:00Z</cp:lastPrinted>
  <dcterms:created xsi:type="dcterms:W3CDTF">2021-08-28T03:03:00Z</dcterms:created>
  <dcterms:modified xsi:type="dcterms:W3CDTF">2021-08-28T03:03:00Z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DocumentType">
    <vt:lpwstr>Reg</vt:lpwstr>
  </property>
  <property fmtid="{D5CDD505-2E9C-101B-9397-08002B2CF9AE}" pid="4" name="OwlsUID">
    <vt:i4>4458</vt:i4>
  </property>
  <property fmtid="{D5CDD505-2E9C-101B-9397-08002B2CF9AE}" pid="5" name="ReprintNo">
    <vt:lpwstr>6</vt:lpwstr>
  </property>
  <property fmtid="{D5CDD505-2E9C-101B-9397-08002B2CF9AE}" pid="6" name="ReprintedAsAt">
    <vt:filetime>2014-05-15T16:00:00Z</vt:filetime>
  </property>
  <property fmtid="{D5CDD505-2E9C-101B-9397-08002B2CF9AE}" pid="7" name="CommencementDate">
    <vt:lpwstr>20170712</vt:lpwstr>
  </property>
  <property fmtid="{D5CDD505-2E9C-101B-9397-08002B2CF9AE}" pid="8" name="FromSuffix">
    <vt:lpwstr>06-j0-00</vt:lpwstr>
  </property>
  <property fmtid="{D5CDD505-2E9C-101B-9397-08002B2CF9AE}" pid="9" name="FromAsAtDate">
    <vt:lpwstr>27 May 2017</vt:lpwstr>
  </property>
  <property fmtid="{D5CDD505-2E9C-101B-9397-08002B2CF9AE}" pid="10" name="ToSuffix">
    <vt:lpwstr>06-k0-00</vt:lpwstr>
  </property>
  <property fmtid="{D5CDD505-2E9C-101B-9397-08002B2CF9AE}" pid="11" name="ToAsAtDate">
    <vt:lpwstr>12 Jul 2017</vt:lpwstr>
  </property>
</Properties>
</file>