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02-k0-00</w:t>
      </w:r>
      <w:r>
        <w:fldChar w:fldCharType="end"/>
      </w:r>
      <w:r>
        <w:t>] and [</w:t>
      </w:r>
      <w:r>
        <w:fldChar w:fldCharType="begin"/>
      </w:r>
      <w:r>
        <w:instrText xml:space="preserve"> DocProperty ToAsAtDate</w:instrText>
      </w:r>
      <w:r>
        <w:fldChar w:fldCharType="separate"/>
      </w:r>
      <w:r>
        <w:t>14 Jul 2017</w:t>
      </w:r>
      <w:r>
        <w:fldChar w:fldCharType="end"/>
      </w:r>
      <w:r>
        <w:t xml:space="preserve">, </w:t>
      </w:r>
      <w:r>
        <w:fldChar w:fldCharType="begin"/>
      </w:r>
      <w:r>
        <w:instrText xml:space="preserve"> DocProperty ToSuffix</w:instrText>
      </w:r>
      <w:r>
        <w:fldChar w:fldCharType="separate"/>
      </w:r>
      <w:r>
        <w:t>03-a0-00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13:39:00Z"/>
        </w:trPr>
        <w:tc>
          <w:tcPr>
            <w:tcW w:w="2434" w:type="dxa"/>
            <w:vMerge w:val="restart"/>
          </w:tcPr>
          <w:p>
            <w:pPr>
              <w:rPr>
                <w:ins w:id="2" w:author="Master Repository Process" w:date="2021-08-01T13:39:00Z"/>
              </w:rPr>
            </w:pPr>
          </w:p>
        </w:tc>
        <w:tc>
          <w:tcPr>
            <w:tcW w:w="2434" w:type="dxa"/>
            <w:vMerge w:val="restart"/>
          </w:tcPr>
          <w:p>
            <w:pPr>
              <w:jc w:val="center"/>
              <w:rPr>
                <w:ins w:id="3" w:author="Master Repository Process" w:date="2021-08-01T13:39:00Z"/>
              </w:rPr>
            </w:pPr>
            <w:ins w:id="4" w:author="Master Repository Process" w:date="2021-08-01T13:3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13:39:00Z"/>
              </w:rPr>
            </w:pPr>
            <w:ins w:id="6" w:author="Master Repository Process" w:date="2021-08-01T13:39: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13:39:00Z"/>
        </w:trPr>
        <w:tc>
          <w:tcPr>
            <w:tcW w:w="2434" w:type="dxa"/>
            <w:vMerge/>
          </w:tcPr>
          <w:p>
            <w:pPr>
              <w:rPr>
                <w:ins w:id="8" w:author="Master Repository Process" w:date="2021-08-01T13:39:00Z"/>
              </w:rPr>
            </w:pPr>
          </w:p>
        </w:tc>
        <w:tc>
          <w:tcPr>
            <w:tcW w:w="2434" w:type="dxa"/>
            <w:vMerge/>
          </w:tcPr>
          <w:p>
            <w:pPr>
              <w:jc w:val="center"/>
              <w:rPr>
                <w:ins w:id="9" w:author="Master Repository Process" w:date="2021-08-01T13:39:00Z"/>
              </w:rPr>
            </w:pPr>
          </w:p>
        </w:tc>
        <w:tc>
          <w:tcPr>
            <w:tcW w:w="2434" w:type="dxa"/>
          </w:tcPr>
          <w:p>
            <w:pPr>
              <w:keepNext/>
              <w:rPr>
                <w:ins w:id="10" w:author="Master Repository Process" w:date="2021-08-01T13:39:00Z"/>
                <w:b/>
                <w:sz w:val="22"/>
              </w:rPr>
            </w:pPr>
            <w:ins w:id="11" w:author="Master Repository Process" w:date="2021-08-01T13:39:00Z">
              <w:r>
                <w:rPr>
                  <w:b/>
                  <w:sz w:val="22"/>
                </w:rPr>
                <w:t>at 14 July 2017</w:t>
              </w:r>
            </w:ins>
          </w:p>
        </w:tc>
      </w:tr>
    </w:tbl>
    <w:p>
      <w:pPr>
        <w:pStyle w:val="WA"/>
        <w:spacing w:before="12"/>
      </w:pPr>
      <w:r>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12" w:name="_Toc482957848"/>
      <w:bookmarkStart w:id="13" w:name="_Toc486421841"/>
      <w:bookmarkStart w:id="14" w:name="_Toc478985322"/>
      <w:bookmarkStart w:id="15" w:name="_Toc478986316"/>
      <w:bookmarkStart w:id="16" w:name="_Toc482889793"/>
      <w:bookmarkStart w:id="17" w:name="_Toc486589216"/>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p>
    <w:p>
      <w:pPr>
        <w:pStyle w:val="Heading5"/>
      </w:pPr>
      <w:bookmarkStart w:id="19" w:name="_Toc486421842"/>
      <w:bookmarkStart w:id="20" w:name="_Toc486589217"/>
      <w:r>
        <w:rPr>
          <w:rStyle w:val="CharSectno"/>
        </w:rPr>
        <w:t>1</w:t>
      </w:r>
      <w:r>
        <w:t>.</w:t>
      </w:r>
      <w:r>
        <w:tab/>
        <w:t>Citation</w:t>
      </w:r>
      <w:bookmarkEnd w:id="19"/>
      <w:bookmarkEnd w:id="20"/>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21" w:name="_Toc486421843"/>
      <w:bookmarkStart w:id="22" w:name="_Toc486589218"/>
      <w:r>
        <w:rPr>
          <w:rStyle w:val="CharSectno"/>
        </w:rPr>
        <w:t>2</w:t>
      </w:r>
      <w:r>
        <w:t>.</w:t>
      </w:r>
      <w:r>
        <w:tab/>
        <w:t>Purpose</w:t>
      </w:r>
      <w:bookmarkEnd w:id="21"/>
      <w:bookmarkEnd w:id="22"/>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23" w:name="_Toc486421844"/>
      <w:bookmarkStart w:id="24" w:name="_Toc486589219"/>
      <w:r>
        <w:rPr>
          <w:rStyle w:val="CharSectno"/>
        </w:rPr>
        <w:t>3</w:t>
      </w:r>
      <w:r>
        <w:t>.</w:t>
      </w:r>
      <w:r>
        <w:tab/>
        <w:t>Terms used</w:t>
      </w:r>
      <w:bookmarkEnd w:id="23"/>
      <w:bookmarkEnd w:id="24"/>
    </w:p>
    <w:p>
      <w:pPr>
        <w:pStyle w:val="Subsection"/>
      </w:pPr>
      <w:r>
        <w:tab/>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Independent Market Operator established under the </w:t>
      </w:r>
      <w:r>
        <w:rPr>
          <w:i/>
          <w:iCs/>
        </w:rPr>
        <w:t>Electricity Industry (Independent Market Operator) Regulations 2004</w:t>
      </w:r>
      <w:r>
        <w:t>;</w:t>
      </w:r>
    </w:p>
    <w:p>
      <w:pPr>
        <w:pStyle w:val="Defstart"/>
        <w:spacing w:before="60"/>
      </w:pPr>
      <w:r>
        <w:rPr>
          <w:b/>
        </w:rPr>
        <w:lastRenderedPageBreak/>
        <w:tab/>
      </w:r>
      <w:r>
        <w:rPr>
          <w:rStyle w:val="CharDefText"/>
        </w:rPr>
        <w:t>impose requirements</w:t>
      </w:r>
      <w:r>
        <w:t xml:space="preserve"> means to regulate conduct and impose obligations;</w:t>
      </w:r>
    </w:p>
    <w:p>
      <w:pPr>
        <w:pStyle w:val="Defstart"/>
        <w:spacing w:before="60"/>
      </w:pPr>
      <w:r>
        <w:rPr>
          <w:b/>
        </w:rPr>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pPr>
      <w:r>
        <w:tab/>
      </w:r>
      <w:r>
        <w:rPr>
          <w:rStyle w:val="CharDefText"/>
        </w:rPr>
        <w:t>operator</w:t>
      </w:r>
      <w:r>
        <w:t xml:space="preserve"> means the AEMO;</w:t>
      </w:r>
    </w:p>
    <w:p>
      <w:pPr>
        <w:pStyle w:val="Defstart"/>
        <w:spacing w:before="60"/>
      </w:pPr>
      <w:r>
        <w:rPr>
          <w:b/>
        </w:rPr>
        <w:tab/>
      </w:r>
      <w:r>
        <w:rPr>
          <w:rStyle w:val="CharDefText"/>
        </w:rPr>
        <w:t>registered participant</w:t>
      </w:r>
      <w:r>
        <w:t xml:space="preserve"> means a participant described in section 121(2)(a) of the Act;</w:t>
      </w:r>
    </w:p>
    <w:p>
      <w:pPr>
        <w:pStyle w:val="Defstart"/>
      </w:pPr>
      <w:r>
        <w:rPr>
          <w:b/>
        </w:rPr>
        <w:tab/>
      </w:r>
      <w:r>
        <w:rPr>
          <w:rStyle w:val="CharDefText"/>
        </w:rPr>
        <w:t>Rule Change Panel</w:t>
      </w:r>
      <w:r>
        <w:t xml:space="preserve"> means the Rule Change Panel established by the </w:t>
      </w:r>
      <w:r>
        <w:rPr>
          <w:i/>
        </w:rPr>
        <w:t>Energy Industry (Rule Change Panel) Regulations 2016</w:t>
      </w:r>
      <w:r>
        <w:t xml:space="preserve"> regulation 4;</w:t>
      </w:r>
    </w:p>
    <w:p>
      <w:pPr>
        <w:pStyle w:val="Defstart"/>
        <w:spacing w:before="60"/>
      </w:pPr>
      <w:r>
        <w:rPr>
          <w:b/>
          <w:i/>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System Management</w:t>
      </w:r>
      <w:r>
        <w:t xml:space="preserve"> has the meaning given to that term in regulation 13(2);</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 xml:space="preserve">[Regulation 3 amended in Gazette 16 Aug 2005 p. 3829; </w:t>
      </w:r>
      <w:r>
        <w:rPr>
          <w:szCs w:val="24"/>
        </w:rPr>
        <w:t>2 Oct 2015 p. 39</w:t>
      </w:r>
      <w:r>
        <w:t>31; 13 Nov 2015 p. 4633; 23 Nov 2016 p. 5265.]</w:t>
      </w:r>
    </w:p>
    <w:p>
      <w:pPr>
        <w:pStyle w:val="Heading5"/>
      </w:pPr>
      <w:bookmarkStart w:id="25" w:name="_Toc486421845"/>
      <w:bookmarkStart w:id="26" w:name="_Toc486589220"/>
      <w:r>
        <w:rPr>
          <w:rStyle w:val="CharSectno"/>
        </w:rPr>
        <w:t>4A</w:t>
      </w:r>
      <w:r>
        <w:t>.</w:t>
      </w:r>
      <w:r>
        <w:tab/>
        <w:t>References to provisions of market rules in Schedules 1 and 2</w:t>
      </w:r>
      <w:bookmarkEnd w:id="25"/>
      <w:bookmarkEnd w:id="26"/>
    </w:p>
    <w:p>
      <w:pPr>
        <w:pStyle w:val="Subsection"/>
      </w:pPr>
      <w:r>
        <w:tab/>
      </w:r>
      <w:r>
        <w:tab/>
        <w:t xml:space="preserve">A reference in Schedule 1 or 2 to a provision of the market rules is a reference to that provision as in force on the commencement of the </w:t>
      </w:r>
      <w:r>
        <w:rPr>
          <w:i/>
        </w:rPr>
        <w:t xml:space="preserve">Electricity Industry (Wholesale Electricity Market) Amendment Regulations 2015 </w:t>
      </w:r>
      <w:r>
        <w:t>regulation 4.</w:t>
      </w:r>
    </w:p>
    <w:p>
      <w:pPr>
        <w:pStyle w:val="Footnotesection"/>
      </w:pPr>
      <w:r>
        <w:tab/>
        <w:t>[Regulation 4A inserted  in Gazette 24 Feb 2015 p. 737.]</w:t>
      </w:r>
    </w:p>
    <w:p>
      <w:pPr>
        <w:pStyle w:val="Heading5"/>
      </w:pPr>
      <w:bookmarkStart w:id="27" w:name="_Toc486421846"/>
      <w:bookmarkStart w:id="28" w:name="_Toc486589221"/>
      <w:r>
        <w:rPr>
          <w:rStyle w:val="CharSectno"/>
        </w:rPr>
        <w:t>4</w:t>
      </w:r>
      <w:r>
        <w:t>.</w:t>
      </w:r>
      <w:r>
        <w:tab/>
        <w:t>Effect on earlier regulations and rules</w:t>
      </w:r>
      <w:bookmarkEnd w:id="27"/>
      <w:bookmarkEnd w:id="28"/>
    </w:p>
    <w:p>
      <w:pPr>
        <w:pStyle w:val="Subsection"/>
        <w:keepNext/>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29" w:name="_Toc482957854"/>
      <w:bookmarkStart w:id="30" w:name="_Toc486421847"/>
      <w:bookmarkStart w:id="31" w:name="_Toc478985328"/>
      <w:bookmarkStart w:id="32" w:name="_Toc478986322"/>
      <w:bookmarkStart w:id="33" w:name="_Toc482889799"/>
      <w:bookmarkStart w:id="34" w:name="_Toc486589222"/>
      <w:r>
        <w:rPr>
          <w:rStyle w:val="CharPartNo"/>
        </w:rPr>
        <w:t>Part 2</w:t>
      </w:r>
      <w:r>
        <w:rPr>
          <w:rStyle w:val="CharDivNo"/>
        </w:rPr>
        <w:t> </w:t>
      </w:r>
      <w:r>
        <w:t>—</w:t>
      </w:r>
      <w:r>
        <w:rPr>
          <w:rStyle w:val="CharDivText"/>
        </w:rPr>
        <w:t> </w:t>
      </w:r>
      <w:r>
        <w:rPr>
          <w:rStyle w:val="CharPartText"/>
        </w:rPr>
        <w:t>The market rules</w:t>
      </w:r>
      <w:bookmarkEnd w:id="29"/>
      <w:bookmarkEnd w:id="30"/>
      <w:bookmarkEnd w:id="31"/>
      <w:bookmarkEnd w:id="32"/>
      <w:bookmarkEnd w:id="33"/>
      <w:bookmarkEnd w:id="34"/>
    </w:p>
    <w:p>
      <w:pPr>
        <w:pStyle w:val="Heading5"/>
      </w:pPr>
      <w:bookmarkStart w:id="35" w:name="_Toc486421848"/>
      <w:bookmarkStart w:id="36" w:name="_Toc486589223"/>
      <w:r>
        <w:rPr>
          <w:rStyle w:val="CharSectno"/>
        </w:rPr>
        <w:t>5</w:t>
      </w:r>
      <w:r>
        <w:t>.</w:t>
      </w:r>
      <w:r>
        <w:tab/>
        <w:t>Market rules</w:t>
      </w:r>
      <w:bookmarkEnd w:id="35"/>
      <w:bookmarkEnd w:id="36"/>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37" w:name="_Toc486421849"/>
      <w:bookmarkStart w:id="38" w:name="_Toc486589224"/>
      <w:r>
        <w:rPr>
          <w:rStyle w:val="CharSectno"/>
        </w:rPr>
        <w:t>6</w:t>
      </w:r>
      <w:r>
        <w:t>.</w:t>
      </w:r>
      <w:r>
        <w:tab/>
        <w:t>Market rules: general provisions</w:t>
      </w:r>
      <w:bookmarkEnd w:id="37"/>
      <w:bookmarkEnd w:id="38"/>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39" w:name="_Toc486421850"/>
      <w:bookmarkStart w:id="40" w:name="_Toc486589225"/>
      <w:r>
        <w:rPr>
          <w:rStyle w:val="CharSectno"/>
        </w:rPr>
        <w:t>7</w:t>
      </w:r>
      <w:r>
        <w:t>.</w:t>
      </w:r>
      <w:r>
        <w:tab/>
        <w:t>Amending market rules</w:t>
      </w:r>
      <w:bookmarkEnd w:id="39"/>
      <w:bookmarkEnd w:id="40"/>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 xml:space="preserve">Despite anything in this regulation or the market rules — </w:t>
      </w:r>
    </w:p>
    <w:p>
      <w:pPr>
        <w:pStyle w:val="Indenta"/>
      </w:pPr>
      <w:r>
        <w:tab/>
        <w:t>(a)</w:t>
      </w:r>
      <w:r>
        <w:tab/>
        <w:t>rules replacing the market rules in whole are to be made by the Minister and regulation 6(6) applies to them; and</w:t>
      </w:r>
    </w:p>
    <w:p>
      <w:pPr>
        <w:pStyle w:val="Indenta"/>
      </w:pPr>
      <w:r>
        <w:tab/>
        <w:t>(b)</w:t>
      </w:r>
      <w:r>
        <w:tab/>
        <w:t>rules amending, repealing or replacing market rules dealing with the matters referred to in regulation 12B(2) must be approved by the Minister before they are made.</w:t>
      </w:r>
    </w:p>
    <w:p>
      <w:pPr>
        <w:pStyle w:val="Subsection"/>
      </w:pPr>
      <w:r>
        <w:tab/>
        <w:t>(4)</w:t>
      </w:r>
      <w:r>
        <w:tab/>
        <w:t xml:space="preserve">Despite anything in this regulation or the market rules, the Minister may make amending rules during the period beginning on the day on which the </w:t>
      </w:r>
      <w:bookmarkStart w:id="41" w:name="RuleErr_9"/>
      <w:r>
        <w:rPr>
          <w:i/>
        </w:rPr>
        <w:t>Electricity Industry (Wholesale Electricity Market) Amendment Regulations (No. 3) 2015</w:t>
      </w:r>
      <w:bookmarkEnd w:id="41"/>
      <w:r>
        <w:t xml:space="preserve"> regulation 5 comes into operation and ending on 1 July 2018.</w:t>
      </w:r>
    </w:p>
    <w:p>
      <w:pPr>
        <w:pStyle w:val="Footnotesection"/>
      </w:pPr>
      <w:r>
        <w:tab/>
        <w:t>[Regulation 7 amended in Gazette 13 Nov 2015 p. 4633</w:t>
      </w:r>
      <w:r>
        <w:noBreakHyphen/>
        <w:t>4; 23 Nov 2016 p. 5266; 30 Jun 2017 p. 3561.]</w:t>
      </w:r>
    </w:p>
    <w:p>
      <w:pPr>
        <w:pStyle w:val="Heading5"/>
      </w:pPr>
      <w:bookmarkStart w:id="42" w:name="_Toc486421851"/>
      <w:bookmarkStart w:id="43" w:name="_Toc486589226"/>
      <w:r>
        <w:rPr>
          <w:rStyle w:val="CharSectno"/>
        </w:rPr>
        <w:t>8</w:t>
      </w:r>
      <w:r>
        <w:t>.</w:t>
      </w:r>
      <w:r>
        <w:tab/>
        <w:t>Availability of copies of market rules</w:t>
      </w:r>
      <w:bookmarkEnd w:id="42"/>
      <w:bookmarkEnd w:id="43"/>
    </w:p>
    <w:p>
      <w:pPr>
        <w:pStyle w:val="Subsection"/>
      </w:pPr>
      <w:r>
        <w:tab/>
      </w:r>
      <w:r>
        <w:tab/>
        <w:t xml:space="preserve">The Authority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a website maintained by the Authority.</w:t>
      </w:r>
    </w:p>
    <w:p>
      <w:pPr>
        <w:pStyle w:val="Footnotesection"/>
      </w:pPr>
      <w:r>
        <w:tab/>
        <w:t>[Regulation 8 amended in Gazette 23 Nov 2016 p. 5266.]</w:t>
      </w:r>
    </w:p>
    <w:p>
      <w:pPr>
        <w:pStyle w:val="Heading5"/>
      </w:pPr>
      <w:bookmarkStart w:id="44" w:name="_Toc486421852"/>
      <w:bookmarkStart w:id="45" w:name="_Toc486589227"/>
      <w:r>
        <w:rPr>
          <w:rStyle w:val="CharSectno"/>
        </w:rPr>
        <w:t>9</w:t>
      </w:r>
      <w:r>
        <w:t>.</w:t>
      </w:r>
      <w:r>
        <w:tab/>
        <w:t>Market procedures</w:t>
      </w:r>
      <w:bookmarkEnd w:id="44"/>
      <w:bookmarkEnd w:id="45"/>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46" w:name="_Toc486421853"/>
      <w:bookmarkStart w:id="47" w:name="_Toc486589228"/>
      <w:r>
        <w:rPr>
          <w:rStyle w:val="CharSectno"/>
        </w:rPr>
        <w:t>10</w:t>
      </w:r>
      <w:r>
        <w:t>.</w:t>
      </w:r>
      <w:r>
        <w:tab/>
        <w:t>Functions of Ministers</w:t>
      </w:r>
      <w:bookmarkEnd w:id="46"/>
      <w:bookmarkEnd w:id="47"/>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48" w:name="_Toc486421854"/>
      <w:bookmarkStart w:id="49" w:name="_Toc486589229"/>
      <w:r>
        <w:rPr>
          <w:rStyle w:val="CharSectno"/>
        </w:rPr>
        <w:t>11</w:t>
      </w:r>
      <w:r>
        <w:t>.</w:t>
      </w:r>
      <w:r>
        <w:tab/>
        <w:t>Functions of Economic Regulation Authority</w:t>
      </w:r>
      <w:bookmarkEnd w:id="48"/>
      <w:bookmarkEnd w:id="49"/>
    </w:p>
    <w:p>
      <w:pPr>
        <w:pStyle w:val="Subsection"/>
      </w:pPr>
      <w:r>
        <w:tab/>
        <w:t>(1)</w:t>
      </w:r>
      <w:r>
        <w:tab/>
        <w:t>The market rules may confer functions and impose requirements on the Authority.</w:t>
      </w:r>
    </w:p>
    <w:p>
      <w:pPr>
        <w:pStyle w:val="Subsection"/>
      </w:pPr>
      <w:r>
        <w:tab/>
        <w:t>(2)</w:t>
      </w:r>
      <w:r>
        <w:tab/>
        <w:t>The Authority is responsible for the development, in accordance with the market rules, of amendments of and replacements for the market procedures, to the extent to which the procedures relate to its functions.</w:t>
      </w:r>
    </w:p>
    <w:p>
      <w:pPr>
        <w:pStyle w:val="Subsection"/>
      </w:pPr>
      <w:r>
        <w:tab/>
        <w:t>(3)</w:t>
      </w:r>
      <w:r>
        <w:tab/>
        <w:t>The Authority is to maintain an internet website for the purpose of publishing and releasing information to participants that relates to its functions under the market rules.</w:t>
      </w:r>
    </w:p>
    <w:p>
      <w:pPr>
        <w:pStyle w:val="Footnotesection"/>
      </w:pPr>
      <w:r>
        <w:tab/>
        <w:t>[Regulation 11 inserted in Gazette 24 Jun 2016 p. 2297.]</w:t>
      </w:r>
    </w:p>
    <w:p>
      <w:pPr>
        <w:pStyle w:val="Heading5"/>
      </w:pPr>
      <w:bookmarkStart w:id="50" w:name="_Toc486421855"/>
      <w:bookmarkStart w:id="51" w:name="_Toc486589230"/>
      <w:r>
        <w:rPr>
          <w:rStyle w:val="CharSectno"/>
        </w:rPr>
        <w:t>12</w:t>
      </w:r>
      <w:r>
        <w:t>.</w:t>
      </w:r>
      <w:r>
        <w:tab/>
        <w:t>Functions of operator and IMO</w:t>
      </w:r>
      <w:bookmarkEnd w:id="50"/>
      <w:bookmarkEnd w:id="51"/>
    </w:p>
    <w:p>
      <w:pPr>
        <w:pStyle w:val="Subsection"/>
        <w:spacing w:before="120"/>
      </w:pPr>
      <w:r>
        <w:tab/>
        <w:t>(1)</w:t>
      </w:r>
      <w:r>
        <w:tab/>
        <w:t>The market rules may confer functions and impose requirements on the operator and on the IMO.</w:t>
      </w:r>
    </w:p>
    <w:p>
      <w:pPr>
        <w:pStyle w:val="Subsection"/>
        <w:spacing w:before="120"/>
      </w:pPr>
      <w:r>
        <w:tab/>
        <w:t>(2A)</w:t>
      </w:r>
      <w:r>
        <w:tab/>
        <w:t>The operator is responsible for the development, in accordance with the market rules, of amendments of and replacements for the market procedures, to the extent to which the procedures relate to its functions.</w:t>
      </w:r>
    </w:p>
    <w:p>
      <w:pPr>
        <w:pStyle w:val="Subsection"/>
        <w:spacing w:before="120"/>
      </w:pPr>
      <w:r>
        <w:tab/>
        <w:t>(2)</w:t>
      </w:r>
      <w:r>
        <w:tab/>
        <w:t>The IMO is responsible for the development, in accordance with the market rules, of amendments of and replacements for the market procedures, to the extent to which the procedures relate to its functions.</w:t>
      </w:r>
    </w:p>
    <w:p>
      <w:pPr>
        <w:pStyle w:val="Subsection"/>
        <w:spacing w:before="120"/>
      </w:pPr>
      <w:r>
        <w:tab/>
        <w:t>(3)</w:t>
      </w:r>
      <w:r>
        <w:tab/>
        <w:t>The operator is to maintain an internet website for the purpose of publishing and releasing information to participants.</w:t>
      </w:r>
    </w:p>
    <w:p>
      <w:pPr>
        <w:pStyle w:val="Subsection"/>
        <w:spacing w:before="120"/>
      </w:pPr>
      <w:r>
        <w:tab/>
        <w:t>(4)</w:t>
      </w:r>
      <w:r>
        <w:tab/>
        <w:t>The market rules may make provision for financial, accounting and governance matters in relation to the performance by the operator and the IMO of functions under the market rules.</w:t>
      </w:r>
    </w:p>
    <w:p>
      <w:pPr>
        <w:pStyle w:val="Ednotesubsection"/>
        <w:rPr>
          <w:del w:id="52" w:author="Master Repository Process" w:date="2021-08-01T13:39:00Z"/>
        </w:rPr>
      </w:pPr>
      <w:del w:id="53" w:author="Master Repository Process" w:date="2021-08-01T13:39:00Z">
        <w:r>
          <w:tab/>
          <w:delText>[(5)</w:delText>
        </w:r>
        <w:r>
          <w:tab/>
          <w:delText>deleted]</w:delText>
        </w:r>
      </w:del>
    </w:p>
    <w:p>
      <w:pPr>
        <w:pStyle w:val="Footnotesection"/>
      </w:pPr>
      <w:r>
        <w:tab/>
        <w:t>[Regulation 12 amended in Gazette 13 Nov 2015 p. 4634 and 4637; 23 Nov 2016 p. 5266.]</w:t>
      </w:r>
    </w:p>
    <w:p>
      <w:pPr>
        <w:pStyle w:val="Heading5"/>
      </w:pPr>
      <w:bookmarkStart w:id="54" w:name="_Toc486421856"/>
      <w:bookmarkStart w:id="55" w:name="_Toc486589231"/>
      <w:r>
        <w:rPr>
          <w:rStyle w:val="CharSectno"/>
        </w:rPr>
        <w:t>12A</w:t>
      </w:r>
      <w:r>
        <w:t>.</w:t>
      </w:r>
      <w:r>
        <w:tab/>
        <w:t>Functions of electricity corporations</w:t>
      </w:r>
      <w:bookmarkEnd w:id="54"/>
      <w:bookmarkEnd w:id="55"/>
    </w:p>
    <w:p>
      <w:pPr>
        <w:pStyle w:val="Subsection"/>
      </w:pPr>
      <w:r>
        <w:tab/>
      </w:r>
      <w:r>
        <w:tab/>
        <w:t>The market rules may confer functions and impose requirements on the Electricity Generation and Retail Corporation and the Electricity Networks Corporation.</w:t>
      </w:r>
    </w:p>
    <w:p>
      <w:pPr>
        <w:pStyle w:val="Footnotesection"/>
      </w:pPr>
      <w:r>
        <w:tab/>
        <w:t>[Regulation 12A inserted in Gazette 31 Mar 2006 p. 1321; amended in Gazette 27 Dec 2013 p. 6475.]</w:t>
      </w:r>
    </w:p>
    <w:p>
      <w:pPr>
        <w:pStyle w:val="Heading5"/>
      </w:pPr>
      <w:bookmarkStart w:id="56" w:name="_Toc486421857"/>
      <w:bookmarkStart w:id="57" w:name="_Toc486589232"/>
      <w:r>
        <w:rPr>
          <w:rStyle w:val="CharSectno"/>
        </w:rPr>
        <w:t>12B</w:t>
      </w:r>
      <w:r>
        <w:t>.</w:t>
      </w:r>
      <w:r>
        <w:tab/>
        <w:t>Functions of Rule Change Panel</w:t>
      </w:r>
      <w:bookmarkEnd w:id="56"/>
      <w:bookmarkEnd w:id="57"/>
    </w:p>
    <w:p>
      <w:pPr>
        <w:pStyle w:val="Subsection"/>
      </w:pPr>
      <w:r>
        <w:tab/>
        <w:t>(1)</w:t>
      </w:r>
      <w:r>
        <w:tab/>
        <w:t>The market rules may confer functions on the Rule Change Panel to the extent to which those functions relate to the matters referred to in regulation 7(1).</w:t>
      </w:r>
    </w:p>
    <w:p>
      <w:pPr>
        <w:pStyle w:val="Subsection"/>
      </w:pPr>
      <w:r>
        <w:tab/>
        <w:t>(2)</w:t>
      </w:r>
      <w:r>
        <w:tab/>
        <w:t>The market rules may make provision for governance matters, including financial management, relating to the performance of the functions of the Rule Change Panel under these regulations and the market rules.</w:t>
      </w:r>
    </w:p>
    <w:p>
      <w:pPr>
        <w:pStyle w:val="Subsection"/>
      </w:pPr>
      <w:r>
        <w:tab/>
        <w:t>(3)</w:t>
      </w:r>
      <w:r>
        <w:tab/>
        <w:t>The Rule Change Panel is responsible for the development, in accordance with the market rules, of amendments of and replacements for the market rules.</w:t>
      </w:r>
    </w:p>
    <w:p>
      <w:pPr>
        <w:pStyle w:val="Footnotesection"/>
      </w:pPr>
      <w:r>
        <w:tab/>
        <w:t>[Regulation 12B inserted in Gazette 23 Nov 2016 p. 5267; amended in Gazette 23 Nov 2016 p. 5267.]</w:t>
      </w:r>
    </w:p>
    <w:p>
      <w:pPr>
        <w:pStyle w:val="Heading5"/>
      </w:pPr>
      <w:bookmarkStart w:id="58" w:name="_Toc486421858"/>
      <w:bookmarkStart w:id="59" w:name="_Toc486589233"/>
      <w:r>
        <w:rPr>
          <w:rStyle w:val="CharSectno"/>
        </w:rPr>
        <w:t>13</w:t>
      </w:r>
      <w:r>
        <w:t>.</w:t>
      </w:r>
      <w:r>
        <w:tab/>
        <w:t>Functions of System Management</w:t>
      </w:r>
      <w:bookmarkEnd w:id="58"/>
      <w:bookmarkEnd w:id="59"/>
    </w:p>
    <w:p>
      <w:pPr>
        <w:pStyle w:val="Subsection"/>
      </w:pPr>
      <w:r>
        <w:tab/>
        <w:t>(1)</w:t>
      </w:r>
      <w:r>
        <w:tab/>
        <w:t>The market rules are to confer on an entity the function of ensuring that the SWIS is operated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 xml:space="preserve">The function referred to in subregulation (1) is a system management function for the purposes of the definition of </w:t>
      </w:r>
      <w:r>
        <w:rPr>
          <w:b/>
          <w:i/>
        </w:rPr>
        <w:t>system management participant</w:t>
      </w:r>
      <w:r>
        <w:t xml:space="preserve">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 13 Nov 2015 p. 4634 and 4637.]</w:t>
      </w:r>
    </w:p>
    <w:p>
      <w:pPr>
        <w:pStyle w:val="Heading5"/>
      </w:pPr>
      <w:bookmarkStart w:id="60" w:name="_Toc486421859"/>
      <w:bookmarkStart w:id="61" w:name="_Toc486589234"/>
      <w:r>
        <w:rPr>
          <w:rStyle w:val="CharSectno"/>
        </w:rPr>
        <w:t>14</w:t>
      </w:r>
      <w:r>
        <w:t>.</w:t>
      </w:r>
      <w:r>
        <w:tab/>
        <w:t>Market rules as to registration</w:t>
      </w:r>
      <w:bookmarkEnd w:id="60"/>
      <w:bookmarkEnd w:id="61"/>
    </w:p>
    <w:p>
      <w:pPr>
        <w:pStyle w:val="Subsection"/>
      </w:pPr>
      <w:r>
        <w:tab/>
      </w:r>
      <w:r>
        <w:tab/>
        <w:t xml:space="preserve">The market rules may provide for the registration by the operator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operator;</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Footnotesection"/>
      </w:pPr>
      <w:r>
        <w:tab/>
        <w:t>[Regulation 14 amended in Gazette 13 Nov 2015 p. 4637.]</w:t>
      </w:r>
    </w:p>
    <w:p>
      <w:pPr>
        <w:pStyle w:val="Heading5"/>
      </w:pPr>
      <w:bookmarkStart w:id="62" w:name="_Toc486421860"/>
      <w:bookmarkStart w:id="63" w:name="_Toc486589235"/>
      <w:r>
        <w:rPr>
          <w:rStyle w:val="CharSectno"/>
        </w:rPr>
        <w:t>15</w:t>
      </w:r>
      <w:r>
        <w:t>.</w:t>
      </w:r>
      <w:r>
        <w:tab/>
        <w:t>Functions of registered participants</w:t>
      </w:r>
      <w:bookmarkEnd w:id="62"/>
      <w:bookmarkEnd w:id="63"/>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operator,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Footnotesection"/>
      </w:pPr>
      <w:r>
        <w:tab/>
        <w:t>[Regulation 15 amended in Gazette 13 Nov 2015 p. 4634.]</w:t>
      </w:r>
    </w:p>
    <w:p>
      <w:pPr>
        <w:pStyle w:val="Heading5"/>
      </w:pPr>
      <w:bookmarkStart w:id="64" w:name="_Toc486421861"/>
      <w:bookmarkStart w:id="65" w:name="_Toc486589236"/>
      <w:r>
        <w:rPr>
          <w:rStyle w:val="CharSectno"/>
        </w:rPr>
        <w:t>16</w:t>
      </w:r>
      <w:r>
        <w:t>.</w:t>
      </w:r>
      <w:r>
        <w:tab/>
        <w:t>Evidence as to registered participants and exemptions</w:t>
      </w:r>
      <w:bookmarkEnd w:id="64"/>
      <w:bookmarkEnd w:id="65"/>
    </w:p>
    <w:p>
      <w:pPr>
        <w:pStyle w:val="Subsection"/>
      </w:pPr>
      <w:r>
        <w:tab/>
        <w:t>(1)</w:t>
      </w:r>
      <w:r>
        <w:tab/>
        <w:t>A certificate signed by the chief executive officer, an officer or a director of the operator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operator certifying that a person has been granted an exemption under the market rules from the requirement to be registered in accordance with the market rules in relation to an activity is evidence that the person has been so exempted.</w:t>
      </w:r>
    </w:p>
    <w:p>
      <w:pPr>
        <w:pStyle w:val="Subsection"/>
      </w:pPr>
      <w:r>
        <w:tab/>
        <w:t>(3)</w:t>
      </w:r>
      <w:r>
        <w:tab/>
        <w:t xml:space="preserve">A certificate under subregulation (1) or (2), that was signed before the time at which the </w:t>
      </w:r>
      <w:r>
        <w:rPr>
          <w:i/>
        </w:rPr>
        <w:t>Electricity Industry (Wholesale Electricity Market) Amendment Regulations (No. 3) 2015</w:t>
      </w:r>
      <w:r>
        <w:t xml:space="preserve"> regulation 9 comes into operation and that has effect immediately before that time, has effect after that time, according to its terms, as if signed by the chief executive officer of the operator.</w:t>
      </w:r>
    </w:p>
    <w:p>
      <w:pPr>
        <w:pStyle w:val="Footnotesection"/>
      </w:pPr>
      <w:r>
        <w:tab/>
        <w:t>[Regulation 16 amended in Gazette 13 Nov 2015 p. 4635 and 4637.]</w:t>
      </w:r>
    </w:p>
    <w:p>
      <w:pPr>
        <w:pStyle w:val="Heading5"/>
      </w:pPr>
      <w:bookmarkStart w:id="66" w:name="_Toc486421862"/>
      <w:bookmarkStart w:id="67" w:name="_Toc486589237"/>
      <w:r>
        <w:rPr>
          <w:rStyle w:val="CharSectno"/>
        </w:rPr>
        <w:t>17</w:t>
      </w:r>
      <w:r>
        <w:t>.</w:t>
      </w:r>
      <w:r>
        <w:tab/>
        <w:t>Market rules generally</w:t>
      </w:r>
      <w:bookmarkEnd w:id="66"/>
      <w:bookmarkEnd w:id="67"/>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tab/>
        <w:t>(h)</w:t>
      </w:r>
      <w:r>
        <w:tab/>
        <w:t>matters relating to the trading of electricity and balancing of electricity supply and demand; and</w:t>
      </w:r>
    </w:p>
    <w:p>
      <w:pPr>
        <w:pStyle w:val="Indenta"/>
      </w:pPr>
      <w:r>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68" w:name="_Toc486421863"/>
      <w:bookmarkStart w:id="69" w:name="_Toc486589238"/>
      <w:r>
        <w:rPr>
          <w:rStyle w:val="CharSectno"/>
        </w:rPr>
        <w:t>17A</w:t>
      </w:r>
      <w:r>
        <w:t>.</w:t>
      </w:r>
      <w:r>
        <w:tab/>
        <w:t>Transitional market rules for transfer of functions to AEMO</w:t>
      </w:r>
      <w:bookmarkEnd w:id="68"/>
      <w:bookmarkEnd w:id="69"/>
    </w:p>
    <w:p>
      <w:pPr>
        <w:pStyle w:val="Subsection"/>
      </w:pPr>
      <w:r>
        <w:tab/>
        <w:t>(1)</w:t>
      </w:r>
      <w:r>
        <w:tab/>
        <w:t xml:space="preserve">Without limiting regulation 17(n), the market rules may provide for transitional matters arising in connection with the transfer of a function from a person (the </w:t>
      </w:r>
      <w:r>
        <w:rPr>
          <w:rStyle w:val="CharDefText"/>
        </w:rPr>
        <w:t>person</w:t>
      </w:r>
      <w:r>
        <w:t xml:space="preserve">) to the AEMO including, without limitation, by providing for — </w:t>
      </w:r>
    </w:p>
    <w:p>
      <w:pPr>
        <w:pStyle w:val="Indenta"/>
      </w:pPr>
      <w:r>
        <w:tab/>
        <w:t>(a)</w:t>
      </w:r>
      <w:r>
        <w:tab/>
        <w:t>a thing done or omitted to be done by, to or in relation to the person before the transfer to be taken after the transfer to have been done or omitted by, to or in relation to the AEMO; and</w:t>
      </w:r>
    </w:p>
    <w:p>
      <w:pPr>
        <w:pStyle w:val="Indenta"/>
      </w:pPr>
      <w:r>
        <w:tab/>
        <w:t>(b)</w:t>
      </w:r>
      <w:r>
        <w:tab/>
        <w:t>a right or obligation of the person before the transfer to be taken after the transfer to be a right or obligation of the AEMO; and</w:t>
      </w:r>
    </w:p>
    <w:p>
      <w:pPr>
        <w:pStyle w:val="Indenta"/>
      </w:pPr>
      <w:r>
        <w:tab/>
        <w:t>(c)</w:t>
      </w:r>
      <w:r>
        <w:tab/>
        <w:t>a reference to the person in an instrument or document made or given for the purposes of these regulations or the market rules to be taken after the transfer to be a reference to the AEMO.</w:t>
      </w:r>
    </w:p>
    <w:p>
      <w:pPr>
        <w:pStyle w:val="Subsection"/>
      </w:pPr>
      <w:r>
        <w:tab/>
        <w:t>(2)</w:t>
      </w:r>
      <w:r>
        <w:tab/>
        <w:t xml:space="preserve">A reference in this regulation to the transfer of a function from a person (the </w:t>
      </w:r>
      <w:r>
        <w:rPr>
          <w:rStyle w:val="CharDefText"/>
        </w:rPr>
        <w:t>person</w:t>
      </w:r>
      <w:r>
        <w:t xml:space="preserve">) to the AEMO is a reference to a function — </w:t>
      </w:r>
    </w:p>
    <w:p>
      <w:pPr>
        <w:pStyle w:val="Indenta"/>
      </w:pPr>
      <w:r>
        <w:tab/>
        <w:t>(a)</w:t>
      </w:r>
      <w:r>
        <w:tab/>
        <w:t>being conferred on the AEMO under these regulations or the market rules; and</w:t>
      </w:r>
    </w:p>
    <w:p>
      <w:pPr>
        <w:pStyle w:val="Indenta"/>
      </w:pPr>
      <w:r>
        <w:tab/>
        <w:t>(b)</w:t>
      </w:r>
      <w:r>
        <w:tab/>
        <w:t>ceasing to be a function of the person under these regulations or the market rules.</w:t>
      </w:r>
    </w:p>
    <w:p>
      <w:pPr>
        <w:pStyle w:val="Footnotesection"/>
      </w:pPr>
      <w:r>
        <w:tab/>
        <w:t>[Regulation 17A inserted in Gazette 25 Nov 2015 p. 4741-2.]</w:t>
      </w:r>
    </w:p>
    <w:p>
      <w:pPr>
        <w:pStyle w:val="Heading5"/>
      </w:pPr>
      <w:bookmarkStart w:id="70" w:name="_Toc486421864"/>
      <w:bookmarkStart w:id="71" w:name="_Toc486589239"/>
      <w:r>
        <w:rPr>
          <w:rStyle w:val="CharSectno"/>
        </w:rPr>
        <w:t>17B</w:t>
      </w:r>
      <w:r>
        <w:t>.</w:t>
      </w:r>
      <w:r>
        <w:tab/>
        <w:t>Transitional market rules for transfer of functions from IMO to Authority or Rule Change Panel</w:t>
      </w:r>
      <w:bookmarkEnd w:id="70"/>
      <w:bookmarkEnd w:id="71"/>
    </w:p>
    <w:p>
      <w:pPr>
        <w:pStyle w:val="Subsection"/>
      </w:pPr>
      <w:r>
        <w:tab/>
        <w:t>(1)</w:t>
      </w:r>
      <w:r>
        <w:tab/>
        <w:t xml:space="preserve">Without limiting regulation 17(n), the market rules may provide for transitional matters arising in connection with the transfer of a function from the IMO to the Authority or Rule Change Panel 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Authority or Rule Change Panel; and</w:t>
      </w:r>
    </w:p>
    <w:p>
      <w:pPr>
        <w:pStyle w:val="Indenta"/>
      </w:pPr>
      <w:r>
        <w:tab/>
        <w:t>(b)</w:t>
      </w:r>
      <w:r>
        <w:tab/>
        <w:t>a right or obligation of the IMO before the transfer to be taken after the transfer to be a right or obligation of the Authority or Rule Change Panel; and</w:t>
      </w:r>
    </w:p>
    <w:p>
      <w:pPr>
        <w:pStyle w:val="Indenta"/>
      </w:pPr>
      <w:r>
        <w:tab/>
        <w:t>(c)</w:t>
      </w:r>
      <w:r>
        <w:tab/>
        <w:t>a reference to the IMO in an instrument or document made or given for the purposes of these regulations or the market rules to be taken after the transfer to be a reference to the Authority or Rule Change Panel.</w:t>
      </w:r>
    </w:p>
    <w:p>
      <w:pPr>
        <w:pStyle w:val="Subsection"/>
      </w:pPr>
      <w:r>
        <w:tab/>
        <w:t>(2)</w:t>
      </w:r>
      <w:r>
        <w:tab/>
        <w:t xml:space="preserve">A reference in this regulation to the transfer of a function from the IMO to the Authority or Rule Change Panel is a reference to a function — </w:t>
      </w:r>
    </w:p>
    <w:p>
      <w:pPr>
        <w:pStyle w:val="Indenta"/>
      </w:pPr>
      <w:r>
        <w:tab/>
        <w:t>(a)</w:t>
      </w:r>
      <w:r>
        <w:tab/>
        <w:t>being conferred on the Authority or Rule Change Panel (whichever is relevant) under these regulations or the market rules; and</w:t>
      </w:r>
    </w:p>
    <w:p>
      <w:pPr>
        <w:pStyle w:val="Indenta"/>
      </w:pPr>
      <w:r>
        <w:tab/>
        <w:t>(b)</w:t>
      </w:r>
      <w:r>
        <w:tab/>
        <w:t>ceasing to be a function of the IMO under these regulations or the market rules.</w:t>
      </w:r>
    </w:p>
    <w:p>
      <w:pPr>
        <w:pStyle w:val="Footnotesection"/>
      </w:pPr>
      <w:r>
        <w:tab/>
        <w:t>[Regulation 17B inserted in Gazette 24 Jun 2016 p. 2297-8; amended in Gazette 23 Nov 2016 p. 5267</w:t>
      </w:r>
      <w:r>
        <w:noBreakHyphen/>
        <w:t>8.]</w:t>
      </w:r>
    </w:p>
    <w:p>
      <w:pPr>
        <w:pStyle w:val="Heading5"/>
      </w:pPr>
      <w:bookmarkStart w:id="72" w:name="_Toc486421865"/>
      <w:bookmarkStart w:id="73" w:name="_Toc486589240"/>
      <w:r>
        <w:rPr>
          <w:rStyle w:val="CharSectno"/>
        </w:rPr>
        <w:t>18</w:t>
      </w:r>
      <w:r>
        <w:t>.</w:t>
      </w:r>
      <w:r>
        <w:tab/>
        <w:t>Trade practices authorisation</w:t>
      </w:r>
      <w:bookmarkEnd w:id="72"/>
      <w:bookmarkEnd w:id="73"/>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w:t>
      </w:r>
      <w:del w:id="74" w:author="Master Repository Process" w:date="2021-08-01T13:39:00Z">
        <w:r>
          <w:rPr>
            <w:i/>
          </w:rPr>
          <w:delText> </w:delText>
        </w:r>
      </w:del>
      <w:ins w:id="75" w:author="Master Repository Process" w:date="2021-08-01T13:39:00Z">
        <w:r>
          <w:rPr>
            <w:i/>
          </w:rPr>
          <w:t xml:space="preserve"> </w:t>
        </w:r>
      </w:ins>
      <w:r>
        <w:rPr>
          <w:i/>
        </w:rPr>
        <w:t>1974</w:t>
      </w:r>
      <w:ins w:id="76" w:author="Master Repository Process" w:date="2021-08-01T13:39:00Z">
        <w:r>
          <w:rPr>
            <w:i/>
          </w:rPr>
          <w:t> </w:t>
        </w:r>
        <w:r>
          <w:rPr>
            <w:vertAlign w:val="superscript"/>
          </w:rPr>
          <w:t>2</w:t>
        </w:r>
      </w:ins>
      <w:r>
        <w:rPr>
          <w:vertAlign w:val="superscript"/>
        </w:rPr>
        <w:t xml:space="preserve"> </w:t>
      </w:r>
      <w:r>
        <w:t xml:space="preserve">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77" w:name="_Toc486421866"/>
      <w:bookmarkStart w:id="78" w:name="_Toc486589241"/>
      <w:r>
        <w:rPr>
          <w:rStyle w:val="CharSectno"/>
        </w:rPr>
        <w:t>18A</w:t>
      </w:r>
      <w:r>
        <w:t>.</w:t>
      </w:r>
      <w:r>
        <w:tab/>
        <w:t xml:space="preserve">Excluded matters for purposes of </w:t>
      </w:r>
      <w:r>
        <w:rPr>
          <w:i/>
          <w:iCs/>
        </w:rPr>
        <w:t>Corporations Act 2001</w:t>
      </w:r>
      <w:r>
        <w:t xml:space="preserve"> (Commonwealth)</w:t>
      </w:r>
      <w:bookmarkEnd w:id="77"/>
      <w:bookmarkEnd w:id="78"/>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operator,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 amended in Gazette 13 Nov 2015 p. 4637.]</w:t>
      </w:r>
    </w:p>
    <w:p>
      <w:pPr>
        <w:pStyle w:val="Heading2"/>
      </w:pPr>
      <w:bookmarkStart w:id="79" w:name="_Toc482957874"/>
      <w:bookmarkStart w:id="80" w:name="_Toc486421867"/>
      <w:bookmarkStart w:id="81" w:name="_Toc478985348"/>
      <w:bookmarkStart w:id="82" w:name="_Toc478986342"/>
      <w:bookmarkStart w:id="83" w:name="_Toc482889819"/>
      <w:bookmarkStart w:id="84" w:name="_Toc486589242"/>
      <w:r>
        <w:rPr>
          <w:rStyle w:val="CharPartNo"/>
        </w:rPr>
        <w:t>Part 3</w:t>
      </w:r>
      <w:r>
        <w:rPr>
          <w:rStyle w:val="CharDivNo"/>
        </w:rPr>
        <w:t> </w:t>
      </w:r>
      <w:r>
        <w:t>—</w:t>
      </w:r>
      <w:r>
        <w:rPr>
          <w:rStyle w:val="CharDivText"/>
        </w:rPr>
        <w:t> </w:t>
      </w:r>
      <w:r>
        <w:rPr>
          <w:rStyle w:val="CharPartText"/>
        </w:rPr>
        <w:t>Registration requirement</w:t>
      </w:r>
      <w:bookmarkEnd w:id="79"/>
      <w:bookmarkEnd w:id="80"/>
      <w:bookmarkEnd w:id="81"/>
      <w:bookmarkEnd w:id="82"/>
      <w:bookmarkEnd w:id="83"/>
      <w:bookmarkEnd w:id="84"/>
    </w:p>
    <w:p>
      <w:pPr>
        <w:pStyle w:val="Heading5"/>
      </w:pPr>
      <w:bookmarkStart w:id="85" w:name="_Toc486421868"/>
      <w:bookmarkStart w:id="86" w:name="_Toc486589243"/>
      <w:r>
        <w:rPr>
          <w:rStyle w:val="CharSectno"/>
        </w:rPr>
        <w:t>19</w:t>
      </w:r>
      <w:r>
        <w:t>.</w:t>
      </w:r>
      <w:r>
        <w:tab/>
        <w:t>Registration required for certain activities</w:t>
      </w:r>
      <w:bookmarkEnd w:id="85"/>
      <w:bookmarkEnd w:id="86"/>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(2)</w:t>
      </w:r>
      <w:r>
        <w:tab/>
        <w:t xml:space="preserve">On or after the appointed day a person, other than the operator,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Footnotesection"/>
      </w:pPr>
      <w:r>
        <w:tab/>
        <w:t>[Regulation 19 amended in Gazette 13 Nov 2015 p. 4635; 24 Jun 2016 p. 2303.]</w:t>
      </w:r>
    </w:p>
    <w:p>
      <w:pPr>
        <w:pStyle w:val="Heading5"/>
      </w:pPr>
      <w:bookmarkStart w:id="87" w:name="_Toc486421869"/>
      <w:bookmarkStart w:id="88" w:name="_Toc486589244"/>
      <w:r>
        <w:rPr>
          <w:rStyle w:val="CharSectno"/>
        </w:rPr>
        <w:t>20</w:t>
      </w:r>
      <w:r>
        <w:t>.</w:t>
      </w:r>
      <w:r>
        <w:tab/>
        <w:t>Notice of failure to register</w:t>
      </w:r>
      <w:bookmarkEnd w:id="87"/>
      <w:bookmarkEnd w:id="88"/>
    </w:p>
    <w:p>
      <w:pPr>
        <w:pStyle w:val="Subsection"/>
      </w:pPr>
      <w:r>
        <w:tab/>
      </w:r>
      <w:r>
        <w:tab/>
        <w:t xml:space="preserve">A notice under regulation 19 given by the Authority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Footnotesection"/>
      </w:pPr>
      <w:r>
        <w:tab/>
        <w:t>[Regulation 20 amended in Gazette 24 Jun 2016 p. 2303.]</w:t>
      </w:r>
    </w:p>
    <w:p>
      <w:pPr>
        <w:pStyle w:val="Heading2"/>
      </w:pPr>
      <w:bookmarkStart w:id="89" w:name="_Toc482957877"/>
      <w:bookmarkStart w:id="90" w:name="_Toc486421870"/>
      <w:bookmarkStart w:id="91" w:name="_Toc478985351"/>
      <w:bookmarkStart w:id="92" w:name="_Toc478986345"/>
      <w:bookmarkStart w:id="93" w:name="_Toc482889822"/>
      <w:bookmarkStart w:id="94" w:name="_Toc486589245"/>
      <w:r>
        <w:rPr>
          <w:rStyle w:val="CharPartNo"/>
        </w:rPr>
        <w:t>Part 4</w:t>
      </w:r>
      <w:r>
        <w:rPr>
          <w:rStyle w:val="CharDivNo"/>
        </w:rPr>
        <w:t> </w:t>
      </w:r>
      <w:r>
        <w:t>—</w:t>
      </w:r>
      <w:r>
        <w:rPr>
          <w:rStyle w:val="CharDivText"/>
        </w:rPr>
        <w:t> </w:t>
      </w:r>
      <w:r>
        <w:rPr>
          <w:rStyle w:val="CharPartText"/>
        </w:rPr>
        <w:t>Market costs</w:t>
      </w:r>
      <w:bookmarkEnd w:id="89"/>
      <w:bookmarkEnd w:id="90"/>
      <w:bookmarkEnd w:id="91"/>
      <w:bookmarkEnd w:id="92"/>
      <w:bookmarkEnd w:id="93"/>
      <w:bookmarkEnd w:id="94"/>
    </w:p>
    <w:p>
      <w:pPr>
        <w:pStyle w:val="Heading5"/>
      </w:pPr>
      <w:bookmarkStart w:id="95" w:name="_Toc486421871"/>
      <w:bookmarkStart w:id="96" w:name="_Toc486589246"/>
      <w:r>
        <w:rPr>
          <w:rStyle w:val="CharSectno"/>
        </w:rPr>
        <w:t>21</w:t>
      </w:r>
      <w:r>
        <w:t>.</w:t>
      </w:r>
      <w:r>
        <w:tab/>
        <w:t>Allocation of costs</w:t>
      </w:r>
      <w:bookmarkEnd w:id="95"/>
      <w:bookmarkEnd w:id="96"/>
    </w:p>
    <w:p>
      <w:pPr>
        <w:pStyle w:val="Subsection"/>
      </w:pPr>
      <w:r>
        <w:tab/>
        <w:t>(1)</w:t>
      </w:r>
      <w:r>
        <w:tab/>
        <w:t xml:space="preserve">A participant described in section 121(2)(b) or (c) of the Act (other than the Minister, the Minister administering the </w:t>
      </w:r>
      <w:r>
        <w:rPr>
          <w:i/>
          <w:iCs/>
        </w:rPr>
        <w:t>Electricity Corporations Act </w:t>
      </w:r>
      <w:r>
        <w:rPr>
          <w:i/>
        </w:rPr>
        <w:t>2005</w:t>
      </w:r>
      <w:r>
        <w:t xml:space="preserve">, the Authority or the Rule Change Panel) must — </w:t>
      </w:r>
    </w:p>
    <w:p>
      <w:pPr>
        <w:pStyle w:val="Indenta"/>
      </w:pPr>
      <w:r>
        <w:tab/>
        <w:t>(a)</w:t>
      </w:r>
      <w:r>
        <w:tab/>
        <w:t xml:space="preserve">implement accounting arrangements to identify costs of the participant in performing functions under these regulations, the </w:t>
      </w:r>
      <w:r>
        <w:rPr>
          <w:i/>
          <w:iCs/>
        </w:rPr>
        <w:t xml:space="preserve">Electricity Industry (Independent Market Operator) Regulations </w:t>
      </w:r>
      <w:r>
        <w:rPr>
          <w:i/>
        </w:rPr>
        <w:t>2004</w:t>
      </w:r>
      <w:r>
        <w:t xml:space="preserve">, the </w:t>
      </w:r>
      <w:r>
        <w:rPr>
          <w:i/>
        </w:rPr>
        <w:t>Australian Energy Market Operator (Functions) Regulations 2015</w:t>
      </w:r>
      <w:r>
        <w:t xml:space="preserve"> or the market rules; and </w:t>
      </w:r>
    </w:p>
    <w:p>
      <w:pPr>
        <w:pStyle w:val="Indenta"/>
      </w:pPr>
      <w:r>
        <w:tab/>
        <w:t>(b)</w:t>
      </w:r>
      <w:r>
        <w:tab/>
        <w:t>submit costs so identified for approval in accordance with the market rules.</w:t>
      </w:r>
    </w:p>
    <w:p>
      <w:pPr>
        <w:pStyle w:val="Subsection"/>
      </w:pPr>
      <w:r>
        <w:tab/>
        <w:t>(1A)</w:t>
      </w:r>
      <w:r>
        <w:tab/>
        <w:t xml:space="preserve">Costs submitted by the AEMO in relation to performing functions under the </w:t>
      </w:r>
      <w:r>
        <w:rPr>
          <w:i/>
        </w:rPr>
        <w:t>Australian Energy Market Operator (Functions) Regulations 2015</w:t>
      </w:r>
      <w:r>
        <w:t xml:space="preserve"> must not relate to functions under the </w:t>
      </w:r>
      <w:r>
        <w:rPr>
          <w:i/>
        </w:rPr>
        <w:t>Gas Services Information Act 2012</w:t>
      </w:r>
      <w:r>
        <w:t>.</w:t>
      </w:r>
    </w:p>
    <w:p>
      <w:pPr>
        <w:pStyle w:val="Subsection"/>
      </w:pPr>
      <w:r>
        <w:tab/>
        <w:t>(2)</w:t>
      </w:r>
      <w:r>
        <w:tab/>
        <w:t xml:space="preserve">The operator must allocate between registered participants in accordance with the market rules — </w:t>
      </w:r>
    </w:p>
    <w:p>
      <w:pPr>
        <w:pStyle w:val="Indenta"/>
      </w:pPr>
      <w:r>
        <w:tab/>
        <w:t>(a)</w:t>
      </w:r>
      <w:r>
        <w:tab/>
        <w:t>costs identified and approved under subregulation (1); and</w:t>
      </w:r>
    </w:p>
    <w:p>
      <w:pPr>
        <w:pStyle w:val="Indenta"/>
      </w:pPr>
      <w:r>
        <w:tab/>
        <w:t>(b)</w:t>
      </w:r>
      <w:r>
        <w:tab/>
        <w:t xml:space="preserve">costs identified by the Minister or the Authority as costs of the Minister or Authority in performing functions under these regulations, the market rules or the </w:t>
      </w:r>
      <w:r>
        <w:rPr>
          <w:i/>
        </w:rPr>
        <w:t>Energy Industry (Rule Change Panel) Regulations 2016</w:t>
      </w:r>
      <w:r>
        <w:t xml:space="preserve">; and </w:t>
      </w:r>
    </w:p>
    <w:p>
      <w:pPr>
        <w:pStyle w:val="Indenta"/>
      </w:pPr>
      <w:r>
        <w:tab/>
        <w:t>(c)</w:t>
      </w:r>
      <w:r>
        <w:tab/>
        <w:t>costs identified by the Authority as costs incurred in the performance of the functions of the Rule Change Panel under these regulations or the market rules.</w:t>
      </w:r>
    </w:p>
    <w:p>
      <w:pPr>
        <w:pStyle w:val="Subsection"/>
      </w:pPr>
      <w:r>
        <w:tab/>
        <w:t>(2A)</w:t>
      </w:r>
      <w:r>
        <w:tab/>
        <w:t xml:space="preserve">Costs identified by the Authority under subregulation (2)(b) in relation to performing functions under the </w:t>
      </w:r>
      <w:r>
        <w:rPr>
          <w:i/>
        </w:rPr>
        <w:t>Energy Industry (Rule Change Panel) Regulations 2016</w:t>
      </w:r>
      <w:r>
        <w:t xml:space="preserve"> and costs identified by it under subregulation (2)(c) must not relate to functions under the </w:t>
      </w:r>
      <w:r>
        <w:rPr>
          <w:i/>
        </w:rPr>
        <w:t>Gas Services Information Act 2012</w:t>
      </w:r>
      <w:r>
        <w:t>.</w:t>
      </w:r>
    </w:p>
    <w:p>
      <w:pPr>
        <w:pStyle w:val="Subsection"/>
      </w:pPr>
      <w:r>
        <w:tab/>
        <w:t>(3)</w:t>
      </w:r>
      <w:r>
        <w:tab/>
        <w:t>Costs allocated under subregulation (2) are to be recovered by way of fees to be paid by registered participants under the market rules.</w:t>
      </w:r>
    </w:p>
    <w:p>
      <w:pPr>
        <w:pStyle w:val="Footnotesection"/>
      </w:pPr>
      <w:r>
        <w:tab/>
        <w:t xml:space="preserve">[Regulation 21 amended in Gazette 31 Mar 2006 p. 1322; </w:t>
      </w:r>
      <w:r>
        <w:rPr>
          <w:szCs w:val="24"/>
        </w:rPr>
        <w:t>2 Oct 2015 p. 39</w:t>
      </w:r>
      <w:r>
        <w:t>31; 13 Nov 2015 p. 4635 and 4637; 24 Jun 2016 p. 2298; 23 Nov 2016 p. 5268</w:t>
      </w:r>
      <w:r>
        <w:noBreakHyphen/>
        <w:t>9.]</w:t>
      </w:r>
    </w:p>
    <w:p>
      <w:pPr>
        <w:pStyle w:val="Heading2"/>
      </w:pPr>
      <w:bookmarkStart w:id="97" w:name="_Toc482957879"/>
      <w:bookmarkStart w:id="98" w:name="_Toc486421872"/>
      <w:bookmarkStart w:id="99" w:name="_Toc478985353"/>
      <w:bookmarkStart w:id="100" w:name="_Toc478986347"/>
      <w:bookmarkStart w:id="101" w:name="_Toc482889824"/>
      <w:bookmarkStart w:id="102" w:name="_Toc486589247"/>
      <w:r>
        <w:rPr>
          <w:rStyle w:val="CharPartNo"/>
        </w:rPr>
        <w:t>Part 5</w:t>
      </w:r>
      <w:r>
        <w:t> — </w:t>
      </w:r>
      <w:r>
        <w:rPr>
          <w:rStyle w:val="CharPartText"/>
        </w:rPr>
        <w:t>Enforcement of the market rules</w:t>
      </w:r>
      <w:bookmarkEnd w:id="97"/>
      <w:bookmarkEnd w:id="98"/>
      <w:bookmarkEnd w:id="99"/>
      <w:bookmarkEnd w:id="100"/>
      <w:bookmarkEnd w:id="101"/>
      <w:bookmarkEnd w:id="102"/>
    </w:p>
    <w:p>
      <w:pPr>
        <w:pStyle w:val="Footnoteheading"/>
        <w:spacing w:before="100"/>
      </w:pPr>
      <w:r>
        <w:tab/>
        <w:t>[Heading inserted in Gazette 16 Aug 2005 p. 3830.]</w:t>
      </w:r>
    </w:p>
    <w:p>
      <w:pPr>
        <w:pStyle w:val="Heading3"/>
        <w:spacing w:before="220"/>
      </w:pPr>
      <w:bookmarkStart w:id="103" w:name="_Toc482957880"/>
      <w:bookmarkStart w:id="104" w:name="_Toc486421873"/>
      <w:bookmarkStart w:id="105" w:name="_Toc478985354"/>
      <w:bookmarkStart w:id="106" w:name="_Toc478986348"/>
      <w:bookmarkStart w:id="107" w:name="_Toc482889825"/>
      <w:bookmarkStart w:id="108" w:name="_Toc486589248"/>
      <w:r>
        <w:rPr>
          <w:rStyle w:val="CharDivNo"/>
        </w:rPr>
        <w:t>Division 1</w:t>
      </w:r>
      <w:r>
        <w:t> — </w:t>
      </w:r>
      <w:r>
        <w:rPr>
          <w:rStyle w:val="CharDivText"/>
        </w:rPr>
        <w:t>Preliminary</w:t>
      </w:r>
      <w:bookmarkEnd w:id="103"/>
      <w:bookmarkEnd w:id="104"/>
      <w:bookmarkEnd w:id="105"/>
      <w:bookmarkEnd w:id="106"/>
      <w:bookmarkEnd w:id="107"/>
      <w:bookmarkEnd w:id="108"/>
    </w:p>
    <w:p>
      <w:pPr>
        <w:pStyle w:val="Footnoteheading"/>
        <w:spacing w:before="100"/>
      </w:pPr>
      <w:r>
        <w:tab/>
        <w:t>[Heading inserted in Gazette 16 Aug 2005 p. 3830.]</w:t>
      </w:r>
    </w:p>
    <w:p>
      <w:pPr>
        <w:pStyle w:val="Heading5"/>
        <w:spacing w:before="180"/>
      </w:pPr>
      <w:bookmarkStart w:id="109" w:name="_Toc486421874"/>
      <w:bookmarkStart w:id="110" w:name="_Toc486589249"/>
      <w:r>
        <w:rPr>
          <w:rStyle w:val="CharSectno"/>
        </w:rPr>
        <w:t>22</w:t>
      </w:r>
      <w:r>
        <w:t>.</w:t>
      </w:r>
      <w:r>
        <w:tab/>
        <w:t>Terms used</w:t>
      </w:r>
      <w:bookmarkEnd w:id="109"/>
      <w:bookmarkEnd w:id="110"/>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Authority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in Gazette 16 Aug 2005 p. 3830; amended in Gazette 24 Jun 2016 p. 2303.]</w:t>
      </w:r>
    </w:p>
    <w:p>
      <w:pPr>
        <w:pStyle w:val="Heading3"/>
        <w:spacing w:before="220"/>
      </w:pPr>
      <w:bookmarkStart w:id="111" w:name="_Toc482957882"/>
      <w:bookmarkStart w:id="112" w:name="_Toc486421875"/>
      <w:bookmarkStart w:id="113" w:name="_Toc478985356"/>
      <w:bookmarkStart w:id="114" w:name="_Toc478986350"/>
      <w:bookmarkStart w:id="115" w:name="_Toc482889827"/>
      <w:bookmarkStart w:id="116" w:name="_Toc486589250"/>
      <w:r>
        <w:rPr>
          <w:rStyle w:val="CharDivNo"/>
        </w:rPr>
        <w:t>Division 2</w:t>
      </w:r>
      <w:r>
        <w:t> — </w:t>
      </w:r>
      <w:r>
        <w:rPr>
          <w:rStyle w:val="CharDivText"/>
        </w:rPr>
        <w:t>Investigation</w:t>
      </w:r>
      <w:bookmarkEnd w:id="111"/>
      <w:bookmarkEnd w:id="112"/>
      <w:bookmarkEnd w:id="113"/>
      <w:bookmarkEnd w:id="114"/>
      <w:bookmarkEnd w:id="115"/>
      <w:bookmarkEnd w:id="116"/>
    </w:p>
    <w:p>
      <w:pPr>
        <w:pStyle w:val="Footnoteheading"/>
        <w:spacing w:before="100"/>
      </w:pPr>
      <w:r>
        <w:tab/>
        <w:t>[Heading inserted in Gazette 16 Aug 2005 p. 3830.]</w:t>
      </w:r>
    </w:p>
    <w:p>
      <w:pPr>
        <w:pStyle w:val="Heading5"/>
        <w:spacing w:before="180"/>
      </w:pPr>
      <w:bookmarkStart w:id="117" w:name="_Toc486421876"/>
      <w:bookmarkStart w:id="118" w:name="_Toc486589251"/>
      <w:r>
        <w:rPr>
          <w:rStyle w:val="CharSectno"/>
        </w:rPr>
        <w:t>23</w:t>
      </w:r>
      <w:r>
        <w:t>.</w:t>
      </w:r>
      <w:r>
        <w:tab/>
        <w:t>Authorised persons</w:t>
      </w:r>
      <w:bookmarkEnd w:id="117"/>
      <w:bookmarkEnd w:id="118"/>
    </w:p>
    <w:p>
      <w:pPr>
        <w:pStyle w:val="Subsection"/>
        <w:spacing w:before="120"/>
      </w:pPr>
      <w:r>
        <w:tab/>
      </w:r>
      <w:r>
        <w:tab/>
        <w:t>The Authority may, in writing, authorise an officer or employee of the Authority to be an authorised person for the purposes of this Division.</w:t>
      </w:r>
    </w:p>
    <w:p>
      <w:pPr>
        <w:pStyle w:val="Footnotesection"/>
        <w:spacing w:before="100"/>
        <w:ind w:left="890" w:hanging="890"/>
      </w:pPr>
      <w:r>
        <w:tab/>
        <w:t>[Regulation 23 inserted in Gazette 16 Aug 2005 p. 3830; amended in Gazette 24 Jun 2016 p. 2303.]</w:t>
      </w:r>
    </w:p>
    <w:p>
      <w:pPr>
        <w:pStyle w:val="Heading5"/>
        <w:spacing w:before="180"/>
      </w:pPr>
      <w:bookmarkStart w:id="119" w:name="_Toc486421877"/>
      <w:bookmarkStart w:id="120" w:name="_Toc486589252"/>
      <w:r>
        <w:rPr>
          <w:rStyle w:val="CharSectno"/>
        </w:rPr>
        <w:t>24</w:t>
      </w:r>
      <w:r>
        <w:t>.</w:t>
      </w:r>
      <w:r>
        <w:tab/>
        <w:t>Search warrants</w:t>
      </w:r>
      <w:bookmarkEnd w:id="119"/>
      <w:bookmarkEnd w:id="120"/>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121" w:name="_Toc486421878"/>
      <w:bookmarkStart w:id="122" w:name="_Toc486589253"/>
      <w:r>
        <w:rPr>
          <w:rStyle w:val="CharSectno"/>
        </w:rPr>
        <w:t>25</w:t>
      </w:r>
      <w:r>
        <w:t>.</w:t>
      </w:r>
      <w:r>
        <w:tab/>
        <w:t>Announcement before entry</w:t>
      </w:r>
      <w:bookmarkEnd w:id="121"/>
      <w:bookmarkEnd w:id="122"/>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123" w:name="_Toc486421879"/>
      <w:bookmarkStart w:id="124" w:name="_Toc486589254"/>
      <w:r>
        <w:rPr>
          <w:rStyle w:val="CharSectno"/>
        </w:rPr>
        <w:t>26</w:t>
      </w:r>
      <w:r>
        <w:t>.</w:t>
      </w:r>
      <w:r>
        <w:tab/>
        <w:t>Details of warrant to be given to occupier</w:t>
      </w:r>
      <w:bookmarkEnd w:id="123"/>
      <w:bookmarkEnd w:id="124"/>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125" w:name="_Toc486421880"/>
      <w:bookmarkStart w:id="126" w:name="_Toc486589255"/>
      <w:r>
        <w:rPr>
          <w:rStyle w:val="CharSectno"/>
        </w:rPr>
        <w:t>27</w:t>
      </w:r>
      <w:r>
        <w:t>.</w:t>
      </w:r>
      <w:r>
        <w:tab/>
        <w:t>Copies of seized documents</w:t>
      </w:r>
      <w:bookmarkEnd w:id="125"/>
      <w:bookmarkEnd w:id="126"/>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127" w:name="_Toc486421881"/>
      <w:bookmarkStart w:id="128" w:name="_Toc486589256"/>
      <w:r>
        <w:rPr>
          <w:rStyle w:val="CharSectno"/>
        </w:rPr>
        <w:t>28</w:t>
      </w:r>
      <w:r>
        <w:t>.</w:t>
      </w:r>
      <w:r>
        <w:tab/>
        <w:t>Retention and return of seized documents etc.</w:t>
      </w:r>
      <w:bookmarkEnd w:id="127"/>
      <w:bookmarkEnd w:id="128"/>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ageBreakBefore/>
        <w:spacing w:before="0"/>
      </w:pPr>
      <w:bookmarkStart w:id="129" w:name="_Toc486421882"/>
      <w:bookmarkStart w:id="130" w:name="_Toc486589257"/>
      <w:r>
        <w:rPr>
          <w:rStyle w:val="CharSectno"/>
        </w:rPr>
        <w:t>29</w:t>
      </w:r>
      <w:r>
        <w:t>.</w:t>
      </w:r>
      <w:r>
        <w:tab/>
        <w:t>Obstruction of persons authorised to enter</w:t>
      </w:r>
      <w:bookmarkEnd w:id="129"/>
      <w:bookmarkEnd w:id="130"/>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spacing w:before="480"/>
      </w:pPr>
      <w:bookmarkStart w:id="131" w:name="_Toc482957890"/>
      <w:bookmarkStart w:id="132" w:name="_Toc486421883"/>
      <w:bookmarkStart w:id="133" w:name="_Toc478985364"/>
      <w:bookmarkStart w:id="134" w:name="_Toc478986358"/>
      <w:bookmarkStart w:id="135" w:name="_Toc482889835"/>
      <w:bookmarkStart w:id="136" w:name="_Toc486589258"/>
      <w:r>
        <w:rPr>
          <w:rStyle w:val="CharDivNo"/>
        </w:rPr>
        <w:t>Division 3</w:t>
      </w:r>
      <w:r>
        <w:t> — </w:t>
      </w:r>
      <w:r>
        <w:rPr>
          <w:rStyle w:val="CharDivText"/>
        </w:rPr>
        <w:t>Orders and penalties</w:t>
      </w:r>
      <w:bookmarkEnd w:id="131"/>
      <w:bookmarkEnd w:id="132"/>
      <w:bookmarkEnd w:id="133"/>
      <w:bookmarkEnd w:id="134"/>
      <w:bookmarkEnd w:id="135"/>
      <w:bookmarkEnd w:id="136"/>
    </w:p>
    <w:p>
      <w:pPr>
        <w:pStyle w:val="Footnoteheading"/>
      </w:pPr>
      <w:r>
        <w:tab/>
        <w:t>[Heading inserted in Gazette 16 Aug 2005 p. 3835.]</w:t>
      </w:r>
    </w:p>
    <w:p>
      <w:pPr>
        <w:pStyle w:val="Heading5"/>
      </w:pPr>
      <w:bookmarkStart w:id="137" w:name="_Toc486421884"/>
      <w:bookmarkStart w:id="138" w:name="_Toc486589259"/>
      <w:r>
        <w:rPr>
          <w:rStyle w:val="CharSectno"/>
        </w:rPr>
        <w:t>30</w:t>
      </w:r>
      <w:r>
        <w:t>.</w:t>
      </w:r>
      <w:r>
        <w:tab/>
        <w:t>Civil penalty provisions and civil penalties</w:t>
      </w:r>
      <w:bookmarkEnd w:id="137"/>
      <w:bookmarkEnd w:id="138"/>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PermNoteHeading"/>
      </w:pPr>
      <w:r>
        <w:tab/>
        <w:t>Note:</w:t>
      </w:r>
    </w:p>
    <w:p>
      <w:pPr>
        <w:pStyle w:val="PermNoteText"/>
      </w:pPr>
      <w:r>
        <w:tab/>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in Gazette 16 Aug 2005 p. 3835</w:t>
      </w:r>
      <w:r>
        <w:noBreakHyphen/>
        <w:t>6; amended in Gazette 5 Jun 2012 p. 2353.]</w:t>
      </w:r>
    </w:p>
    <w:p>
      <w:pPr>
        <w:pStyle w:val="Heading5"/>
      </w:pPr>
      <w:bookmarkStart w:id="139" w:name="_Toc486421885"/>
      <w:bookmarkStart w:id="140" w:name="_Toc486589260"/>
      <w:r>
        <w:rPr>
          <w:rStyle w:val="CharSectno"/>
        </w:rPr>
        <w:t>31</w:t>
      </w:r>
      <w:r>
        <w:t>.</w:t>
      </w:r>
      <w:r>
        <w:tab/>
        <w:t>Authority may demand civil penalty for contravention of category A civil penalty provision</w:t>
      </w:r>
      <w:bookmarkEnd w:id="139"/>
      <w:bookmarkEnd w:id="140"/>
    </w:p>
    <w:p>
      <w:pPr>
        <w:pStyle w:val="Subsection"/>
      </w:pPr>
      <w:r>
        <w:tab/>
        <w:t>(1)</w:t>
      </w:r>
      <w:r>
        <w:tab/>
        <w:t>If the Authority considers that a participant has contravened a category A civil penalty provision, the Authority may, by notice given to the participant, demand that the participant pay to the operator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The demand must be made within 6 years after the day on which the participant is considered by the Authority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tab/>
        <w:t>(d)</w:t>
      </w:r>
      <w:r>
        <w:tab/>
        <w:t>specify the category A civil penalty provision that the Authority considers the participant has contravened; and</w:t>
      </w:r>
    </w:p>
    <w:p>
      <w:pPr>
        <w:pStyle w:val="Indenta"/>
      </w:pPr>
      <w:r>
        <w:tab/>
        <w:t>(e)</w:t>
      </w:r>
      <w:r>
        <w:tab/>
        <w:t>provide details of the contravention, including the act or omission that the Authority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Authority’s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Authority’s decision to demand the penalty,</w:t>
      </w:r>
    </w:p>
    <w:p>
      <w:pPr>
        <w:pStyle w:val="Indenta"/>
      </w:pPr>
      <w:r>
        <w:tab/>
      </w:r>
      <w:r>
        <w:tab/>
        <w:t>the Authority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Authority the penalty demanded in the notice; or</w:t>
      </w:r>
    </w:p>
    <w:p>
      <w:pPr>
        <w:pStyle w:val="Indenta"/>
      </w:pPr>
      <w:r>
        <w:tab/>
        <w:t>(b)</w:t>
      </w:r>
      <w:r>
        <w:tab/>
        <w:t>apply to the Board for review, under Part 6, of the Authority’s decision to demand the penalty,</w:t>
      </w:r>
    </w:p>
    <w:p>
      <w:pPr>
        <w:pStyle w:val="Subsection"/>
      </w:pPr>
      <w:r>
        <w:tab/>
      </w:r>
      <w:r>
        <w:tab/>
        <w:t>the Authority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Authority made the demand in accordance with this regulation; and</w:t>
      </w:r>
    </w:p>
    <w:p>
      <w:pPr>
        <w:pStyle w:val="Indenta"/>
      </w:pPr>
      <w:r>
        <w:tab/>
        <w:t>(b)</w:t>
      </w:r>
      <w:r>
        <w:tab/>
        <w:t>the participant has not paid the civil penalty to the operator; and</w:t>
      </w:r>
    </w:p>
    <w:p>
      <w:pPr>
        <w:pStyle w:val="Indenta"/>
      </w:pPr>
      <w:r>
        <w:tab/>
        <w:t>(c)</w:t>
      </w:r>
      <w:r>
        <w:tab/>
        <w:t>the participant has not applied to the Board for review of the Authority’s decision to demand the amount.</w:t>
      </w:r>
    </w:p>
    <w:p>
      <w:pPr>
        <w:pStyle w:val="Subsection"/>
      </w:pPr>
      <w:r>
        <w:tab/>
        <w:t>(8)</w:t>
      </w:r>
      <w:r>
        <w:tab/>
        <w:t>The Authority may not demand that a participant pay the operator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 amended in Gazette 5 Jun 2012 p. 2353; 24 Jun 2016 p. 2298</w:t>
      </w:r>
      <w:r>
        <w:noBreakHyphen/>
        <w:t>300.]</w:t>
      </w:r>
    </w:p>
    <w:p>
      <w:pPr>
        <w:pStyle w:val="Heading5"/>
      </w:pPr>
      <w:bookmarkStart w:id="141" w:name="_Toc486421886"/>
      <w:bookmarkStart w:id="142" w:name="_Toc486589261"/>
      <w:r>
        <w:rPr>
          <w:rStyle w:val="CharSectno"/>
        </w:rPr>
        <w:t>32</w:t>
      </w:r>
      <w:r>
        <w:t>.</w:t>
      </w:r>
      <w:r>
        <w:tab/>
        <w:t>Applications for orders from Board for contraventions of provisions of market rules</w:t>
      </w:r>
      <w:bookmarkEnd w:id="141"/>
      <w:bookmarkEnd w:id="142"/>
    </w:p>
    <w:p>
      <w:pPr>
        <w:pStyle w:val="Subsection"/>
      </w:pPr>
      <w:r>
        <w:tab/>
        <w:t>(1)</w:t>
      </w:r>
      <w:r>
        <w:tab/>
        <w:t>If the Authority considers that a participant has contravened a provision of the market rules, the Authority may apply to the Board for one or more orders under regulation 33.</w:t>
      </w:r>
    </w:p>
    <w:p>
      <w:pPr>
        <w:pStyle w:val="Subsection"/>
      </w:pPr>
      <w:r>
        <w:tab/>
        <w:t>(2)</w:t>
      </w:r>
      <w:r>
        <w:tab/>
        <w:t>The application must be made within 6 years after the day on which the participant is considered by the Authority to have contravened the provision.</w:t>
      </w:r>
    </w:p>
    <w:p>
      <w:pPr>
        <w:pStyle w:val="Ednotesubsection"/>
      </w:pPr>
      <w:r>
        <w:tab/>
        <w:t>[(3), (4)</w:t>
      </w:r>
      <w:r>
        <w:tab/>
        <w:t>deleted]</w:t>
      </w:r>
    </w:p>
    <w:p>
      <w:pPr>
        <w:pStyle w:val="Subsection"/>
      </w:pPr>
      <w:r>
        <w:tab/>
        <w:t>(5)</w:t>
      </w:r>
      <w:r>
        <w:tab/>
        <w:t>No other person may apply for an order under regulation 33.</w:t>
      </w:r>
    </w:p>
    <w:p>
      <w:pPr>
        <w:pStyle w:val="Ednotesubsection"/>
        <w:rPr>
          <w:del w:id="143" w:author="Master Repository Process" w:date="2021-08-01T13:39:00Z"/>
        </w:rPr>
      </w:pPr>
      <w:del w:id="144" w:author="Master Repository Process" w:date="2021-08-01T13:39:00Z">
        <w:r>
          <w:tab/>
          <w:delText>[(6)</w:delText>
        </w:r>
        <w:r>
          <w:tab/>
          <w:delText>deleted]</w:delText>
        </w:r>
      </w:del>
    </w:p>
    <w:p>
      <w:pPr>
        <w:pStyle w:val="Footnotesection"/>
      </w:pPr>
      <w:r>
        <w:tab/>
        <w:t>[Regulation 32 inserted in Gazette 16 Aug 2005 p. 3839; amended in Gazette 13 Nov 2015 p. 4635; 24 Jun 2016 p. 2300.]</w:t>
      </w:r>
    </w:p>
    <w:p>
      <w:pPr>
        <w:pStyle w:val="Heading5"/>
      </w:pPr>
      <w:bookmarkStart w:id="145" w:name="_Toc486421887"/>
      <w:bookmarkStart w:id="146" w:name="_Toc486589262"/>
      <w:r>
        <w:rPr>
          <w:rStyle w:val="CharSectno"/>
        </w:rPr>
        <w:t>33</w:t>
      </w:r>
      <w:r>
        <w:t>.</w:t>
      </w:r>
      <w:r>
        <w:tab/>
        <w:t>Orders Board may make for contraventions of provisions of market rules</w:t>
      </w:r>
      <w:bookmarkEnd w:id="145"/>
      <w:bookmarkEnd w:id="146"/>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keepNext/>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operator or the Authority pay a civil penalty.</w:t>
      </w:r>
    </w:p>
    <w:p>
      <w:pPr>
        <w:pStyle w:val="Subsection"/>
      </w:pPr>
      <w:r>
        <w:tab/>
        <w:t>(6)</w:t>
      </w:r>
      <w:r>
        <w:tab/>
        <w:t>The Board may not make an order under this regulation that a participant pay a civil penalty in respect of the contravention of a civil penalty provision if the Authority has demanded that the participant pay to the operator a civil penalty in respect of the contravention.</w:t>
      </w:r>
    </w:p>
    <w:p>
      <w:pPr>
        <w:pStyle w:val="Footnotesection"/>
      </w:pPr>
      <w:r>
        <w:tab/>
        <w:t>[Regulation 33 inserted in Gazette 16 Aug 2005 p. 3839</w:t>
      </w:r>
      <w:r>
        <w:noBreakHyphen/>
        <w:t>42; amended in Gazette 5 Jun 2012 p. 2354; 13 Nov 2015 p. 4635; 24 Jun 2016 p. 2300.]</w:t>
      </w:r>
    </w:p>
    <w:p>
      <w:pPr>
        <w:pStyle w:val="Heading5"/>
      </w:pPr>
      <w:bookmarkStart w:id="147" w:name="_Toc486421888"/>
      <w:bookmarkStart w:id="148" w:name="_Toc486589263"/>
      <w:r>
        <w:rPr>
          <w:rStyle w:val="CharSectno"/>
        </w:rPr>
        <w:t>34</w:t>
      </w:r>
      <w:r>
        <w:t>.</w:t>
      </w:r>
      <w:r>
        <w:tab/>
        <w:t>Enforcement of orders of Board</w:t>
      </w:r>
      <w:bookmarkEnd w:id="147"/>
      <w:bookmarkEnd w:id="148"/>
    </w:p>
    <w:p>
      <w:pPr>
        <w:pStyle w:val="Subsection"/>
      </w:pPr>
      <w:r>
        <w:tab/>
        <w:t>(1)</w:t>
      </w:r>
      <w:r>
        <w:tab/>
        <w:t>The Authority may enforce an order of the Board made under regulation 31(7) or 33(1) by lodging with the Supreme Court a certified copy of it, and an affidavit stating to what extent it has not been complied with.</w:t>
      </w:r>
    </w:p>
    <w:p>
      <w:pPr>
        <w:pStyle w:val="Subsection"/>
        <w:keepNext/>
      </w:pPr>
      <w:r>
        <w:tab/>
        <w:t>(2)</w:t>
      </w:r>
      <w:r>
        <w:tab/>
        <w:t>When lodged, the order is to be taken to be a judgment of the court and may be enforced accordingly.</w:t>
      </w:r>
    </w:p>
    <w:p>
      <w:pPr>
        <w:pStyle w:val="Footnotesection"/>
      </w:pPr>
      <w:r>
        <w:tab/>
        <w:t>[Regulation 34 inserted in Gazette 16 Aug 2005 p. 3842; amended by 24 Jun 2016 p. 2303.]</w:t>
      </w:r>
    </w:p>
    <w:p>
      <w:pPr>
        <w:pStyle w:val="Heading5"/>
      </w:pPr>
      <w:bookmarkStart w:id="149" w:name="_Toc486421889"/>
      <w:bookmarkStart w:id="150" w:name="_Toc486589264"/>
      <w:r>
        <w:rPr>
          <w:rStyle w:val="CharSectno"/>
        </w:rPr>
        <w:t>35</w:t>
      </w:r>
      <w:r>
        <w:t>.</w:t>
      </w:r>
      <w:r>
        <w:tab/>
        <w:t>Contravention of provision of market rules not an offence</w:t>
      </w:r>
      <w:bookmarkEnd w:id="149"/>
      <w:bookmarkEnd w:id="150"/>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pPr>
      <w:bookmarkStart w:id="151" w:name="_Toc486421890"/>
      <w:bookmarkStart w:id="152" w:name="_Toc486589265"/>
      <w:r>
        <w:rPr>
          <w:rStyle w:val="CharSectno"/>
        </w:rPr>
        <w:t>36</w:t>
      </w:r>
      <w:r>
        <w:t>.</w:t>
      </w:r>
      <w:r>
        <w:tab/>
        <w:t>Conduct contravening more than one civil penalty provision</w:t>
      </w:r>
      <w:bookmarkEnd w:id="151"/>
      <w:bookmarkEnd w:id="152"/>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pPr>
      <w:bookmarkStart w:id="153" w:name="_Toc486421891"/>
      <w:bookmarkStart w:id="154" w:name="_Toc486589266"/>
      <w:r>
        <w:rPr>
          <w:rStyle w:val="CharSectno"/>
        </w:rPr>
        <w:t>37</w:t>
      </w:r>
      <w:r>
        <w:t>.</w:t>
      </w:r>
      <w:r>
        <w:tab/>
        <w:t>Application of civil penalties received by operator</w:t>
      </w:r>
      <w:bookmarkEnd w:id="153"/>
      <w:bookmarkEnd w:id="154"/>
    </w:p>
    <w:p>
      <w:pPr>
        <w:pStyle w:val="Subsection"/>
      </w:pPr>
      <w:r>
        <w:tab/>
      </w:r>
      <w:r>
        <w:tab/>
        <w:t xml:space="preserve">A civil penalty received by the operator in respect of the contravention of a civil penalty provision must be — </w:t>
      </w:r>
    </w:p>
    <w:p>
      <w:pPr>
        <w:pStyle w:val="Indenta"/>
      </w:pPr>
      <w:r>
        <w:tab/>
        <w:t>(a)</w:t>
      </w:r>
      <w:r>
        <w:tab/>
        <w:t>if the market rules provide for the distribution of civil penalties received by the operator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del w:id="155" w:author="Master Repository Process" w:date="2021-08-01T13:39:00Z">
        <w:r>
          <w:rPr>
            <w:vertAlign w:val="superscript"/>
          </w:rPr>
          <w:delText>2</w:delText>
        </w:r>
      </w:del>
      <w:ins w:id="156" w:author="Master Repository Process" w:date="2021-08-01T13:39:00Z">
        <w:r>
          <w:rPr>
            <w:vertAlign w:val="superscript"/>
          </w:rPr>
          <w:t>3</w:t>
        </w:r>
      </w:ins>
      <w:r>
        <w:t>.</w:t>
      </w:r>
    </w:p>
    <w:p>
      <w:pPr>
        <w:pStyle w:val="Footnotesection"/>
      </w:pPr>
      <w:r>
        <w:tab/>
        <w:t>[Regulation 37 inserted in Gazette 16 Aug 2005 p. 3842</w:t>
      </w:r>
      <w:r>
        <w:noBreakHyphen/>
        <w:t>3; amended in Gazette 24 Jun 2016 p. 2300.]</w:t>
      </w:r>
    </w:p>
    <w:p>
      <w:pPr>
        <w:pStyle w:val="Heading5"/>
      </w:pPr>
      <w:bookmarkStart w:id="157" w:name="_Toc486421892"/>
      <w:bookmarkStart w:id="158" w:name="_Toc486589267"/>
      <w:r>
        <w:rPr>
          <w:rStyle w:val="CharSectno"/>
        </w:rPr>
        <w:t>38</w:t>
      </w:r>
      <w:r>
        <w:t>.</w:t>
      </w:r>
      <w:r>
        <w:tab/>
        <w:t>Authority to notify certain persons of decisions not to take action</w:t>
      </w:r>
      <w:bookmarkEnd w:id="157"/>
      <w:bookmarkEnd w:id="158"/>
    </w:p>
    <w:p>
      <w:pPr>
        <w:pStyle w:val="Subsection"/>
      </w:pPr>
      <w:r>
        <w:tab/>
        <w:t>(1)</w:t>
      </w:r>
      <w:r>
        <w:tab/>
        <w:t xml:space="preserve">If the operator is given information by a person in relation to a contravention or possible contravention of a provision of the market rules by a participant — </w:t>
      </w:r>
    </w:p>
    <w:p>
      <w:pPr>
        <w:pStyle w:val="Indenta"/>
      </w:pPr>
      <w:r>
        <w:tab/>
        <w:t>(a)</w:t>
      </w:r>
      <w:r>
        <w:tab/>
        <w:t>the operator must give the information to the Authority; and</w:t>
      </w:r>
    </w:p>
    <w:p>
      <w:pPr>
        <w:pStyle w:val="Indenta"/>
      </w:pPr>
      <w:r>
        <w:tab/>
        <w:t>(b)</w:t>
      </w:r>
      <w:r>
        <w:tab/>
        <w:t>if authorised by the person to do so, the operator must give the person’s contact details to the Authority.</w:t>
      </w:r>
    </w:p>
    <w:p>
      <w:pPr>
        <w:pStyle w:val="Subsection"/>
      </w:pPr>
      <w:r>
        <w:tab/>
        <w:t>(2)</w:t>
      </w:r>
      <w:r>
        <w:tab/>
        <w:t xml:space="preserve">Subregulation (3) applies if the Authority is given information in relation to a contravention or possible contravention of a provision of the market rules by a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Authority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Authority must, in writing, notify the person who gave the information to the Authority or to the operator (whichever is relevant) of the decision.</w:t>
      </w:r>
    </w:p>
    <w:p>
      <w:pPr>
        <w:pStyle w:val="Footnotesection"/>
      </w:pPr>
      <w:r>
        <w:tab/>
        <w:t>[Regulation 38 inserted in Gazette 24 Jun 2016 p. 2301.]</w:t>
      </w:r>
    </w:p>
    <w:p>
      <w:pPr>
        <w:pStyle w:val="Heading5"/>
        <w:spacing w:before="180"/>
      </w:pPr>
      <w:bookmarkStart w:id="159" w:name="_Toc486421893"/>
      <w:bookmarkStart w:id="160" w:name="_Toc486589268"/>
      <w:r>
        <w:rPr>
          <w:rStyle w:val="CharSectno"/>
        </w:rPr>
        <w:t>39</w:t>
      </w:r>
      <w:r>
        <w:t>.</w:t>
      </w:r>
      <w:r>
        <w:tab/>
        <w:t>Applications for orders from Board — procedure</w:t>
      </w:r>
      <w:bookmarkEnd w:id="159"/>
      <w:bookmarkEnd w:id="160"/>
    </w:p>
    <w:p>
      <w:pPr>
        <w:pStyle w:val="Subsection"/>
      </w:pPr>
      <w:r>
        <w:tab/>
        <w:t>(1)</w:t>
      </w:r>
      <w:r>
        <w:tab/>
        <w:t xml:space="preserve">An application by the Authority to the Board for an order under regulation 31(7) or 33(1) must — </w:t>
      </w:r>
    </w:p>
    <w:p>
      <w:pPr>
        <w:pStyle w:val="Indenta"/>
      </w:pPr>
      <w:r>
        <w:tab/>
        <w:t>(a)</w:t>
      </w:r>
      <w:r>
        <w:tab/>
        <w:t>be in writing; and</w:t>
      </w:r>
    </w:p>
    <w:p>
      <w:pPr>
        <w:pStyle w:val="Indenta"/>
      </w:pPr>
      <w:r>
        <w:tab/>
        <w:t>(b)</w:t>
      </w:r>
      <w:r>
        <w:tab/>
        <w:t>state that the applicant is the Authority; and</w:t>
      </w:r>
    </w:p>
    <w:p>
      <w:pPr>
        <w:pStyle w:val="Indenta"/>
      </w:pPr>
      <w:r>
        <w:tab/>
        <w:t>(c)</w:t>
      </w:r>
      <w:r>
        <w:tab/>
        <w:t>specify the provision of the regulations under which the Authority is making the application; and</w:t>
      </w:r>
    </w:p>
    <w:p>
      <w:pPr>
        <w:pStyle w:val="Indenta"/>
      </w:pPr>
      <w:r>
        <w:tab/>
        <w:t>(d)</w:t>
      </w:r>
      <w:r>
        <w:tab/>
        <w:t>provide details of the contravention of the market rules that the Authority considers has occurred, including the name and address of the participant alleged to have contravened the market rules; and</w:t>
      </w:r>
    </w:p>
    <w:p>
      <w:pPr>
        <w:pStyle w:val="Indenta"/>
      </w:pPr>
      <w:r>
        <w:tab/>
        <w:t>(e)</w:t>
      </w:r>
      <w:r>
        <w:tab/>
        <w:t>specify the nature of the order sought.</w:t>
      </w:r>
    </w:p>
    <w:p>
      <w:pPr>
        <w:pStyle w:val="Ednotesubsection"/>
      </w:pPr>
      <w:r>
        <w:tab/>
        <w:t>[(2)</w:t>
      </w:r>
      <w:r>
        <w:tab/>
        <w:t>deleted]</w:t>
      </w:r>
    </w:p>
    <w:p>
      <w:pPr>
        <w:pStyle w:val="Footnotesection"/>
        <w:spacing w:before="100"/>
        <w:ind w:left="890" w:hanging="890"/>
      </w:pPr>
      <w:r>
        <w:tab/>
        <w:t>[Regulation 39 inserted in Gazette 16 Aug 2005 p. 3843</w:t>
      </w:r>
      <w:r>
        <w:noBreakHyphen/>
        <w:t>4; amended in Gazette 13 Nov 2015 p. 4635; 24 Jun 2016 p. 2301.]</w:t>
      </w:r>
    </w:p>
    <w:p>
      <w:pPr>
        <w:pStyle w:val="Heading3"/>
      </w:pPr>
      <w:bookmarkStart w:id="161" w:name="_Toc482957901"/>
      <w:bookmarkStart w:id="162" w:name="_Toc486421894"/>
      <w:bookmarkStart w:id="163" w:name="_Toc478985375"/>
      <w:bookmarkStart w:id="164" w:name="_Toc478986369"/>
      <w:bookmarkStart w:id="165" w:name="_Toc482889846"/>
      <w:bookmarkStart w:id="166" w:name="_Toc486589269"/>
      <w:r>
        <w:rPr>
          <w:rStyle w:val="CharDivNo"/>
        </w:rPr>
        <w:t>Division 4</w:t>
      </w:r>
      <w:r>
        <w:t> — </w:t>
      </w:r>
      <w:r>
        <w:rPr>
          <w:rStyle w:val="CharDivText"/>
        </w:rPr>
        <w:t>Payments under the market rules</w:t>
      </w:r>
      <w:bookmarkEnd w:id="161"/>
      <w:bookmarkEnd w:id="162"/>
      <w:bookmarkEnd w:id="163"/>
      <w:bookmarkEnd w:id="164"/>
      <w:bookmarkEnd w:id="165"/>
      <w:bookmarkEnd w:id="166"/>
    </w:p>
    <w:p>
      <w:pPr>
        <w:pStyle w:val="Footnoteheading"/>
      </w:pPr>
      <w:r>
        <w:tab/>
        <w:t>[Heading inserted in Gazette 16 Aug 2005 p. 3844.]</w:t>
      </w:r>
    </w:p>
    <w:p>
      <w:pPr>
        <w:pStyle w:val="Heading5"/>
        <w:spacing w:before="240"/>
      </w:pPr>
      <w:bookmarkStart w:id="167" w:name="_Toc486421895"/>
      <w:bookmarkStart w:id="168" w:name="_Toc486589270"/>
      <w:r>
        <w:rPr>
          <w:rStyle w:val="CharSectno"/>
        </w:rPr>
        <w:t>40</w:t>
      </w:r>
      <w:r>
        <w:t>.</w:t>
      </w:r>
      <w:r>
        <w:tab/>
        <w:t>Obligation to make payments under market rules</w:t>
      </w:r>
      <w:bookmarkEnd w:id="167"/>
      <w:bookmarkEnd w:id="168"/>
    </w:p>
    <w:p>
      <w:pPr>
        <w:pStyle w:val="Subsection"/>
      </w:pPr>
      <w:r>
        <w:tab/>
        <w:t>(1AA)</w:t>
      </w:r>
      <w:r>
        <w:tab/>
        <w:t xml:space="preserve">In this regulation — </w:t>
      </w:r>
    </w:p>
    <w:p>
      <w:pPr>
        <w:pStyle w:val="Defstart"/>
      </w:pPr>
      <w:r>
        <w:tab/>
      </w:r>
      <w:r>
        <w:rPr>
          <w:rStyle w:val="CharDefText"/>
        </w:rPr>
        <w:t>person required to pay</w:t>
      </w:r>
      <w:r>
        <w:t xml:space="preserve"> means, as the case requires — </w:t>
      </w:r>
    </w:p>
    <w:p>
      <w:pPr>
        <w:pStyle w:val="Defpara"/>
      </w:pPr>
      <w:r>
        <w:tab/>
        <w:t>(a)</w:t>
      </w:r>
      <w:r>
        <w:tab/>
        <w:t>a registered participant required to pay an amount, as referred to in subregulation (1)(a)(i) or (2)(a)(i); or</w:t>
      </w:r>
    </w:p>
    <w:p>
      <w:pPr>
        <w:pStyle w:val="Defpara"/>
      </w:pPr>
      <w:r>
        <w:tab/>
        <w:t>(b)</w:t>
      </w:r>
      <w:r>
        <w:tab/>
        <w:t>the operator required to pay an amount, as referred to in subregulation (1)(a)(ii) or (2)(a)(ii).</w:t>
      </w:r>
    </w:p>
    <w:p>
      <w:pPr>
        <w:pStyle w:val="Subsection"/>
        <w:keepNext/>
        <w:spacing w:before="180"/>
      </w:pPr>
      <w:r>
        <w:tab/>
        <w:t>(1)</w:t>
      </w:r>
      <w:r>
        <w:tab/>
        <w:t xml:space="preserve">If, under the market rules — </w:t>
      </w:r>
    </w:p>
    <w:p>
      <w:pPr>
        <w:pStyle w:val="Indenta"/>
        <w:keepNext/>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keepNext/>
        <w:spacing w:before="100"/>
      </w:pPr>
      <w:r>
        <w:tab/>
        <w:t>(d)</w:t>
      </w:r>
      <w:r>
        <w:tab/>
        <w:t>the person required to pay has not paid the amount within 28 days after the day referred to in paragraph (c),</w:t>
      </w:r>
    </w:p>
    <w:p>
      <w:pPr>
        <w:pStyle w:val="Subsection"/>
        <w:keepNext/>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operator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keepNext/>
      </w:pPr>
      <w:r>
        <w:tab/>
        <w:t>(b)</w:t>
      </w:r>
      <w:r>
        <w:tab/>
        <w:t>the parties to the dispute agree otherwise.</w:t>
      </w:r>
    </w:p>
    <w:p>
      <w:pPr>
        <w:pStyle w:val="Footnotesection"/>
      </w:pPr>
      <w:r>
        <w:tab/>
        <w:t>[Regulation 40 inserted in Gazette 16 Aug 2005 p. 3844</w:t>
      </w:r>
      <w:r>
        <w:noBreakHyphen/>
        <w:t>5; amended in Gazette 13 Nov 2015 p. 4636; 24 Jun 2016 p. 2302.]</w:t>
      </w:r>
    </w:p>
    <w:p>
      <w:pPr>
        <w:pStyle w:val="Heading2"/>
      </w:pPr>
      <w:bookmarkStart w:id="169" w:name="_Toc482957903"/>
      <w:bookmarkStart w:id="170" w:name="_Toc486421896"/>
      <w:bookmarkStart w:id="171" w:name="_Toc478985377"/>
      <w:bookmarkStart w:id="172" w:name="_Toc478986371"/>
      <w:bookmarkStart w:id="173" w:name="_Toc482889848"/>
      <w:bookmarkStart w:id="174" w:name="_Toc486589271"/>
      <w:r>
        <w:rPr>
          <w:rStyle w:val="CharPartNo"/>
        </w:rPr>
        <w:t>Part 6</w:t>
      </w:r>
      <w:r>
        <w:rPr>
          <w:rStyle w:val="CharDivNo"/>
        </w:rPr>
        <w:t> </w:t>
      </w:r>
      <w:r>
        <w:t>—</w:t>
      </w:r>
      <w:r>
        <w:rPr>
          <w:rStyle w:val="CharDivText"/>
        </w:rPr>
        <w:t> </w:t>
      </w:r>
      <w:r>
        <w:rPr>
          <w:rStyle w:val="CharPartText"/>
        </w:rPr>
        <w:t>Review by the Board</w:t>
      </w:r>
      <w:bookmarkEnd w:id="169"/>
      <w:bookmarkEnd w:id="170"/>
      <w:bookmarkEnd w:id="171"/>
      <w:bookmarkEnd w:id="172"/>
      <w:bookmarkEnd w:id="173"/>
      <w:bookmarkEnd w:id="174"/>
    </w:p>
    <w:p>
      <w:pPr>
        <w:pStyle w:val="Footnoteheading"/>
      </w:pPr>
      <w:r>
        <w:tab/>
        <w:t>[Heading inserted in Gazette 16 Aug 2005 p. 3845.]</w:t>
      </w:r>
    </w:p>
    <w:p>
      <w:pPr>
        <w:pStyle w:val="Heading5"/>
        <w:spacing w:before="260"/>
      </w:pPr>
      <w:bookmarkStart w:id="175" w:name="_Toc486421897"/>
      <w:bookmarkStart w:id="176" w:name="_Toc486589272"/>
      <w:r>
        <w:rPr>
          <w:rStyle w:val="CharSectno"/>
        </w:rPr>
        <w:t>41</w:t>
      </w:r>
      <w:r>
        <w:t>.</w:t>
      </w:r>
      <w:r>
        <w:tab/>
        <w:t>Reviewable decisions and procedural decisions</w:t>
      </w:r>
      <w:bookmarkEnd w:id="175"/>
      <w:bookmarkEnd w:id="176"/>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spacing w:before="260"/>
      </w:pPr>
      <w:bookmarkStart w:id="177" w:name="_Toc486421898"/>
      <w:bookmarkStart w:id="178" w:name="_Toc486589273"/>
      <w:r>
        <w:rPr>
          <w:rStyle w:val="CharSectno"/>
        </w:rPr>
        <w:t>42</w:t>
      </w:r>
      <w:r>
        <w:t>.</w:t>
      </w:r>
      <w:r>
        <w:tab/>
        <w:t>Review by Board — all reviewable decisions</w:t>
      </w:r>
      <w:bookmarkEnd w:id="177"/>
      <w:bookmarkEnd w:id="178"/>
    </w:p>
    <w:p>
      <w:pPr>
        <w:pStyle w:val="Subsection"/>
        <w:spacing w:before="180"/>
      </w:pPr>
      <w:r>
        <w:tab/>
        <w:t>(1)</w:t>
      </w:r>
      <w:r>
        <w:tab/>
        <w:t>A person whose interests are adversely affected by a reviewable decision may apply to the Board for a review of the decision.</w:t>
      </w:r>
    </w:p>
    <w:p>
      <w:pPr>
        <w:pStyle w:val="Subsection"/>
        <w:spacing w:before="180"/>
      </w:pPr>
      <w:r>
        <w:tab/>
        <w:t>(2)</w:t>
      </w:r>
      <w:r>
        <w:tab/>
        <w:t xml:space="preserve">The provisions of Schedule 1 section 38(3), (4), (5), (8), (9), (11) and (12) of the </w:t>
      </w:r>
      <w:r>
        <w:rPr>
          <w:i/>
          <w:iCs/>
        </w:rPr>
        <w:t>Gas Pipelines Access (Western Australia) Act 1998</w:t>
      </w:r>
      <w:r>
        <w:rPr>
          <w:iCs/>
          <w:vertAlign w:val="superscript"/>
        </w:rPr>
        <w:t> </w:t>
      </w:r>
      <w:del w:id="179" w:author="Master Repository Process" w:date="2021-08-01T13:39:00Z">
        <w:r>
          <w:rPr>
            <w:iCs/>
            <w:vertAlign w:val="superscript"/>
          </w:rPr>
          <w:delText>3</w:delText>
        </w:r>
      </w:del>
      <w:ins w:id="180" w:author="Master Repository Process" w:date="2021-08-01T13:39:00Z">
        <w:r>
          <w:rPr>
            <w:iCs/>
            <w:vertAlign w:val="superscript"/>
          </w:rPr>
          <w:t>4</w:t>
        </w:r>
      </w:ins>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spacing w:before="100"/>
      </w:pPr>
      <w:r>
        <w:tab/>
        <w:t>(a)</w:t>
      </w:r>
      <w:r>
        <w:tab/>
        <w:t>a reference to the relevant appeals body is to be read as a reference to the Board;</w:t>
      </w:r>
    </w:p>
    <w:p>
      <w:pPr>
        <w:pStyle w:val="Indenta"/>
        <w:spacing w:before="100"/>
      </w:pPr>
      <w:r>
        <w:tab/>
        <w:t>(b)</w:t>
      </w:r>
      <w:r>
        <w:tab/>
        <w:t>a reference to the relevant Regulator is to be read as a reference to the operator or the IMO (whichever is relevant);</w:t>
      </w:r>
    </w:p>
    <w:p>
      <w:pPr>
        <w:pStyle w:val="Indenta"/>
        <w:spacing w:before="100"/>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 amended in Gazette 31 Dec 2009 p. 5375; 13 Nov 2015 p. 4636.]</w:t>
      </w:r>
    </w:p>
    <w:p>
      <w:pPr>
        <w:pStyle w:val="Heading5"/>
      </w:pPr>
      <w:bookmarkStart w:id="181" w:name="_Toc486421899"/>
      <w:bookmarkStart w:id="182" w:name="_Toc486589274"/>
      <w:r>
        <w:rPr>
          <w:rStyle w:val="CharSectno"/>
        </w:rPr>
        <w:t>43</w:t>
      </w:r>
      <w:r>
        <w:t>.</w:t>
      </w:r>
      <w:r>
        <w:tab/>
        <w:t>Review by Board — procedural decisions</w:t>
      </w:r>
      <w:bookmarkEnd w:id="181"/>
      <w:bookmarkEnd w:id="182"/>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183" w:name="_Toc486421900"/>
      <w:bookmarkStart w:id="184" w:name="_Toc486589275"/>
      <w:r>
        <w:rPr>
          <w:rStyle w:val="CharSectno"/>
        </w:rPr>
        <w:t>44</w:t>
      </w:r>
      <w:r>
        <w:t>.</w:t>
      </w:r>
      <w:r>
        <w:tab/>
        <w:t>Application for review</w:t>
      </w:r>
      <w:bookmarkEnd w:id="183"/>
      <w:bookmarkEnd w:id="184"/>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pPr>
      <w:bookmarkStart w:id="185" w:name="_Toc486421901"/>
      <w:bookmarkStart w:id="186" w:name="_Toc486589276"/>
      <w:r>
        <w:rPr>
          <w:rStyle w:val="CharSectno"/>
        </w:rPr>
        <w:t>45</w:t>
      </w:r>
      <w:r>
        <w:t>.</w:t>
      </w:r>
      <w:r>
        <w:tab/>
        <w:t>Effect of application for review</w:t>
      </w:r>
      <w:bookmarkEnd w:id="185"/>
      <w:bookmarkEnd w:id="186"/>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187" w:name="_Toc486421902"/>
      <w:bookmarkStart w:id="188" w:name="_Toc486589277"/>
      <w:r>
        <w:rPr>
          <w:rStyle w:val="CharSectno"/>
        </w:rPr>
        <w:t>46</w:t>
      </w:r>
      <w:r>
        <w:t>.</w:t>
      </w:r>
      <w:r>
        <w:tab/>
        <w:t>Conferences</w:t>
      </w:r>
      <w:bookmarkEnd w:id="187"/>
      <w:bookmarkEnd w:id="188"/>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189" w:name="_Toc486421903"/>
      <w:bookmarkStart w:id="190" w:name="_Toc486589278"/>
      <w:r>
        <w:rPr>
          <w:rStyle w:val="CharSectno"/>
        </w:rPr>
        <w:t>47</w:t>
      </w:r>
      <w:r>
        <w:t>.</w:t>
      </w:r>
      <w:r>
        <w:tab/>
        <w:t>Procedure</w:t>
      </w:r>
      <w:bookmarkEnd w:id="189"/>
      <w:bookmarkEnd w:id="190"/>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191" w:name="_Toc482957911"/>
      <w:bookmarkStart w:id="192" w:name="_Toc486421904"/>
      <w:bookmarkStart w:id="193" w:name="_Toc478985385"/>
      <w:bookmarkStart w:id="194" w:name="_Toc478986379"/>
      <w:bookmarkStart w:id="195" w:name="_Toc482889856"/>
      <w:bookmarkStart w:id="196" w:name="_Toc486589279"/>
      <w:r>
        <w:rPr>
          <w:rStyle w:val="CharPartNo"/>
        </w:rPr>
        <w:t>Part 7</w:t>
      </w:r>
      <w:r>
        <w:t> — </w:t>
      </w:r>
      <w:r>
        <w:rPr>
          <w:rStyle w:val="CharPartText"/>
        </w:rPr>
        <w:t>The Board</w:t>
      </w:r>
      <w:bookmarkEnd w:id="191"/>
      <w:bookmarkEnd w:id="192"/>
      <w:bookmarkEnd w:id="193"/>
      <w:bookmarkEnd w:id="194"/>
      <w:bookmarkEnd w:id="195"/>
      <w:bookmarkEnd w:id="196"/>
    </w:p>
    <w:p>
      <w:pPr>
        <w:pStyle w:val="Footnoteheading"/>
      </w:pPr>
      <w:r>
        <w:tab/>
        <w:t>[Heading inserted in Gazette 16 Aug 2005 p. 3851.]</w:t>
      </w:r>
    </w:p>
    <w:p>
      <w:pPr>
        <w:pStyle w:val="Heading5"/>
      </w:pPr>
      <w:bookmarkStart w:id="197" w:name="_Toc486421905"/>
      <w:bookmarkStart w:id="198" w:name="_Toc486589280"/>
      <w:r>
        <w:rPr>
          <w:rStyle w:val="CharSectno"/>
        </w:rPr>
        <w:t>48</w:t>
      </w:r>
      <w:r>
        <w:t>.</w:t>
      </w:r>
      <w:r>
        <w:tab/>
        <w:t>Terms used</w:t>
      </w:r>
      <w:bookmarkEnd w:id="197"/>
      <w:bookmarkEnd w:id="198"/>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199" w:name="_Toc486421906"/>
      <w:bookmarkStart w:id="200" w:name="_Toc486589281"/>
      <w:r>
        <w:rPr>
          <w:rStyle w:val="CharSectno"/>
        </w:rPr>
        <w:t>49</w:t>
      </w:r>
      <w:r>
        <w:t>.</w:t>
      </w:r>
      <w:r>
        <w:tab/>
        <w:t>Functions of Board</w:t>
      </w:r>
      <w:bookmarkEnd w:id="199"/>
      <w:bookmarkEnd w:id="200"/>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rPr>
          <w:iCs/>
          <w:vertAlign w:val="superscript"/>
        </w:rPr>
        <w:t> </w:t>
      </w:r>
      <w:del w:id="201" w:author="Master Repository Process" w:date="2021-08-01T13:39:00Z">
        <w:r>
          <w:rPr>
            <w:iCs/>
            <w:vertAlign w:val="superscript"/>
          </w:rPr>
          <w:delText>3</w:delText>
        </w:r>
      </w:del>
      <w:ins w:id="202" w:author="Master Repository Process" w:date="2021-08-01T13:39:00Z">
        <w:r>
          <w:rPr>
            <w:iCs/>
            <w:vertAlign w:val="superscript"/>
          </w:rPr>
          <w:t>4</w:t>
        </w:r>
      </w:ins>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in Gazette 31 Dec 2009 p. 5376-7.]</w:t>
      </w:r>
    </w:p>
    <w:p>
      <w:pPr>
        <w:pStyle w:val="Heading5"/>
      </w:pPr>
      <w:bookmarkStart w:id="203" w:name="_Toc486421907"/>
      <w:bookmarkStart w:id="204" w:name="_Toc486589282"/>
      <w:r>
        <w:rPr>
          <w:rStyle w:val="CharSectno"/>
        </w:rPr>
        <w:t>50</w:t>
      </w:r>
      <w:r>
        <w:t>.</w:t>
      </w:r>
      <w:r>
        <w:tab/>
        <w:t>Proceedings before Board</w:t>
      </w:r>
      <w:bookmarkEnd w:id="203"/>
      <w:bookmarkEnd w:id="204"/>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205" w:name="_Toc482957915"/>
      <w:bookmarkStart w:id="206" w:name="_Toc486421908"/>
      <w:bookmarkStart w:id="207" w:name="_Toc478985389"/>
      <w:bookmarkStart w:id="208" w:name="_Toc478986383"/>
      <w:bookmarkStart w:id="209" w:name="_Toc482889860"/>
      <w:bookmarkStart w:id="210" w:name="_Toc486589283"/>
      <w:r>
        <w:rPr>
          <w:rStyle w:val="CharPartNo"/>
        </w:rPr>
        <w:t>Part 8</w:t>
      </w:r>
      <w:r>
        <w:t> — </w:t>
      </w:r>
      <w:r>
        <w:rPr>
          <w:rStyle w:val="CharPartText"/>
        </w:rPr>
        <w:t>Limitation of liability</w:t>
      </w:r>
      <w:bookmarkEnd w:id="205"/>
      <w:bookmarkEnd w:id="206"/>
      <w:bookmarkEnd w:id="207"/>
      <w:bookmarkEnd w:id="208"/>
      <w:bookmarkEnd w:id="209"/>
      <w:bookmarkEnd w:id="210"/>
    </w:p>
    <w:p>
      <w:pPr>
        <w:pStyle w:val="Footnoteheading"/>
      </w:pPr>
      <w:r>
        <w:tab/>
        <w:t>[Heading inserted in Gazette 16 Aug 2005 p. 3853.]</w:t>
      </w:r>
    </w:p>
    <w:p>
      <w:pPr>
        <w:pStyle w:val="Heading5"/>
      </w:pPr>
      <w:bookmarkStart w:id="211" w:name="_Toc486421909"/>
      <w:bookmarkStart w:id="212" w:name="_Toc486589284"/>
      <w:r>
        <w:rPr>
          <w:rStyle w:val="CharSectno"/>
        </w:rPr>
        <w:t>51</w:t>
      </w:r>
      <w:r>
        <w:t>.</w:t>
      </w:r>
      <w:r>
        <w:tab/>
        <w:t>Persons exempt from section 126(3)(a) of Act</w:t>
      </w:r>
      <w:bookmarkEnd w:id="211"/>
      <w:bookmarkEnd w:id="212"/>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Rule Change Panel;</w:t>
      </w:r>
    </w:p>
    <w:p>
      <w:pPr>
        <w:pStyle w:val="Indenta"/>
      </w:pPr>
      <w:r>
        <w:tab/>
        <w:t>(f)</w:t>
      </w:r>
      <w:r>
        <w:tab/>
        <w:t>the Board.</w:t>
      </w:r>
    </w:p>
    <w:p>
      <w:pPr>
        <w:pStyle w:val="Footnotesection"/>
      </w:pPr>
      <w:r>
        <w:tab/>
        <w:t>[Regulation 51 inserted in Gazette 16 Aug 2005 p. 3853; amended in Gazette 31 Mar 2006 p. 1322; 13 Nov 2015 p. 4636; 24 Jun 2016 p. 2302; 23 Nov 2016 p. 5269.]</w:t>
      </w:r>
    </w:p>
    <w:p>
      <w:pPr>
        <w:pStyle w:val="Heading5"/>
      </w:pPr>
      <w:bookmarkStart w:id="213" w:name="_Toc486421910"/>
      <w:bookmarkStart w:id="214" w:name="_Toc486589285"/>
      <w:r>
        <w:rPr>
          <w:rStyle w:val="CharSectno"/>
        </w:rPr>
        <w:t>52</w:t>
      </w:r>
      <w:r>
        <w:t>.</w:t>
      </w:r>
      <w:r>
        <w:tab/>
        <w:t>Maximum civil monetary liability for certain market governance participants</w:t>
      </w:r>
      <w:bookmarkEnd w:id="213"/>
      <w:bookmarkEnd w:id="214"/>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(3A)</w:t>
      </w:r>
      <w:r>
        <w:tab/>
        <w:t xml:space="preserve">For the period of 12 months commencing at the time at which the </w:t>
      </w:r>
      <w:r>
        <w:rPr>
          <w:i/>
        </w:rPr>
        <w:t>Electricity Industry (Wholesale Electricity Market) Amendment Regulations (No. 3) 2015</w:t>
      </w:r>
      <w:r>
        <w:t xml:space="preserve"> regulation 18 comes into operation, subregulation (2) has effect in relation to the operator (including in relation to its system management function) as if — </w:t>
      </w:r>
    </w:p>
    <w:p>
      <w:pPr>
        <w:pStyle w:val="Indenta"/>
      </w:pPr>
      <w:r>
        <w:tab/>
        <w:t>(a)</w:t>
      </w:r>
      <w:r>
        <w:tab/>
        <w:t>in paragraph (a), $10 000 were substituted for $100 000; and</w:t>
      </w:r>
    </w:p>
    <w:p>
      <w:pPr>
        <w:pStyle w:val="Indenta"/>
      </w:pPr>
      <w:r>
        <w:tab/>
        <w:t>(b)</w:t>
      </w:r>
      <w:r>
        <w:tab/>
        <w:t>in paragraph (b), $100 000 were substituted for $10 000 000.</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 amended in Gazette 13 Nov 2015 p. 4636.]</w:t>
      </w:r>
    </w:p>
    <w:p>
      <w:pPr>
        <w:pStyle w:val="Heading5"/>
      </w:pPr>
      <w:bookmarkStart w:id="215" w:name="_Toc486421911"/>
      <w:bookmarkStart w:id="216" w:name="_Toc486589286"/>
      <w:r>
        <w:rPr>
          <w:rStyle w:val="CharSectno"/>
        </w:rPr>
        <w:t>53</w:t>
      </w:r>
      <w:r>
        <w:t>.</w:t>
      </w:r>
      <w:r>
        <w:tab/>
        <w:t>Maximum civil monetary liability for officers and employees of market governance participants</w:t>
      </w:r>
      <w:bookmarkEnd w:id="215"/>
      <w:bookmarkEnd w:id="216"/>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pStyle w:val="Heading2"/>
      </w:pPr>
      <w:bookmarkStart w:id="217" w:name="_Toc482957919"/>
      <w:bookmarkStart w:id="218" w:name="_Toc486421912"/>
      <w:bookmarkStart w:id="219" w:name="_Toc478985393"/>
      <w:bookmarkStart w:id="220" w:name="_Toc478986387"/>
      <w:bookmarkStart w:id="221" w:name="_Toc482889864"/>
      <w:bookmarkStart w:id="222" w:name="_Toc486589287"/>
      <w:r>
        <w:rPr>
          <w:rStyle w:val="CharPartNo"/>
        </w:rPr>
        <w:t>Part 9</w:t>
      </w:r>
      <w:r>
        <w:t> — </w:t>
      </w:r>
      <w:r>
        <w:rPr>
          <w:rStyle w:val="CharPartText"/>
        </w:rPr>
        <w:t>Provision of information and advice to Minister</w:t>
      </w:r>
      <w:bookmarkEnd w:id="217"/>
      <w:bookmarkEnd w:id="218"/>
      <w:bookmarkEnd w:id="219"/>
      <w:bookmarkEnd w:id="220"/>
      <w:bookmarkEnd w:id="221"/>
      <w:bookmarkEnd w:id="222"/>
    </w:p>
    <w:p>
      <w:pPr>
        <w:pStyle w:val="Footnoteheading"/>
        <w:rPr>
          <w:ins w:id="223" w:author="Master Repository Process" w:date="2021-08-01T13:39:00Z"/>
        </w:rPr>
      </w:pPr>
      <w:ins w:id="224" w:author="Master Repository Process" w:date="2021-08-01T13:39:00Z">
        <w:r>
          <w:tab/>
          <w:t>[Heading inserted in Gazette 13 Nov 2015 p. 4636.]</w:t>
        </w:r>
      </w:ins>
    </w:p>
    <w:p>
      <w:pPr>
        <w:pStyle w:val="Heading5"/>
      </w:pPr>
      <w:bookmarkStart w:id="225" w:name="_Toc486421913"/>
      <w:bookmarkStart w:id="226" w:name="_Toc486589288"/>
      <w:r>
        <w:rPr>
          <w:rStyle w:val="CharSectno"/>
        </w:rPr>
        <w:t>54</w:t>
      </w:r>
      <w:r>
        <w:t>.</w:t>
      </w:r>
      <w:r>
        <w:tab/>
        <w:t>Provision of information and advice to Minister: operator’s functions</w:t>
      </w:r>
      <w:bookmarkEnd w:id="225"/>
      <w:bookmarkEnd w:id="226"/>
    </w:p>
    <w:p>
      <w:pPr>
        <w:pStyle w:val="Subsection"/>
      </w:pPr>
      <w:r>
        <w:tab/>
        <w:t>(1)</w:t>
      </w:r>
      <w:r>
        <w:tab/>
        <w:t xml:space="preserve">In this regulation — </w:t>
      </w:r>
    </w:p>
    <w:p>
      <w:pPr>
        <w:pStyle w:val="Defstart"/>
      </w:pPr>
      <w:r>
        <w:tab/>
      </w:r>
      <w:r>
        <w:rPr>
          <w:rStyle w:val="CharDefText"/>
        </w:rPr>
        <w:t>protected information</w:t>
      </w:r>
      <w:r>
        <w:t xml:space="preserve"> means information — </w:t>
      </w:r>
    </w:p>
    <w:p>
      <w:pPr>
        <w:pStyle w:val="Defpara"/>
      </w:pPr>
      <w:r>
        <w:tab/>
        <w:t>(a)</w:t>
      </w:r>
      <w:r>
        <w:tab/>
        <w:t>given to the operator in confidence; or</w:t>
      </w:r>
    </w:p>
    <w:p>
      <w:pPr>
        <w:pStyle w:val="Defpara"/>
      </w:pPr>
      <w:r>
        <w:tab/>
        <w:t>(b)</w:t>
      </w:r>
      <w:r>
        <w:tab/>
        <w:t>given to the operator, in connection with the performance of its functions that, in the opinion of the operator, would adversely affect the commercial interest of the person who gave the information if it were publicly disclosed.</w:t>
      </w:r>
    </w:p>
    <w:p>
      <w:pPr>
        <w:pStyle w:val="Subsection"/>
      </w:pPr>
      <w:r>
        <w:tab/>
        <w:t>(2)</w:t>
      </w:r>
      <w:r>
        <w:tab/>
        <w:t xml:space="preserve">The Minister may request the operator to — </w:t>
      </w:r>
    </w:p>
    <w:p>
      <w:pPr>
        <w:pStyle w:val="Indenta"/>
      </w:pPr>
      <w:r>
        <w:tab/>
        <w:t>(a)</w:t>
      </w:r>
      <w:r>
        <w:tab/>
        <w:t>provide information about the performance of its functions under these regulations or the market rules; or</w:t>
      </w:r>
    </w:p>
    <w:p>
      <w:pPr>
        <w:pStyle w:val="Indenta"/>
      </w:pPr>
      <w:r>
        <w:tab/>
        <w:t>(b)</w:t>
      </w:r>
      <w:r>
        <w:tab/>
        <w:t>provide advice, including advice in the nature of feasibility studies and consultancy services.</w:t>
      </w:r>
    </w:p>
    <w:p>
      <w:pPr>
        <w:pStyle w:val="Subsection"/>
      </w:pPr>
      <w:r>
        <w:tab/>
        <w:t>(3)</w:t>
      </w:r>
      <w:r>
        <w:tab/>
        <w:t>The operator must comply with a request.</w:t>
      </w:r>
    </w:p>
    <w:p>
      <w:pPr>
        <w:pStyle w:val="Subsection"/>
      </w:pPr>
      <w:r>
        <w:tab/>
        <w:t>(4)</w:t>
      </w:r>
      <w:r>
        <w:tab/>
        <w:t>Protected information provided in response to a request under subregulation (2) must be identified as such by the operator at the time of providing the information.</w:t>
      </w:r>
    </w:p>
    <w:p>
      <w:pPr>
        <w:pStyle w:val="Subsection"/>
      </w:pPr>
      <w:r>
        <w:tab/>
        <w:t>(5)</w:t>
      </w:r>
      <w:r>
        <w:tab/>
        <w:t>The costs of the operator in complying with a request under subregulation (2)(a) are not recoverable by way of fees to be paid by registered participants under the market rules.</w:t>
      </w:r>
    </w:p>
    <w:p>
      <w:pPr>
        <w:pStyle w:val="Footnotesection"/>
      </w:pPr>
      <w:r>
        <w:tab/>
        <w:t>[Regulation 54 inserted in Gazette 13 Nov 2015 p. 4636-7.]</w:t>
      </w:r>
    </w:p>
    <w:p>
      <w:pPr>
        <w:pStyle w:val="Heading2"/>
      </w:pPr>
      <w:bookmarkStart w:id="227" w:name="_Toc482957921"/>
      <w:bookmarkStart w:id="228" w:name="_Toc486421914"/>
      <w:bookmarkStart w:id="229" w:name="_Toc478985395"/>
      <w:bookmarkStart w:id="230" w:name="_Toc478986389"/>
      <w:bookmarkStart w:id="231" w:name="_Toc482889866"/>
      <w:bookmarkStart w:id="232" w:name="_Toc486589289"/>
      <w:r>
        <w:rPr>
          <w:rStyle w:val="CharPartNo"/>
        </w:rPr>
        <w:t>Part 10</w:t>
      </w:r>
      <w:r>
        <w:rPr>
          <w:rStyle w:val="CharDivNo"/>
        </w:rPr>
        <w:t> </w:t>
      </w:r>
      <w:r>
        <w:t>—</w:t>
      </w:r>
      <w:r>
        <w:rPr>
          <w:rStyle w:val="CharDivText"/>
        </w:rPr>
        <w:t> </w:t>
      </w:r>
      <w:r>
        <w:rPr>
          <w:rStyle w:val="CharPartText"/>
        </w:rPr>
        <w:t>Authority may prosecute offences</w:t>
      </w:r>
      <w:bookmarkEnd w:id="227"/>
      <w:bookmarkEnd w:id="228"/>
      <w:bookmarkEnd w:id="229"/>
      <w:bookmarkEnd w:id="230"/>
      <w:bookmarkEnd w:id="231"/>
      <w:bookmarkEnd w:id="232"/>
    </w:p>
    <w:p>
      <w:pPr>
        <w:pStyle w:val="Footnoteheading"/>
      </w:pPr>
      <w:r>
        <w:tab/>
        <w:t>[Heading inserted in Gazette 24 Jun 2016 p. 2303.]</w:t>
      </w:r>
    </w:p>
    <w:p>
      <w:pPr>
        <w:pStyle w:val="Heading5"/>
      </w:pPr>
      <w:bookmarkStart w:id="233" w:name="_Toc486421915"/>
      <w:bookmarkStart w:id="234" w:name="_Toc486589290"/>
      <w:r>
        <w:rPr>
          <w:rStyle w:val="CharSectno"/>
        </w:rPr>
        <w:t>55</w:t>
      </w:r>
      <w:r>
        <w:t>.</w:t>
      </w:r>
      <w:r>
        <w:tab/>
        <w:t>Authority may prosecute offences</w:t>
      </w:r>
      <w:bookmarkEnd w:id="233"/>
      <w:bookmarkEnd w:id="234"/>
    </w:p>
    <w:p>
      <w:pPr>
        <w:pStyle w:val="Subsection"/>
      </w:pPr>
      <w:r>
        <w:tab/>
      </w:r>
      <w:r>
        <w:tab/>
        <w:t>A prosecution for an offence against these regulations may be commenced by the Authority or a person authorised by the Authority to do so.</w:t>
      </w:r>
    </w:p>
    <w:p>
      <w:pPr>
        <w:pStyle w:val="Footnotesection"/>
      </w:pPr>
      <w:r>
        <w:tab/>
        <w:t>[Regulation 55 inserted in Gazette 24 Jun 2016 p. 2303.]</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35" w:name="_Toc482957923"/>
      <w:bookmarkStart w:id="236" w:name="_Toc486421916"/>
      <w:bookmarkStart w:id="237" w:name="_Toc478985397"/>
      <w:bookmarkStart w:id="238" w:name="_Toc478986391"/>
      <w:bookmarkStart w:id="239" w:name="_Toc482889868"/>
      <w:bookmarkStart w:id="240" w:name="_Toc486589291"/>
      <w:r>
        <w:rPr>
          <w:rStyle w:val="CharSchNo"/>
        </w:rPr>
        <w:t>Schedule 1</w:t>
      </w:r>
      <w:r>
        <w:rPr>
          <w:rStyle w:val="CharSDivNo"/>
        </w:rPr>
        <w:t> </w:t>
      </w:r>
      <w:r>
        <w:t>—</w:t>
      </w:r>
      <w:r>
        <w:rPr>
          <w:rStyle w:val="CharSDivText"/>
        </w:rPr>
        <w:t> </w:t>
      </w:r>
      <w:r>
        <w:rPr>
          <w:rStyle w:val="CharSchText"/>
        </w:rPr>
        <w:t>Civil penalty provisions and amounts</w:t>
      </w:r>
      <w:bookmarkEnd w:id="235"/>
      <w:bookmarkEnd w:id="236"/>
      <w:bookmarkEnd w:id="237"/>
      <w:bookmarkEnd w:id="238"/>
      <w:bookmarkEnd w:id="239"/>
      <w:bookmarkEnd w:id="240"/>
    </w:p>
    <w:p>
      <w:pPr>
        <w:pStyle w:val="yShoulderClause"/>
      </w:pPr>
      <w:r>
        <w:rPr>
          <w:szCs w:val="22"/>
        </w:rPr>
        <w:t>[r. 4A, 30, 31 and 33]</w:t>
      </w:r>
    </w:p>
    <w:p>
      <w:pPr>
        <w:pStyle w:val="yFootnoteheading"/>
        <w:spacing w:after="120"/>
      </w:pPr>
      <w:r>
        <w:tab/>
        <w:t>[Heading inserted in Gazette 5 Jun 2012 p. 2354; amended in Gazette 24 Feb 2015 p. 738.]</w:t>
      </w:r>
    </w:p>
    <w:tbl>
      <w:tblPr>
        <w:tblW w:w="0" w:type="auto"/>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tcPr>
          <w:p>
            <w:pPr>
              <w:pStyle w:val="yTableNAm"/>
              <w:spacing w:before="80" w:after="80"/>
            </w:pPr>
            <w:r>
              <w:rPr>
                <w:b/>
              </w:rPr>
              <w:t>Provision</w:t>
            </w:r>
          </w:p>
        </w:tc>
        <w:tc>
          <w:tcPr>
            <w:tcW w:w="1276" w:type="dxa"/>
            <w:tcBorders>
              <w:top w:val="single" w:sz="4" w:space="0" w:color="auto"/>
              <w:bottom w:val="single" w:sz="4" w:space="0" w:color="auto"/>
            </w:tcBorders>
          </w:tcPr>
          <w:p>
            <w:pPr>
              <w:pStyle w:val="yTableNAm"/>
              <w:spacing w:before="80" w:after="80"/>
            </w:pPr>
            <w:r>
              <w:rPr>
                <w:b/>
              </w:rPr>
              <w:t>Category</w:t>
            </w:r>
          </w:p>
        </w:tc>
        <w:tc>
          <w:tcPr>
            <w:tcW w:w="4111" w:type="dxa"/>
            <w:tcBorders>
              <w:top w:val="single" w:sz="4" w:space="0" w:color="auto"/>
              <w:bottom w:val="single" w:sz="4" w:space="0" w:color="auto"/>
            </w:tcBorders>
          </w:tcPr>
          <w:p>
            <w:pPr>
              <w:pStyle w:val="yTableNAm"/>
              <w:spacing w:before="80" w:after="80"/>
            </w:pPr>
            <w:r>
              <w:rPr>
                <w:b/>
              </w:rPr>
              <w:t>Maximum civil penalty amounts</w:t>
            </w:r>
          </w:p>
        </w:tc>
      </w:tr>
      <w:tr>
        <w:trPr>
          <w:cantSplit/>
        </w:trPr>
        <w:tc>
          <w:tcPr>
            <w:tcW w:w="1701" w:type="dxa"/>
            <w:tcBorders>
              <w:top w:val="single" w:sz="4" w:space="0" w:color="auto"/>
            </w:tcBorders>
          </w:tcPr>
          <w:p>
            <w:pPr>
              <w:pStyle w:val="yTableNAm"/>
              <w:spacing w:before="100"/>
            </w:pPr>
            <w:r>
              <w:rPr>
                <w:szCs w:val="22"/>
              </w:rPr>
              <w:t>cl. 2.13.13</w:t>
            </w:r>
          </w:p>
        </w:tc>
        <w:tc>
          <w:tcPr>
            <w:tcW w:w="1276" w:type="dxa"/>
            <w:tcBorders>
              <w:top w:val="single" w:sz="4" w:space="0" w:color="auto"/>
            </w:tcBorders>
          </w:tcPr>
          <w:p>
            <w:pPr>
              <w:pStyle w:val="yTableNAm"/>
              <w:spacing w:before="100"/>
            </w:pPr>
            <w:r>
              <w:rPr>
                <w:szCs w:val="22"/>
              </w:rPr>
              <w:t>B</w:t>
            </w:r>
          </w:p>
        </w:tc>
        <w:tc>
          <w:tcPr>
            <w:tcW w:w="4111" w:type="dxa"/>
            <w:tcBorders>
              <w:top w:val="single" w:sz="4" w:space="0" w:color="auto"/>
            </w:tcBorders>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2.13.14(a)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2.16.6(b)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rPr>
                <w:szCs w:val="22"/>
              </w:rPr>
            </w:pPr>
            <w:r>
              <w:t>cl. 2.27.6</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2.27.12</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2.27.14</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t>cl. 2.29.6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2.30C.4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2.31.9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2.32.4(a)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spacing w:before="100"/>
            </w:pPr>
            <w:r>
              <w:rPr>
                <w:szCs w:val="22"/>
              </w:rPr>
              <w:t>cl. 2.34.2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2.35.1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2.35.2</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$5 000</w:t>
            </w:r>
            <w:r>
              <w:rPr>
                <w:szCs w:val="22"/>
              </w:rPr>
              <w:br/>
              <w:t>subsequent contraventions: $10 000</w:t>
            </w:r>
          </w:p>
        </w:tc>
      </w:tr>
      <w:tr>
        <w:trPr>
          <w:cantSplit/>
        </w:trPr>
        <w:tc>
          <w:tcPr>
            <w:tcW w:w="1701" w:type="dxa"/>
          </w:tcPr>
          <w:p>
            <w:pPr>
              <w:pStyle w:val="yTableNAm"/>
              <w:spacing w:before="100"/>
            </w:pPr>
            <w:r>
              <w:rPr>
                <w:szCs w:val="22"/>
              </w:rPr>
              <w:t>cl. 2.36.3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2.36.4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rPr>
                <w:szCs w:val="22"/>
              </w:rPr>
            </w:pPr>
            <w:r>
              <w:t>cl. 2.37.8(a)</w:t>
            </w:r>
          </w:p>
        </w:tc>
        <w:tc>
          <w:tcPr>
            <w:tcW w:w="1276" w:type="dxa"/>
          </w:tcPr>
          <w:p>
            <w:pPr>
              <w:pStyle w:val="yTableNAm"/>
              <w:spacing w:before="100"/>
              <w:rPr>
                <w:szCs w:val="22"/>
              </w:rPr>
            </w:pPr>
            <w:r>
              <w:t>B</w:t>
            </w:r>
          </w:p>
        </w:tc>
        <w:tc>
          <w:tcPr>
            <w:tcW w:w="4111" w:type="dxa"/>
          </w:tcPr>
          <w:p>
            <w:pPr>
              <w:pStyle w:val="yTableNAm"/>
              <w:spacing w:before="100"/>
              <w:rPr>
                <w:szCs w:val="22"/>
              </w:rPr>
            </w:pPr>
            <w:r>
              <w:t>first contravention: $15 000 subsequent contraventions: $30 000</w:t>
            </w:r>
          </w:p>
        </w:tc>
      </w:tr>
      <w:tr>
        <w:trPr>
          <w:cantSplit/>
        </w:trPr>
        <w:tc>
          <w:tcPr>
            <w:tcW w:w="1701" w:type="dxa"/>
          </w:tcPr>
          <w:p>
            <w:pPr>
              <w:pStyle w:val="yTableNAm"/>
              <w:spacing w:before="100"/>
            </w:pPr>
            <w:r>
              <w:rPr>
                <w:szCs w:val="22"/>
              </w:rPr>
              <w:t>cl. 2.38.1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2.38.2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2.38.3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2.41.2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2.42.4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2.44.4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3.4.6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3.4.8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3.5.8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3.5.10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3.6.5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3.6.6B</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3.8.2(c)</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3.11.7A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3.16.4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3.16.7</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3.16.8A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3.17.5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3.17.6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3.18.7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3.18.13(d)(i)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3.19.1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3.19.8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3.21.4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4.5.4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4.10.2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4.13.3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4.13.4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4.22.5(b)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4.27.5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6.5.1A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6.6.3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$100 000</w:t>
            </w:r>
            <w:r>
              <w:rPr>
                <w:szCs w:val="22"/>
              </w:rPr>
              <w:br/>
              <w:t>subsequent contraventions: $100 000</w:t>
            </w:r>
          </w:p>
        </w:tc>
      </w:tr>
      <w:tr>
        <w:trPr>
          <w:cantSplit/>
        </w:trPr>
        <w:tc>
          <w:tcPr>
            <w:tcW w:w="1701" w:type="dxa"/>
          </w:tcPr>
          <w:p>
            <w:pPr>
              <w:pStyle w:val="yTableNAm"/>
              <w:spacing w:before="100"/>
            </w:pPr>
            <w:r>
              <w:rPr>
                <w:szCs w:val="22"/>
              </w:rPr>
              <w:t>cl. 6.7.3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6.7.4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6.19.9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7.5.5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7.6A.2(g)</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7.6A.3(c)</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7.6A.5(e)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7.6A.6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7.7.6(b)(i)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7.7.6A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7.9.12(a)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7.10.1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7.10.6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$35 000</w:t>
            </w:r>
            <w:r>
              <w:rPr>
                <w:szCs w:val="22"/>
              </w:rPr>
              <w:br/>
              <w:t>subsequent contraventions: $70 000</w:t>
            </w:r>
          </w:p>
        </w:tc>
      </w:tr>
      <w:tr>
        <w:trPr>
          <w:cantSplit/>
        </w:trPr>
        <w:tc>
          <w:tcPr>
            <w:tcW w:w="1701" w:type="dxa"/>
          </w:tcPr>
          <w:p>
            <w:pPr>
              <w:pStyle w:val="yTableNAm"/>
              <w:spacing w:before="100"/>
            </w:pPr>
            <w:r>
              <w:rPr>
                <w:szCs w:val="22"/>
              </w:rPr>
              <w:t>cl. 7.10.6A(a)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7.11.9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7A.2.8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8.1.3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8.4.1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8.5.2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8.8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9.1.2(e)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9.3.2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9.23.3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9.24.7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spacing w:before="100"/>
            </w:pPr>
            <w:r>
              <w:rPr>
                <w:szCs w:val="22"/>
              </w:rPr>
              <w:t>cl. 10.1.2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spacing w:before="100"/>
            </w:pPr>
            <w:r>
              <w:rPr>
                <w:szCs w:val="22"/>
              </w:rPr>
              <w:t>cl. 10.2.4</w:t>
            </w:r>
          </w:p>
        </w:tc>
        <w:tc>
          <w:tcPr>
            <w:tcW w:w="1276" w:type="dxa"/>
            <w:tcBorders>
              <w:bottom w:val="single" w:sz="4" w:space="0" w:color="auto"/>
            </w:tcBorders>
          </w:tcPr>
          <w:p>
            <w:pPr>
              <w:pStyle w:val="yTableNAm"/>
              <w:keepNext/>
              <w:spacing w:before="100"/>
            </w:pPr>
            <w:r>
              <w:rPr>
                <w:szCs w:val="22"/>
              </w:rPr>
              <w:t>B</w:t>
            </w:r>
          </w:p>
        </w:tc>
        <w:tc>
          <w:tcPr>
            <w:tcW w:w="4111" w:type="dxa"/>
            <w:tcBorders>
              <w:bottom w:val="single" w:sz="4" w:space="0" w:color="auto"/>
            </w:tcBorders>
          </w:tcPr>
          <w:p>
            <w:pPr>
              <w:pStyle w:val="yTableNAm"/>
              <w:keepNext/>
              <w:spacing w:before="100"/>
            </w:pPr>
            <w:r>
              <w:rPr>
                <w:szCs w:val="22"/>
              </w:rPr>
              <w:t>first contravention: $25 000</w:t>
            </w:r>
            <w:r>
              <w:rPr>
                <w:szCs w:val="22"/>
              </w:rPr>
              <w:br/>
              <w:t xml:space="preserve">subsequent contraventions: $50 000 </w:t>
            </w:r>
          </w:p>
        </w:tc>
      </w:tr>
    </w:tbl>
    <w:p>
      <w:pPr>
        <w:pStyle w:val="yFootnotesection"/>
      </w:pPr>
      <w:r>
        <w:tab/>
        <w:t>[Schedule 1 inserted in Gazette 5 Jun 2012 p. 2354-60; amended in Gazette 24 Feb 2015 p. 738.]</w:t>
      </w:r>
    </w:p>
    <w:p>
      <w:pPr>
        <w:pStyle w:val="yScheduleHeading"/>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42" w:name="_Toc482957924"/>
      <w:bookmarkStart w:id="243" w:name="_Toc486421917"/>
      <w:bookmarkStart w:id="244" w:name="_Toc478985398"/>
      <w:bookmarkStart w:id="245" w:name="_Toc478986392"/>
      <w:bookmarkStart w:id="246" w:name="_Toc482889869"/>
      <w:bookmarkStart w:id="247" w:name="_Toc486589292"/>
      <w:r>
        <w:rPr>
          <w:rStyle w:val="CharSchNo"/>
        </w:rPr>
        <w:t>Schedule 2</w:t>
      </w:r>
      <w:r>
        <w:t> — </w:t>
      </w:r>
      <w:r>
        <w:rPr>
          <w:rStyle w:val="CharSchText"/>
        </w:rPr>
        <w:t>Reviewable decisions and procedural decisions</w:t>
      </w:r>
      <w:bookmarkEnd w:id="242"/>
      <w:bookmarkEnd w:id="243"/>
      <w:bookmarkEnd w:id="244"/>
      <w:bookmarkEnd w:id="245"/>
      <w:bookmarkEnd w:id="246"/>
      <w:bookmarkEnd w:id="247"/>
    </w:p>
    <w:p>
      <w:pPr>
        <w:pStyle w:val="yShoulderClause"/>
        <w:spacing w:before="40"/>
      </w:pPr>
      <w:r>
        <w:rPr>
          <w:szCs w:val="22"/>
        </w:rPr>
        <w:t>[r. 4A and 41]</w:t>
      </w:r>
    </w:p>
    <w:p>
      <w:pPr>
        <w:pStyle w:val="yFootnoteheading"/>
        <w:spacing w:before="40"/>
      </w:pPr>
      <w:r>
        <w:tab/>
        <w:t>[Heading inserted in Gazette 16 Aug 2005 p. 3861; amended in Gazette 24 Feb 2015 p. 738.]</w:t>
      </w:r>
    </w:p>
    <w:p>
      <w:pPr>
        <w:pStyle w:val="yHeading5"/>
        <w:spacing w:before="200"/>
      </w:pPr>
      <w:bookmarkStart w:id="248" w:name="_Toc486421918"/>
      <w:bookmarkStart w:id="249" w:name="_Toc486589293"/>
      <w:r>
        <w:rPr>
          <w:rStyle w:val="CharSClsNo"/>
        </w:rPr>
        <w:t>1</w:t>
      </w:r>
      <w:r>
        <w:t>.</w:t>
      </w:r>
      <w:r>
        <w:tab/>
        <w:t>Reviewable decisions</w:t>
      </w:r>
      <w:bookmarkEnd w:id="248"/>
      <w:bookmarkEnd w:id="249"/>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tc>
          <w:tcPr>
            <w:tcW w:w="1984" w:type="dxa"/>
          </w:tcPr>
          <w:p>
            <w:pPr>
              <w:pStyle w:val="yTableNAm"/>
              <w:spacing w:before="20" w:after="20"/>
            </w:pPr>
            <w:r>
              <w:t>r. 31(1)</w:t>
            </w:r>
          </w:p>
        </w:tc>
        <w:tc>
          <w:tcPr>
            <w:tcW w:w="1984" w:type="dxa"/>
          </w:tcPr>
          <w:p>
            <w:pPr>
              <w:pStyle w:val="yTableNAm"/>
              <w:spacing w:before="20" w:after="20"/>
            </w:pPr>
            <w:r>
              <w:t>cl. 2.3.8</w:t>
            </w:r>
          </w:p>
        </w:tc>
        <w:tc>
          <w:tcPr>
            <w:tcW w:w="1985" w:type="dxa"/>
          </w:tcPr>
          <w:p>
            <w:pPr>
              <w:pStyle w:val="yTableNAm"/>
              <w:spacing w:before="20" w:after="20"/>
            </w:pPr>
            <w:r>
              <w:t>cl. 2.5.6(c)</w:t>
            </w:r>
          </w:p>
        </w:tc>
      </w:tr>
      <w:tr>
        <w:tc>
          <w:tcPr>
            <w:tcW w:w="1984" w:type="dxa"/>
          </w:tcPr>
          <w:p>
            <w:pPr>
              <w:pStyle w:val="yTableNAm"/>
              <w:spacing w:before="20" w:after="20"/>
            </w:pPr>
            <w:r>
              <w:t>cl. 2.5.9</w:t>
            </w:r>
          </w:p>
        </w:tc>
        <w:tc>
          <w:tcPr>
            <w:tcW w:w="1984" w:type="dxa"/>
          </w:tcPr>
          <w:p>
            <w:pPr>
              <w:pStyle w:val="yTableNAm"/>
              <w:spacing w:before="20" w:after="20"/>
            </w:pPr>
            <w:r>
              <w:t>cl. 2.6.3A(a)</w:t>
            </w:r>
          </w:p>
        </w:tc>
        <w:tc>
          <w:tcPr>
            <w:tcW w:w="1985" w:type="dxa"/>
          </w:tcPr>
          <w:p>
            <w:pPr>
              <w:pStyle w:val="yTableNAm"/>
              <w:spacing w:before="20" w:after="20"/>
            </w:pPr>
            <w:r>
              <w:t>cl. 2.7.7A(a)</w:t>
            </w:r>
          </w:p>
        </w:tc>
      </w:tr>
      <w:tr>
        <w:tc>
          <w:tcPr>
            <w:tcW w:w="1984" w:type="dxa"/>
          </w:tcPr>
          <w:p>
            <w:pPr>
              <w:pStyle w:val="yTableNAm"/>
              <w:spacing w:before="20" w:after="20"/>
            </w:pPr>
            <w:r>
              <w:t>cl. 2.10.2A(a)</w:t>
            </w:r>
          </w:p>
        </w:tc>
        <w:tc>
          <w:tcPr>
            <w:tcW w:w="1984" w:type="dxa"/>
          </w:tcPr>
          <w:p>
            <w:pPr>
              <w:pStyle w:val="yTableNAm"/>
              <w:spacing w:before="20" w:after="20"/>
            </w:pPr>
            <w:r>
              <w:t>cl. 2.10.13</w:t>
            </w:r>
          </w:p>
        </w:tc>
        <w:tc>
          <w:tcPr>
            <w:tcW w:w="1985" w:type="dxa"/>
          </w:tcPr>
          <w:p>
            <w:pPr>
              <w:pStyle w:val="yTableNAm"/>
              <w:spacing w:before="20" w:after="20"/>
            </w:pPr>
            <w:r>
              <w:t>cl. 2.10.14</w:t>
            </w:r>
          </w:p>
        </w:tc>
      </w:tr>
      <w:tr>
        <w:tc>
          <w:tcPr>
            <w:tcW w:w="1984" w:type="dxa"/>
          </w:tcPr>
          <w:p>
            <w:pPr>
              <w:pStyle w:val="yTableNAm"/>
              <w:spacing w:before="20" w:after="20"/>
            </w:pPr>
            <w:r>
              <w:t>cl. 2.13.28</w:t>
            </w:r>
          </w:p>
        </w:tc>
        <w:tc>
          <w:tcPr>
            <w:tcW w:w="1984" w:type="dxa"/>
          </w:tcPr>
          <w:p>
            <w:pPr>
              <w:pStyle w:val="yTableNAm"/>
              <w:spacing w:before="20" w:after="20"/>
            </w:pPr>
            <w:r>
              <w:t>cl. 2.28.16</w:t>
            </w:r>
          </w:p>
        </w:tc>
        <w:tc>
          <w:tcPr>
            <w:tcW w:w="1985" w:type="dxa"/>
          </w:tcPr>
          <w:p>
            <w:pPr>
              <w:pStyle w:val="yTableNAm"/>
              <w:spacing w:before="20" w:after="20"/>
            </w:pPr>
            <w:r>
              <w:t>cl. 2.30.4</w:t>
            </w:r>
          </w:p>
        </w:tc>
      </w:tr>
      <w:tr>
        <w:tc>
          <w:tcPr>
            <w:tcW w:w="1984" w:type="dxa"/>
          </w:tcPr>
          <w:p>
            <w:pPr>
              <w:pStyle w:val="yTableNAm"/>
              <w:spacing w:before="20" w:after="20"/>
            </w:pPr>
            <w:r>
              <w:t>cl. 2.30.8</w:t>
            </w:r>
          </w:p>
        </w:tc>
        <w:tc>
          <w:tcPr>
            <w:tcW w:w="1984" w:type="dxa"/>
          </w:tcPr>
          <w:p>
            <w:pPr>
              <w:pStyle w:val="yTableNAm"/>
              <w:spacing w:before="20" w:after="20"/>
            </w:pPr>
            <w:r>
              <w:t>cl. 2.31.10</w:t>
            </w:r>
          </w:p>
        </w:tc>
        <w:tc>
          <w:tcPr>
            <w:tcW w:w="1985" w:type="dxa"/>
          </w:tcPr>
          <w:p>
            <w:pPr>
              <w:pStyle w:val="yTableNAm"/>
              <w:spacing w:before="20" w:after="20"/>
            </w:pPr>
            <w:r>
              <w:t>cl. 2.32.7E(b)</w:t>
            </w:r>
          </w:p>
        </w:tc>
      </w:tr>
      <w:tr>
        <w:tc>
          <w:tcPr>
            <w:tcW w:w="1984" w:type="dxa"/>
          </w:tcPr>
          <w:p>
            <w:pPr>
              <w:pStyle w:val="yTableNAm"/>
              <w:spacing w:before="20" w:after="20"/>
            </w:pPr>
            <w:r>
              <w:t>cl. 2.34.7</w:t>
            </w:r>
          </w:p>
        </w:tc>
        <w:tc>
          <w:tcPr>
            <w:tcW w:w="1984" w:type="dxa"/>
          </w:tcPr>
          <w:p>
            <w:pPr>
              <w:pStyle w:val="yTableNAm"/>
              <w:spacing w:before="20" w:after="20"/>
            </w:pPr>
            <w:r>
              <w:t>cl. 2.34.7A(b)(ii)</w:t>
            </w:r>
          </w:p>
        </w:tc>
        <w:tc>
          <w:tcPr>
            <w:tcW w:w="1985" w:type="dxa"/>
          </w:tcPr>
          <w:p>
            <w:pPr>
              <w:pStyle w:val="yTableNAm"/>
              <w:spacing w:before="20" w:after="20"/>
            </w:pPr>
            <w:r>
              <w:t>cl. 2.34.7C(c)</w:t>
            </w:r>
          </w:p>
        </w:tc>
      </w:tr>
      <w:tr>
        <w:tc>
          <w:tcPr>
            <w:tcW w:w="1984" w:type="dxa"/>
          </w:tcPr>
          <w:p>
            <w:pPr>
              <w:pStyle w:val="yTableNAm"/>
              <w:spacing w:before="20" w:after="20"/>
            </w:pPr>
            <w:r>
              <w:t>cl. 2.34.11</w:t>
            </w:r>
          </w:p>
        </w:tc>
        <w:tc>
          <w:tcPr>
            <w:tcW w:w="1984" w:type="dxa"/>
          </w:tcPr>
          <w:p>
            <w:pPr>
              <w:pStyle w:val="yTableNAm"/>
              <w:spacing w:before="20" w:after="20"/>
            </w:pPr>
            <w:r>
              <w:t>cl. 2.37.1</w:t>
            </w:r>
          </w:p>
        </w:tc>
        <w:tc>
          <w:tcPr>
            <w:tcW w:w="1985" w:type="dxa"/>
          </w:tcPr>
          <w:p>
            <w:pPr>
              <w:pStyle w:val="yTableNAm"/>
              <w:spacing w:before="20" w:after="20"/>
            </w:pPr>
            <w:r>
              <w:t>cl. 2.37.2</w:t>
            </w:r>
          </w:p>
        </w:tc>
      </w:tr>
      <w:tr>
        <w:tc>
          <w:tcPr>
            <w:tcW w:w="1984" w:type="dxa"/>
          </w:tcPr>
          <w:p>
            <w:pPr>
              <w:pStyle w:val="yTableNAm"/>
              <w:spacing w:before="20" w:after="20"/>
            </w:pPr>
            <w:r>
              <w:t>cl. 2.37.3</w:t>
            </w:r>
          </w:p>
        </w:tc>
        <w:tc>
          <w:tcPr>
            <w:tcW w:w="1984" w:type="dxa"/>
          </w:tcPr>
          <w:p>
            <w:pPr>
              <w:pStyle w:val="yTableNAm"/>
              <w:spacing w:before="20" w:after="20"/>
            </w:pPr>
            <w:r>
              <w:t>cl. 4.9.9</w:t>
            </w:r>
          </w:p>
        </w:tc>
        <w:tc>
          <w:tcPr>
            <w:tcW w:w="1985" w:type="dxa"/>
          </w:tcPr>
          <w:p>
            <w:pPr>
              <w:pStyle w:val="yTableNAm"/>
              <w:spacing w:before="20" w:after="20"/>
            </w:pPr>
            <w:r>
              <w:t>cl. 4.15.1</w:t>
            </w:r>
          </w:p>
        </w:tc>
      </w:tr>
      <w:tr>
        <w:tc>
          <w:tcPr>
            <w:tcW w:w="1984" w:type="dxa"/>
          </w:tcPr>
          <w:p>
            <w:pPr>
              <w:pStyle w:val="yTableNAm"/>
              <w:spacing w:before="20" w:after="20"/>
            </w:pPr>
            <w:r>
              <w:t>cl. 4.20.11</w:t>
            </w:r>
          </w:p>
        </w:tc>
        <w:tc>
          <w:tcPr>
            <w:tcW w:w="1984" w:type="dxa"/>
          </w:tcPr>
          <w:p>
            <w:pPr>
              <w:pStyle w:val="yTableNAm"/>
              <w:spacing w:before="20" w:after="20"/>
            </w:pPr>
            <w:r>
              <w:t>cl. 4.27.7</w:t>
            </w:r>
          </w:p>
        </w:tc>
        <w:tc>
          <w:tcPr>
            <w:tcW w:w="1985" w:type="dxa"/>
          </w:tcPr>
          <w:p>
            <w:pPr>
              <w:pStyle w:val="yTableNAm"/>
              <w:spacing w:before="20" w:after="20"/>
            </w:pPr>
            <w:r>
              <w:t>cl. 4.28.7</w:t>
            </w:r>
          </w:p>
        </w:tc>
      </w:tr>
      <w:tr>
        <w:tc>
          <w:tcPr>
            <w:tcW w:w="1984" w:type="dxa"/>
          </w:tcPr>
          <w:p>
            <w:pPr>
              <w:pStyle w:val="yTableNAm"/>
              <w:spacing w:before="20" w:after="20"/>
            </w:pPr>
            <w:r>
              <w:t>cl. 7A.1.11</w:t>
            </w:r>
          </w:p>
        </w:tc>
        <w:tc>
          <w:tcPr>
            <w:tcW w:w="1984" w:type="dxa"/>
          </w:tcPr>
          <w:p>
            <w:pPr>
              <w:pStyle w:val="yTableNAm"/>
              <w:spacing w:before="20" w:after="20"/>
            </w:pPr>
            <w:r>
              <w:t>cl. 10.2.1</w:t>
            </w:r>
          </w:p>
        </w:tc>
        <w:tc>
          <w:tcPr>
            <w:tcW w:w="1985" w:type="dxa"/>
          </w:tcPr>
          <w:p>
            <w:pPr>
              <w:pStyle w:val="yTableNAm"/>
              <w:spacing w:before="20" w:after="20"/>
            </w:pPr>
          </w:p>
        </w:tc>
      </w:tr>
    </w:tbl>
    <w:p>
      <w:pPr>
        <w:pStyle w:val="yFootnotesection"/>
        <w:spacing w:before="80"/>
      </w:pPr>
      <w:r>
        <w:tab/>
        <w:t>[Clause 1 inserted in Gazette 16 Aug 2005 p. 3861</w:t>
      </w:r>
      <w:r>
        <w:noBreakHyphen/>
        <w:t>2; amended in Gazette 29 Dec 2006 p. 5883; 25 Nov 2011 p. 4871; 14 Feb 2012 p. 667</w:t>
      </w:r>
      <w:r>
        <w:noBreakHyphen/>
        <w:t>8; 5 Jun 2012 p. 2360; 10 May 2013 p. 1935.]</w:t>
      </w:r>
    </w:p>
    <w:p>
      <w:pPr>
        <w:pStyle w:val="yHeading5"/>
        <w:keepNext w:val="0"/>
        <w:spacing w:before="200"/>
      </w:pPr>
      <w:bookmarkStart w:id="250" w:name="_Toc486421919"/>
      <w:bookmarkStart w:id="251" w:name="_Toc486589294"/>
      <w:r>
        <w:rPr>
          <w:rStyle w:val="CharSClsNo"/>
        </w:rPr>
        <w:t>2</w:t>
      </w:r>
      <w:r>
        <w:t>.</w:t>
      </w:r>
      <w:r>
        <w:tab/>
        <w:t>Procedural decisions</w:t>
      </w:r>
      <w:bookmarkEnd w:id="250"/>
      <w:bookmarkEnd w:id="251"/>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before="20" w:after="20"/>
            </w:pPr>
            <w:r>
              <w:t>cl. 2.5.6(c)</w:t>
            </w:r>
          </w:p>
        </w:tc>
        <w:tc>
          <w:tcPr>
            <w:tcW w:w="2835" w:type="dxa"/>
          </w:tcPr>
          <w:p>
            <w:pPr>
              <w:pStyle w:val="yTable"/>
              <w:keepNext/>
              <w:keepLines/>
              <w:spacing w:before="20" w:after="20"/>
            </w:pPr>
            <w:r>
              <w:t>cl. 2.5.9</w:t>
            </w:r>
          </w:p>
        </w:tc>
      </w:tr>
      <w:tr>
        <w:tc>
          <w:tcPr>
            <w:tcW w:w="2835" w:type="dxa"/>
          </w:tcPr>
          <w:p>
            <w:pPr>
              <w:pStyle w:val="yTable"/>
              <w:spacing w:before="20" w:after="20"/>
            </w:pPr>
            <w:r>
              <w:t>cl. 2.6.3A(a)</w:t>
            </w:r>
          </w:p>
        </w:tc>
        <w:tc>
          <w:tcPr>
            <w:tcW w:w="2835" w:type="dxa"/>
          </w:tcPr>
          <w:p>
            <w:pPr>
              <w:pStyle w:val="yTable"/>
              <w:keepNext/>
              <w:keepLines/>
              <w:spacing w:before="20" w:after="20"/>
            </w:pPr>
            <w:r>
              <w:t>cl. 2.7.7A(a)</w:t>
            </w:r>
          </w:p>
        </w:tc>
      </w:tr>
      <w:tr>
        <w:tc>
          <w:tcPr>
            <w:tcW w:w="2835" w:type="dxa"/>
          </w:tcPr>
          <w:p>
            <w:pPr>
              <w:pStyle w:val="yTable"/>
              <w:keepNext/>
              <w:spacing w:before="20" w:after="20"/>
            </w:pPr>
            <w:r>
              <w:t>cl. 2.10.2A(a)</w:t>
            </w:r>
          </w:p>
        </w:tc>
        <w:tc>
          <w:tcPr>
            <w:tcW w:w="2835" w:type="dxa"/>
          </w:tcPr>
          <w:p>
            <w:pPr>
              <w:pStyle w:val="yTable"/>
              <w:keepNext/>
              <w:keepLines/>
              <w:spacing w:before="20" w:after="20"/>
            </w:pPr>
            <w:r>
              <w:t>cl. 2.10.13</w:t>
            </w:r>
          </w:p>
        </w:tc>
      </w:tr>
      <w:tr>
        <w:tc>
          <w:tcPr>
            <w:tcW w:w="2835" w:type="dxa"/>
          </w:tcPr>
          <w:p>
            <w:pPr>
              <w:pStyle w:val="yTable"/>
              <w:keepNext/>
              <w:spacing w:before="20" w:after="20"/>
            </w:pPr>
            <w:r>
              <w:t>cl. 2.10.14</w:t>
            </w:r>
          </w:p>
        </w:tc>
        <w:tc>
          <w:tcPr>
            <w:tcW w:w="2835" w:type="dxa"/>
          </w:tcPr>
          <w:p>
            <w:pPr>
              <w:pStyle w:val="yTable"/>
              <w:keepNext/>
              <w:keepLines/>
              <w:spacing w:before="20" w:after="20"/>
            </w:pPr>
          </w:p>
        </w:tc>
      </w:tr>
    </w:tbl>
    <w:p>
      <w:pPr>
        <w:pStyle w:val="yFootnotesection"/>
        <w:keepNext/>
        <w:spacing w:before="80"/>
      </w:pPr>
      <w:r>
        <w:tab/>
        <w:t>[Clause 2 inserted in Gazette 16 Aug 2005 p. 3862; amended in Gazette 10 May 2013 p. 1936.]</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52" w:name="_Toc482957927"/>
      <w:bookmarkStart w:id="253" w:name="_Toc486421920"/>
      <w:bookmarkStart w:id="254" w:name="_Toc478985401"/>
      <w:bookmarkStart w:id="255" w:name="_Toc478986395"/>
      <w:bookmarkStart w:id="256" w:name="_Toc482889872"/>
      <w:bookmarkStart w:id="257" w:name="_Toc486589295"/>
      <w:r>
        <w:t>Notes</w:t>
      </w:r>
      <w:bookmarkEnd w:id="252"/>
      <w:bookmarkEnd w:id="253"/>
      <w:bookmarkEnd w:id="254"/>
      <w:bookmarkEnd w:id="255"/>
      <w:bookmarkEnd w:id="256"/>
      <w:bookmarkEnd w:id="257"/>
    </w:p>
    <w:p>
      <w:pPr>
        <w:pStyle w:val="nSubsection"/>
      </w:pPr>
      <w:r>
        <w:rPr>
          <w:vertAlign w:val="superscript"/>
        </w:rPr>
        <w:t>1</w:t>
      </w:r>
      <w:r>
        <w:tab/>
        <w:t xml:space="preserve">This </w:t>
      </w:r>
      <w:ins w:id="258" w:author="Master Repository Process" w:date="2021-08-01T13:39:00Z">
        <w:r>
          <w:t xml:space="preserve">reprint </w:t>
        </w:r>
      </w:ins>
      <w:r>
        <w:t>is a compilation</w:t>
      </w:r>
      <w:ins w:id="259" w:author="Master Repository Process" w:date="2021-08-01T13:39:00Z">
        <w:r>
          <w:t xml:space="preserve"> as at 14 July 2017</w:t>
        </w:r>
      </w:ins>
      <w:r>
        <w:t xml:space="preserve"> of the </w:t>
      </w:r>
      <w:r>
        <w:rPr>
          <w:i/>
          <w:noProof/>
        </w:rPr>
        <w:t>Electricity Industry (Wholesale Electricity Market) Regulations 2004</w:t>
      </w:r>
      <w:r>
        <w:t xml:space="preserve"> and includes the amendments made by the other written laws referred to in the following table.  The table also contains information about any reprint.</w:t>
      </w:r>
    </w:p>
    <w:p>
      <w:pPr>
        <w:pStyle w:val="nHeading3"/>
      </w:pPr>
      <w:bookmarkStart w:id="260" w:name="_Toc486421921"/>
      <w:bookmarkStart w:id="261" w:name="_Toc486589296"/>
      <w:r>
        <w:t>Compilation table</w:t>
      </w:r>
      <w:bookmarkEnd w:id="260"/>
      <w:bookmarkEnd w:id="26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noProof/>
                <w:snapToGrid w:val="0"/>
              </w:rPr>
              <w:t>Electricity Industry (Wholesale Electricity Market) Regulations 2004</w:t>
            </w:r>
          </w:p>
        </w:tc>
        <w:tc>
          <w:tcPr>
            <w:tcW w:w="1276" w:type="dxa"/>
          </w:tcPr>
          <w:p>
            <w:pPr>
              <w:pStyle w:val="nTable"/>
              <w:spacing w:after="40"/>
            </w:pPr>
            <w:r>
              <w:t>30 Sep 2004 p. 4189</w:t>
            </w:r>
            <w:r>
              <w:noBreakHyphen/>
              <w:t>205</w:t>
            </w:r>
          </w:p>
        </w:tc>
        <w:tc>
          <w:tcPr>
            <w:tcW w:w="2693" w:type="dxa"/>
          </w:tcPr>
          <w:p>
            <w:pPr>
              <w:pStyle w:val="nTable"/>
              <w:spacing w:after="40"/>
            </w:pPr>
            <w:r>
              <w:t>Regulations other than r. 4(3)(b): 30 Sep 2004;</w:t>
            </w:r>
            <w:r>
              <w:br/>
              <w:t xml:space="preserve">r. 4(3)(b): 1 Oct 2004 (see r. 4(3) and the </w:t>
            </w:r>
            <w:r>
              <w:rPr>
                <w:i/>
                <w:iCs/>
              </w:rPr>
              <w:t>Wholesale Electricity Market Rules</w:t>
            </w:r>
            <w:r>
              <w:t xml:space="preserve"> published in </w:t>
            </w:r>
            <w:r>
              <w:rPr>
                <w:i/>
                <w:iCs/>
              </w:rPr>
              <w:t>Gazette</w:t>
            </w:r>
            <w:r>
              <w:t xml:space="preserve"> 5 Oct 2004 r. 1.8.2 and 1.9.7)</w:t>
            </w:r>
          </w:p>
        </w:tc>
      </w:tr>
      <w:tr>
        <w:tc>
          <w:tcPr>
            <w:tcW w:w="3118" w:type="dxa"/>
          </w:tcPr>
          <w:p>
            <w:pPr>
              <w:pStyle w:val="nTable"/>
              <w:spacing w:after="40"/>
            </w:pPr>
            <w:r>
              <w:rPr>
                <w:i/>
                <w:noProof/>
                <w:snapToGrid w:val="0"/>
              </w:rPr>
              <w:t>Electricity Industry (Wholesale Electricity Market) Amendment Regulations 2005</w:t>
            </w:r>
          </w:p>
        </w:tc>
        <w:tc>
          <w:tcPr>
            <w:tcW w:w="1276" w:type="dxa"/>
          </w:tcPr>
          <w:p>
            <w:pPr>
              <w:pStyle w:val="nTable"/>
              <w:spacing w:after="40"/>
            </w:pPr>
            <w:r>
              <w:t>16 Aug 2005 p. 3825</w:t>
            </w:r>
            <w:r>
              <w:noBreakHyphen/>
              <w:t>62</w:t>
            </w:r>
          </w:p>
        </w:tc>
        <w:tc>
          <w:tcPr>
            <w:tcW w:w="2693" w:type="dxa"/>
          </w:tcPr>
          <w:p>
            <w:pPr>
              <w:pStyle w:val="nTable"/>
              <w:spacing w:after="40"/>
            </w:pPr>
            <w:r>
              <w:t>16 Aug 2005 (see r. 2)</w:t>
            </w:r>
          </w:p>
        </w:tc>
      </w:tr>
      <w:tr>
        <w:tc>
          <w:tcPr>
            <w:tcW w:w="3118" w:type="dxa"/>
          </w:tcPr>
          <w:p>
            <w:pPr>
              <w:pStyle w:val="nTable"/>
              <w:spacing w:after="40"/>
              <w:rPr>
                <w:i/>
                <w:noProof/>
                <w:snapToGrid w:val="0"/>
              </w:rPr>
            </w:pPr>
            <w:r>
              <w:rPr>
                <w:i/>
                <w:noProof/>
                <w:snapToGrid w:val="0"/>
              </w:rPr>
              <w:t xml:space="preserve">Electricity Corporations (Consequential Amendments) Regulations 2006 </w:t>
            </w:r>
            <w:r>
              <w:rPr>
                <w:iCs/>
                <w:noProof/>
                <w:snapToGrid w:val="0"/>
              </w:rPr>
              <w:t>Pt. 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noProof/>
                <w:snapToGrid w:val="0"/>
              </w:rPr>
            </w:pPr>
            <w:r>
              <w:rPr>
                <w:i/>
                <w:noProof/>
                <w:snapToGrid w:val="0"/>
              </w:rPr>
              <w:t>Electricity Industry (Wholesale Electricity Market) Amendment Regulations (No. 2) 2006</w:t>
            </w:r>
          </w:p>
        </w:tc>
        <w:tc>
          <w:tcPr>
            <w:tcW w:w="1276" w:type="dxa"/>
          </w:tcPr>
          <w:p>
            <w:pPr>
              <w:pStyle w:val="nTable"/>
              <w:spacing w:after="40"/>
            </w:pPr>
            <w:r>
              <w:t>29 Dec 2006 p. 5881</w:t>
            </w:r>
            <w:r>
              <w:noBreakHyphen/>
              <w:t>3</w:t>
            </w:r>
          </w:p>
        </w:tc>
        <w:tc>
          <w:tcPr>
            <w:tcW w:w="2693" w:type="dxa"/>
          </w:tcPr>
          <w:p>
            <w:pPr>
              <w:pStyle w:val="nTable"/>
              <w:spacing w:after="40"/>
            </w:pPr>
            <w:r>
              <w:t xml:space="preserve">29 Dec 2006 </w:t>
            </w:r>
          </w:p>
        </w:tc>
      </w:tr>
      <w:tr>
        <w:tc>
          <w:tcPr>
            <w:tcW w:w="7087" w:type="dxa"/>
            <w:gridSpan w:val="3"/>
          </w:tcPr>
          <w:p>
            <w:pPr>
              <w:pStyle w:val="nTable"/>
              <w:spacing w:after="40"/>
            </w:pPr>
            <w:r>
              <w:rPr>
                <w:b/>
                <w:bCs/>
              </w:rPr>
              <w:t xml:space="preserve">Reprint 1:  The </w:t>
            </w:r>
            <w:r>
              <w:rPr>
                <w:b/>
                <w:bCs/>
                <w:i/>
                <w:noProof/>
                <w:snapToGrid w:val="0"/>
              </w:rPr>
              <w:t>Electricity Industry (Wholesale Electricity Market) Regulations 2004</w:t>
            </w:r>
            <w:r>
              <w:rPr>
                <w:b/>
                <w:bCs/>
              </w:rPr>
              <w:t xml:space="preserve"> as at 23 Feb 2007 </w:t>
            </w:r>
            <w:r>
              <w:t>(includes amendments listed above)</w:t>
            </w:r>
          </w:p>
        </w:tc>
      </w:tr>
      <w:tr>
        <w:tc>
          <w:tcPr>
            <w:tcW w:w="3118" w:type="dxa"/>
          </w:tcPr>
          <w:p>
            <w:pPr>
              <w:pStyle w:val="nTable"/>
              <w:spacing w:after="40"/>
            </w:pPr>
            <w:r>
              <w:rPr>
                <w:i/>
                <w:noProof/>
                <w:snapToGrid w:val="0"/>
              </w:rPr>
              <w:t>Electricity Industry (Wholesale Electricity Market) Amendment Regulations 2008</w:t>
            </w:r>
          </w:p>
        </w:tc>
        <w:tc>
          <w:tcPr>
            <w:tcW w:w="1276" w:type="dxa"/>
          </w:tcPr>
          <w:p>
            <w:pPr>
              <w:pStyle w:val="nTable"/>
              <w:spacing w:after="40"/>
            </w:pPr>
            <w:r>
              <w:t>12 Feb 2008 p. 337</w:t>
            </w:r>
            <w:r>
              <w:noBreakHyphen/>
              <w:t>8</w:t>
            </w:r>
          </w:p>
        </w:tc>
        <w:tc>
          <w:tcPr>
            <w:tcW w:w="2693" w:type="dxa"/>
          </w:tcPr>
          <w:p>
            <w:pPr>
              <w:pStyle w:val="nTable"/>
              <w:spacing w:after="40"/>
            </w:pPr>
            <w:r>
              <w:rPr>
                <w:snapToGrid w:val="0"/>
              </w:rPr>
              <w:t>r. 1 and 2: 12 Feb 2008 (see r. 2(a));</w:t>
            </w:r>
            <w:r>
              <w:rPr>
                <w:snapToGrid w:val="0"/>
              </w:rPr>
              <w:br/>
              <w:t>Regulations other than r. 1 and 2: 13 Feb 2008 (see r. 2(b))</w:t>
            </w:r>
          </w:p>
        </w:tc>
      </w:tr>
      <w:tr>
        <w:tc>
          <w:tcPr>
            <w:tcW w:w="3118" w:type="dxa"/>
          </w:tcPr>
          <w:p>
            <w:pPr>
              <w:pStyle w:val="nTable"/>
              <w:spacing w:after="40"/>
              <w:rPr>
                <w:i/>
                <w:noProof/>
                <w:snapToGrid w:val="0"/>
              </w:rPr>
            </w:pPr>
            <w:r>
              <w:rPr>
                <w:i/>
                <w:noProof/>
                <w:snapToGrid w:val="0"/>
              </w:rPr>
              <w:t>Electricity Industry (Wholesale Electricity Market) Amendment Regulations 2009</w:t>
            </w:r>
          </w:p>
        </w:tc>
        <w:tc>
          <w:tcPr>
            <w:tcW w:w="1276" w:type="dxa"/>
          </w:tcPr>
          <w:p>
            <w:pPr>
              <w:pStyle w:val="nTable"/>
              <w:spacing w:after="40"/>
            </w:pPr>
            <w:r>
              <w:t>31 Dec 2009 p. 5375-7</w:t>
            </w:r>
          </w:p>
        </w:tc>
        <w:tc>
          <w:tcPr>
            <w:tcW w:w="2693"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c>
          <w:tcPr>
            <w:tcW w:w="3118" w:type="dxa"/>
          </w:tcPr>
          <w:p>
            <w:pPr>
              <w:pStyle w:val="nTable"/>
              <w:spacing w:after="40"/>
              <w:rPr>
                <w:i/>
                <w:noProof/>
                <w:snapToGrid w:val="0"/>
              </w:rPr>
            </w:pPr>
            <w:r>
              <w:rPr>
                <w:i/>
                <w:noProof/>
                <w:snapToGrid w:val="0"/>
              </w:rPr>
              <w:t>Electricity Industry (Wholesale Electricity Market) Amendment Regulations 2011</w:t>
            </w:r>
          </w:p>
        </w:tc>
        <w:tc>
          <w:tcPr>
            <w:tcW w:w="1276" w:type="dxa"/>
          </w:tcPr>
          <w:p>
            <w:pPr>
              <w:pStyle w:val="nTable"/>
              <w:spacing w:after="40"/>
            </w:pPr>
            <w:r>
              <w:t>25 Nov 2011 p. 4870</w:t>
            </w:r>
            <w:r>
              <w:noBreakHyphen/>
              <w:t>1</w:t>
            </w:r>
          </w:p>
        </w:tc>
        <w:tc>
          <w:tcPr>
            <w:tcW w:w="2693" w:type="dxa"/>
          </w:tcPr>
          <w:p>
            <w:pPr>
              <w:pStyle w:val="nTable"/>
              <w:spacing w:after="40"/>
              <w:rPr>
                <w:snapToGrid w:val="0"/>
              </w:rPr>
            </w:pPr>
            <w:r>
              <w:rPr>
                <w:snapToGrid w:val="0"/>
                <w:spacing w:val="-2"/>
              </w:rPr>
              <w:t>r. 1 and 2: 25 Nov 2011 (see r. 2(a));</w:t>
            </w:r>
            <w:r>
              <w:rPr>
                <w:snapToGrid w:val="0"/>
                <w:spacing w:val="-2"/>
              </w:rPr>
              <w:br/>
              <w:t>Regulations other than r. 1 and 2: 26 Nov 2011 (see r. 2(b))</w:t>
            </w:r>
          </w:p>
        </w:tc>
      </w:tr>
      <w:tr>
        <w:tc>
          <w:tcPr>
            <w:tcW w:w="3118" w:type="dxa"/>
          </w:tcPr>
          <w:p>
            <w:pPr>
              <w:pStyle w:val="nTable"/>
              <w:spacing w:after="40"/>
              <w:rPr>
                <w:i/>
                <w:noProof/>
                <w:snapToGrid w:val="0"/>
              </w:rPr>
            </w:pPr>
            <w:r>
              <w:rPr>
                <w:i/>
                <w:noProof/>
                <w:snapToGrid w:val="0"/>
              </w:rPr>
              <w:t>Electricity Industry (Wholesale Electricity Market) Amendment Regulations 2012</w:t>
            </w:r>
          </w:p>
        </w:tc>
        <w:tc>
          <w:tcPr>
            <w:tcW w:w="1276" w:type="dxa"/>
          </w:tcPr>
          <w:p>
            <w:pPr>
              <w:pStyle w:val="nTable"/>
              <w:spacing w:after="40"/>
            </w:pPr>
            <w:r>
              <w:t>14 Feb 2012 p. 667</w:t>
            </w:r>
            <w:r>
              <w:noBreakHyphen/>
              <w:t>8</w:t>
            </w:r>
          </w:p>
        </w:tc>
        <w:tc>
          <w:tcPr>
            <w:tcW w:w="2693" w:type="dxa"/>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c>
          <w:tcPr>
            <w:tcW w:w="3118" w:type="dxa"/>
          </w:tcPr>
          <w:p>
            <w:pPr>
              <w:pStyle w:val="nTable"/>
              <w:spacing w:after="40"/>
              <w:rPr>
                <w:i/>
                <w:noProof/>
                <w:snapToGrid w:val="0"/>
              </w:rPr>
            </w:pPr>
            <w:r>
              <w:rPr>
                <w:i/>
                <w:noProof/>
                <w:snapToGrid w:val="0"/>
              </w:rPr>
              <w:t>Electricity Industry (Wholesale Electricity Market) Amendment Regulations (No. 2) 2012</w:t>
            </w:r>
          </w:p>
        </w:tc>
        <w:tc>
          <w:tcPr>
            <w:tcW w:w="1276" w:type="dxa"/>
          </w:tcPr>
          <w:p>
            <w:pPr>
              <w:pStyle w:val="nTable"/>
              <w:spacing w:after="40"/>
            </w:pPr>
            <w:r>
              <w:t>5 Jun 2012 p. 2353</w:t>
            </w:r>
            <w:r>
              <w:noBreakHyphen/>
              <w:t>60</w:t>
            </w:r>
          </w:p>
        </w:tc>
        <w:tc>
          <w:tcPr>
            <w:tcW w:w="2693" w:type="dxa"/>
          </w:tcPr>
          <w:p>
            <w:pPr>
              <w:pStyle w:val="nTable"/>
              <w:spacing w:after="40"/>
              <w:rPr>
                <w:snapToGrid w:val="0"/>
                <w:spacing w:val="-2"/>
              </w:rPr>
            </w:pPr>
            <w:r>
              <w:rPr>
                <w:snapToGrid w:val="0"/>
                <w:spacing w:val="-2"/>
              </w:rPr>
              <w:t>r. 1 and 2: 5 Jun 2012 (see r. 2(a));</w:t>
            </w:r>
            <w:r>
              <w:rPr>
                <w:snapToGrid w:val="0"/>
                <w:spacing w:val="-2"/>
              </w:rPr>
              <w:br/>
              <w:t>Regulations other than r. 1 and 2: 1 Jul 2012 at 8:00 WST (see r. 2(b))</w:t>
            </w:r>
          </w:p>
        </w:tc>
      </w:tr>
      <w:tr>
        <w:tc>
          <w:tcPr>
            <w:tcW w:w="3118" w:type="dxa"/>
            <w:shd w:val="clear" w:color="auto" w:fill="auto"/>
          </w:tcPr>
          <w:p>
            <w:pPr>
              <w:pStyle w:val="nTable"/>
              <w:spacing w:after="40"/>
              <w:rPr>
                <w:i/>
                <w:noProof/>
                <w:snapToGrid w:val="0"/>
              </w:rPr>
            </w:pPr>
            <w:r>
              <w:rPr>
                <w:i/>
              </w:rPr>
              <w:t>Electricity Industry (Wholesale Electricity Market) Amendment Regulations 2013</w:t>
            </w:r>
          </w:p>
        </w:tc>
        <w:tc>
          <w:tcPr>
            <w:tcW w:w="1276" w:type="dxa"/>
            <w:shd w:val="clear" w:color="auto" w:fill="auto"/>
          </w:tcPr>
          <w:p>
            <w:pPr>
              <w:pStyle w:val="nTable"/>
              <w:spacing w:after="40"/>
              <w:rPr>
                <w:i/>
              </w:rPr>
            </w:pPr>
            <w:r>
              <w:t>10 May 2013 p. 1935</w:t>
            </w:r>
            <w:r>
              <w:noBreakHyphen/>
              <w:t xml:space="preserve">6 </w:t>
            </w:r>
            <w:r>
              <w:br/>
              <w:t>(as amended 31 May 2013 p. 2117)</w:t>
            </w:r>
          </w:p>
        </w:tc>
        <w:tc>
          <w:tcPr>
            <w:tcW w:w="2693" w:type="dxa"/>
            <w:shd w:val="clear" w:color="auto" w:fill="auto"/>
          </w:tcPr>
          <w:p>
            <w:pPr>
              <w:pStyle w:val="nTable"/>
              <w:spacing w:after="40"/>
              <w:rPr>
                <w:snapToGrid w:val="0"/>
                <w:spacing w:val="-2"/>
              </w:rPr>
            </w:pPr>
            <w:r>
              <w:rPr>
                <w:snapToGrid w:val="0"/>
                <w:spacing w:val="-2"/>
              </w:rPr>
              <w:t>r. 1 and 2: 10 May 2013 (see r. 2(a));</w:t>
            </w:r>
            <w:r>
              <w:rPr>
                <w:snapToGrid w:val="0"/>
                <w:spacing w:val="-2"/>
              </w:rPr>
              <w:br/>
              <w:t>Regulations other than r. 1 and 2: 1 Jun 2013 (see r. 2(b))</w:t>
            </w:r>
          </w:p>
        </w:tc>
      </w:tr>
      <w:tr>
        <w:tc>
          <w:tcPr>
            <w:tcW w:w="7087" w:type="dxa"/>
            <w:gridSpan w:val="3"/>
            <w:shd w:val="clear" w:color="auto" w:fill="auto"/>
          </w:tcPr>
          <w:p>
            <w:pPr>
              <w:pStyle w:val="nTable"/>
              <w:spacing w:after="40"/>
              <w:rPr>
                <w:snapToGrid w:val="0"/>
                <w:spacing w:val="-2"/>
              </w:rPr>
            </w:pPr>
            <w:r>
              <w:rPr>
                <w:b/>
                <w:bCs/>
              </w:rPr>
              <w:t xml:space="preserve">Reprint 2:  The </w:t>
            </w:r>
            <w:r>
              <w:rPr>
                <w:b/>
                <w:bCs/>
                <w:i/>
                <w:noProof/>
                <w:snapToGrid w:val="0"/>
              </w:rPr>
              <w:t>Electricity Industry (Wholesale Electricity Market) Regulations 2004</w:t>
            </w:r>
            <w:r>
              <w:rPr>
                <w:b/>
                <w:bCs/>
              </w:rPr>
              <w:t xml:space="preserve"> as at 16 Aug 2013 </w:t>
            </w:r>
            <w:r>
              <w:t>(includes amendments listed above)</w:t>
            </w:r>
          </w:p>
        </w:tc>
      </w:tr>
      <w:tr>
        <w:tc>
          <w:tcPr>
            <w:tcW w:w="3118" w:type="dxa"/>
            <w:shd w:val="clear" w:color="auto" w:fill="auto"/>
          </w:tcPr>
          <w:p>
            <w:pPr>
              <w:pStyle w:val="nTable"/>
              <w:spacing w:after="40"/>
              <w:rPr>
                <w:i/>
                <w:noProof/>
                <w:snapToGrid w:val="0"/>
              </w:rPr>
            </w:pPr>
            <w:r>
              <w:rPr>
                <w:i/>
              </w:rPr>
              <w:t>Electricity Corporations (Consequential Amendments) Regulations 2013</w:t>
            </w:r>
            <w:r>
              <w:t xml:space="preserve"> r. 9</w:t>
            </w:r>
          </w:p>
        </w:tc>
        <w:tc>
          <w:tcPr>
            <w:tcW w:w="1276" w:type="dxa"/>
            <w:shd w:val="clear" w:color="auto" w:fill="auto"/>
          </w:tcPr>
          <w:p>
            <w:pPr>
              <w:pStyle w:val="nTable"/>
              <w:spacing w:after="40"/>
              <w:rPr>
                <w:i/>
              </w:rPr>
            </w:pPr>
            <w:r>
              <w:t>27 Dec 2013 p. 6469-79</w:t>
            </w:r>
          </w:p>
        </w:tc>
        <w:tc>
          <w:tcPr>
            <w:tcW w:w="2693" w:type="dxa"/>
            <w:shd w:val="clear" w:color="auto" w:fill="auto"/>
          </w:tcPr>
          <w:p>
            <w:pPr>
              <w:pStyle w:val="nTable"/>
              <w:spacing w:after="40"/>
              <w:rPr>
                <w:snapToGrid w:val="0"/>
                <w:spacing w:val="-2"/>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Electricity Industry (Wholesale Electricity Market) Amendment Regulations 2015</w:t>
            </w:r>
          </w:p>
        </w:tc>
        <w:tc>
          <w:tcPr>
            <w:tcW w:w="1276" w:type="dxa"/>
            <w:shd w:val="clear" w:color="auto" w:fill="auto"/>
          </w:tcPr>
          <w:p>
            <w:pPr>
              <w:pStyle w:val="nTable"/>
              <w:spacing w:after="40"/>
            </w:pPr>
            <w:r>
              <w:t>24 Feb 2015 p. 737</w:t>
            </w:r>
            <w:r>
              <w:noBreakHyphen/>
              <w:t>8</w:t>
            </w:r>
          </w:p>
        </w:tc>
        <w:tc>
          <w:tcPr>
            <w:tcW w:w="2693" w:type="dxa"/>
            <w:shd w:val="clear" w:color="auto" w:fill="auto"/>
          </w:tcPr>
          <w:p>
            <w:pPr>
              <w:pStyle w:val="nTable"/>
              <w:spacing w:after="40"/>
            </w:pPr>
            <w:r>
              <w:rPr>
                <w:snapToGrid w:val="0"/>
              </w:rPr>
              <w:t>r. 1 and 2: 24 Feb 2015 (see r. 2(a));</w:t>
            </w:r>
            <w:r>
              <w:rPr>
                <w:snapToGrid w:val="0"/>
              </w:rPr>
              <w:br/>
              <w:t>Regulations other than r. 1 and 2: 25 Feb 2015 (see r. 2(b))</w:t>
            </w:r>
          </w:p>
        </w:tc>
      </w:tr>
      <w:tr>
        <w:tc>
          <w:tcPr>
            <w:tcW w:w="3118" w:type="dxa"/>
            <w:shd w:val="clear" w:color="auto" w:fill="auto"/>
          </w:tcPr>
          <w:p>
            <w:pPr>
              <w:pStyle w:val="nTable"/>
              <w:spacing w:after="40"/>
              <w:rPr>
                <w:i/>
              </w:rPr>
            </w:pPr>
            <w:r>
              <w:rPr>
                <w:i/>
              </w:rPr>
              <w:t>Electricity Industry (Wholesale Electricity Market) Amendment Regulations (No. 2) 2015</w:t>
            </w:r>
          </w:p>
        </w:tc>
        <w:tc>
          <w:tcPr>
            <w:tcW w:w="1276" w:type="dxa"/>
            <w:shd w:val="clear" w:color="auto" w:fill="auto"/>
          </w:tcPr>
          <w:p>
            <w:pPr>
              <w:pStyle w:val="nTable"/>
              <w:spacing w:after="40"/>
            </w:pPr>
            <w:r>
              <w:t>2 Oct 2015 p. 3930-1</w:t>
            </w:r>
          </w:p>
        </w:tc>
        <w:tc>
          <w:tcPr>
            <w:tcW w:w="2693" w:type="dxa"/>
            <w:shd w:val="clear" w:color="auto" w:fill="auto"/>
          </w:tcPr>
          <w:p>
            <w:pPr>
              <w:pStyle w:val="nTable"/>
              <w:spacing w:after="40"/>
              <w:rPr>
                <w:snapToGrid w:val="0"/>
              </w:rPr>
            </w:pPr>
            <w:r>
              <w:rPr>
                <w:snapToGrid w:val="0"/>
              </w:rPr>
              <w:t>r. 1 and 2: 2 Oct 2015 (see r. 2(a));</w:t>
            </w:r>
            <w:r>
              <w:rPr>
                <w:snapToGrid w:val="0"/>
              </w:rPr>
              <w:br/>
              <w:t>Regulations other than r. 1 and 2: 3 Oct 2015 (see r. 2(b))</w:t>
            </w:r>
          </w:p>
        </w:tc>
      </w:tr>
      <w:tr>
        <w:tc>
          <w:tcPr>
            <w:tcW w:w="3118" w:type="dxa"/>
            <w:shd w:val="clear" w:color="auto" w:fill="auto"/>
          </w:tcPr>
          <w:p>
            <w:pPr>
              <w:pStyle w:val="nTable"/>
              <w:spacing w:after="40"/>
            </w:pPr>
            <w:r>
              <w:rPr>
                <w:i/>
              </w:rPr>
              <w:t>Electricity Industry (Wholesale Electricity Market) Amendment Regulations (No. 3) 2015</w:t>
            </w:r>
            <w:r>
              <w:t xml:space="preserve"> </w:t>
            </w:r>
          </w:p>
        </w:tc>
        <w:tc>
          <w:tcPr>
            <w:tcW w:w="1276" w:type="dxa"/>
            <w:shd w:val="clear" w:color="auto" w:fill="auto"/>
          </w:tcPr>
          <w:p>
            <w:pPr>
              <w:pStyle w:val="nTable"/>
              <w:spacing w:after="40"/>
            </w:pPr>
            <w:r>
              <w:t>13 Nov 2015 p. 4633</w:t>
            </w:r>
            <w:r>
              <w:noBreakHyphen/>
              <w:t>7</w:t>
            </w:r>
          </w:p>
        </w:tc>
        <w:tc>
          <w:tcPr>
            <w:tcW w:w="2693" w:type="dxa"/>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r. 5: 14 Nov 2015 (see r. 2(b));</w:t>
            </w:r>
            <w:r>
              <w:rPr>
                <w:snapToGrid w:val="0"/>
              </w:rPr>
              <w:br/>
            </w:r>
            <w:r>
              <w:t>Regulations other than 1, 2, 5, 7, 17(2) and 18: 30 Nov 2015 8.00 am (see r. 2(d));</w:t>
            </w:r>
            <w:r>
              <w:br/>
              <w:t xml:space="preserve">r. 7, 17(2) and 18: 1 Jul 2016 8.00 am (see r. 2(c) and </w:t>
            </w:r>
            <w:r>
              <w:rPr>
                <w:i/>
              </w:rPr>
              <w:t>Gazette</w:t>
            </w:r>
            <w:r>
              <w:t xml:space="preserve"> 31 May 2016 p. 1657)</w:t>
            </w:r>
          </w:p>
        </w:tc>
      </w:tr>
      <w:tr>
        <w:tc>
          <w:tcPr>
            <w:tcW w:w="3118" w:type="dxa"/>
            <w:shd w:val="clear" w:color="auto" w:fill="auto"/>
          </w:tcPr>
          <w:p>
            <w:pPr>
              <w:pStyle w:val="nTable"/>
              <w:spacing w:after="40"/>
              <w:rPr>
                <w:i/>
              </w:rPr>
            </w:pPr>
            <w:r>
              <w:rPr>
                <w:i/>
              </w:rPr>
              <w:t>Electricity Industry (Wholesale Electricity Market) Amendment Regulations (No. 4) 2015</w:t>
            </w:r>
          </w:p>
        </w:tc>
        <w:tc>
          <w:tcPr>
            <w:tcW w:w="1276" w:type="dxa"/>
            <w:shd w:val="clear" w:color="auto" w:fill="auto"/>
          </w:tcPr>
          <w:p>
            <w:pPr>
              <w:pStyle w:val="nTable"/>
              <w:spacing w:after="40"/>
            </w:pPr>
            <w:r>
              <w:t>25 Nov 2015 p. 4741-2</w:t>
            </w:r>
          </w:p>
        </w:tc>
        <w:tc>
          <w:tcPr>
            <w:tcW w:w="2693" w:type="dxa"/>
            <w:shd w:val="clear" w:color="auto" w:fill="auto"/>
          </w:tcPr>
          <w:p>
            <w:pPr>
              <w:pStyle w:val="nTable"/>
              <w:spacing w:after="40"/>
              <w:rPr>
                <w:snapToGrid w:val="0"/>
              </w:rPr>
            </w:pPr>
            <w:r>
              <w:rPr>
                <w:snapToGrid w:val="0"/>
              </w:rPr>
              <w:t xml:space="preserve">r. 1 and 2: </w:t>
            </w:r>
            <w:r>
              <w:t>25 Nov 2015</w:t>
            </w:r>
            <w:r>
              <w:rPr>
                <w:snapToGrid w:val="0"/>
              </w:rPr>
              <w:t xml:space="preserve"> (see r. 2(a));</w:t>
            </w:r>
            <w:r>
              <w:rPr>
                <w:snapToGrid w:val="0"/>
              </w:rPr>
              <w:br/>
              <w:t>Regulations other than r. 1 and 2: 26 Nov 2015 (see r. 2(b))</w:t>
            </w:r>
          </w:p>
        </w:tc>
      </w:tr>
      <w:tr>
        <w:trPr>
          <w:cantSplit/>
        </w:trPr>
        <w:tc>
          <w:tcPr>
            <w:tcW w:w="3118" w:type="dxa"/>
            <w:shd w:val="clear" w:color="auto" w:fill="auto"/>
          </w:tcPr>
          <w:p>
            <w:pPr>
              <w:pStyle w:val="nTable"/>
              <w:spacing w:after="40"/>
              <w:rPr>
                <w:i/>
              </w:rPr>
            </w:pPr>
            <w:r>
              <w:rPr>
                <w:i/>
              </w:rPr>
              <w:t>Electricity Industry (Wholesale Electricity Market) Amendment Regulations 2016</w:t>
            </w:r>
          </w:p>
        </w:tc>
        <w:tc>
          <w:tcPr>
            <w:tcW w:w="1276" w:type="dxa"/>
            <w:shd w:val="clear" w:color="auto" w:fill="auto"/>
          </w:tcPr>
          <w:p>
            <w:pPr>
              <w:pStyle w:val="nTable"/>
              <w:spacing w:after="40"/>
            </w:pPr>
            <w:r>
              <w:t>24 Jun 2016 p. 2296-303</w:t>
            </w:r>
          </w:p>
        </w:tc>
        <w:tc>
          <w:tcPr>
            <w:tcW w:w="2693" w:type="dxa"/>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 xml:space="preserve">Regulations other than r. 1 and 2: 1 Jul 2016 (see r. 2(b) and </w:t>
            </w:r>
            <w:r>
              <w:rPr>
                <w:i/>
                <w:snapToGrid w:val="0"/>
              </w:rPr>
              <w:t>Gazette</w:t>
            </w:r>
            <w:r>
              <w:rPr>
                <w:snapToGrid w:val="0"/>
              </w:rPr>
              <w:t xml:space="preserve"> 30 Jun 2016 p. 2695)</w:t>
            </w:r>
          </w:p>
        </w:tc>
      </w:tr>
      <w:tr>
        <w:trPr>
          <w:cantSplit/>
        </w:trPr>
        <w:tc>
          <w:tcPr>
            <w:tcW w:w="3118" w:type="dxa"/>
            <w:shd w:val="clear" w:color="auto" w:fill="auto"/>
          </w:tcPr>
          <w:p>
            <w:pPr>
              <w:pStyle w:val="nTable"/>
              <w:spacing w:after="40"/>
            </w:pPr>
            <w:r>
              <w:rPr>
                <w:i/>
              </w:rPr>
              <w:t>Electricity Industry (Wholesale Electricity Market) Amendment Regulations (No. 2) 2016</w:t>
            </w:r>
            <w:r>
              <w:t xml:space="preserve"> </w:t>
            </w:r>
          </w:p>
        </w:tc>
        <w:tc>
          <w:tcPr>
            <w:tcW w:w="1276" w:type="dxa"/>
            <w:shd w:val="clear" w:color="auto" w:fill="auto"/>
          </w:tcPr>
          <w:p>
            <w:pPr>
              <w:pStyle w:val="nTable"/>
              <w:spacing w:after="40"/>
            </w:pPr>
            <w:r>
              <w:t>23 Nov 2016 p. 5265-9</w:t>
            </w:r>
          </w:p>
        </w:tc>
        <w:tc>
          <w:tcPr>
            <w:tcW w:w="2693" w:type="dxa"/>
            <w:shd w:val="clear" w:color="auto" w:fill="auto"/>
          </w:tcPr>
          <w:p>
            <w:pPr>
              <w:pStyle w:val="nTable"/>
              <w:spacing w:after="40"/>
              <w:rPr>
                <w:snapToGrid w:val="0"/>
              </w:rPr>
            </w:pPr>
            <w:r>
              <w:rPr>
                <w:snapToGrid w:val="0"/>
              </w:rPr>
              <w:t>r. 1 and 2: 23</w:t>
            </w:r>
            <w:r>
              <w:t> Nov 2016</w:t>
            </w:r>
            <w:r>
              <w:rPr>
                <w:snapToGrid w:val="0"/>
              </w:rPr>
              <w:t xml:space="preserve"> (see r. 2(a));</w:t>
            </w:r>
            <w:r>
              <w:rPr>
                <w:snapToGrid w:val="0"/>
              </w:rPr>
              <w:br/>
              <w:t xml:space="preserve">Regulations other than r. 1, 2 and 9: 24 Nov 2016 (see r. 2(c) and </w:t>
            </w:r>
            <w:r>
              <w:rPr>
                <w:i/>
                <w:snapToGrid w:val="0"/>
              </w:rPr>
              <w:t>Gazette</w:t>
            </w:r>
            <w:r>
              <w:rPr>
                <w:snapToGrid w:val="0"/>
              </w:rPr>
              <w:t xml:space="preserve"> 23 Nov 2016 p. 5249);</w:t>
            </w:r>
          </w:p>
          <w:p>
            <w:pPr>
              <w:pStyle w:val="nTable"/>
              <w:spacing w:after="40"/>
              <w:rPr>
                <w:snapToGrid w:val="0"/>
              </w:rPr>
            </w:pPr>
            <w:del w:id="262" w:author="Master Repository Process" w:date="2021-08-01T13:39:00Z">
              <w:r>
                <w:rPr>
                  <w:snapToGrid w:val="0"/>
                </w:rPr>
                <w:delText>Regulation</w:delText>
              </w:r>
            </w:del>
            <w:ins w:id="263" w:author="Master Repository Process" w:date="2021-08-01T13:39:00Z">
              <w:r>
                <w:rPr>
                  <w:snapToGrid w:val="0"/>
                </w:rPr>
                <w:t>r.</w:t>
              </w:r>
            </w:ins>
            <w:r>
              <w:rPr>
                <w:snapToGrid w:val="0"/>
              </w:rPr>
              <w:t> 9: 3 Apr 2017 (see r. 2(b))</w:t>
            </w:r>
          </w:p>
        </w:tc>
      </w:tr>
      <w:tr>
        <w:trPr>
          <w:cantSplit/>
        </w:trPr>
        <w:tc>
          <w:tcPr>
            <w:tcW w:w="3118" w:type="dxa"/>
            <w:shd w:val="clear" w:color="auto" w:fill="auto"/>
          </w:tcPr>
          <w:p>
            <w:pPr>
              <w:pStyle w:val="nTable"/>
              <w:spacing w:after="40"/>
              <w:rPr>
                <w:i/>
              </w:rPr>
            </w:pPr>
            <w:r>
              <w:rPr>
                <w:i/>
              </w:rPr>
              <w:t>Electricity Industry (Wholesale Electricity Market) Amendment Regulations 2017</w:t>
            </w:r>
          </w:p>
        </w:tc>
        <w:tc>
          <w:tcPr>
            <w:tcW w:w="1276" w:type="dxa"/>
            <w:shd w:val="clear" w:color="auto" w:fill="auto"/>
          </w:tcPr>
          <w:p>
            <w:pPr>
              <w:pStyle w:val="nTable"/>
              <w:spacing w:after="40"/>
            </w:pPr>
            <w:r>
              <w:t>30 Jun 2017 p. 3560</w:t>
            </w:r>
            <w:r>
              <w:noBreakHyphen/>
              <w:t>1</w:t>
            </w:r>
          </w:p>
        </w:tc>
        <w:tc>
          <w:tcPr>
            <w:tcW w:w="2693" w:type="dxa"/>
            <w:shd w:val="clear" w:color="auto" w:fill="auto"/>
          </w:tcPr>
          <w:p>
            <w:pPr>
              <w:pStyle w:val="nTable"/>
              <w:spacing w:after="40"/>
              <w:rPr>
                <w:snapToGrid w:val="0"/>
              </w:rPr>
            </w:pPr>
            <w:r>
              <w:rPr>
                <w:snapToGrid w:val="0"/>
              </w:rPr>
              <w:t>r. 1 and 2: 30</w:t>
            </w:r>
            <w:r>
              <w:t> Jun 2017</w:t>
            </w:r>
            <w:r>
              <w:rPr>
                <w:snapToGrid w:val="0"/>
              </w:rPr>
              <w:t xml:space="preserve"> (see r. 2(a));</w:t>
            </w:r>
            <w:r>
              <w:rPr>
                <w:snapToGrid w:val="0"/>
              </w:rPr>
              <w:br/>
              <w:t>Regulations other than r. 1 and 2: 1 Jul 2017 (see r. 2(b))</w:t>
            </w:r>
          </w:p>
        </w:tc>
      </w:tr>
    </w:tbl>
    <w:p>
      <w:pPr>
        <w:pStyle w:val="nTable"/>
        <w:spacing w:after="40"/>
        <w:rPr>
          <w:del w:id="264" w:author="Master Repository Process" w:date="2021-08-01T13:39:00Z"/>
          <w:b/>
          <w:snapToGrid w:val="0"/>
        </w:rPr>
      </w:pPr>
      <w:del w:id="265" w:author="Master Repository Process" w:date="2021-08-01T13:39:00Z">
        <w:r>
          <w:rPr>
            <w:vertAlign w:val="superscript"/>
          </w:rPr>
          <w:delText>2</w:delText>
        </w:r>
      </w:del>
    </w:p>
    <w:tbl>
      <w:tblPr>
        <w:tblW w:w="7087" w:type="dxa"/>
        <w:tblInd w:w="28" w:type="dxa"/>
        <w:tblLayout w:type="fixed"/>
        <w:tblCellMar>
          <w:left w:w="56" w:type="dxa"/>
          <w:right w:w="56" w:type="dxa"/>
        </w:tblCellMar>
        <w:tblLook w:val="0000" w:firstRow="0" w:lastRow="0" w:firstColumn="0" w:lastColumn="0" w:noHBand="0" w:noVBand="0"/>
      </w:tblPr>
      <w:tblGrid>
        <w:gridCol w:w="7087"/>
      </w:tblGrid>
      <w:tr>
        <w:trPr>
          <w:cantSplit/>
          <w:ins w:id="266" w:author="Master Repository Process" w:date="2021-08-01T13:39:00Z"/>
        </w:trPr>
        <w:tc>
          <w:tcPr>
            <w:tcW w:w="7087" w:type="dxa"/>
            <w:tcBorders>
              <w:bottom w:val="single" w:sz="8" w:space="0" w:color="auto"/>
            </w:tcBorders>
            <w:shd w:val="clear" w:color="auto" w:fill="auto"/>
          </w:tcPr>
          <w:p>
            <w:pPr>
              <w:pStyle w:val="nTable"/>
              <w:spacing w:after="40"/>
              <w:rPr>
                <w:ins w:id="267" w:author="Master Repository Process" w:date="2021-08-01T13:39:00Z"/>
                <w:snapToGrid w:val="0"/>
              </w:rPr>
            </w:pPr>
            <w:ins w:id="268" w:author="Master Repository Process" w:date="2021-08-01T13:39:00Z">
              <w:r>
                <w:rPr>
                  <w:b/>
                  <w:snapToGrid w:val="0"/>
                </w:rPr>
                <w:t xml:space="preserve">Reprint 3: The </w:t>
              </w:r>
              <w:r>
                <w:rPr>
                  <w:b/>
                  <w:i/>
                  <w:noProof/>
                  <w:snapToGrid w:val="0"/>
                </w:rPr>
                <w:t>Electricity Industry (Wholesale Electricity Market) Regulations 2004</w:t>
              </w:r>
              <w:r>
                <w:rPr>
                  <w:b/>
                  <w:snapToGrid w:val="0"/>
                </w:rPr>
                <w:t xml:space="preserve"> as at 14 Jul 2017</w:t>
              </w:r>
              <w:r>
                <w:rPr>
                  <w:snapToGrid w:val="0"/>
                </w:rPr>
                <w:t xml:space="preserve"> (includes amendments listed above)</w:t>
              </w:r>
            </w:ins>
          </w:p>
        </w:tc>
      </w:tr>
    </w:tbl>
    <w:p>
      <w:pPr>
        <w:pStyle w:val="nSubsection"/>
        <w:spacing w:before="160"/>
        <w:rPr>
          <w:ins w:id="269" w:author="Master Repository Process" w:date="2021-08-01T13:39:00Z"/>
        </w:rPr>
      </w:pPr>
      <w:ins w:id="270" w:author="Master Repository Process" w:date="2021-08-01T13:39:00Z">
        <w:r>
          <w:rPr>
            <w:vertAlign w:val="superscript"/>
          </w:rPr>
          <w:t>2</w:t>
        </w:r>
        <w:r>
          <w:rPr>
            <w:vertAlign w:val="superscript"/>
          </w:rPr>
          <w:tab/>
        </w:r>
        <w:r>
          <w:t xml:space="preserve">Now known as the </w:t>
        </w:r>
        <w:r>
          <w:rPr>
            <w:i/>
          </w:rPr>
          <w:t>Competition and Consumer Act 2010</w:t>
        </w:r>
        <w:r>
          <w:t xml:space="preserve"> (Cwlth). The short title was changed by the </w:t>
        </w:r>
        <w:r>
          <w:rPr>
            <w:i/>
          </w:rPr>
          <w:t xml:space="preserve">Trade Practices Amendment (Australian Consumer Law) Act (No. 2) 2010 </w:t>
        </w:r>
        <w:r>
          <w:t>Sch. 5 cl. 2 (Cwlth).</w:t>
        </w:r>
      </w:ins>
    </w:p>
    <w:p>
      <w:pPr>
        <w:pStyle w:val="nSubsection"/>
        <w:spacing w:before="160"/>
      </w:pPr>
      <w:ins w:id="271" w:author="Master Repository Process" w:date="2021-08-01T13:39:00Z">
        <w:r>
          <w:rPr>
            <w:vertAlign w:val="superscript"/>
          </w:rPr>
          <w:t>3</w:t>
        </w:r>
      </w:ins>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pPr>
      <w:del w:id="272" w:author="Master Repository Process" w:date="2021-08-01T13:39:00Z">
        <w:r>
          <w:rPr>
            <w:vertAlign w:val="superscript"/>
          </w:rPr>
          <w:delText>3</w:delText>
        </w:r>
      </w:del>
      <w:ins w:id="273" w:author="Master Repository Process" w:date="2021-08-01T13:39:00Z">
        <w:r>
          <w:rPr>
            <w:vertAlign w:val="superscript"/>
          </w:rPr>
          <w:t>4</w:t>
        </w:r>
      </w:ins>
      <w:r>
        <w:rPr>
          <w:vertAlign w:val="superscript"/>
        </w:rPr>
        <w:tab/>
      </w:r>
      <w:r>
        <w:t xml:space="preserve">Now known as the </w:t>
      </w:r>
      <w:r>
        <w:rPr>
          <w:i/>
        </w:rPr>
        <w:t>Energy Arbitration and Review Act 1998</w:t>
      </w:r>
      <w:r>
        <w:t>.</w:t>
      </w:r>
    </w:p>
    <w:p>
      <w:pPr>
        <w:rPr>
          <w:del w:id="274" w:author="Master Repository Process" w:date="2021-08-01T13:39:00Z"/>
        </w:rPr>
      </w:pPr>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5" w:name="Compilation"/>
    <w:bookmarkEnd w:id="27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6" w:name="Coversheet"/>
    <w:bookmarkEnd w:id="2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8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87" w:type="dxa"/>
        </w:tcPr>
        <w:p>
          <w:pPr>
            <w:pStyle w:val="Header"/>
            <w:spacing w:before="40"/>
            <w:ind w:right="17"/>
            <w:jc w:val="right"/>
          </w:pPr>
        </w:p>
      </w:tc>
    </w:tr>
    <w:tr>
      <w:tc>
        <w:tcPr>
          <w:tcW w:w="5715" w:type="dxa"/>
        </w:tcPr>
        <w:p>
          <w:pPr>
            <w:pStyle w:val="Header"/>
            <w:spacing w:before="40"/>
            <w:jc w:val="right"/>
          </w:pPr>
        </w:p>
      </w:tc>
      <w:tc>
        <w:tcPr>
          <w:tcW w:w="1587" w:type="dxa"/>
        </w:tcPr>
        <w:p>
          <w:pPr>
            <w:pStyle w:val="Header"/>
            <w:spacing w:before="40"/>
            <w:ind w:right="17"/>
            <w:jc w:val="right"/>
          </w:pPr>
        </w:p>
      </w:tc>
    </w:tr>
  </w:tbl>
  <w:p>
    <w:pPr>
      <w:pStyle w:val="Header"/>
      <w:pBdr>
        <w:top w:val="single" w:sz="4" w:space="1" w:color="auto"/>
      </w:pBdr>
    </w:pPr>
    <w:bookmarkStart w:id="241" w:name="Schedule"/>
    <w:bookmarkEnd w:id="2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1"/>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519114444"/>
    <w:docVar w:name="WAFER_20131230155840" w:val="RemoveTocBookmarks,RunningHeaders"/>
    <w:docVar w:name="WAFER_20131230155840_GUID" w:val="577a1d36-3a62-46be-8c6e-30a96234a32e"/>
    <w:docVar w:name="WAFER_20140115104501" w:val="RemoveTocBookmarks,RemoveUnusedBookmarks,RemoveLanguageTags,UsedStyles,ResetPageSize,UpdateArrangement"/>
    <w:docVar w:name="WAFER_20140115104501_GUID" w:val="508a2737-c38e-4f16-97fb-ea073f92a551"/>
    <w:docVar w:name="WAFER_20140115104808" w:val="RemoveTocBookmarks,RunningHeaders"/>
    <w:docVar w:name="WAFER_20140115104808_GUID" w:val="ce2a4c01-1a4a-4c4e-8a87-cd5a421d7a94"/>
    <w:docVar w:name="WAFER_20150224144959" w:val="ResetPageSize,UpdateArrangement,UpdateNTable"/>
    <w:docVar w:name="WAFER_20150224144959_GUID" w:val="3db185ec-aa3a-48c8-8df8-9684eb9c389f"/>
    <w:docVar w:name="WAFER_20151001160933" w:val="RemoveTocBookmarks,RemoveUnusedBookmarks,RemoveLanguageTags,UsedStyles,ResetPageSize"/>
    <w:docVar w:name="WAFER_20151001160933_GUID" w:val="0850a79f-eb40-4aa7-85e9-28214a4e562d"/>
    <w:docVar w:name="WAFER_20151113103825" w:val="UpdateStyles"/>
    <w:docVar w:name="WAFER_20151113103825_GUID" w:val="c7d796e2-3aeb-4702-ac10-874c96629658"/>
    <w:docVar w:name="WAFER_20151113104037" w:val="UsedStyles"/>
    <w:docVar w:name="WAFER_20151113104037_GUID" w:val="5673dcc8-328b-4310-abd4-f88c6bee64a9"/>
    <w:docVar w:name="WAFER_20151117125738" w:val="UpdateStyles"/>
    <w:docVar w:name="WAFER_20151117125738_GUID" w:val="d0b733b6-c8a1-4447-93a5-d6c109d754c2"/>
    <w:docVar w:name="WAFER_20151117131119" w:val="UsedStyles"/>
    <w:docVar w:name="WAFER_20151117131119_GUID" w:val="06282c0d-c19c-44af-b787-4a531e62cbe5"/>
    <w:docVar w:name="WAFER_20170203154502" w:val="RemoveTocBookmarks,RemoveUnusedBookmarks,RemoveLanguageTags,UsedStyles,ResetPageSize"/>
    <w:docVar w:name="WAFER_20170203154502_GUID" w:val="aab8c5ad-e595-4eca-9afc-48de5ac03337"/>
    <w:docVar w:name="WAFER_20170403120006" w:val="RemoveTocBookmarks,RemoveUnusedBookmarks,RemoveLanguageTags,UsedStyles,ResetPageSize"/>
    <w:docVar w:name="WAFER_20170403120006_GUID" w:val="0e85c179-66ae-4a89-8891-e776d38f4be9"/>
    <w:docVar w:name="WAFER_20170519114444" w:val="RemoveTocBookmarks,RemoveUnusedBookmarks,RemoveLanguageTags,UsedStyles,ResetPageSize,RemoveCustomizations"/>
    <w:docVar w:name="WAFER_20170519114444_GUID" w:val="95cde0b1-8dfe-4013-9fd2-2b7a64b33f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C065A9-A9F7-4B83-9179-046049DF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258">
      <w:bodyDiv w:val="1"/>
      <w:marLeft w:val="0"/>
      <w:marRight w:val="0"/>
      <w:marTop w:val="0"/>
      <w:marBottom w:val="0"/>
      <w:divBdr>
        <w:top w:val="none" w:sz="0" w:space="0" w:color="auto"/>
        <w:left w:val="none" w:sz="0" w:space="0" w:color="auto"/>
        <w:bottom w:val="none" w:sz="0" w:space="0" w:color="auto"/>
        <w:right w:val="none" w:sz="0" w:space="0" w:color="auto"/>
      </w:divBdr>
    </w:div>
    <w:div w:id="75396453">
      <w:bodyDiv w:val="1"/>
      <w:marLeft w:val="0"/>
      <w:marRight w:val="0"/>
      <w:marTop w:val="0"/>
      <w:marBottom w:val="0"/>
      <w:divBdr>
        <w:top w:val="none" w:sz="0" w:space="0" w:color="auto"/>
        <w:left w:val="none" w:sz="0" w:space="0" w:color="auto"/>
        <w:bottom w:val="none" w:sz="0" w:space="0" w:color="auto"/>
        <w:right w:val="none" w:sz="0" w:space="0" w:color="auto"/>
      </w:divBdr>
    </w:div>
    <w:div w:id="366374217">
      <w:bodyDiv w:val="1"/>
      <w:marLeft w:val="0"/>
      <w:marRight w:val="0"/>
      <w:marTop w:val="0"/>
      <w:marBottom w:val="0"/>
      <w:divBdr>
        <w:top w:val="none" w:sz="0" w:space="0" w:color="auto"/>
        <w:left w:val="none" w:sz="0" w:space="0" w:color="auto"/>
        <w:bottom w:val="none" w:sz="0" w:space="0" w:color="auto"/>
        <w:right w:val="none" w:sz="0" w:space="0" w:color="auto"/>
      </w:divBdr>
    </w:div>
    <w:div w:id="862787713">
      <w:bodyDiv w:val="1"/>
      <w:marLeft w:val="0"/>
      <w:marRight w:val="0"/>
      <w:marTop w:val="0"/>
      <w:marBottom w:val="0"/>
      <w:divBdr>
        <w:top w:val="none" w:sz="0" w:space="0" w:color="auto"/>
        <w:left w:val="none" w:sz="0" w:space="0" w:color="auto"/>
        <w:bottom w:val="none" w:sz="0" w:space="0" w:color="auto"/>
        <w:right w:val="none" w:sz="0" w:space="0" w:color="auto"/>
      </w:divBdr>
    </w:div>
    <w:div w:id="1300572886">
      <w:bodyDiv w:val="1"/>
      <w:marLeft w:val="0"/>
      <w:marRight w:val="0"/>
      <w:marTop w:val="0"/>
      <w:marBottom w:val="0"/>
      <w:divBdr>
        <w:top w:val="none" w:sz="0" w:space="0" w:color="auto"/>
        <w:left w:val="none" w:sz="0" w:space="0" w:color="auto"/>
        <w:bottom w:val="none" w:sz="0" w:space="0" w:color="auto"/>
        <w:right w:val="none" w:sz="0" w:space="0" w:color="auto"/>
      </w:divBdr>
    </w:div>
    <w:div w:id="1433472692">
      <w:bodyDiv w:val="1"/>
      <w:marLeft w:val="0"/>
      <w:marRight w:val="0"/>
      <w:marTop w:val="0"/>
      <w:marBottom w:val="0"/>
      <w:divBdr>
        <w:top w:val="none" w:sz="0" w:space="0" w:color="auto"/>
        <w:left w:val="none" w:sz="0" w:space="0" w:color="auto"/>
        <w:bottom w:val="none" w:sz="0" w:space="0" w:color="auto"/>
        <w:right w:val="none" w:sz="0" w:space="0" w:color="auto"/>
      </w:divBdr>
    </w:div>
    <w:div w:id="1539660743">
      <w:bodyDiv w:val="1"/>
      <w:marLeft w:val="0"/>
      <w:marRight w:val="0"/>
      <w:marTop w:val="0"/>
      <w:marBottom w:val="0"/>
      <w:divBdr>
        <w:top w:val="none" w:sz="0" w:space="0" w:color="auto"/>
        <w:left w:val="none" w:sz="0" w:space="0" w:color="auto"/>
        <w:bottom w:val="none" w:sz="0" w:space="0" w:color="auto"/>
        <w:right w:val="none" w:sz="0" w:space="0" w:color="auto"/>
      </w:divBdr>
    </w:div>
    <w:div w:id="20124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10AF9-4AA9-469C-8766-9EF56CAF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13279</Words>
  <Characters>65467</Characters>
  <Application>Microsoft Office Word</Application>
  <DocSecurity>0</DocSecurity>
  <Lines>2111</Lines>
  <Paragraphs>1230</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77516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02-k0-00 - 03-a0-00</dc:title>
  <dc:subject/>
  <dc:creator/>
  <cp:keywords/>
  <dc:description/>
  <cp:lastModifiedBy>Master Repository Process</cp:lastModifiedBy>
  <cp:revision>2</cp:revision>
  <cp:lastPrinted>2017-07-25T01:50:00Z</cp:lastPrinted>
  <dcterms:created xsi:type="dcterms:W3CDTF">2021-08-01T05:39:00Z</dcterms:created>
  <dcterms:modified xsi:type="dcterms:W3CDTF">2021-08-01T05:39:00Z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OWLSUId">
    <vt:i4>7017</vt:i4>
  </property>
  <property fmtid="{D5CDD505-2E9C-101B-9397-08002B2CF9AE}" pid="4" name="DocumentType">
    <vt:lpwstr>Reg</vt:lpwstr>
  </property>
  <property fmtid="{D5CDD505-2E9C-101B-9397-08002B2CF9AE}" pid="5" name="ReprintedAsAt">
    <vt:filetime>2017-07-13T16:00:00Z</vt:filetime>
  </property>
  <property fmtid="{D5CDD505-2E9C-101B-9397-08002B2CF9AE}" pid="6" name="ReprintNo">
    <vt:lpwstr>3</vt:lpwstr>
  </property>
  <property fmtid="{D5CDD505-2E9C-101B-9397-08002B2CF9AE}" pid="7" name="CommencementDate">
    <vt:lpwstr>20170714</vt:lpwstr>
  </property>
  <property fmtid="{D5CDD505-2E9C-101B-9397-08002B2CF9AE}" pid="8" name="FromSuffix">
    <vt:lpwstr>02-k0-00</vt:lpwstr>
  </property>
  <property fmtid="{D5CDD505-2E9C-101B-9397-08002B2CF9AE}" pid="9" name="FromAsAtDate">
    <vt:lpwstr>01 Jul 2017</vt:lpwstr>
  </property>
  <property fmtid="{D5CDD505-2E9C-101B-9397-08002B2CF9AE}" pid="10" name="ToSuffix">
    <vt:lpwstr>03-a0-00</vt:lpwstr>
  </property>
  <property fmtid="{D5CDD505-2E9C-101B-9397-08002B2CF9AE}" pid="11" name="ToAsAtDate">
    <vt:lpwstr>14 Jul 2017</vt:lpwstr>
  </property>
</Properties>
</file>