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2016</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19 Aug 2017</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1" w:name="_Toc490744777"/>
      <w:bookmarkStart w:id="2" w:name="_Toc470188728"/>
      <w:r>
        <w:rPr>
          <w:rStyle w:val="CharSectno"/>
        </w:rPr>
        <w:t>1</w:t>
      </w:r>
      <w:bookmarkStart w:id="3" w:name="_GoBack"/>
      <w:bookmarkEnd w:id="3"/>
      <w:r>
        <w:t>.</w:t>
      </w:r>
      <w:r>
        <w:tab/>
        <w:t>Citation</w:t>
      </w:r>
      <w:bookmarkEnd w:id="1"/>
      <w:bookmarkEnd w:id="2"/>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490744778"/>
      <w:bookmarkStart w:id="5" w:name="_Toc470188729"/>
      <w:r>
        <w:rPr>
          <w:rStyle w:val="CharSectno"/>
        </w:rPr>
        <w:t>2</w:t>
      </w:r>
      <w:r>
        <w:rPr>
          <w:spacing w:val="-2"/>
        </w:rPr>
        <w:t>.</w:t>
      </w:r>
      <w:r>
        <w:rPr>
          <w:spacing w:val="-2"/>
        </w:rPr>
        <w:tab/>
        <w:t>Commencement</w:t>
      </w:r>
      <w:bookmarkEnd w:id="4"/>
      <w:bookmarkEnd w:id="5"/>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6" w:name="_Toc490744779"/>
      <w:bookmarkStart w:id="7" w:name="_Toc470188730"/>
      <w:r>
        <w:rPr>
          <w:rStyle w:val="CharSectno"/>
        </w:rPr>
        <w:t>3</w:t>
      </w:r>
      <w:r>
        <w:t>.</w:t>
      </w:r>
      <w:r>
        <w:tab/>
        <w:t>Forms</w:t>
      </w:r>
      <w:bookmarkEnd w:id="6"/>
      <w:bookmarkEnd w:id="7"/>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8" w:name="_Toc490744780"/>
      <w:bookmarkStart w:id="9" w:name="_Toc470188731"/>
      <w:r>
        <w:rPr>
          <w:rStyle w:val="CharSectno"/>
        </w:rPr>
        <w:t>4</w:t>
      </w:r>
      <w:r>
        <w:t>.</w:t>
      </w:r>
      <w:r>
        <w:tab/>
        <w:t>Law enforcement officers, classes prescribed</w:t>
      </w:r>
      <w:bookmarkEnd w:id="8"/>
      <w:bookmarkEnd w:id="9"/>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10" w:name="_Toc490744781"/>
      <w:bookmarkStart w:id="11" w:name="_Toc470188732"/>
      <w:r>
        <w:rPr>
          <w:rStyle w:val="CharSectno"/>
        </w:rPr>
        <w:t>5</w:t>
      </w:r>
      <w:r>
        <w:t>.</w:t>
      </w:r>
      <w:r>
        <w:tab/>
        <w:t>Commonwealth agencies, instrumentalities and bodies</w:t>
      </w:r>
      <w:bookmarkEnd w:id="10"/>
      <w:bookmarkEnd w:id="11"/>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in Gazette 1 Dec 2015 p. 4821.]</w:t>
      </w:r>
    </w:p>
    <w:p>
      <w:pPr>
        <w:pStyle w:val="Heading5"/>
        <w:keepNext w:val="0"/>
        <w:keepLines w:val="0"/>
      </w:pPr>
      <w:bookmarkStart w:id="12" w:name="_Toc490744782"/>
      <w:bookmarkStart w:id="13" w:name="_Toc470188733"/>
      <w:r>
        <w:rPr>
          <w:rStyle w:val="CharSectno"/>
        </w:rPr>
        <w:t>6</w:t>
      </w:r>
      <w:r>
        <w:t>.</w:t>
      </w:r>
      <w:r>
        <w:tab/>
        <w:t>Use of tracking devices without warrant</w:t>
      </w:r>
      <w:bookmarkEnd w:id="12"/>
      <w:bookmarkEnd w:id="13"/>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w:t>
      </w:r>
      <w:del w:id="14" w:author="Master Repository Process" w:date="2021-09-18T01:31:00Z">
        <w:r>
          <w:delText>) or</w:delText>
        </w:r>
      </w:del>
      <w:ins w:id="15" w:author="Master Repository Process" w:date="2021-09-18T01:31:00Z">
        <w:r>
          <w:t>),</w:t>
        </w:r>
      </w:ins>
      <w:r>
        <w:t xml:space="preserve"> 57(2)(a</w:t>
      </w:r>
      <w:ins w:id="16" w:author="Master Repository Process" w:date="2021-09-18T01:31:00Z">
        <w:r>
          <w:t>) or 74G(c), (d) or (e</w:t>
        </w:r>
      </w:ins>
      <w:r>
        <w:t>);</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 24 Jun 2016 p. 2340; 16 Sep 2016 p. 3941; 23 Dec 2016 p. 5906</w:t>
      </w:r>
      <w:ins w:id="17" w:author="Master Repository Process" w:date="2021-09-18T01:31:00Z">
        <w:r>
          <w:t>; 18 Aug 2017 p. 4448</w:t>
        </w:r>
      </w:ins>
      <w:r>
        <w:t>.]</w:t>
      </w:r>
    </w:p>
    <w:p>
      <w:pPr>
        <w:pStyle w:val="Heading5"/>
        <w:rPr>
          <w:rStyle w:val="CharSectno"/>
        </w:rPr>
      </w:pPr>
      <w:bookmarkStart w:id="18" w:name="_Toc490744783"/>
      <w:bookmarkStart w:id="19" w:name="_Toc470188734"/>
      <w:r>
        <w:rPr>
          <w:rStyle w:val="CharSectno"/>
        </w:rPr>
        <w:t>7</w:t>
      </w:r>
      <w:r>
        <w:t>.</w:t>
      </w:r>
      <w:r>
        <w:rPr>
          <w:rStyle w:val="CharSectno"/>
        </w:rPr>
        <w:tab/>
      </w:r>
      <w:r>
        <w:t>Storage and destruction of Part 5 records</w:t>
      </w:r>
      <w:bookmarkEnd w:id="18"/>
      <w:bookmarkEnd w:id="19"/>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20" w:name="_Toc490744784"/>
      <w:bookmarkStart w:id="21" w:name="_Toc470188735"/>
      <w:r>
        <w:rPr>
          <w:rStyle w:val="CharSectno"/>
        </w:rPr>
        <w:t>8</w:t>
      </w:r>
      <w:r>
        <w:t>.</w:t>
      </w:r>
      <w:r>
        <w:tab/>
        <w:t>Annual reports</w:t>
      </w:r>
      <w:bookmarkEnd w:id="20"/>
      <w:bookmarkEnd w:id="21"/>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22" w:name="_Toc490744785"/>
      <w:bookmarkStart w:id="23" w:name="_Toc470188736"/>
      <w:r>
        <w:rPr>
          <w:rStyle w:val="CharSectno"/>
        </w:rPr>
        <w:t>8A</w:t>
      </w:r>
      <w:r>
        <w:t>.</w:t>
      </w:r>
      <w:r>
        <w:tab/>
        <w:t>Reports by designated Commission</w:t>
      </w:r>
      <w:bookmarkEnd w:id="22"/>
      <w:bookmarkEnd w:id="23"/>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24" w:name="_Toc490744786"/>
      <w:bookmarkStart w:id="25" w:name="_Toc470188737"/>
      <w:r>
        <w:rPr>
          <w:rStyle w:val="CharSectno"/>
        </w:rPr>
        <w:t>9</w:t>
      </w:r>
      <w:r>
        <w:t>.</w:t>
      </w:r>
      <w:r>
        <w:tab/>
        <w:t>Unlawful possession of surveillance information</w:t>
      </w:r>
      <w:bookmarkEnd w:id="24"/>
      <w:bookmarkEnd w:id="25"/>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470188717"/>
      <w:bookmarkStart w:id="27" w:name="_Toc470188738"/>
      <w:bookmarkStart w:id="28" w:name="_Toc490744787"/>
      <w:r>
        <w:rPr>
          <w:rStyle w:val="CharSchNo"/>
        </w:rPr>
        <w:t>Schedule 1</w:t>
      </w:r>
      <w:r>
        <w:t xml:space="preserve"> — </w:t>
      </w:r>
      <w:r>
        <w:rPr>
          <w:rStyle w:val="CharSchText"/>
        </w:rPr>
        <w:t>Forms</w:t>
      </w:r>
      <w:bookmarkEnd w:id="26"/>
      <w:bookmarkEnd w:id="27"/>
      <w:bookmarkEnd w:id="28"/>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pBdr>
                <w:bottom w:val="single" w:sz="12" w:space="1" w:color="auto"/>
              </w:pBdr>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pBdr>
                <w:bottom w:val="single" w:sz="12" w:space="1" w:color="auto"/>
              </w:pBdr>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pBdr>
                <w:bottom w:val="single" w:sz="12" w:space="1" w:color="auto"/>
              </w:pBdr>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0" w:name="_Toc470188718"/>
      <w:bookmarkStart w:id="31" w:name="_Toc470188739"/>
      <w:bookmarkStart w:id="32" w:name="_Toc490744788"/>
      <w:r>
        <w:t>Notes</w:t>
      </w:r>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3" w:name="_Toc490744789"/>
      <w:bookmarkStart w:id="34" w:name="_Toc470188740"/>
      <w: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9"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3"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r>
        <w:trPr>
          <w:gridBefore w:val="1"/>
          <w:wBefore w:w="8" w:type="dxa"/>
          <w:cantSplit/>
        </w:trPr>
        <w:tc>
          <w:tcPr>
            <w:tcW w:w="3119"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3" w:type="dxa"/>
            <w:gridSpan w:val="2"/>
          </w:tcPr>
          <w:p>
            <w:pPr>
              <w:pStyle w:val="nTable"/>
              <w:spacing w:after="40"/>
              <w:rPr>
                <w:rFonts w:ascii="Times" w:hAnsi="Times"/>
                <w:snapToGrid w:val="0"/>
                <w:spacing w:val="-2"/>
              </w:rPr>
            </w:pPr>
            <w:r>
              <w:rPr>
                <w:rFonts w:ascii="Times" w:hAnsi="Times"/>
                <w:snapToGrid w:val="0"/>
                <w:spacing w:val="-2"/>
              </w:rPr>
              <w:t xml:space="preserve">r. 1 and 2: </w:t>
            </w:r>
            <w:r>
              <w:t>16 Sep 2016</w:t>
            </w:r>
            <w:r>
              <w:rPr>
                <w:rFonts w:ascii="Times" w:hAnsi="Times"/>
                <w:snapToGrid w:val="0"/>
                <w:spacing w:val="-2"/>
              </w:rPr>
              <w:t xml:space="preserve"> (see r. 2(a));</w:t>
            </w:r>
            <w:r>
              <w:rPr>
                <w:rFonts w:ascii="Times" w:hAnsi="Times"/>
                <w:snapToGrid w:val="0"/>
                <w:spacing w:val="-2"/>
              </w:rPr>
              <w:br/>
              <w:t xml:space="preserve">Regulations other than r. 1 and 2: </w:t>
            </w:r>
            <w:r>
              <w:t>17 Sep 2016</w:t>
            </w:r>
            <w:r>
              <w:rPr>
                <w:rFonts w:ascii="Times" w:hAnsi="Times"/>
                <w:snapToGrid w:val="0"/>
                <w:spacing w:val="-2"/>
              </w:rPr>
              <w:t xml:space="preserve"> (see r. 2(b))</w:t>
            </w:r>
          </w:p>
        </w:tc>
      </w:tr>
      <w:tr>
        <w:trPr>
          <w:gridBefore w:val="1"/>
          <w:wBefore w:w="8" w:type="dxa"/>
          <w:cantSplit/>
        </w:trPr>
        <w:tc>
          <w:tcPr>
            <w:tcW w:w="3119"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23</w:t>
            </w:r>
            <w:r>
              <w:t> Dec 2016</w:t>
            </w:r>
            <w:r>
              <w:rPr>
                <w:rFonts w:ascii="Times" w:hAnsi="Times"/>
                <w:snapToGrid w:val="0"/>
                <w:spacing w:val="-2"/>
              </w:rPr>
              <w:t xml:space="preserve"> (see r. 2(a));</w:t>
            </w:r>
            <w:r>
              <w:rPr>
                <w:rFonts w:ascii="Times" w:hAnsi="Times"/>
                <w:snapToGrid w:val="0"/>
                <w:spacing w:val="-2"/>
              </w:rPr>
              <w:br/>
              <w:t>Regulations other than r. 1 and 2: 24</w:t>
            </w:r>
            <w:r>
              <w:t> Dec 2016</w:t>
            </w:r>
            <w:r>
              <w:rPr>
                <w:rFonts w:ascii="Times" w:hAnsi="Times"/>
                <w:snapToGrid w:val="0"/>
                <w:spacing w:val="-2"/>
              </w:rPr>
              <w:t xml:space="preserve"> (see r. 2(b))</w:t>
            </w:r>
          </w:p>
        </w:tc>
      </w:tr>
      <w:tr>
        <w:trPr>
          <w:gridBefore w:val="1"/>
          <w:wBefore w:w="8" w:type="dxa"/>
          <w:cantSplit/>
          <w:ins w:id="35" w:author="Master Repository Process" w:date="2021-09-18T01:31:00Z"/>
        </w:trPr>
        <w:tc>
          <w:tcPr>
            <w:tcW w:w="3119" w:type="dxa"/>
            <w:gridSpan w:val="2"/>
            <w:tcBorders>
              <w:bottom w:val="single" w:sz="4" w:space="0" w:color="auto"/>
            </w:tcBorders>
          </w:tcPr>
          <w:p>
            <w:pPr>
              <w:pStyle w:val="nTable"/>
              <w:spacing w:after="40"/>
              <w:ind w:right="113"/>
              <w:rPr>
                <w:ins w:id="36" w:author="Master Repository Process" w:date="2021-09-18T01:31:00Z"/>
                <w:i/>
              </w:rPr>
            </w:pPr>
            <w:ins w:id="37" w:author="Master Repository Process" w:date="2021-09-18T01:31:00Z">
              <w:r>
                <w:rPr>
                  <w:i/>
                </w:rPr>
                <w:t>Surveillance Devices Amendment Regulations 2017</w:t>
              </w:r>
            </w:ins>
          </w:p>
        </w:tc>
        <w:tc>
          <w:tcPr>
            <w:tcW w:w="1276" w:type="dxa"/>
            <w:gridSpan w:val="2"/>
            <w:tcBorders>
              <w:bottom w:val="single" w:sz="4" w:space="0" w:color="auto"/>
            </w:tcBorders>
          </w:tcPr>
          <w:p>
            <w:pPr>
              <w:pStyle w:val="nTable"/>
              <w:spacing w:after="40"/>
              <w:rPr>
                <w:ins w:id="38" w:author="Master Repository Process" w:date="2021-09-18T01:31:00Z"/>
              </w:rPr>
            </w:pPr>
            <w:ins w:id="39" w:author="Master Repository Process" w:date="2021-09-18T01:31:00Z">
              <w:r>
                <w:t>18 Aug 2017 p. 4448</w:t>
              </w:r>
            </w:ins>
          </w:p>
        </w:tc>
        <w:tc>
          <w:tcPr>
            <w:tcW w:w="2693" w:type="dxa"/>
            <w:gridSpan w:val="2"/>
            <w:tcBorders>
              <w:bottom w:val="single" w:sz="4" w:space="0" w:color="auto"/>
            </w:tcBorders>
          </w:tcPr>
          <w:p>
            <w:pPr>
              <w:pStyle w:val="nTable"/>
              <w:spacing w:after="40"/>
              <w:rPr>
                <w:ins w:id="40" w:author="Master Repository Process" w:date="2021-09-18T01:31:00Z"/>
                <w:rFonts w:ascii="Times" w:hAnsi="Times"/>
                <w:snapToGrid w:val="0"/>
                <w:spacing w:val="-2"/>
              </w:rPr>
            </w:pPr>
            <w:ins w:id="41" w:author="Master Repository Process" w:date="2021-09-18T01:31:00Z">
              <w:r>
                <w:rPr>
                  <w:rFonts w:ascii="Times" w:hAnsi="Times"/>
                  <w:snapToGrid w:val="0"/>
                  <w:spacing w:val="-2"/>
                </w:rPr>
                <w:t>r. 1 and 2: 18</w:t>
              </w:r>
              <w:r>
                <w:t> Aug 2017</w:t>
              </w:r>
              <w:r>
                <w:rPr>
                  <w:rFonts w:ascii="Times" w:hAnsi="Times"/>
                  <w:snapToGrid w:val="0"/>
                  <w:spacing w:val="-2"/>
                </w:rPr>
                <w:t xml:space="preserve"> (see r. 2(a));</w:t>
              </w:r>
              <w:r>
                <w:rPr>
                  <w:rFonts w:ascii="Times" w:hAnsi="Times"/>
                  <w:snapToGrid w:val="0"/>
                  <w:spacing w:val="-2"/>
                </w:rPr>
                <w:br/>
                <w:t>Regulations other than r. 1 and 2: 19</w:t>
              </w:r>
              <w:r>
                <w:t> Aug 2017</w:t>
              </w:r>
              <w:r>
                <w:rPr>
                  <w:rFonts w:ascii="Times" w:hAnsi="Times"/>
                  <w:snapToGrid w:val="0"/>
                  <w:spacing w:val="-2"/>
                </w:rPr>
                <w:t xml:space="preserve">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9" w:name="Schedule"/>
    <w:bookmarkEnd w:id="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2153632"/>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594DE03-6D9D-4F6A-B7D7-4705F383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4523</Words>
  <Characters>24741</Characters>
  <Application>Microsoft Office Word</Application>
  <DocSecurity>0</DocSecurity>
  <Lines>1030</Lines>
  <Paragraphs>597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02-h0-00 - 02-i0-00</dc:title>
  <dc:subject/>
  <dc:creator/>
  <cp:keywords/>
  <dc:description/>
  <cp:lastModifiedBy>Master Repository Process</cp:lastModifiedBy>
  <cp:revision>2</cp:revision>
  <cp:lastPrinted>2010-09-08T06:36:00Z</cp:lastPrinted>
  <dcterms:created xsi:type="dcterms:W3CDTF">2021-09-17T17:31:00Z</dcterms:created>
  <dcterms:modified xsi:type="dcterms:W3CDTF">2021-09-17T17:31:00Z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No">
    <vt:lpwstr>2</vt:lpwstr>
  </property>
  <property fmtid="{D5CDD505-2E9C-101B-9397-08002B2CF9AE}" pid="6" name="ReprintedAsAt">
    <vt:filetime>2010-09-09T16:00:00Z</vt:filetime>
  </property>
  <property fmtid="{D5CDD505-2E9C-101B-9397-08002B2CF9AE}" pid="7" name="CommencementDate">
    <vt:lpwstr>20170819</vt:lpwstr>
  </property>
  <property fmtid="{D5CDD505-2E9C-101B-9397-08002B2CF9AE}" pid="8" name="FromSuffix">
    <vt:lpwstr>02-h0-00</vt:lpwstr>
  </property>
  <property fmtid="{D5CDD505-2E9C-101B-9397-08002B2CF9AE}" pid="9" name="FromAsAtDate">
    <vt:lpwstr>24 Dec 2016</vt:lpwstr>
  </property>
  <property fmtid="{D5CDD505-2E9C-101B-9397-08002B2CF9AE}" pid="10" name="ToSuffix">
    <vt:lpwstr>02-i0-00</vt:lpwstr>
  </property>
  <property fmtid="{D5CDD505-2E9C-101B-9397-08002B2CF9AE}" pid="11" name="ToAsAtDate">
    <vt:lpwstr>19 Aug 2017</vt:lpwstr>
  </property>
</Properties>
</file>