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25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Feb 2006</w:t>
      </w:r>
      <w:r>
        <w:fldChar w:fldCharType="end"/>
      </w:r>
      <w:r>
        <w:t xml:space="preserve">, </w:t>
      </w:r>
      <w:r>
        <w:fldChar w:fldCharType="begin"/>
      </w:r>
      <w:r>
        <w:instrText xml:space="preserve"> DocProperty FromSuffix </w:instrText>
      </w:r>
      <w:r>
        <w:fldChar w:fldCharType="separate"/>
      </w:r>
      <w:r>
        <w:t>05-g0-04</w:t>
      </w:r>
      <w:r>
        <w:fldChar w:fldCharType="end"/>
      </w:r>
      <w:r>
        <w:t>] and [</w:t>
      </w:r>
      <w:r>
        <w:fldChar w:fldCharType="begin"/>
      </w:r>
      <w:r>
        <w:instrText xml:space="preserve"> DocProperty ToAsAtDate</w:instrText>
      </w:r>
      <w:r>
        <w:fldChar w:fldCharType="separate"/>
      </w:r>
      <w:r>
        <w:t>04 Apr 2006</w:t>
      </w:r>
      <w:r>
        <w:fldChar w:fldCharType="end"/>
      </w:r>
      <w:r>
        <w:t xml:space="preserve">, </w:t>
      </w:r>
      <w:r>
        <w:fldChar w:fldCharType="begin"/>
      </w:r>
      <w:r>
        <w:instrText xml:space="preserve"> DocProperty ToSuffix</w:instrText>
      </w:r>
      <w:r>
        <w:fldChar w:fldCharType="separate"/>
      </w:r>
      <w:r>
        <w:t>05-h0-04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0" w:name="_Toc74978806"/>
      <w:bookmarkStart w:id="1" w:name="_Toc74979070"/>
      <w:bookmarkStart w:id="2" w:name="_Toc79976368"/>
      <w:bookmarkStart w:id="3" w:name="_Toc80759639"/>
      <w:bookmarkStart w:id="4" w:name="_Toc80783402"/>
      <w:bookmarkStart w:id="5" w:name="_Toc94931069"/>
      <w:bookmarkStart w:id="6" w:name="_Toc104275192"/>
      <w:bookmarkStart w:id="7" w:name="_Toc104276523"/>
      <w:bookmarkStart w:id="8" w:name="_Toc107198744"/>
      <w:bookmarkStart w:id="9" w:name="_Toc107799195"/>
      <w:bookmarkStart w:id="10" w:name="_Toc127087202"/>
      <w:bookmarkStart w:id="11" w:name="_Toc127183494"/>
      <w:bookmarkStart w:id="12" w:name="_Toc127337915"/>
      <w:r>
        <w:rPr>
          <w:rStyle w:val="CharPartNo"/>
        </w:rPr>
        <w:t>P</w:t>
      </w:r>
      <w:bookmarkStart w:id="13" w:name="_GoBack"/>
      <w:bookmarkEnd w:id="13"/>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4" w:name="_Toc474633016"/>
      <w:bookmarkStart w:id="15" w:name="_Toc488740165"/>
      <w:bookmarkStart w:id="16" w:name="_Toc8623536"/>
      <w:bookmarkStart w:id="17" w:name="_Toc11229377"/>
      <w:bookmarkStart w:id="18" w:name="_Toc104276524"/>
      <w:bookmarkStart w:id="19" w:name="_Toc127337916"/>
      <w:r>
        <w:rPr>
          <w:rStyle w:val="CharSectno"/>
        </w:rPr>
        <w:t>1</w:t>
      </w:r>
      <w:r>
        <w:rPr>
          <w:snapToGrid w:val="0"/>
        </w:rPr>
        <w:t>.</w:t>
      </w:r>
      <w:r>
        <w:rPr>
          <w:snapToGrid w:val="0"/>
        </w:rPr>
        <w:tab/>
        <w:t>Citation and commencement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xml:space="preserve"> 1</w:t>
      </w:r>
      <w:r>
        <w:rPr>
          <w:snapToGrid w:val="0"/>
        </w:rPr>
        <w:t>.</w:t>
      </w:r>
    </w:p>
    <w:p>
      <w:pPr>
        <w:pStyle w:val="Heading5"/>
        <w:rPr>
          <w:snapToGrid w:val="0"/>
        </w:rPr>
      </w:pPr>
      <w:bookmarkStart w:id="20" w:name="_Toc474633017"/>
      <w:bookmarkStart w:id="21" w:name="_Toc488740166"/>
      <w:bookmarkStart w:id="22" w:name="_Toc8623537"/>
      <w:bookmarkStart w:id="23" w:name="_Toc11229378"/>
      <w:bookmarkStart w:id="24" w:name="_Toc104276525"/>
      <w:bookmarkStart w:id="25" w:name="_Toc127337917"/>
      <w:r>
        <w:rPr>
          <w:rStyle w:val="CharSectno"/>
        </w:rPr>
        <w:t>2</w:t>
      </w:r>
      <w:r>
        <w:rPr>
          <w:snapToGrid w:val="0"/>
        </w:rPr>
        <w:t>.</w:t>
      </w:r>
      <w:r>
        <w:rPr>
          <w:snapToGrid w:val="0"/>
        </w:rPr>
        <w:tab/>
      </w:r>
      <w:bookmarkEnd w:id="20"/>
      <w:bookmarkEnd w:id="21"/>
      <w:bookmarkEnd w:id="22"/>
      <w:bookmarkEnd w:id="23"/>
      <w:r>
        <w:rPr>
          <w:snapToGrid w:val="0"/>
        </w:rPr>
        <w:t>Interpretation</w:t>
      </w:r>
      <w:bookmarkEnd w:id="24"/>
      <w:bookmarkEnd w:id="2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block</w:t>
      </w:r>
      <w:r>
        <w:rPr>
          <w:b/>
        </w:rPr>
        <w:t>”</w:t>
      </w:r>
      <w:r>
        <w:t xml:space="preserve"> has the meaning ascribed to it in Part IV, Division 2 of the Act;</w:t>
      </w:r>
    </w:p>
    <w:p>
      <w:pPr>
        <w:pStyle w:val="Defstart"/>
      </w:pPr>
      <w:r>
        <w:rPr>
          <w:b/>
        </w:rPr>
        <w:tab/>
        <w:t>“</w:t>
      </w:r>
      <w:r>
        <w:rPr>
          <w:rStyle w:val="CharDefText"/>
        </w:rPr>
        <w:t>date of application</w:t>
      </w:r>
      <w:r>
        <w:rPr>
          <w:b/>
        </w:rPr>
        <w:t>”</w:t>
      </w:r>
      <w:r>
        <w:t xml:space="preserve"> when referring to an application for a mining tenement means the date on which the application is lodged at the office of the mining registrar together with the prescribed fees;</w:t>
      </w:r>
    </w:p>
    <w:p>
      <w:pPr>
        <w:pStyle w:val="Defstart"/>
      </w:pPr>
      <w:r>
        <w:rPr>
          <w:b/>
        </w:rPr>
        <w:tab/>
        <w:t>“</w:t>
      </w:r>
      <w:r>
        <w:rPr>
          <w:rStyle w:val="CharDefText"/>
        </w:rPr>
        <w:t>Director, Environment Division</w:t>
      </w:r>
      <w:r>
        <w:rPr>
          <w:b/>
        </w:rPr>
        <w:t>”</w:t>
      </w:r>
      <w:r>
        <w:t xml:space="preserve"> means the person for the time being holding or acting in the office of Director, Environment Division in the Department;</w:t>
      </w:r>
    </w:p>
    <w:p>
      <w:pPr>
        <w:pStyle w:val="Defstart"/>
      </w:pPr>
      <w:r>
        <w:rPr>
          <w:b/>
        </w:rPr>
        <w:tab/>
        <w:t>“</w:t>
      </w:r>
      <w:r>
        <w:rPr>
          <w:rStyle w:val="CharDefText"/>
        </w:rPr>
        <w:t>environmental officer</w:t>
      </w:r>
      <w:r>
        <w:rPr>
          <w:b/>
        </w:rPr>
        <w:t>”</w:t>
      </w:r>
      <w:r>
        <w:t xml:space="preserve"> means a person for the time being holding or acting in the office of Environmental Officer in the Environment Division of the Department;</w:t>
      </w:r>
    </w:p>
    <w:p>
      <w:pPr>
        <w:pStyle w:val="Defstart"/>
      </w:pPr>
      <w:r>
        <w:rPr>
          <w:b/>
        </w:rPr>
        <w:tab/>
        <w:t>“</w:t>
      </w:r>
      <w:r>
        <w:rPr>
          <w:rStyle w:val="CharDefText"/>
        </w:rPr>
        <w:t>existing exploration licence</w:t>
      </w:r>
      <w:r>
        <w:rPr>
          <w:b/>
        </w:rPr>
        <w:t>”</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exploration licence</w:t>
      </w:r>
      <w:r>
        <w:rPr>
          <w:b/>
        </w:rPr>
        <w:t>”</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section</w:t>
      </w:r>
      <w:r>
        <w:rPr>
          <w:b/>
        </w:rPr>
        <w:t>”</w:t>
      </w:r>
      <w:r>
        <w:t xml:space="preserve"> has the meaning ascribed to it in Part IV, Division 2 of the Act;</w:t>
      </w:r>
    </w:p>
    <w:p>
      <w:pPr>
        <w:pStyle w:val="Defstart"/>
      </w:pPr>
      <w:r>
        <w:rPr>
          <w:b/>
        </w:rPr>
        <w:tab/>
        <w:t>“</w:t>
      </w:r>
      <w:r>
        <w:rPr>
          <w:rStyle w:val="CharDefText"/>
        </w:rPr>
        <w:t>mineral exploration report</w:t>
      </w:r>
      <w:r>
        <w:rPr>
          <w:b/>
        </w:rPr>
        <w:t>”</w:t>
      </w:r>
      <w:r>
        <w:t xml:space="preserve"> has the same meaning as it has in section 115A(1);</w:t>
      </w:r>
    </w:p>
    <w:p>
      <w:pPr>
        <w:pStyle w:val="Defstart"/>
      </w:pPr>
      <w:r>
        <w:rPr>
          <w:b/>
        </w:rPr>
        <w:tab/>
        <w:t>“</w:t>
      </w:r>
      <w:r>
        <w:rPr>
          <w:rStyle w:val="CharDefText"/>
        </w:rPr>
        <w:t>prescribed fee</w:t>
      </w:r>
      <w:r>
        <w:rPr>
          <w:b/>
        </w:rPr>
        <w:t>”</w:t>
      </w:r>
      <w:r>
        <w:t xml:space="preserve"> means the relevant fee set out in the Second Schedule;</w:t>
      </w:r>
    </w:p>
    <w:p>
      <w:pPr>
        <w:pStyle w:val="Defstart"/>
      </w:pPr>
      <w:r>
        <w:rPr>
          <w:b/>
        </w:rPr>
        <w:tab/>
        <w:t>“</w:t>
      </w:r>
      <w:r>
        <w:rPr>
          <w:rStyle w:val="CharDefText"/>
        </w:rPr>
        <w:t>quarterly period</w:t>
      </w:r>
      <w:r>
        <w:rPr>
          <w:b/>
        </w:rPr>
        <w:t>”</w:t>
      </w:r>
      <w:r>
        <w:t xml:space="preserve"> means each period of 3 calendar months from the date on which the term of a mining tenement commences;</w:t>
      </w:r>
    </w:p>
    <w:p>
      <w:pPr>
        <w:pStyle w:val="Defstart"/>
      </w:pPr>
      <w:r>
        <w:rPr>
          <w:b/>
        </w:rPr>
        <w:tab/>
        <w:t>“</w:t>
      </w:r>
      <w:r>
        <w:rPr>
          <w:rStyle w:val="CharDefText"/>
        </w:rPr>
        <w:t>royalty return</w:t>
      </w:r>
      <w:r>
        <w:rPr>
          <w:b/>
        </w:rPr>
        <w:t>”</w:t>
      </w:r>
      <w:r>
        <w:t xml:space="preserve"> means a royalty return referred to in regulation 85B;</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 xml:space="preserve">8; 13 Oct 1995 p. 4814; 3 Feb 2006 p. 575-6.] </w:t>
      </w:r>
    </w:p>
    <w:p>
      <w:pPr>
        <w:pStyle w:val="Heading2"/>
      </w:pPr>
      <w:bookmarkStart w:id="26" w:name="_Toc74978809"/>
      <w:bookmarkStart w:id="27" w:name="_Toc74979073"/>
      <w:bookmarkStart w:id="28" w:name="_Toc79976371"/>
      <w:bookmarkStart w:id="29" w:name="_Toc80759642"/>
      <w:bookmarkStart w:id="30" w:name="_Toc80783405"/>
      <w:bookmarkStart w:id="31" w:name="_Toc94931072"/>
      <w:bookmarkStart w:id="32" w:name="_Toc104275195"/>
      <w:bookmarkStart w:id="33" w:name="_Toc104276526"/>
      <w:bookmarkStart w:id="34" w:name="_Toc107198747"/>
      <w:bookmarkStart w:id="35" w:name="_Toc107799198"/>
      <w:bookmarkStart w:id="36" w:name="_Toc127087205"/>
      <w:bookmarkStart w:id="37" w:name="_Toc127183497"/>
      <w:bookmarkStart w:id="38" w:name="_Toc127337918"/>
      <w:r>
        <w:rPr>
          <w:rStyle w:val="CharPartNo"/>
        </w:rPr>
        <w:t>Part II</w:t>
      </w:r>
      <w:r>
        <w:rPr>
          <w:rStyle w:val="CharDivNo"/>
        </w:rPr>
        <w:t> </w:t>
      </w:r>
      <w:r>
        <w:t>—</w:t>
      </w:r>
      <w:r>
        <w:rPr>
          <w:rStyle w:val="CharDivText"/>
        </w:rPr>
        <w:t> </w:t>
      </w:r>
      <w:r>
        <w:rPr>
          <w:rStyle w:val="CharPartText"/>
        </w:rPr>
        <w:t>Miner’s Rights</w:t>
      </w:r>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74633018"/>
      <w:bookmarkStart w:id="40" w:name="_Toc488740167"/>
      <w:bookmarkStart w:id="41" w:name="_Toc8623538"/>
      <w:bookmarkStart w:id="42" w:name="_Toc11229379"/>
      <w:bookmarkStart w:id="43" w:name="_Toc104276527"/>
      <w:bookmarkStart w:id="44" w:name="_Toc127337919"/>
      <w:r>
        <w:rPr>
          <w:rStyle w:val="CharSectno"/>
        </w:rPr>
        <w:t>3</w:t>
      </w:r>
      <w:r>
        <w:rPr>
          <w:snapToGrid w:val="0"/>
        </w:rPr>
        <w:t>.</w:t>
      </w:r>
      <w:r>
        <w:rPr>
          <w:snapToGrid w:val="0"/>
        </w:rPr>
        <w:tab/>
        <w:t>Form of Miner’s Rights</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45" w:name="_Toc474633019"/>
      <w:bookmarkStart w:id="46" w:name="_Toc488740168"/>
      <w:bookmarkStart w:id="47" w:name="_Toc8623539"/>
      <w:bookmarkStart w:id="48" w:name="_Toc11229380"/>
      <w:bookmarkStart w:id="49" w:name="_Toc104276528"/>
      <w:bookmarkStart w:id="50" w:name="_Toc127337920"/>
      <w:r>
        <w:rPr>
          <w:rStyle w:val="CharSectno"/>
        </w:rPr>
        <w:t>4</w:t>
      </w:r>
      <w:r>
        <w:rPr>
          <w:snapToGrid w:val="0"/>
        </w:rPr>
        <w:t>.</w:t>
      </w:r>
      <w:r>
        <w:rPr>
          <w:snapToGrid w:val="0"/>
        </w:rPr>
        <w:tab/>
        <w:t>Quantity of samples or specimens</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quantity of each sample or specimen the holder of a Miner’s Right may extract or remove from Crown land —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 xml:space="preserve">[Regulation 4 inserted in Gazette 20 Oct 1987 p. 3813; amended in Gazette 31 May 1991 p. 2696.] </w:t>
      </w:r>
    </w:p>
    <w:p>
      <w:pPr>
        <w:pStyle w:val="Heading2"/>
      </w:pPr>
      <w:bookmarkStart w:id="51" w:name="_Toc74978812"/>
      <w:bookmarkStart w:id="52" w:name="_Toc74979076"/>
      <w:bookmarkStart w:id="53" w:name="_Toc79976374"/>
      <w:bookmarkStart w:id="54" w:name="_Toc80759645"/>
      <w:bookmarkStart w:id="55" w:name="_Toc80783408"/>
      <w:bookmarkStart w:id="56" w:name="_Toc94931075"/>
      <w:bookmarkStart w:id="57" w:name="_Toc104275198"/>
      <w:bookmarkStart w:id="58" w:name="_Toc104276529"/>
      <w:bookmarkStart w:id="59" w:name="_Toc107198750"/>
      <w:bookmarkStart w:id="60" w:name="_Toc107799201"/>
      <w:bookmarkStart w:id="61" w:name="_Toc127087208"/>
      <w:bookmarkStart w:id="62" w:name="_Toc127183500"/>
      <w:bookmarkStart w:id="63" w:name="_Toc127337921"/>
      <w:r>
        <w:rPr>
          <w:rStyle w:val="CharPartNo"/>
        </w:rPr>
        <w:t>Part IIA</w:t>
      </w:r>
      <w:r>
        <w:t> — </w:t>
      </w:r>
      <w:r>
        <w:rPr>
          <w:rStyle w:val="CharPartText"/>
        </w:rPr>
        <w:t>Permits under section 20A</w:t>
      </w:r>
      <w:bookmarkEnd w:id="51"/>
      <w:bookmarkEnd w:id="52"/>
      <w:bookmarkEnd w:id="53"/>
      <w:bookmarkEnd w:id="54"/>
      <w:bookmarkEnd w:id="55"/>
      <w:bookmarkEnd w:id="56"/>
      <w:bookmarkEnd w:id="57"/>
      <w:bookmarkEnd w:id="58"/>
      <w:bookmarkEnd w:id="59"/>
      <w:bookmarkEnd w:id="60"/>
      <w:bookmarkEnd w:id="61"/>
      <w:bookmarkEnd w:id="62"/>
      <w:bookmarkEnd w:id="63"/>
    </w:p>
    <w:p>
      <w:pPr>
        <w:pStyle w:val="Footnoteheading"/>
        <w:ind w:left="890"/>
      </w:pPr>
      <w:r>
        <w:tab/>
        <w:t>[Heading inserted in Gazette 2 Feb 2001 p. 705.]</w:t>
      </w:r>
    </w:p>
    <w:p>
      <w:pPr>
        <w:pStyle w:val="Heading5"/>
      </w:pPr>
      <w:bookmarkStart w:id="64" w:name="_Toc8623540"/>
      <w:bookmarkStart w:id="65" w:name="_Toc11229381"/>
      <w:bookmarkStart w:id="66" w:name="_Toc104276530"/>
      <w:bookmarkStart w:id="67" w:name="_Toc127337922"/>
      <w:r>
        <w:rPr>
          <w:rStyle w:val="CharSectno"/>
        </w:rPr>
        <w:t>4A</w:t>
      </w:r>
      <w:r>
        <w:t>.</w:t>
      </w:r>
      <w:r>
        <w:tab/>
      </w:r>
      <w:bookmarkEnd w:id="64"/>
      <w:bookmarkEnd w:id="65"/>
      <w:r>
        <w:t>Interpretation</w:t>
      </w:r>
      <w:bookmarkEnd w:id="66"/>
      <w:bookmarkEnd w:id="67"/>
    </w:p>
    <w:p>
      <w:pPr>
        <w:pStyle w:val="Subsection"/>
      </w:pPr>
      <w:r>
        <w:tab/>
      </w:r>
      <w:r>
        <w:tab/>
        <w:t>In this Part —</w:t>
      </w:r>
    </w:p>
    <w:p>
      <w:pPr>
        <w:pStyle w:val="Defstart"/>
      </w:pPr>
      <w:r>
        <w:tab/>
      </w:r>
      <w:r>
        <w:rPr>
          <w:b/>
        </w:rPr>
        <w:t>“</w:t>
      </w:r>
      <w:r>
        <w:rPr>
          <w:rStyle w:val="CharDefText"/>
        </w:rPr>
        <w:t>date of issue</w:t>
      </w:r>
      <w:r>
        <w:rPr>
          <w:b/>
        </w:rPr>
        <w:t>”</w:t>
      </w:r>
      <w:r>
        <w:t>, in relation to a permit, means the day on which the permit is issued;</w:t>
      </w:r>
    </w:p>
    <w:p>
      <w:pPr>
        <w:pStyle w:val="Defstart"/>
      </w:pPr>
      <w:r>
        <w:tab/>
      </w:r>
      <w:r>
        <w:rPr>
          <w:b/>
        </w:rPr>
        <w:t>“</w:t>
      </w:r>
      <w:r>
        <w:rPr>
          <w:rStyle w:val="CharDefText"/>
        </w:rPr>
        <w:t>issuing officer</w:t>
      </w:r>
      <w:r>
        <w:rPr>
          <w:b/>
        </w:rPr>
        <w:t>”</w:t>
      </w:r>
      <w:r>
        <w:t xml:space="preserve"> means the mining registrar or the holder of the office referred to in regulation 4B;</w:t>
      </w:r>
    </w:p>
    <w:p>
      <w:pPr>
        <w:pStyle w:val="Defstart"/>
      </w:pPr>
      <w:r>
        <w:tab/>
      </w:r>
      <w:r>
        <w:rPr>
          <w:b/>
        </w:rPr>
        <w:t>“</w:t>
      </w:r>
      <w:r>
        <w:rPr>
          <w:rStyle w:val="CharDefText"/>
        </w:rPr>
        <w:t>licensee statement</w:t>
      </w:r>
      <w:r>
        <w:rPr>
          <w:b/>
        </w:rPr>
        <w:t>”</w:t>
      </w:r>
      <w:r>
        <w:t>, in relation to land, means a statement made in relation to the land under regulation 4H;</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holder</w:t>
      </w:r>
      <w:r>
        <w:rPr>
          <w:b/>
        </w:rPr>
        <w:t>”</w:t>
      </w:r>
      <w:r>
        <w:t>,</w:t>
      </w:r>
      <w:r>
        <w:rPr>
          <w:b/>
        </w:rPr>
        <w:t xml:space="preserve"> </w:t>
      </w:r>
      <w:r>
        <w:t>in relation to a permit, means the person who is or was the holder of the permit;</w:t>
      </w:r>
    </w:p>
    <w:p>
      <w:pPr>
        <w:pStyle w:val="Defstart"/>
      </w:pPr>
      <w:r>
        <w:tab/>
      </w:r>
      <w:r>
        <w:rPr>
          <w:b/>
        </w:rPr>
        <w:t>“</w:t>
      </w:r>
      <w:r>
        <w:rPr>
          <w:rStyle w:val="CharDefText"/>
        </w:rPr>
        <w:t>relevant exploration licence</w:t>
      </w:r>
      <w:r>
        <w:rPr>
          <w:b/>
        </w:rPr>
        <w:t>”</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68" w:name="_Toc8623541"/>
      <w:bookmarkStart w:id="69" w:name="_Toc11229382"/>
      <w:bookmarkStart w:id="70" w:name="_Toc104276531"/>
      <w:bookmarkStart w:id="71" w:name="_Toc127337923"/>
      <w:r>
        <w:rPr>
          <w:rStyle w:val="CharSectno"/>
        </w:rPr>
        <w:t>4B</w:t>
      </w:r>
      <w:r>
        <w:t>.</w:t>
      </w:r>
      <w:r>
        <w:tab/>
        <w:t>Prescribed office — section 20A(1)</w:t>
      </w:r>
      <w:bookmarkEnd w:id="68"/>
      <w:bookmarkEnd w:id="69"/>
      <w:bookmarkEnd w:id="70"/>
      <w:bookmarkEnd w:id="71"/>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72" w:name="_Toc8623542"/>
      <w:bookmarkStart w:id="73" w:name="_Toc11229383"/>
      <w:bookmarkStart w:id="74" w:name="_Toc104276532"/>
      <w:bookmarkStart w:id="75" w:name="_Toc127337924"/>
      <w:r>
        <w:rPr>
          <w:rStyle w:val="CharSectno"/>
        </w:rPr>
        <w:t>4C</w:t>
      </w:r>
      <w:r>
        <w:t>.</w:t>
      </w:r>
      <w:r>
        <w:tab/>
        <w:t>Prescribed depth — section 20A(6)(b)</w:t>
      </w:r>
      <w:bookmarkEnd w:id="72"/>
      <w:bookmarkEnd w:id="73"/>
      <w:bookmarkEnd w:id="74"/>
      <w:bookmarkEnd w:id="75"/>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76" w:name="_Toc8623543"/>
      <w:bookmarkStart w:id="77" w:name="_Toc11229384"/>
      <w:bookmarkStart w:id="78" w:name="_Toc104276533"/>
      <w:bookmarkStart w:id="79" w:name="_Toc127337925"/>
      <w:r>
        <w:rPr>
          <w:rStyle w:val="CharSectno"/>
        </w:rPr>
        <w:t>4D</w:t>
      </w:r>
      <w:r>
        <w:t>.</w:t>
      </w:r>
      <w:r>
        <w:tab/>
        <w:t>Application for permit</w:t>
      </w:r>
      <w:bookmarkEnd w:id="76"/>
      <w:bookmarkEnd w:id="77"/>
      <w:bookmarkEnd w:id="78"/>
      <w:bookmarkEnd w:id="79"/>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80" w:name="_Toc8623544"/>
      <w:bookmarkStart w:id="81" w:name="_Toc11229385"/>
      <w:bookmarkStart w:id="82" w:name="_Toc104276534"/>
      <w:bookmarkStart w:id="83" w:name="_Toc127337926"/>
      <w:r>
        <w:rPr>
          <w:rStyle w:val="CharSectno"/>
        </w:rPr>
        <w:t>4E</w:t>
      </w:r>
      <w:r>
        <w:t>.</w:t>
      </w:r>
      <w:r>
        <w:tab/>
        <w:t>Area of land to which permit applies</w:t>
      </w:r>
      <w:bookmarkEnd w:id="80"/>
      <w:bookmarkEnd w:id="81"/>
      <w:bookmarkEnd w:id="82"/>
      <w:bookmarkEnd w:id="83"/>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84" w:name="_Toc8623545"/>
      <w:bookmarkStart w:id="85" w:name="_Toc11229386"/>
      <w:bookmarkStart w:id="86" w:name="_Toc104276535"/>
      <w:bookmarkStart w:id="87" w:name="_Toc127337927"/>
      <w:r>
        <w:rPr>
          <w:rStyle w:val="CharSectno"/>
        </w:rPr>
        <w:t>4F</w:t>
      </w:r>
      <w:r>
        <w:t>.</w:t>
      </w:r>
      <w:r>
        <w:tab/>
        <w:t>Permit conditions</w:t>
      </w:r>
      <w:bookmarkEnd w:id="84"/>
      <w:bookmarkEnd w:id="85"/>
      <w:bookmarkEnd w:id="86"/>
      <w:bookmarkEnd w:id="87"/>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 xml:space="preserve">if the application for the permit is not accompanied by a licensee statement, a condition requiring the permit holder not to prospect on the land before the permit comes into operation under regulation 4I; </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88" w:name="_Toc8623546"/>
      <w:bookmarkStart w:id="89" w:name="_Toc11229387"/>
      <w:bookmarkStart w:id="90" w:name="_Toc104276536"/>
      <w:bookmarkStart w:id="91" w:name="_Toc127337928"/>
      <w:r>
        <w:rPr>
          <w:rStyle w:val="CharSectno"/>
        </w:rPr>
        <w:t>4G</w:t>
      </w:r>
      <w:r>
        <w:t>.</w:t>
      </w:r>
      <w:r>
        <w:tab/>
        <w:t>Notice of issue of permit</w:t>
      </w:r>
      <w:bookmarkEnd w:id="88"/>
      <w:bookmarkEnd w:id="89"/>
      <w:bookmarkEnd w:id="90"/>
      <w:bookmarkEnd w:id="91"/>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92" w:name="_Toc8623547"/>
      <w:bookmarkStart w:id="93" w:name="_Toc11229388"/>
      <w:bookmarkStart w:id="94" w:name="_Toc104276537"/>
      <w:bookmarkStart w:id="95" w:name="_Toc127337929"/>
      <w:r>
        <w:rPr>
          <w:rStyle w:val="CharSectno"/>
        </w:rPr>
        <w:t>4H</w:t>
      </w:r>
      <w:r>
        <w:t>.</w:t>
      </w:r>
      <w:r>
        <w:tab/>
        <w:t xml:space="preserve">Statement by holder of exploration </w:t>
      </w:r>
      <w:bookmarkEnd w:id="92"/>
      <w:r>
        <w:t>licence</w:t>
      </w:r>
      <w:bookmarkEnd w:id="93"/>
      <w:bookmarkEnd w:id="94"/>
      <w:bookmarkEnd w:id="95"/>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96" w:name="_Toc8623548"/>
      <w:bookmarkStart w:id="97" w:name="_Toc11229389"/>
      <w:bookmarkStart w:id="98" w:name="_Toc104276538"/>
      <w:bookmarkStart w:id="99" w:name="_Toc127337930"/>
      <w:r>
        <w:rPr>
          <w:rStyle w:val="CharSectno"/>
        </w:rPr>
        <w:t>4I</w:t>
      </w:r>
      <w:r>
        <w:t>.</w:t>
      </w:r>
      <w:r>
        <w:tab/>
        <w:t>Commencement of operation of permit</w:t>
      </w:r>
      <w:bookmarkEnd w:id="96"/>
      <w:bookmarkEnd w:id="97"/>
      <w:bookmarkEnd w:id="98"/>
      <w:bookmarkEnd w:id="99"/>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00" w:name="_Toc8623549"/>
      <w:bookmarkStart w:id="101" w:name="_Toc11229390"/>
      <w:bookmarkStart w:id="102" w:name="_Toc104276539"/>
      <w:bookmarkStart w:id="103" w:name="_Toc127337931"/>
      <w:r>
        <w:rPr>
          <w:rStyle w:val="CharSectno"/>
        </w:rPr>
        <w:t>4J</w:t>
      </w:r>
      <w:r>
        <w:t>.</w:t>
      </w:r>
      <w:r>
        <w:tab/>
        <w:t>Expiry of permit</w:t>
      </w:r>
      <w:bookmarkEnd w:id="100"/>
      <w:bookmarkEnd w:id="101"/>
      <w:bookmarkEnd w:id="102"/>
      <w:bookmarkEnd w:id="103"/>
    </w:p>
    <w:p>
      <w:pPr>
        <w:pStyle w:val="Subsection"/>
      </w:pPr>
      <w:r>
        <w:tab/>
        <w:t>(1)</w:t>
      </w:r>
      <w:r>
        <w:tab/>
        <w:t xml:space="preserve">A permit stops being in force in respect of land when one of the following happens —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04" w:name="_Toc8623550"/>
      <w:bookmarkStart w:id="105" w:name="_Toc11229391"/>
      <w:bookmarkStart w:id="106" w:name="_Toc104276540"/>
      <w:bookmarkStart w:id="107" w:name="_Toc127337932"/>
      <w:r>
        <w:rPr>
          <w:rStyle w:val="CharSectno"/>
        </w:rPr>
        <w:t>4K</w:t>
      </w:r>
      <w:r>
        <w:t>.</w:t>
      </w:r>
      <w:r>
        <w:tab/>
        <w:t>Surrender of permit</w:t>
      </w:r>
      <w:bookmarkEnd w:id="104"/>
      <w:bookmarkEnd w:id="105"/>
      <w:bookmarkEnd w:id="106"/>
      <w:bookmarkEnd w:id="107"/>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08" w:name="_Toc8623551"/>
      <w:bookmarkStart w:id="109" w:name="_Toc11229392"/>
      <w:bookmarkStart w:id="110" w:name="_Toc104276541"/>
      <w:bookmarkStart w:id="111" w:name="_Toc127337933"/>
      <w:r>
        <w:rPr>
          <w:rStyle w:val="CharSectno"/>
        </w:rPr>
        <w:t>4L</w:t>
      </w:r>
      <w:r>
        <w:t>.</w:t>
      </w:r>
      <w:r>
        <w:tab/>
        <w:t>Powers available to Minister where breach of condition, etc.</w:t>
      </w:r>
      <w:bookmarkEnd w:id="108"/>
      <w:bookmarkEnd w:id="109"/>
      <w:bookmarkEnd w:id="110"/>
      <w:bookmarkEnd w:id="111"/>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112" w:name="_Toc8623552"/>
      <w:bookmarkStart w:id="113" w:name="_Toc11229393"/>
      <w:bookmarkStart w:id="114" w:name="_Toc104276542"/>
      <w:bookmarkStart w:id="115" w:name="_Toc127337934"/>
      <w:r>
        <w:rPr>
          <w:rStyle w:val="CharSectno"/>
        </w:rPr>
        <w:t>4M</w:t>
      </w:r>
      <w:r>
        <w:t>.</w:t>
      </w:r>
      <w:r>
        <w:tab/>
        <w:t>Right of permit holder to make submissions</w:t>
      </w:r>
      <w:bookmarkEnd w:id="112"/>
      <w:bookmarkEnd w:id="113"/>
      <w:bookmarkEnd w:id="114"/>
      <w:bookmarkEnd w:id="115"/>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116" w:name="_Toc8623553"/>
      <w:bookmarkStart w:id="117" w:name="_Toc11229394"/>
      <w:bookmarkStart w:id="118" w:name="_Toc104276543"/>
      <w:bookmarkStart w:id="119" w:name="_Toc127337935"/>
      <w:r>
        <w:rPr>
          <w:rStyle w:val="CharSectno"/>
        </w:rPr>
        <w:t>4N</w:t>
      </w:r>
      <w:r>
        <w:t>.</w:t>
      </w:r>
      <w:r>
        <w:tab/>
        <w:t>Prospecting report on recovered minerals</w:t>
      </w:r>
      <w:bookmarkEnd w:id="116"/>
      <w:bookmarkEnd w:id="117"/>
      <w:bookmarkEnd w:id="118"/>
      <w:bookmarkEnd w:id="119"/>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 xml:space="preserve">The permit holder must, within 14 days after the permit stops being in force —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120" w:name="_Toc8623554"/>
      <w:bookmarkStart w:id="121" w:name="_Toc11229395"/>
      <w:bookmarkStart w:id="122" w:name="_Toc104276544"/>
      <w:bookmarkStart w:id="123" w:name="_Toc127337936"/>
      <w:r>
        <w:rPr>
          <w:rStyle w:val="CharSectno"/>
        </w:rPr>
        <w:t>4O</w:t>
      </w:r>
      <w:r>
        <w:t>.</w:t>
      </w:r>
      <w:r>
        <w:tab/>
        <w:t>Prohibition of use of certain hand tools</w:t>
      </w:r>
      <w:bookmarkEnd w:id="120"/>
      <w:bookmarkEnd w:id="121"/>
      <w:bookmarkEnd w:id="122"/>
      <w:bookmarkEnd w:id="123"/>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124" w:name="_Toc8623555"/>
      <w:bookmarkStart w:id="125" w:name="_Toc11229396"/>
      <w:bookmarkStart w:id="126" w:name="_Toc104276545"/>
      <w:bookmarkStart w:id="127" w:name="_Toc127337937"/>
      <w:r>
        <w:rPr>
          <w:rStyle w:val="CharSectno"/>
        </w:rPr>
        <w:t>4P</w:t>
      </w:r>
      <w:r>
        <w:t>.</w:t>
      </w:r>
      <w:r>
        <w:tab/>
        <w:t>Application of regulations 98 and 99</w:t>
      </w:r>
      <w:bookmarkEnd w:id="124"/>
      <w:bookmarkEnd w:id="125"/>
      <w:bookmarkEnd w:id="126"/>
      <w:bookmarkEnd w:id="127"/>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128" w:name="_Toc74978829"/>
      <w:bookmarkStart w:id="129" w:name="_Toc74979093"/>
      <w:bookmarkStart w:id="130" w:name="_Toc79976391"/>
      <w:bookmarkStart w:id="131" w:name="_Toc80759662"/>
      <w:bookmarkStart w:id="132" w:name="_Toc80783425"/>
      <w:bookmarkStart w:id="133" w:name="_Toc94931092"/>
      <w:bookmarkStart w:id="134" w:name="_Toc104275215"/>
      <w:bookmarkStart w:id="135" w:name="_Toc104276546"/>
      <w:bookmarkStart w:id="136" w:name="_Toc107198767"/>
      <w:bookmarkStart w:id="137" w:name="_Toc107799218"/>
      <w:bookmarkStart w:id="138" w:name="_Toc127087225"/>
      <w:bookmarkStart w:id="139" w:name="_Toc127183517"/>
      <w:bookmarkStart w:id="140" w:name="_Toc127337938"/>
      <w:r>
        <w:rPr>
          <w:rStyle w:val="CharPartNo"/>
        </w:rPr>
        <w:t>Part III</w:t>
      </w:r>
      <w:r>
        <w:rPr>
          <w:rStyle w:val="CharDivNo"/>
        </w:rPr>
        <w:t> </w:t>
      </w:r>
      <w:r>
        <w:t>—</w:t>
      </w:r>
      <w:r>
        <w:rPr>
          <w:rStyle w:val="CharDivText"/>
        </w:rPr>
        <w:t> </w:t>
      </w:r>
      <w:r>
        <w:rPr>
          <w:rStyle w:val="CharPartText"/>
        </w:rPr>
        <w:t>Mining on private land</w:t>
      </w:r>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5"/>
        <w:spacing w:before="200"/>
        <w:rPr>
          <w:snapToGrid w:val="0"/>
        </w:rPr>
      </w:pPr>
      <w:bookmarkStart w:id="141" w:name="_Toc474633020"/>
      <w:bookmarkStart w:id="142" w:name="_Toc488740169"/>
      <w:bookmarkStart w:id="143" w:name="_Toc8623556"/>
      <w:bookmarkStart w:id="144" w:name="_Toc11229397"/>
      <w:bookmarkStart w:id="145" w:name="_Toc104276547"/>
      <w:bookmarkStart w:id="146" w:name="_Toc127337939"/>
      <w:r>
        <w:rPr>
          <w:rStyle w:val="CharSectno"/>
        </w:rPr>
        <w:t>5</w:t>
      </w:r>
      <w:r>
        <w:rPr>
          <w:snapToGrid w:val="0"/>
        </w:rPr>
        <w:t>.</w:t>
      </w:r>
      <w:r>
        <w:rPr>
          <w:snapToGrid w:val="0"/>
        </w:rPr>
        <w:tab/>
        <w:t>Application for permit to enter private land</w:t>
      </w:r>
      <w:bookmarkEnd w:id="141"/>
      <w:bookmarkEnd w:id="142"/>
      <w:bookmarkEnd w:id="143"/>
      <w:bookmarkEnd w:id="144"/>
      <w:bookmarkEnd w:id="145"/>
      <w:bookmarkEnd w:id="146"/>
      <w:r>
        <w:rPr>
          <w:snapToGrid w:val="0"/>
        </w:rPr>
        <w:t xml:space="preserve"> </w:t>
      </w:r>
    </w:p>
    <w:p>
      <w:pPr>
        <w:pStyle w:val="Subsection"/>
        <w:spacing w:before="140"/>
        <w:rPr>
          <w:snapToGrid w:val="0"/>
        </w:rPr>
      </w:pPr>
      <w:r>
        <w:rPr>
          <w:snapToGrid w:val="0"/>
        </w:rPr>
        <w:tab/>
      </w:r>
      <w:r>
        <w:rPr>
          <w:snapToGrid w:val="0"/>
        </w:rPr>
        <w:tab/>
        <w:t>Application under section 30 of the Act for a permit to enter on any private land shall be —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Footnotesection"/>
      </w:pPr>
      <w:r>
        <w:tab/>
        <w:t xml:space="preserve">[Regulation 5 amended in Gazette 31 Jul 1992 p. 3775.] </w:t>
      </w:r>
    </w:p>
    <w:p>
      <w:pPr>
        <w:pStyle w:val="Heading5"/>
        <w:rPr>
          <w:snapToGrid w:val="0"/>
        </w:rPr>
      </w:pPr>
      <w:bookmarkStart w:id="147" w:name="_Toc474633021"/>
      <w:bookmarkStart w:id="148" w:name="_Toc488740170"/>
      <w:bookmarkStart w:id="149" w:name="_Toc8623557"/>
      <w:bookmarkStart w:id="150" w:name="_Toc11229398"/>
      <w:bookmarkStart w:id="151" w:name="_Toc104276548"/>
      <w:bookmarkStart w:id="152" w:name="_Toc127337940"/>
      <w:r>
        <w:rPr>
          <w:rStyle w:val="CharSectno"/>
        </w:rPr>
        <w:t>6</w:t>
      </w:r>
      <w:r>
        <w:rPr>
          <w:snapToGrid w:val="0"/>
        </w:rPr>
        <w:t>.</w:t>
      </w:r>
      <w:r>
        <w:rPr>
          <w:snapToGrid w:val="0"/>
        </w:rPr>
        <w:tab/>
        <w:t>Form of permit to enter</w:t>
      </w:r>
      <w:bookmarkEnd w:id="147"/>
      <w:bookmarkEnd w:id="148"/>
      <w:bookmarkEnd w:id="149"/>
      <w:bookmarkEnd w:id="150"/>
      <w:bookmarkEnd w:id="151"/>
      <w:bookmarkEnd w:id="152"/>
      <w:r>
        <w:rPr>
          <w:snapToGrid w:val="0"/>
        </w:rPr>
        <w:t xml:space="preserve"> </w:t>
      </w:r>
    </w:p>
    <w:p>
      <w:pPr>
        <w:pStyle w:val="Subsection"/>
        <w:spacing w:before="140"/>
        <w:rPr>
          <w:snapToGrid w:val="0"/>
        </w:rPr>
      </w:pPr>
      <w:r>
        <w:rPr>
          <w:snapToGrid w:val="0"/>
        </w:rPr>
        <w:tab/>
      </w:r>
      <w:r>
        <w:rPr>
          <w:snapToGrid w:val="0"/>
        </w:rPr>
        <w:tab/>
        <w:t>A permit to enter upon private land shall be in the form No. 3 in the First Schedule.</w:t>
      </w:r>
    </w:p>
    <w:p>
      <w:pPr>
        <w:pStyle w:val="Heading5"/>
        <w:spacing w:before="200"/>
        <w:rPr>
          <w:snapToGrid w:val="0"/>
        </w:rPr>
      </w:pPr>
      <w:bookmarkStart w:id="153" w:name="_Toc474633022"/>
      <w:bookmarkStart w:id="154" w:name="_Toc488740171"/>
      <w:bookmarkStart w:id="155" w:name="_Toc8623558"/>
      <w:bookmarkStart w:id="156" w:name="_Toc11229399"/>
      <w:bookmarkStart w:id="157" w:name="_Toc104276549"/>
      <w:bookmarkStart w:id="158" w:name="_Toc127337941"/>
      <w:r>
        <w:rPr>
          <w:rStyle w:val="CharSectno"/>
        </w:rPr>
        <w:t>7</w:t>
      </w:r>
      <w:r>
        <w:rPr>
          <w:snapToGrid w:val="0"/>
        </w:rPr>
        <w:t>.</w:t>
      </w:r>
      <w:r>
        <w:rPr>
          <w:snapToGrid w:val="0"/>
        </w:rPr>
        <w:tab/>
        <w:t>Notice of application relating to private land</w:t>
      </w:r>
      <w:bookmarkEnd w:id="153"/>
      <w:bookmarkEnd w:id="154"/>
      <w:bookmarkEnd w:id="155"/>
      <w:bookmarkEnd w:id="156"/>
      <w:bookmarkEnd w:id="157"/>
      <w:bookmarkEnd w:id="158"/>
      <w:r>
        <w:rPr>
          <w:snapToGrid w:val="0"/>
        </w:rPr>
        <w:t xml:space="preserve"> </w:t>
      </w:r>
    </w:p>
    <w:p>
      <w:pPr>
        <w:pStyle w:val="Subsection"/>
        <w:spacing w:before="140"/>
        <w:rPr>
          <w:snapToGrid w:val="0"/>
        </w:rPr>
      </w:pPr>
      <w:r>
        <w:rPr>
          <w:snapToGrid w:val="0"/>
        </w:rPr>
        <w:tab/>
        <w:t>(1)</w:t>
      </w:r>
      <w:r>
        <w:rPr>
          <w:snapToGrid w:val="0"/>
        </w:rPr>
        <w:tab/>
        <w:t>The notice required to be given under section 33(1) of the Act is —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80"/>
        <w:rPr>
          <w:snapToGrid w:val="0"/>
        </w:rPr>
      </w:pPr>
      <w:r>
        <w:rPr>
          <w:snapToGrid w:val="0"/>
        </w:rPr>
        <w:tab/>
      </w:r>
      <w:r>
        <w:rPr>
          <w:snapToGrid w:val="0"/>
        </w:rPr>
        <w:tab/>
        <w:t>to be served within 14 days of the date of lodgment of the application.</w:t>
      </w:r>
    </w:p>
    <w:p>
      <w:pPr>
        <w:pStyle w:val="Subsection"/>
        <w:spacing w:before="140"/>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 xml:space="preserve">[Regulation 7 amended in Gazette 16 Nov 1990 p. 5728; 31 May 1991 p. 2696.] </w:t>
      </w:r>
    </w:p>
    <w:p>
      <w:pPr>
        <w:pStyle w:val="Heading5"/>
        <w:rPr>
          <w:snapToGrid w:val="0"/>
        </w:rPr>
      </w:pPr>
      <w:bookmarkStart w:id="159" w:name="_Toc474633023"/>
      <w:bookmarkStart w:id="160" w:name="_Toc488740172"/>
      <w:bookmarkStart w:id="161" w:name="_Toc8623559"/>
      <w:bookmarkStart w:id="162" w:name="_Toc11229400"/>
      <w:bookmarkStart w:id="163" w:name="_Toc104276550"/>
      <w:bookmarkStart w:id="164" w:name="_Toc127337942"/>
      <w:r>
        <w:rPr>
          <w:rStyle w:val="CharSectno"/>
        </w:rPr>
        <w:t>8</w:t>
      </w:r>
      <w:r>
        <w:rPr>
          <w:snapToGrid w:val="0"/>
        </w:rPr>
        <w:t>.</w:t>
      </w:r>
      <w:r>
        <w:rPr>
          <w:snapToGrid w:val="0"/>
        </w:rPr>
        <w:tab/>
        <w:t>Application to bring private land under the Act</w:t>
      </w:r>
      <w:bookmarkEnd w:id="159"/>
      <w:bookmarkEnd w:id="160"/>
      <w:bookmarkEnd w:id="161"/>
      <w:bookmarkEnd w:id="162"/>
      <w:bookmarkEnd w:id="163"/>
      <w:bookmarkEnd w:id="164"/>
      <w:r>
        <w:rPr>
          <w:snapToGrid w:val="0"/>
        </w:rPr>
        <w:t xml:space="preserve"> </w:t>
      </w:r>
    </w:p>
    <w:p>
      <w:pPr>
        <w:pStyle w:val="Subsection"/>
        <w:spacing w:before="140"/>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spacing w:before="140"/>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165" w:name="_Toc474633024"/>
      <w:bookmarkStart w:id="166" w:name="_Toc488740173"/>
      <w:bookmarkStart w:id="167" w:name="_Toc8623560"/>
      <w:bookmarkStart w:id="168" w:name="_Toc11229401"/>
      <w:bookmarkStart w:id="169" w:name="_Toc104276551"/>
      <w:bookmarkStart w:id="170" w:name="_Toc127337943"/>
      <w:r>
        <w:rPr>
          <w:rStyle w:val="CharSectno"/>
        </w:rPr>
        <w:t>9</w:t>
      </w:r>
      <w:r>
        <w:rPr>
          <w:snapToGrid w:val="0"/>
        </w:rPr>
        <w:t>.</w:t>
      </w:r>
      <w:r>
        <w:rPr>
          <w:snapToGrid w:val="0"/>
        </w:rPr>
        <w:tab/>
        <w:t>Right of way on private land</w:t>
      </w:r>
      <w:bookmarkEnd w:id="165"/>
      <w:bookmarkEnd w:id="166"/>
      <w:bookmarkEnd w:id="167"/>
      <w:bookmarkEnd w:id="168"/>
      <w:bookmarkEnd w:id="169"/>
      <w:bookmarkEnd w:id="170"/>
      <w:r>
        <w:rPr>
          <w:snapToGrid w:val="0"/>
        </w:rPr>
        <w:t xml:space="preserve"> </w:t>
      </w:r>
    </w:p>
    <w:p>
      <w:pPr>
        <w:pStyle w:val="Subsection"/>
        <w:spacing w:before="140"/>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171" w:name="_Toc474633025"/>
      <w:bookmarkStart w:id="172" w:name="_Toc488740174"/>
      <w:bookmarkStart w:id="173" w:name="_Toc8623561"/>
      <w:bookmarkStart w:id="174" w:name="_Toc11229402"/>
      <w:bookmarkStart w:id="175" w:name="_Toc104276552"/>
      <w:bookmarkStart w:id="176" w:name="_Toc127337944"/>
      <w:r>
        <w:rPr>
          <w:rStyle w:val="CharSectno"/>
        </w:rPr>
        <w:t>10</w:t>
      </w:r>
      <w:r>
        <w:rPr>
          <w:snapToGrid w:val="0"/>
        </w:rPr>
        <w:t>.</w:t>
      </w:r>
      <w:r>
        <w:rPr>
          <w:snapToGrid w:val="0"/>
        </w:rPr>
        <w:tab/>
        <w:t>Consents under section 29</w:t>
      </w:r>
      <w:bookmarkEnd w:id="171"/>
      <w:bookmarkEnd w:id="172"/>
      <w:bookmarkEnd w:id="173"/>
      <w:bookmarkEnd w:id="174"/>
      <w:bookmarkEnd w:id="175"/>
      <w:bookmarkEnd w:id="176"/>
      <w:r>
        <w:rPr>
          <w:snapToGrid w:val="0"/>
        </w:rPr>
        <w:t xml:space="preserve"> </w:t>
      </w:r>
    </w:p>
    <w:p>
      <w:pPr>
        <w:pStyle w:val="Subsection"/>
        <w:spacing w:before="140"/>
        <w:rPr>
          <w:snapToGrid w:val="0"/>
        </w:rPr>
      </w:pPr>
      <w:r>
        <w:rPr>
          <w:snapToGrid w:val="0"/>
        </w:rPr>
        <w:tab/>
        <w:t>(1)</w:t>
      </w:r>
      <w:r>
        <w:rPr>
          <w:snapToGrid w:val="0"/>
        </w:rPr>
        <w:tab/>
        <w:t>The consents in writing referred to in section 29(2) shall be —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spacing w:before="140"/>
        <w:rPr>
          <w:snapToGrid w:val="0"/>
        </w:rPr>
      </w:pPr>
      <w:r>
        <w:rPr>
          <w:snapToGrid w:val="0"/>
        </w:rPr>
        <w:tab/>
        <w:t>(2)</w:t>
      </w:r>
      <w:r>
        <w:rPr>
          <w:snapToGrid w:val="0"/>
        </w:rPr>
        <w:tab/>
        <w:t>The consents in writing referred to in section 29(6) shall be —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 xml:space="preserve">[Regulation 10 inserted in Gazette 2 Oct 1987 p. 3814; amended in Gazette 4 Apr 1997 p. 1778.] </w:t>
      </w:r>
    </w:p>
    <w:p>
      <w:pPr>
        <w:pStyle w:val="Heading5"/>
        <w:rPr>
          <w:snapToGrid w:val="0"/>
        </w:rPr>
      </w:pPr>
      <w:bookmarkStart w:id="177" w:name="_Toc474633026"/>
      <w:bookmarkStart w:id="178" w:name="_Toc488740175"/>
      <w:bookmarkStart w:id="179" w:name="_Toc8623562"/>
      <w:bookmarkStart w:id="180" w:name="_Toc11229403"/>
      <w:bookmarkStart w:id="181" w:name="_Toc104276553"/>
      <w:bookmarkStart w:id="182" w:name="_Toc127337945"/>
      <w:r>
        <w:rPr>
          <w:rStyle w:val="CharSectno"/>
        </w:rPr>
        <w:t>10A</w:t>
      </w:r>
      <w:r>
        <w:rPr>
          <w:snapToGrid w:val="0"/>
        </w:rPr>
        <w:t>.</w:t>
      </w:r>
      <w:r>
        <w:rPr>
          <w:snapToGrid w:val="0"/>
        </w:rPr>
        <w:tab/>
        <w:t>Compensation</w:t>
      </w:r>
      <w:bookmarkEnd w:id="177"/>
      <w:bookmarkEnd w:id="178"/>
      <w:bookmarkEnd w:id="179"/>
      <w:bookmarkEnd w:id="180"/>
      <w:bookmarkEnd w:id="181"/>
      <w:bookmarkEnd w:id="182"/>
      <w:r>
        <w:rPr>
          <w:snapToGrid w:val="0"/>
        </w:rPr>
        <w:t xml:space="preserve"> </w:t>
      </w:r>
    </w:p>
    <w:p>
      <w:pPr>
        <w:pStyle w:val="Subsection"/>
        <w:spacing w:before="140"/>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 </w:t>
      </w:r>
    </w:p>
    <w:p>
      <w:pPr>
        <w:pStyle w:val="Indenta"/>
        <w:rPr>
          <w:snapToGrid w:val="0"/>
        </w:rPr>
      </w:pPr>
      <w:r>
        <w:rPr>
          <w:snapToGrid w:val="0"/>
        </w:rPr>
        <w:tab/>
        <w:t>(a)</w:t>
      </w:r>
      <w:r>
        <w:rPr>
          <w:snapToGrid w:val="0"/>
        </w:rPr>
        <w:tab/>
        <w:t>fix a date and time for informal proceedings to be heard by the warden;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Attendance at informal proceedings referred to in subregulation (2)(a) is not compulsory and parties may submit written submissions to the warden.</w:t>
      </w:r>
    </w:p>
    <w:p>
      <w:pPr>
        <w:pStyle w:val="Footnotesection"/>
      </w:pPr>
      <w:r>
        <w:tab/>
        <w:t xml:space="preserve">[Regulation 10A inserted in Gazette 2 Oct 1987 p. 3814.] </w:t>
      </w:r>
    </w:p>
    <w:p>
      <w:pPr>
        <w:pStyle w:val="Heading2"/>
      </w:pPr>
      <w:bookmarkStart w:id="183" w:name="_Toc74978837"/>
      <w:bookmarkStart w:id="184" w:name="_Toc74979101"/>
      <w:bookmarkStart w:id="185" w:name="_Toc79976399"/>
      <w:bookmarkStart w:id="186" w:name="_Toc80759670"/>
      <w:bookmarkStart w:id="187" w:name="_Toc80783433"/>
      <w:bookmarkStart w:id="188" w:name="_Toc94931100"/>
      <w:bookmarkStart w:id="189" w:name="_Toc104275223"/>
      <w:bookmarkStart w:id="190" w:name="_Toc104276554"/>
      <w:bookmarkStart w:id="191" w:name="_Toc107198775"/>
      <w:bookmarkStart w:id="192" w:name="_Toc107799226"/>
      <w:bookmarkStart w:id="193" w:name="_Toc127087233"/>
      <w:bookmarkStart w:id="194" w:name="_Toc127183525"/>
      <w:bookmarkStart w:id="195" w:name="_Toc127337946"/>
      <w:r>
        <w:rPr>
          <w:rStyle w:val="CharPartNo"/>
        </w:rPr>
        <w:t>Part IV</w:t>
      </w:r>
      <w:r>
        <w:t> — </w:t>
      </w:r>
      <w:r>
        <w:rPr>
          <w:rStyle w:val="CharPartText"/>
        </w:rPr>
        <w:t>Mining tenements</w:t>
      </w:r>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3"/>
        <w:spacing w:before="180"/>
        <w:rPr>
          <w:snapToGrid w:val="0"/>
        </w:rPr>
      </w:pPr>
      <w:bookmarkStart w:id="196" w:name="_Toc74978838"/>
      <w:bookmarkStart w:id="197" w:name="_Toc74979102"/>
      <w:bookmarkStart w:id="198" w:name="_Toc79976400"/>
      <w:bookmarkStart w:id="199" w:name="_Toc80759671"/>
      <w:bookmarkStart w:id="200" w:name="_Toc80783434"/>
      <w:bookmarkStart w:id="201" w:name="_Toc94931101"/>
      <w:bookmarkStart w:id="202" w:name="_Toc104275224"/>
      <w:bookmarkStart w:id="203" w:name="_Toc104276555"/>
      <w:bookmarkStart w:id="204" w:name="_Toc107198776"/>
      <w:bookmarkStart w:id="205" w:name="_Toc107799227"/>
      <w:bookmarkStart w:id="206" w:name="_Toc127087234"/>
      <w:bookmarkStart w:id="207" w:name="_Toc127183526"/>
      <w:bookmarkStart w:id="208" w:name="_Toc127337947"/>
      <w:r>
        <w:rPr>
          <w:rStyle w:val="CharDivNo"/>
        </w:rPr>
        <w:t>Division 1</w:t>
      </w:r>
      <w:r>
        <w:rPr>
          <w:snapToGrid w:val="0"/>
        </w:rPr>
        <w:t> — </w:t>
      </w:r>
      <w:r>
        <w:rPr>
          <w:rStyle w:val="CharDivText"/>
        </w:rPr>
        <w:t>Prospecting licences</w:t>
      </w:r>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spacing w:before="180"/>
        <w:rPr>
          <w:snapToGrid w:val="0"/>
        </w:rPr>
      </w:pPr>
      <w:bookmarkStart w:id="209" w:name="_Toc474633027"/>
      <w:bookmarkStart w:id="210" w:name="_Toc488740176"/>
      <w:bookmarkStart w:id="211" w:name="_Toc8623563"/>
      <w:bookmarkStart w:id="212" w:name="_Toc11229404"/>
      <w:bookmarkStart w:id="213" w:name="_Toc104276556"/>
      <w:bookmarkStart w:id="214" w:name="_Toc127337948"/>
      <w:r>
        <w:rPr>
          <w:rStyle w:val="CharSectno"/>
        </w:rPr>
        <w:t>11</w:t>
      </w:r>
      <w:r>
        <w:rPr>
          <w:snapToGrid w:val="0"/>
        </w:rPr>
        <w:t>.</w:t>
      </w:r>
      <w:r>
        <w:rPr>
          <w:snapToGrid w:val="0"/>
        </w:rPr>
        <w:tab/>
        <w:t>Marking out and application</w:t>
      </w:r>
      <w:bookmarkEnd w:id="209"/>
      <w:bookmarkEnd w:id="210"/>
      <w:bookmarkEnd w:id="211"/>
      <w:bookmarkEnd w:id="212"/>
      <w:bookmarkEnd w:id="213"/>
      <w:bookmarkEnd w:id="214"/>
      <w:r>
        <w:rPr>
          <w:snapToGrid w:val="0"/>
        </w:rPr>
        <w:t xml:space="preserve"> </w:t>
      </w:r>
    </w:p>
    <w:p>
      <w:pPr>
        <w:pStyle w:val="Subsection"/>
        <w:spacing w:before="12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spacing w:before="180"/>
        <w:rPr>
          <w:snapToGrid w:val="0"/>
        </w:rPr>
      </w:pPr>
      <w:bookmarkStart w:id="215" w:name="_Toc474633029"/>
      <w:bookmarkStart w:id="216" w:name="_Toc488740178"/>
      <w:bookmarkStart w:id="217" w:name="_Toc8623564"/>
      <w:bookmarkStart w:id="218" w:name="_Toc11229405"/>
      <w:bookmarkStart w:id="219" w:name="_Toc104276557"/>
      <w:bookmarkStart w:id="220" w:name="_Toc127337949"/>
      <w:r>
        <w:rPr>
          <w:rStyle w:val="CharSectno"/>
        </w:rPr>
        <w:t>13</w:t>
      </w:r>
      <w:r>
        <w:rPr>
          <w:snapToGrid w:val="0"/>
        </w:rPr>
        <w:t>.</w:t>
      </w:r>
      <w:r>
        <w:rPr>
          <w:snapToGrid w:val="0"/>
        </w:rPr>
        <w:tab/>
        <w:t xml:space="preserve">Instrument of </w:t>
      </w:r>
      <w:bookmarkEnd w:id="215"/>
      <w:bookmarkEnd w:id="216"/>
      <w:bookmarkEnd w:id="217"/>
      <w:r>
        <w:rPr>
          <w:snapToGrid w:val="0"/>
        </w:rPr>
        <w:t>licence</w:t>
      </w:r>
      <w:bookmarkEnd w:id="218"/>
      <w:bookmarkEnd w:id="219"/>
      <w:bookmarkEnd w:id="220"/>
      <w:r>
        <w:rPr>
          <w:snapToGrid w:val="0"/>
        </w:rPr>
        <w:t xml:space="preserve"> </w:t>
      </w:r>
    </w:p>
    <w:p>
      <w:pPr>
        <w:pStyle w:val="Subsection"/>
        <w:spacing w:before="120"/>
        <w:rPr>
          <w:snapToGrid w:val="0"/>
        </w:rPr>
      </w:pPr>
      <w:r>
        <w:rPr>
          <w:snapToGrid w:val="0"/>
        </w:rPr>
        <w:tab/>
      </w:r>
      <w:r>
        <w:rPr>
          <w:snapToGrid w:val="0"/>
        </w:rPr>
        <w:tab/>
        <w:t>The instrument of licence for a prospecting licence shall be in the form No. 4 in the First Schedule.</w:t>
      </w:r>
    </w:p>
    <w:p>
      <w:pPr>
        <w:pStyle w:val="Heading5"/>
      </w:pPr>
      <w:bookmarkStart w:id="221" w:name="_Toc127337950"/>
      <w:bookmarkStart w:id="222" w:name="_Toc474633030"/>
      <w:bookmarkStart w:id="223" w:name="_Toc488740179"/>
      <w:bookmarkStart w:id="224" w:name="_Toc8623565"/>
      <w:bookmarkStart w:id="225" w:name="_Toc11229406"/>
      <w:bookmarkStart w:id="226" w:name="_Toc104276558"/>
      <w:r>
        <w:rPr>
          <w:rStyle w:val="CharSectno"/>
        </w:rPr>
        <w:t>13A</w:t>
      </w:r>
      <w:r>
        <w:t>.</w:t>
      </w:r>
      <w:r>
        <w:tab/>
        <w:t>Programme of work for ground disturbing equipment</w:t>
      </w:r>
      <w:bookmarkEnd w:id="221"/>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spacing w:before="180"/>
        <w:rPr>
          <w:snapToGrid w:val="0"/>
        </w:rPr>
      </w:pPr>
      <w:bookmarkStart w:id="227" w:name="_Toc127337951"/>
      <w:r>
        <w:rPr>
          <w:rStyle w:val="CharSectno"/>
        </w:rPr>
        <w:t>14</w:t>
      </w:r>
      <w:r>
        <w:rPr>
          <w:snapToGrid w:val="0"/>
        </w:rPr>
        <w:t>.</w:t>
      </w:r>
      <w:r>
        <w:rPr>
          <w:snapToGrid w:val="0"/>
        </w:rPr>
        <w:tab/>
        <w:t>Limit on amount of earth, etc., that may be removed</w:t>
      </w:r>
      <w:bookmarkEnd w:id="222"/>
      <w:bookmarkEnd w:id="223"/>
      <w:bookmarkEnd w:id="224"/>
      <w:bookmarkEnd w:id="225"/>
      <w:bookmarkEnd w:id="226"/>
      <w:bookmarkEnd w:id="227"/>
      <w:r>
        <w:rPr>
          <w:snapToGrid w:val="0"/>
        </w:rPr>
        <w:t xml:space="preserve"> </w:t>
      </w:r>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 xml:space="preserve">[Regulation 14 inserted in Gazette 31 May 1991 p. 2696.] </w:t>
      </w:r>
    </w:p>
    <w:p>
      <w:pPr>
        <w:pStyle w:val="Heading5"/>
        <w:spacing w:before="200"/>
        <w:rPr>
          <w:snapToGrid w:val="0"/>
        </w:rPr>
      </w:pPr>
      <w:bookmarkStart w:id="228" w:name="_Toc474633031"/>
      <w:bookmarkStart w:id="229" w:name="_Toc488740180"/>
      <w:bookmarkStart w:id="230" w:name="_Toc8623566"/>
      <w:bookmarkStart w:id="231" w:name="_Toc11229407"/>
      <w:bookmarkStart w:id="232" w:name="_Toc104276559"/>
      <w:bookmarkStart w:id="233" w:name="_Toc127337952"/>
      <w:r>
        <w:rPr>
          <w:rStyle w:val="CharSectno"/>
        </w:rPr>
        <w:t>15</w:t>
      </w:r>
      <w:r>
        <w:rPr>
          <w:snapToGrid w:val="0"/>
        </w:rPr>
        <w:t>.</w:t>
      </w:r>
      <w:r>
        <w:rPr>
          <w:snapToGrid w:val="0"/>
        </w:rPr>
        <w:tab/>
        <w:t>Expenditure condition</w:t>
      </w:r>
      <w:bookmarkEnd w:id="228"/>
      <w:bookmarkEnd w:id="229"/>
      <w:bookmarkEnd w:id="230"/>
      <w:bookmarkEnd w:id="231"/>
      <w:bookmarkEnd w:id="232"/>
      <w:bookmarkEnd w:id="233"/>
      <w:r>
        <w:rPr>
          <w:snapToGrid w:val="0"/>
        </w:rPr>
        <w:t xml:space="preserve"> </w:t>
      </w:r>
    </w:p>
    <w:p>
      <w:pPr>
        <w:pStyle w:val="Subsection"/>
        <w:spacing w:before="120"/>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 xml:space="preserve">[Regulation 15 amended in Gazette 16 Nov 1990 p. 5728; 31 Jul 1992 p. 3776; 11 Jun 1999 p. 2543; 18 Jun 1999 p. 2642; 17 Jan 2003 p. 110; 3 Feb 2006 p. 577.] </w:t>
      </w:r>
    </w:p>
    <w:p>
      <w:pPr>
        <w:pStyle w:val="Heading5"/>
        <w:rPr>
          <w:snapToGrid w:val="0"/>
        </w:rPr>
      </w:pPr>
      <w:bookmarkStart w:id="234" w:name="_Toc474633032"/>
      <w:bookmarkStart w:id="235" w:name="_Toc488740181"/>
      <w:bookmarkStart w:id="236" w:name="_Toc8623567"/>
      <w:bookmarkStart w:id="237" w:name="_Toc11229408"/>
      <w:bookmarkStart w:id="238" w:name="_Toc104276560"/>
      <w:bookmarkStart w:id="239" w:name="_Toc127337953"/>
      <w:r>
        <w:rPr>
          <w:rStyle w:val="CharSectno"/>
        </w:rPr>
        <w:t>16</w:t>
      </w:r>
      <w:r>
        <w:rPr>
          <w:snapToGrid w:val="0"/>
        </w:rPr>
        <w:t>.</w:t>
      </w:r>
      <w:r>
        <w:rPr>
          <w:snapToGrid w:val="0"/>
        </w:rPr>
        <w:tab/>
        <w:t>Reports to be filed</w:t>
      </w:r>
      <w:bookmarkEnd w:id="234"/>
      <w:bookmarkEnd w:id="235"/>
      <w:bookmarkEnd w:id="236"/>
      <w:bookmarkEnd w:id="237"/>
      <w:bookmarkEnd w:id="238"/>
      <w:bookmarkEnd w:id="239"/>
      <w:r>
        <w:rPr>
          <w:snapToGrid w:val="0"/>
        </w:rPr>
        <w:t xml:space="preserve"> </w:t>
      </w:r>
    </w:p>
    <w:p>
      <w:pPr>
        <w:pStyle w:val="Subsection"/>
      </w:pPr>
      <w:r>
        <w:tab/>
        <w:t>(1)</w:t>
      </w:r>
      <w:r>
        <w:tab/>
        <w:t xml:space="preserve">A report required under section 51 is to be in the form No. 5 in the First Schedule and is to be filed —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 xml:space="preserve">[Regulation 16 amended in Gazette 2 Jul 1993 p. 3270; 17 Jan 2003 p. 110.] </w:t>
      </w:r>
    </w:p>
    <w:p>
      <w:pPr>
        <w:pStyle w:val="Heading5"/>
      </w:pPr>
      <w:bookmarkStart w:id="240" w:name="_Toc127337954"/>
      <w:bookmarkStart w:id="241" w:name="_Toc74978845"/>
      <w:bookmarkStart w:id="242" w:name="_Toc74979109"/>
      <w:bookmarkStart w:id="243" w:name="_Toc79976407"/>
      <w:bookmarkStart w:id="244" w:name="_Toc80759678"/>
      <w:bookmarkStart w:id="245" w:name="_Toc80783441"/>
      <w:bookmarkStart w:id="246" w:name="_Toc94931108"/>
      <w:bookmarkStart w:id="247" w:name="_Toc104275231"/>
      <w:bookmarkStart w:id="248" w:name="_Toc104276562"/>
      <w:bookmarkStart w:id="249" w:name="_Toc107198783"/>
      <w:bookmarkStart w:id="250" w:name="_Toc107799234"/>
      <w:bookmarkStart w:id="251" w:name="_Toc127087241"/>
      <w:r>
        <w:rPr>
          <w:rStyle w:val="CharSectno"/>
        </w:rPr>
        <w:t>16A</w:t>
      </w:r>
      <w:r>
        <w:t>.</w:t>
      </w:r>
      <w:r>
        <w:tab/>
        <w:t>Grounds for extension under section 45(1a)</w:t>
      </w:r>
      <w:bookmarkEnd w:id="240"/>
    </w:p>
    <w:p>
      <w:pPr>
        <w:pStyle w:val="Subsection"/>
      </w:pPr>
      <w:r>
        <w:tab/>
      </w:r>
      <w:r>
        <w:tab/>
        <w:t xml:space="preserve">Each of the following is a ground for extension for the purposes of section 45(1a) — </w:t>
      </w:r>
    </w:p>
    <w:p>
      <w:pPr>
        <w:pStyle w:val="Indenta"/>
      </w:pPr>
      <w:r>
        <w:tab/>
        <w:t>(a)</w:t>
      </w:r>
      <w:r>
        <w:tab/>
        <w:t xml:space="preserve">by reason of difficulties or delays —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252" w:name="_Toc127337955"/>
      <w:r>
        <w:rPr>
          <w:rStyle w:val="CharSectno"/>
        </w:rPr>
        <w:t>16B</w:t>
      </w:r>
      <w:r>
        <w:t>.</w:t>
      </w:r>
      <w:r>
        <w:tab/>
        <w:t>Application for extension of prospecting licence</w:t>
      </w:r>
      <w:bookmarkEnd w:id="252"/>
    </w:p>
    <w:p>
      <w:pPr>
        <w:pStyle w:val="Subsection"/>
      </w:pPr>
      <w:r>
        <w:tab/>
        <w:t>(1)</w:t>
      </w:r>
      <w:r>
        <w:tab/>
        <w:t xml:space="preserve">An application under section 45(1a) shall — </w:t>
      </w:r>
    </w:p>
    <w:p>
      <w:pPr>
        <w:pStyle w:val="Indenta"/>
      </w:pPr>
      <w:r>
        <w:tab/>
        <w:t>(a)</w:t>
      </w:r>
      <w:r>
        <w:tab/>
        <w:t>be lodged at an office of the Department during the final year of the term of the licence;</w:t>
      </w:r>
    </w:p>
    <w:p>
      <w:pPr>
        <w:pStyle w:val="Indenta"/>
      </w:pPr>
      <w:r>
        <w:tab/>
        <w:t>(b)</w:t>
      </w:r>
      <w:r>
        <w:tab/>
        <w:t>be in the form No. 9 in the First Schedule; and</w:t>
      </w:r>
    </w:p>
    <w:p>
      <w:pPr>
        <w:pStyle w:val="Indenta"/>
      </w:pPr>
      <w:r>
        <w:tab/>
        <w:t>(c)</w:t>
      </w:r>
      <w:r>
        <w:tab/>
        <w:t xml:space="preserve">be accompanied by —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w:t>
      </w:r>
    </w:p>
    <w:p>
      <w:pPr>
        <w:pStyle w:val="Heading5"/>
      </w:pPr>
      <w:bookmarkStart w:id="253" w:name="_Toc127337956"/>
      <w:r>
        <w:rPr>
          <w:rStyle w:val="CharSectno"/>
        </w:rPr>
        <w:t>16C</w:t>
      </w:r>
      <w:r>
        <w:t>.</w:t>
      </w:r>
      <w:r>
        <w:tab/>
        <w:t>Application for retention status</w:t>
      </w:r>
      <w:bookmarkEnd w:id="253"/>
    </w:p>
    <w:p>
      <w:pPr>
        <w:pStyle w:val="Subsection"/>
      </w:pPr>
      <w:r>
        <w:tab/>
        <w:t>(1)</w:t>
      </w:r>
      <w:r>
        <w:tab/>
        <w:t xml:space="preserve">An application under section 53(2) shall — </w:t>
      </w:r>
    </w:p>
    <w:p>
      <w:pPr>
        <w:pStyle w:val="Indenta"/>
      </w:pPr>
      <w:r>
        <w:tab/>
        <w:t>(a)</w:t>
      </w:r>
      <w:r>
        <w:tab/>
        <w:t>be lodged at an office of the Department;</w:t>
      </w:r>
    </w:p>
    <w:p>
      <w:pPr>
        <w:pStyle w:val="Indenta"/>
      </w:pPr>
      <w:r>
        <w:tab/>
        <w:t>(b)</w:t>
      </w:r>
      <w:r>
        <w:tab/>
        <w:t xml:space="preserve">be accompanied by a statement specifying —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 xml:space="preserve">be accompanied by a statutory declaration made by the applicant or a person authorised by the applicant to the effect that —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 xml:space="preserve">be accompanied by a map that clearly indicates —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item 2A of the Second Schedule.</w:t>
      </w:r>
    </w:p>
    <w:p>
      <w:pPr>
        <w:pStyle w:val="Footnotesection"/>
      </w:pPr>
      <w:r>
        <w:tab/>
        <w:t>[Regulation 16C inserted in Gazette 3 Feb 2006 p. 579-80.]</w:t>
      </w:r>
    </w:p>
    <w:p>
      <w:pPr>
        <w:pStyle w:val="Heading5"/>
      </w:pPr>
      <w:bookmarkStart w:id="254" w:name="_Toc127337957"/>
      <w:r>
        <w:rPr>
          <w:rStyle w:val="CharSectno"/>
        </w:rPr>
        <w:t>16D</w:t>
      </w:r>
      <w:r>
        <w:t>.</w:t>
      </w:r>
      <w:r>
        <w:tab/>
        <w:t>Marking out of land that has retention status</w:t>
      </w:r>
      <w:bookmarkEnd w:id="254"/>
    </w:p>
    <w:p>
      <w:pPr>
        <w:pStyle w:val="Subsection"/>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255" w:name="_Toc127337958"/>
      <w:r>
        <w:rPr>
          <w:rStyle w:val="CharSectno"/>
        </w:rPr>
        <w:t>16E</w:t>
      </w:r>
      <w:r>
        <w:t>.</w:t>
      </w:r>
      <w:r>
        <w:tab/>
        <w:t>Application for special prospecting licence</w:t>
      </w:r>
      <w:bookmarkEnd w:id="255"/>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rPr>
          <w:snapToGrid w:val="0"/>
        </w:rPr>
      </w:pPr>
      <w:bookmarkStart w:id="256" w:name="_Toc127183538"/>
      <w:bookmarkStart w:id="257" w:name="_Toc127337959"/>
      <w:r>
        <w:rPr>
          <w:rStyle w:val="CharDivNo"/>
        </w:rPr>
        <w:t>Division 2</w:t>
      </w:r>
      <w:r>
        <w:rPr>
          <w:snapToGrid w:val="0"/>
        </w:rPr>
        <w:t> — </w:t>
      </w:r>
      <w:r>
        <w:rPr>
          <w:rStyle w:val="CharDivText"/>
        </w:rPr>
        <w:t>Exploration licences</w:t>
      </w:r>
      <w:bookmarkEnd w:id="241"/>
      <w:bookmarkEnd w:id="242"/>
      <w:bookmarkEnd w:id="243"/>
      <w:bookmarkEnd w:id="244"/>
      <w:bookmarkEnd w:id="245"/>
      <w:bookmarkEnd w:id="246"/>
      <w:bookmarkEnd w:id="247"/>
      <w:bookmarkEnd w:id="248"/>
      <w:bookmarkEnd w:id="249"/>
      <w:bookmarkEnd w:id="250"/>
      <w:bookmarkEnd w:id="251"/>
      <w:bookmarkEnd w:id="256"/>
      <w:bookmarkEnd w:id="257"/>
      <w:r>
        <w:rPr>
          <w:rStyle w:val="CharDivText"/>
        </w:rPr>
        <w:t xml:space="preserve"> </w:t>
      </w:r>
    </w:p>
    <w:p>
      <w:pPr>
        <w:pStyle w:val="Heading5"/>
        <w:spacing w:before="160"/>
        <w:rPr>
          <w:snapToGrid w:val="0"/>
        </w:rPr>
      </w:pPr>
      <w:bookmarkStart w:id="258" w:name="_Toc474633034"/>
      <w:bookmarkStart w:id="259" w:name="_Toc488740183"/>
      <w:bookmarkStart w:id="260" w:name="_Toc8623569"/>
      <w:bookmarkStart w:id="261" w:name="_Toc11229410"/>
      <w:bookmarkStart w:id="262" w:name="_Toc104276563"/>
      <w:bookmarkStart w:id="263" w:name="_Toc127337960"/>
      <w:r>
        <w:rPr>
          <w:rStyle w:val="CharSectno"/>
        </w:rPr>
        <w:t>17</w:t>
      </w:r>
      <w:r>
        <w:rPr>
          <w:snapToGrid w:val="0"/>
        </w:rPr>
        <w:t>.</w:t>
      </w:r>
      <w:r>
        <w:rPr>
          <w:snapToGrid w:val="0"/>
        </w:rPr>
        <w:tab/>
        <w:t>Application</w:t>
      </w:r>
      <w:bookmarkEnd w:id="258"/>
      <w:bookmarkEnd w:id="259"/>
      <w:bookmarkEnd w:id="260"/>
      <w:bookmarkEnd w:id="261"/>
      <w:bookmarkEnd w:id="262"/>
      <w:bookmarkEnd w:id="263"/>
      <w:r>
        <w:rPr>
          <w:snapToGrid w:val="0"/>
        </w:rPr>
        <w:t xml:space="preserve"> </w:t>
      </w:r>
    </w:p>
    <w:p>
      <w:pPr>
        <w:pStyle w:val="Subsection"/>
        <w:spacing w:before="10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264" w:name="_Toc474633036"/>
      <w:bookmarkStart w:id="265" w:name="_Toc488740185"/>
      <w:r>
        <w:t>[</w:t>
      </w:r>
      <w:r>
        <w:rPr>
          <w:b/>
        </w:rPr>
        <w:t>18.</w:t>
      </w:r>
      <w:r>
        <w:rPr>
          <w:b/>
        </w:rPr>
        <w:tab/>
      </w:r>
      <w:r>
        <w:t>Repealed in Gazette 2 Feb 2001 p. 712.]</w:t>
      </w:r>
    </w:p>
    <w:p>
      <w:pPr>
        <w:pStyle w:val="Ednotesection"/>
        <w:rPr>
          <w:b/>
        </w:rPr>
      </w:pPr>
      <w:bookmarkStart w:id="266" w:name="_Toc474633037"/>
      <w:bookmarkStart w:id="267" w:name="_Toc488740186"/>
      <w:bookmarkStart w:id="268" w:name="_Toc8623571"/>
      <w:bookmarkStart w:id="269" w:name="_Toc11229412"/>
      <w:bookmarkStart w:id="270" w:name="_Toc104276565"/>
      <w:bookmarkEnd w:id="264"/>
      <w:bookmarkEnd w:id="265"/>
      <w:r>
        <w:t>[</w:t>
      </w:r>
      <w:r>
        <w:rPr>
          <w:b/>
        </w:rPr>
        <w:t>18A.</w:t>
      </w:r>
      <w:r>
        <w:rPr>
          <w:b/>
        </w:rPr>
        <w:tab/>
      </w:r>
      <w:r>
        <w:t>Repealed in Gazette 3 Feb 2006 p. 580.]</w:t>
      </w:r>
    </w:p>
    <w:p>
      <w:pPr>
        <w:pStyle w:val="Heading5"/>
        <w:spacing w:before="180"/>
        <w:rPr>
          <w:snapToGrid w:val="0"/>
        </w:rPr>
      </w:pPr>
      <w:bookmarkStart w:id="271" w:name="_Toc127337961"/>
      <w:r>
        <w:rPr>
          <w:rStyle w:val="CharSectno"/>
        </w:rPr>
        <w:t>19</w:t>
      </w:r>
      <w:r>
        <w:rPr>
          <w:snapToGrid w:val="0"/>
        </w:rPr>
        <w:t>.</w:t>
      </w:r>
      <w:r>
        <w:rPr>
          <w:snapToGrid w:val="0"/>
        </w:rPr>
        <w:tab/>
        <w:t xml:space="preserve">Instrument of </w:t>
      </w:r>
      <w:bookmarkEnd w:id="266"/>
      <w:bookmarkEnd w:id="267"/>
      <w:bookmarkEnd w:id="268"/>
      <w:r>
        <w:rPr>
          <w:snapToGrid w:val="0"/>
        </w:rPr>
        <w:t>licence</w:t>
      </w:r>
      <w:bookmarkEnd w:id="269"/>
      <w:bookmarkEnd w:id="270"/>
      <w:bookmarkEnd w:id="271"/>
      <w:r>
        <w:rPr>
          <w:snapToGrid w:val="0"/>
        </w:rPr>
        <w:t xml:space="preserve"> </w:t>
      </w:r>
    </w:p>
    <w:p>
      <w:pPr>
        <w:pStyle w:val="Subsection"/>
        <w:spacing w:before="120"/>
        <w:rPr>
          <w:snapToGrid w:val="0"/>
        </w:rPr>
      </w:pPr>
      <w:r>
        <w:rPr>
          <w:snapToGrid w:val="0"/>
        </w:rPr>
        <w:tab/>
      </w:r>
      <w:r>
        <w:rPr>
          <w:snapToGrid w:val="0"/>
        </w:rPr>
        <w:tab/>
        <w:t>The instrument of licence for an exploration licence shall be in the form No. 6 in the First Schedule.</w:t>
      </w:r>
    </w:p>
    <w:p>
      <w:pPr>
        <w:pStyle w:val="Heading5"/>
        <w:spacing w:before="180"/>
        <w:rPr>
          <w:snapToGrid w:val="0"/>
        </w:rPr>
      </w:pPr>
      <w:bookmarkStart w:id="272" w:name="_Toc474633038"/>
      <w:bookmarkStart w:id="273" w:name="_Toc488740187"/>
      <w:bookmarkStart w:id="274" w:name="_Toc8623572"/>
      <w:bookmarkStart w:id="275" w:name="_Toc11229413"/>
      <w:bookmarkStart w:id="276" w:name="_Toc104276566"/>
      <w:bookmarkStart w:id="277" w:name="_Toc127337962"/>
      <w:r>
        <w:rPr>
          <w:rStyle w:val="CharSectno"/>
        </w:rPr>
        <w:t>20</w:t>
      </w:r>
      <w:r>
        <w:rPr>
          <w:snapToGrid w:val="0"/>
        </w:rPr>
        <w:t>.</w:t>
      </w:r>
      <w:r>
        <w:rPr>
          <w:snapToGrid w:val="0"/>
        </w:rPr>
        <w:tab/>
        <w:t>Limit on amount of earth, etc., that may be removed</w:t>
      </w:r>
      <w:bookmarkEnd w:id="272"/>
      <w:bookmarkEnd w:id="273"/>
      <w:bookmarkEnd w:id="274"/>
      <w:bookmarkEnd w:id="275"/>
      <w:bookmarkEnd w:id="276"/>
      <w:bookmarkEnd w:id="277"/>
      <w:r>
        <w:rPr>
          <w:snapToGrid w:val="0"/>
        </w:rPr>
        <w:t xml:space="preserve"> </w:t>
      </w:r>
    </w:p>
    <w:p>
      <w:pPr>
        <w:pStyle w:val="Subsection"/>
        <w:spacing w:before="120"/>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 xml:space="preserve">[Regulation 20 inserted in Gazette 31 May 1991 p. 2697.] </w:t>
      </w:r>
    </w:p>
    <w:p>
      <w:pPr>
        <w:pStyle w:val="Heading5"/>
        <w:spacing w:before="180"/>
        <w:rPr>
          <w:snapToGrid w:val="0"/>
        </w:rPr>
      </w:pPr>
      <w:bookmarkStart w:id="278" w:name="_Toc474633039"/>
      <w:bookmarkStart w:id="279" w:name="_Toc488740188"/>
      <w:bookmarkStart w:id="280" w:name="_Toc8623573"/>
      <w:bookmarkStart w:id="281" w:name="_Toc11229414"/>
      <w:bookmarkStart w:id="282" w:name="_Toc104276567"/>
      <w:bookmarkStart w:id="283" w:name="_Toc127337963"/>
      <w:r>
        <w:rPr>
          <w:rStyle w:val="CharSectno"/>
        </w:rPr>
        <w:t>21</w:t>
      </w:r>
      <w:r>
        <w:rPr>
          <w:snapToGrid w:val="0"/>
        </w:rPr>
        <w:t>.</w:t>
      </w:r>
      <w:r>
        <w:rPr>
          <w:snapToGrid w:val="0"/>
        </w:rPr>
        <w:tab/>
        <w:t>Expenditure condition</w:t>
      </w:r>
      <w:bookmarkEnd w:id="278"/>
      <w:bookmarkEnd w:id="279"/>
      <w:bookmarkEnd w:id="280"/>
      <w:bookmarkEnd w:id="281"/>
      <w:bookmarkEnd w:id="282"/>
      <w:bookmarkEnd w:id="283"/>
      <w:r>
        <w:rPr>
          <w:snapToGrid w:val="0"/>
        </w:rPr>
        <w:t xml:space="preserve"> </w:t>
      </w:r>
    </w:p>
    <w:p>
      <w:pPr>
        <w:pStyle w:val="Subsection"/>
        <w:spacing w:before="120"/>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 </w:t>
      </w:r>
    </w:p>
    <w:p>
      <w:pPr>
        <w:pStyle w:val="Indenta"/>
        <w:spacing w:before="70"/>
        <w:rPr>
          <w:snapToGrid w:val="0"/>
        </w:rPr>
      </w:pPr>
      <w:r>
        <w:rPr>
          <w:snapToGrid w:val="0"/>
        </w:rPr>
        <w:tab/>
        <w:t>(a)</w:t>
      </w:r>
      <w:r>
        <w:rPr>
          <w:snapToGrid w:val="0"/>
        </w:rPr>
        <w:tab/>
      </w:r>
      <w:r>
        <w:t>during each of years 1 to 5 of that term</w:t>
      </w:r>
      <w:r>
        <w:rPr>
          <w:snapToGrid w:val="0"/>
        </w:rPr>
        <w:t>, not less that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pPr>
      <w:r>
        <w:tab/>
        <w:t>(1b)</w:t>
      </w:r>
      <w:r>
        <w:tab/>
        <w:t>The holder of a graticular exploration licence shall expend, or cause to be expended, in mining on or in connection with mining on the licence</w:t>
      </w:r>
      <w:r>
        <w:rPr>
          <w:b/>
          <w:bCs/>
          <w:i/>
          <w:iCs/>
        </w:rPr>
        <w:t> </w:t>
      </w:r>
      <w:r>
        <w:rPr>
          <w:b/>
          <w:bCs/>
        </w:rPr>
        <w:t xml:space="preserve">— </w:t>
      </w:r>
    </w:p>
    <w:p>
      <w:pPr>
        <w:pStyle w:val="Indenta"/>
      </w:pPr>
      <w:r>
        <w:tab/>
        <w:t>(a)</w:t>
      </w:r>
      <w:r>
        <w:tab/>
        <w:t xml:space="preserve">during each of years 1 to 3 of the term of the licence, $1 000 per block —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 xml:space="preserve">during each of years 4 and 5 of the term of the licence, $1 500 per block —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 xml:space="preserve">during each of years 6 and 7 of the term of the licence, $2 000 per block —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 xml:space="preserve">during year 8, and each subsequent year of the term of the licence, $3 000 per block —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 xml:space="preserve">3; 17 Jan 2003 p. 110; 3 Feb 2006 p. 581-3.] </w:t>
      </w:r>
    </w:p>
    <w:p>
      <w:pPr>
        <w:pStyle w:val="Heading5"/>
      </w:pPr>
      <w:bookmarkStart w:id="284" w:name="_Toc127337964"/>
      <w:bookmarkStart w:id="285" w:name="_Toc474633040"/>
      <w:bookmarkStart w:id="286" w:name="_Toc488740189"/>
      <w:bookmarkStart w:id="287" w:name="_Toc8623574"/>
      <w:bookmarkStart w:id="288" w:name="_Toc11229415"/>
      <w:bookmarkStart w:id="289" w:name="_Toc104276568"/>
      <w:r>
        <w:rPr>
          <w:rStyle w:val="CharSectno"/>
        </w:rPr>
        <w:t>21A</w:t>
      </w:r>
      <w:r>
        <w:t>.</w:t>
      </w:r>
      <w:r>
        <w:tab/>
        <w:t>Programme of work for ground disturbing equipment</w:t>
      </w:r>
      <w:bookmarkEnd w:id="284"/>
    </w:p>
    <w:p>
      <w:pPr>
        <w:pStyle w:val="Subsection"/>
      </w:pPr>
      <w:r>
        <w:tab/>
        <w:t>(1)</w:t>
      </w:r>
      <w:r>
        <w:tab/>
        <w:t>The programme of work referred to in section 63(aa)(i)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20"/>
        <w:rPr>
          <w:snapToGrid w:val="0"/>
        </w:rPr>
      </w:pPr>
      <w:bookmarkStart w:id="290" w:name="_Toc127337965"/>
      <w:r>
        <w:rPr>
          <w:rStyle w:val="CharSectno"/>
        </w:rPr>
        <w:t>22</w:t>
      </w:r>
      <w:r>
        <w:rPr>
          <w:snapToGrid w:val="0"/>
        </w:rPr>
        <w:t>.</w:t>
      </w:r>
      <w:r>
        <w:rPr>
          <w:snapToGrid w:val="0"/>
        </w:rPr>
        <w:tab/>
        <w:t>Reports to be filed</w:t>
      </w:r>
      <w:bookmarkEnd w:id="285"/>
      <w:bookmarkEnd w:id="286"/>
      <w:bookmarkEnd w:id="287"/>
      <w:bookmarkEnd w:id="288"/>
      <w:bookmarkEnd w:id="289"/>
      <w:bookmarkEnd w:id="290"/>
      <w:r>
        <w:rPr>
          <w:snapToGrid w:val="0"/>
        </w:rPr>
        <w:t xml:space="preserve"> </w:t>
      </w:r>
    </w:p>
    <w:p>
      <w:pPr>
        <w:pStyle w:val="Subsection"/>
      </w:pPr>
      <w:r>
        <w:rPr>
          <w:snapToGrid w:val="0"/>
        </w:rPr>
        <w:tab/>
        <w:t>(1)</w:t>
      </w:r>
      <w:r>
        <w:rPr>
          <w:snapToGrid w:val="0"/>
        </w:rPr>
        <w:tab/>
        <w:t xml:space="preserve">The reports required under section 68(3) shall be a report on operations on the mining tenement in the form No. 5 in the First Schedule to be </w:t>
      </w:r>
      <w:r>
        <w:t xml:space="preserve">filed —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 xml:space="preserve">11.] </w:t>
      </w:r>
    </w:p>
    <w:p>
      <w:pPr>
        <w:pStyle w:val="Heading5"/>
      </w:pPr>
      <w:bookmarkStart w:id="291" w:name="_Toc127337966"/>
      <w:bookmarkStart w:id="292" w:name="_Toc474633041"/>
      <w:bookmarkStart w:id="293" w:name="_Toc488740190"/>
      <w:bookmarkStart w:id="294" w:name="_Toc8623575"/>
      <w:bookmarkStart w:id="295" w:name="_Toc11229416"/>
      <w:bookmarkStart w:id="296" w:name="_Toc104276569"/>
      <w:r>
        <w:rPr>
          <w:rStyle w:val="CharSectno"/>
        </w:rPr>
        <w:t>22A</w:t>
      </w:r>
      <w:r>
        <w:t>.</w:t>
      </w:r>
      <w:r>
        <w:tab/>
        <w:t>Grounds for deferral under section 65(3b)</w:t>
      </w:r>
      <w:bookmarkEnd w:id="291"/>
    </w:p>
    <w:p>
      <w:pPr>
        <w:pStyle w:val="Subsection"/>
      </w:pPr>
      <w:r>
        <w:tab/>
      </w:r>
      <w:r>
        <w:tab/>
        <w:t xml:space="preserve">Each of the following is a ground for deferral for the purposes of section 65(3b) —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 xml:space="preserve">by reason of difficulties or delays —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 to which the application for deferral relates (</w:t>
      </w:r>
      <w:r>
        <w:rPr>
          <w:rStyle w:val="CharDefText"/>
          <w:b w:val="0"/>
          <w:bCs/>
        </w:rPr>
        <w:t xml:space="preserve">the </w:t>
      </w:r>
      <w:r>
        <w:rPr>
          <w:b/>
          <w:bCs/>
        </w:rPr>
        <w:t>“</w:t>
      </w:r>
      <w:r>
        <w:rPr>
          <w:rStyle w:val="CharDefText"/>
        </w:rPr>
        <w:t>relevant land</w:t>
      </w:r>
      <w:r>
        <w:rPr>
          <w:b/>
          <w:bCs/>
        </w:rPr>
        <w:t>”</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pPr>
      <w:bookmarkStart w:id="297" w:name="_Toc127337967"/>
      <w:r>
        <w:rPr>
          <w:rStyle w:val="CharSectno"/>
        </w:rPr>
        <w:t>22B</w:t>
      </w:r>
      <w:r>
        <w:t>.</w:t>
      </w:r>
      <w:r>
        <w:tab/>
        <w:t>Application for deferral</w:t>
      </w:r>
      <w:bookmarkEnd w:id="297"/>
    </w:p>
    <w:p>
      <w:pPr>
        <w:pStyle w:val="Subsection"/>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rPr>
          <w:snapToGrid w:val="0"/>
        </w:rPr>
      </w:pPr>
      <w:bookmarkStart w:id="298" w:name="_Toc127337968"/>
      <w:r>
        <w:rPr>
          <w:rStyle w:val="CharSectno"/>
        </w:rPr>
        <w:t>23</w:t>
      </w:r>
      <w:r>
        <w:rPr>
          <w:snapToGrid w:val="0"/>
        </w:rPr>
        <w:t>.</w:t>
      </w:r>
      <w:r>
        <w:rPr>
          <w:snapToGrid w:val="0"/>
        </w:rPr>
        <w:tab/>
        <w:t>Endorsement of plans upon surrender</w:t>
      </w:r>
      <w:bookmarkEnd w:id="292"/>
      <w:bookmarkEnd w:id="293"/>
      <w:bookmarkEnd w:id="294"/>
      <w:bookmarkEnd w:id="295"/>
      <w:bookmarkEnd w:id="296"/>
      <w:bookmarkEnd w:id="298"/>
      <w:r>
        <w:rPr>
          <w:snapToGrid w:val="0"/>
        </w:rPr>
        <w:t xml:space="preserve"> </w:t>
      </w:r>
    </w:p>
    <w:p>
      <w:pPr>
        <w:pStyle w:val="Subsection"/>
        <w:spacing w:before="14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b/>
          <w:bCs/>
        </w:rPr>
        <w:t>“</w:t>
      </w:r>
      <w:r>
        <w:rPr>
          <w:rStyle w:val="CharDefText"/>
        </w:rPr>
        <w:t>release date</w:t>
      </w:r>
      <w:r>
        <w:rPr>
          <w:b/>
          <w:bCs/>
        </w:rPr>
        <w:t>”</w:t>
      </w:r>
      <w:r>
        <w:t>) and time chosen under subregulation (1)(c) on the plans referred to in section 65(5) at least 14 days before the release date.</w:t>
      </w:r>
    </w:p>
    <w:p>
      <w:pPr>
        <w:pStyle w:val="Footnotesection"/>
      </w:pPr>
      <w:r>
        <w:tab/>
        <w:t xml:space="preserve">[Regulation 23 inserted in Gazette 31 May 1991 p. 2697; amended in Gazette 3 Feb 2006 p. 586.] </w:t>
      </w:r>
    </w:p>
    <w:p>
      <w:pPr>
        <w:pStyle w:val="Heading5"/>
        <w:spacing w:before="180"/>
        <w:rPr>
          <w:snapToGrid w:val="0"/>
        </w:rPr>
      </w:pPr>
      <w:bookmarkStart w:id="299" w:name="_Toc474633042"/>
      <w:bookmarkStart w:id="300" w:name="_Toc488740191"/>
      <w:bookmarkStart w:id="301" w:name="_Toc8623576"/>
      <w:bookmarkStart w:id="302" w:name="_Toc11229417"/>
      <w:bookmarkStart w:id="303" w:name="_Toc104276570"/>
      <w:bookmarkStart w:id="304" w:name="_Toc127337969"/>
      <w:r>
        <w:rPr>
          <w:rStyle w:val="CharSectno"/>
        </w:rPr>
        <w:t>23AA</w:t>
      </w:r>
      <w:r>
        <w:rPr>
          <w:snapToGrid w:val="0"/>
        </w:rPr>
        <w:t>.</w:t>
      </w:r>
      <w:r>
        <w:rPr>
          <w:snapToGrid w:val="0"/>
        </w:rPr>
        <w:tab/>
        <w:t>Refund of rent following unsuccessful application under section 65(1a)</w:t>
      </w:r>
      <w:bookmarkEnd w:id="299"/>
      <w:bookmarkEnd w:id="300"/>
      <w:bookmarkEnd w:id="301"/>
      <w:bookmarkEnd w:id="302"/>
      <w:bookmarkEnd w:id="303"/>
      <w:bookmarkEnd w:id="304"/>
      <w:r>
        <w:rPr>
          <w:snapToGrid w:val="0"/>
        </w:rPr>
        <w:t xml:space="preserve"> </w:t>
      </w:r>
    </w:p>
    <w:p>
      <w:pPr>
        <w:pStyle w:val="Subsection"/>
        <w:spacing w:before="140"/>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spacing w:before="14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 xml:space="preserve">[Regulation 23AA inserted in Gazette 13 Oct 1995 p. 4815.] </w:t>
      </w:r>
    </w:p>
    <w:p>
      <w:pPr>
        <w:pStyle w:val="Heading5"/>
        <w:spacing w:before="180"/>
        <w:rPr>
          <w:snapToGrid w:val="0"/>
        </w:rPr>
      </w:pPr>
      <w:bookmarkStart w:id="305" w:name="_Toc474633043"/>
      <w:bookmarkStart w:id="306" w:name="_Toc488740192"/>
      <w:bookmarkStart w:id="307" w:name="_Toc8623577"/>
      <w:bookmarkStart w:id="308" w:name="_Toc11229418"/>
      <w:bookmarkStart w:id="309" w:name="_Toc104276571"/>
      <w:bookmarkStart w:id="310" w:name="_Toc127337970"/>
      <w:r>
        <w:rPr>
          <w:rStyle w:val="CharSectno"/>
        </w:rPr>
        <w:t>23AB</w:t>
      </w:r>
      <w:r>
        <w:rPr>
          <w:snapToGrid w:val="0"/>
        </w:rPr>
        <w:t>.</w:t>
      </w:r>
      <w:r>
        <w:rPr>
          <w:snapToGrid w:val="0"/>
        </w:rPr>
        <w:tab/>
        <w:t>Prescribed circumstances under section 61(2)(a)</w:t>
      </w:r>
      <w:bookmarkEnd w:id="305"/>
      <w:bookmarkEnd w:id="306"/>
      <w:bookmarkEnd w:id="307"/>
      <w:bookmarkEnd w:id="308"/>
      <w:bookmarkEnd w:id="309"/>
      <w:bookmarkEnd w:id="310"/>
      <w:r>
        <w:rPr>
          <w:snapToGrid w:val="0"/>
        </w:rPr>
        <w:t xml:space="preserve"> </w:t>
      </w:r>
    </w:p>
    <w:p>
      <w:pPr>
        <w:pStyle w:val="Subsection"/>
        <w:spacing w:before="140"/>
        <w:rPr>
          <w:snapToGrid w:val="0"/>
        </w:rPr>
      </w:pPr>
      <w:r>
        <w:rPr>
          <w:snapToGrid w:val="0"/>
        </w:rPr>
        <w:tab/>
      </w:r>
      <w:r>
        <w:rPr>
          <w:snapToGrid w:val="0"/>
        </w:rPr>
        <w:tab/>
      </w:r>
      <w:r>
        <w:t>Each of the following is a ground for extension for the purposes of section 61(2) — </w:t>
      </w:r>
    </w:p>
    <w:p>
      <w:pPr>
        <w:pStyle w:val="Indenta"/>
        <w:spacing w:before="70"/>
        <w:rPr>
          <w:snapToGrid w:val="0"/>
        </w:rPr>
      </w:pPr>
      <w:r>
        <w:rPr>
          <w:snapToGrid w:val="0"/>
        </w:rPr>
        <w:tab/>
        <w:t>(a)</w:t>
      </w:r>
      <w:r>
        <w:rPr>
          <w:snapToGrid w:val="0"/>
        </w:rPr>
        <w:tab/>
        <w:t>by reason of difficulties or delays —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 xml:space="preserve">[Regulation 23AB inserted in Gazette 13 Oct 1995 p. 4816; amended in Gazette 3 Feb 2006 p. 586-7.] </w:t>
      </w:r>
    </w:p>
    <w:p>
      <w:pPr>
        <w:pStyle w:val="Heading5"/>
        <w:spacing w:before="180"/>
        <w:rPr>
          <w:snapToGrid w:val="0"/>
        </w:rPr>
      </w:pPr>
      <w:bookmarkStart w:id="311" w:name="_Toc474633044"/>
      <w:bookmarkStart w:id="312" w:name="_Toc488740193"/>
      <w:bookmarkStart w:id="313" w:name="_Toc8623578"/>
      <w:bookmarkStart w:id="314" w:name="_Toc11229419"/>
      <w:bookmarkStart w:id="315" w:name="_Toc104276572"/>
      <w:bookmarkStart w:id="316" w:name="_Toc127337971"/>
      <w:r>
        <w:rPr>
          <w:rStyle w:val="CharSectno"/>
        </w:rPr>
        <w:t>23A</w:t>
      </w:r>
      <w:r>
        <w:rPr>
          <w:snapToGrid w:val="0"/>
        </w:rPr>
        <w:t>.</w:t>
      </w:r>
      <w:r>
        <w:rPr>
          <w:snapToGrid w:val="0"/>
        </w:rPr>
        <w:tab/>
        <w:t xml:space="preserve">Extension of exploration </w:t>
      </w:r>
      <w:bookmarkEnd w:id="311"/>
      <w:bookmarkEnd w:id="312"/>
      <w:bookmarkEnd w:id="313"/>
      <w:r>
        <w:rPr>
          <w:snapToGrid w:val="0"/>
        </w:rPr>
        <w:t>licence</w:t>
      </w:r>
      <w:bookmarkEnd w:id="314"/>
      <w:bookmarkEnd w:id="315"/>
      <w:bookmarkEnd w:id="316"/>
      <w:r>
        <w:rPr>
          <w:snapToGrid w:val="0"/>
        </w:rPr>
        <w:t xml:space="preserve"> </w:t>
      </w:r>
    </w:p>
    <w:p>
      <w:pPr>
        <w:pStyle w:val="Subsection"/>
        <w:spacing w:before="120"/>
        <w:rPr>
          <w:snapToGrid w:val="0"/>
        </w:rPr>
      </w:pPr>
      <w:r>
        <w:rPr>
          <w:snapToGrid w:val="0"/>
        </w:rPr>
        <w:tab/>
        <w:t>(1)</w:t>
      </w:r>
      <w:r>
        <w:rPr>
          <w:snapToGrid w:val="0"/>
        </w:rPr>
        <w:tab/>
        <w:t>An application under section 61 to extend the term of an exploration licence shall —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23A inserted in Gazette 2 Oct 1987 p. 3815; amended in Gazette 13 Oct 1995 p. 4816; 2 Feb 2001 p. 712; 3 Feb 2006 p. 587-8.] </w:t>
      </w:r>
    </w:p>
    <w:p>
      <w:pPr>
        <w:pStyle w:val="Heading5"/>
      </w:pPr>
      <w:bookmarkStart w:id="317" w:name="_Toc127337972"/>
      <w:bookmarkStart w:id="318" w:name="_Toc74978856"/>
      <w:bookmarkStart w:id="319" w:name="_Toc74979120"/>
      <w:bookmarkStart w:id="320" w:name="_Toc79976418"/>
      <w:bookmarkStart w:id="321" w:name="_Toc80759689"/>
      <w:bookmarkStart w:id="322" w:name="_Toc80783452"/>
      <w:bookmarkStart w:id="323" w:name="_Toc94931119"/>
      <w:bookmarkStart w:id="324" w:name="_Toc104275242"/>
      <w:bookmarkStart w:id="325" w:name="_Toc104276573"/>
      <w:bookmarkStart w:id="326" w:name="_Toc107198794"/>
      <w:bookmarkStart w:id="327" w:name="_Toc107799245"/>
      <w:bookmarkStart w:id="328" w:name="_Toc127087252"/>
      <w:r>
        <w:rPr>
          <w:rStyle w:val="CharSectno"/>
        </w:rPr>
        <w:t>23BA</w:t>
      </w:r>
      <w:r>
        <w:t>.</w:t>
      </w:r>
      <w:r>
        <w:tab/>
        <w:t>Application for retention status</w:t>
      </w:r>
      <w:bookmarkEnd w:id="317"/>
    </w:p>
    <w:p>
      <w:pPr>
        <w:pStyle w:val="Subsection"/>
      </w:pPr>
      <w:r>
        <w:tab/>
        <w:t>(1)</w:t>
      </w:r>
      <w:r>
        <w:tab/>
        <w:t xml:space="preserve">An application under section 69A(2) shall — </w:t>
      </w:r>
    </w:p>
    <w:p>
      <w:pPr>
        <w:pStyle w:val="Indenta"/>
      </w:pPr>
      <w:r>
        <w:tab/>
        <w:t>(a)</w:t>
      </w:r>
      <w:r>
        <w:tab/>
        <w:t>be lodged at an office of the Department;</w:t>
      </w:r>
    </w:p>
    <w:p>
      <w:pPr>
        <w:pStyle w:val="Indenta"/>
      </w:pPr>
      <w:r>
        <w:tab/>
        <w:t>(b)</w:t>
      </w:r>
      <w:r>
        <w:tab/>
        <w:t xml:space="preserve">be accompanied by a statement specifying —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 xml:space="preserve">be accompanied by a statutory declaration made by the applicant or a person authorised by the applicant to the effect that —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 xml:space="preserve">be accompanied by a map that clearly indicates —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item 2A of the Second Schedule.</w:t>
      </w:r>
    </w:p>
    <w:p>
      <w:pPr>
        <w:pStyle w:val="Footnotesection"/>
      </w:pPr>
      <w:r>
        <w:tab/>
        <w:t>[Regulation 23BA inserted in Gazette 3 Feb 2006 p. 588-9.]</w:t>
      </w:r>
    </w:p>
    <w:p>
      <w:pPr>
        <w:pStyle w:val="Heading5"/>
      </w:pPr>
      <w:bookmarkStart w:id="329" w:name="_Toc127337973"/>
      <w:r>
        <w:rPr>
          <w:rStyle w:val="CharSectno"/>
        </w:rPr>
        <w:t>23BB</w:t>
      </w:r>
      <w:r>
        <w:t>.</w:t>
      </w:r>
      <w:r>
        <w:tab/>
        <w:t>Application for special prospecting licence</w:t>
      </w:r>
      <w:bookmarkEnd w:id="329"/>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rPr>
          <w:snapToGrid w:val="0"/>
        </w:rPr>
      </w:pPr>
      <w:bookmarkStart w:id="330" w:name="_Toc127183553"/>
      <w:bookmarkStart w:id="331" w:name="_Toc127337974"/>
      <w:r>
        <w:rPr>
          <w:rStyle w:val="CharDivNo"/>
        </w:rPr>
        <w:t>Division 2A</w:t>
      </w:r>
      <w:r>
        <w:rPr>
          <w:snapToGrid w:val="0"/>
        </w:rPr>
        <w:t> — </w:t>
      </w:r>
      <w:r>
        <w:rPr>
          <w:rStyle w:val="CharDivText"/>
        </w:rPr>
        <w:t>Retention licences</w:t>
      </w:r>
      <w:bookmarkEnd w:id="318"/>
      <w:bookmarkEnd w:id="319"/>
      <w:bookmarkEnd w:id="320"/>
      <w:bookmarkEnd w:id="321"/>
      <w:bookmarkEnd w:id="322"/>
      <w:bookmarkEnd w:id="323"/>
      <w:bookmarkEnd w:id="324"/>
      <w:bookmarkEnd w:id="325"/>
      <w:bookmarkEnd w:id="326"/>
      <w:bookmarkEnd w:id="327"/>
      <w:bookmarkEnd w:id="328"/>
      <w:bookmarkEnd w:id="330"/>
      <w:bookmarkEnd w:id="331"/>
      <w:r>
        <w:rPr>
          <w:rStyle w:val="CharDivText"/>
        </w:rPr>
        <w:t xml:space="preserve"> </w:t>
      </w:r>
    </w:p>
    <w:p>
      <w:pPr>
        <w:pStyle w:val="Footnoteheading"/>
        <w:ind w:left="890"/>
        <w:rPr>
          <w:snapToGrid w:val="0"/>
        </w:rPr>
      </w:pPr>
      <w:r>
        <w:rPr>
          <w:snapToGrid w:val="0"/>
        </w:rPr>
        <w:tab/>
        <w:t>[Heading inserted in Gazette 24 Jun 1994 p. 2928.]</w:t>
      </w:r>
    </w:p>
    <w:p>
      <w:pPr>
        <w:pStyle w:val="Heading5"/>
        <w:rPr>
          <w:snapToGrid w:val="0"/>
        </w:rPr>
      </w:pPr>
      <w:bookmarkStart w:id="332" w:name="_Toc474633045"/>
      <w:bookmarkStart w:id="333" w:name="_Toc488740194"/>
      <w:bookmarkStart w:id="334" w:name="_Toc8623579"/>
      <w:bookmarkStart w:id="335" w:name="_Toc11229420"/>
      <w:bookmarkStart w:id="336" w:name="_Toc104276574"/>
      <w:bookmarkStart w:id="337" w:name="_Toc127337975"/>
      <w:r>
        <w:rPr>
          <w:rStyle w:val="CharSectno"/>
        </w:rPr>
        <w:t>23B</w:t>
      </w:r>
      <w:r>
        <w:rPr>
          <w:snapToGrid w:val="0"/>
        </w:rPr>
        <w:t>.</w:t>
      </w:r>
      <w:r>
        <w:rPr>
          <w:snapToGrid w:val="0"/>
        </w:rPr>
        <w:tab/>
        <w:t>Application and marking out</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 xml:space="preserve">[Regulation 23B inserted in Gazette 24 Jun 1994 p. 2928; amended in Gazette 4 Apr 1997 p. 1778.] </w:t>
      </w:r>
    </w:p>
    <w:p>
      <w:pPr>
        <w:pStyle w:val="Ednotesection"/>
        <w:rPr>
          <w:b/>
        </w:rPr>
      </w:pPr>
      <w:bookmarkStart w:id="338" w:name="_Toc474633047"/>
      <w:bookmarkStart w:id="339" w:name="_Toc488740196"/>
      <w:r>
        <w:t>[</w:t>
      </w:r>
      <w:r>
        <w:rPr>
          <w:b/>
        </w:rPr>
        <w:t>23C.</w:t>
      </w:r>
      <w:r>
        <w:rPr>
          <w:b/>
        </w:rPr>
        <w:tab/>
      </w:r>
      <w:r>
        <w:t>Repealed in Gazette 2 Feb 2001 p. 712.]</w:t>
      </w:r>
    </w:p>
    <w:p>
      <w:pPr>
        <w:pStyle w:val="Heading5"/>
        <w:rPr>
          <w:snapToGrid w:val="0"/>
        </w:rPr>
      </w:pPr>
      <w:bookmarkStart w:id="340" w:name="_Toc8623580"/>
      <w:bookmarkStart w:id="341" w:name="_Toc11229421"/>
      <w:bookmarkStart w:id="342" w:name="_Toc104276575"/>
      <w:bookmarkStart w:id="343" w:name="_Toc127337976"/>
      <w:r>
        <w:rPr>
          <w:rStyle w:val="CharSectno"/>
        </w:rPr>
        <w:t>23D</w:t>
      </w:r>
      <w:r>
        <w:rPr>
          <w:snapToGrid w:val="0"/>
        </w:rPr>
        <w:t>.</w:t>
      </w:r>
      <w:r>
        <w:rPr>
          <w:snapToGrid w:val="0"/>
        </w:rPr>
        <w:tab/>
        <w:t xml:space="preserve">Instrument of </w:t>
      </w:r>
      <w:bookmarkEnd w:id="338"/>
      <w:bookmarkEnd w:id="339"/>
      <w:bookmarkEnd w:id="340"/>
      <w:r>
        <w:rPr>
          <w:snapToGrid w:val="0"/>
        </w:rPr>
        <w:t>licence</w:t>
      </w:r>
      <w:bookmarkEnd w:id="341"/>
      <w:bookmarkEnd w:id="342"/>
      <w:bookmarkEnd w:id="343"/>
      <w:r>
        <w:rPr>
          <w:snapToGrid w:val="0"/>
        </w:rPr>
        <w:t xml:space="preserve"> </w:t>
      </w:r>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 xml:space="preserve">[Regulation 23D inserted in Gazette 24 Jun 1994 p. 2928.] </w:t>
      </w:r>
    </w:p>
    <w:p>
      <w:pPr>
        <w:pStyle w:val="Heading5"/>
      </w:pPr>
      <w:bookmarkStart w:id="344" w:name="_Toc127337977"/>
      <w:bookmarkStart w:id="345" w:name="_Toc474633048"/>
      <w:bookmarkStart w:id="346" w:name="_Toc488740197"/>
      <w:bookmarkStart w:id="347" w:name="_Toc8623581"/>
      <w:bookmarkStart w:id="348" w:name="_Toc11229422"/>
      <w:bookmarkStart w:id="349" w:name="_Toc104276576"/>
      <w:r>
        <w:rPr>
          <w:rStyle w:val="CharSectno"/>
        </w:rPr>
        <w:t>23DA</w:t>
      </w:r>
      <w:r>
        <w:t>.</w:t>
      </w:r>
      <w:r>
        <w:tab/>
        <w:t>Programme of work for ground disturbing equipment</w:t>
      </w:r>
      <w:bookmarkEnd w:id="344"/>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spacing w:before="120"/>
        <w:rPr>
          <w:snapToGrid w:val="0"/>
        </w:rPr>
      </w:pPr>
      <w:bookmarkStart w:id="350" w:name="_Toc127337978"/>
      <w:r>
        <w:rPr>
          <w:rStyle w:val="CharSectno"/>
        </w:rPr>
        <w:t>23E</w:t>
      </w:r>
      <w:r>
        <w:rPr>
          <w:snapToGrid w:val="0"/>
        </w:rPr>
        <w:t>.</w:t>
      </w:r>
      <w:r>
        <w:rPr>
          <w:snapToGrid w:val="0"/>
        </w:rPr>
        <w:tab/>
        <w:t>Reports to be lodged</w:t>
      </w:r>
      <w:bookmarkEnd w:id="345"/>
      <w:bookmarkEnd w:id="346"/>
      <w:bookmarkEnd w:id="347"/>
      <w:bookmarkEnd w:id="348"/>
      <w:bookmarkEnd w:id="349"/>
      <w:bookmarkEnd w:id="350"/>
      <w:r>
        <w:rPr>
          <w:snapToGrid w:val="0"/>
        </w:rPr>
        <w:t xml:space="preserve"> </w:t>
      </w:r>
    </w:p>
    <w:p>
      <w:pPr>
        <w:pStyle w:val="Subsection"/>
        <w:spacing w:before="100"/>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 xml:space="preserve">lodged —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spacing w:before="140"/>
        <w:rPr>
          <w:snapToGrid w:val="0"/>
        </w:rPr>
      </w:pPr>
      <w:r>
        <w:rPr>
          <w:snapToGrid w:val="0"/>
        </w:rPr>
        <w:tab/>
        <w:t>(2)</w:t>
      </w:r>
      <w:r>
        <w:rPr>
          <w:snapToGrid w:val="0"/>
        </w:rPr>
        <w:tab/>
        <w:t xml:space="preserve">A person who, in a report required under section 70H(1)(f), gives information that the person knows is false or misleading in a material respect commits an offence. </w:t>
      </w:r>
    </w:p>
    <w:p>
      <w:pPr>
        <w:pStyle w:val="Footnotesection"/>
      </w:pPr>
      <w:r>
        <w:tab/>
        <w:t>[Regulation 23E inserted in Gazette 24 Jun 1994 p. 2928</w:t>
      </w:r>
      <w:r>
        <w:noBreakHyphen/>
        <w:t xml:space="preserve">9; amended in Gazette 17 Jan 2003 p. 111.] </w:t>
      </w:r>
    </w:p>
    <w:p>
      <w:pPr>
        <w:pStyle w:val="Heading5"/>
        <w:rPr>
          <w:snapToGrid w:val="0"/>
        </w:rPr>
      </w:pPr>
      <w:bookmarkStart w:id="351" w:name="_Toc474633049"/>
      <w:bookmarkStart w:id="352" w:name="_Toc488740198"/>
      <w:bookmarkStart w:id="353" w:name="_Toc8623582"/>
      <w:bookmarkStart w:id="354" w:name="_Toc11229423"/>
      <w:bookmarkStart w:id="355" w:name="_Toc104276577"/>
      <w:bookmarkStart w:id="356" w:name="_Toc127337979"/>
      <w:r>
        <w:rPr>
          <w:rStyle w:val="CharSectno"/>
        </w:rPr>
        <w:t>23F</w:t>
      </w:r>
      <w:r>
        <w:rPr>
          <w:snapToGrid w:val="0"/>
        </w:rPr>
        <w:t>.</w:t>
      </w:r>
      <w:r>
        <w:rPr>
          <w:snapToGrid w:val="0"/>
        </w:rPr>
        <w:tab/>
        <w:t>Application for renewal</w:t>
      </w:r>
      <w:bookmarkEnd w:id="351"/>
      <w:bookmarkEnd w:id="352"/>
      <w:bookmarkEnd w:id="353"/>
      <w:bookmarkEnd w:id="354"/>
      <w:bookmarkEnd w:id="355"/>
      <w:bookmarkEnd w:id="356"/>
      <w:r>
        <w:rPr>
          <w:snapToGrid w:val="0"/>
        </w:rPr>
        <w:t xml:space="preserve"> </w:t>
      </w:r>
    </w:p>
    <w:p>
      <w:pPr>
        <w:pStyle w:val="Subsection"/>
        <w:spacing w:before="100"/>
        <w:rPr>
          <w:snapToGrid w:val="0"/>
        </w:rPr>
      </w:pPr>
      <w:r>
        <w:rPr>
          <w:snapToGrid w:val="0"/>
        </w:rPr>
        <w:tab/>
        <w:t>(1)</w:t>
      </w:r>
      <w:r>
        <w:rPr>
          <w:snapToGrid w:val="0"/>
        </w:rPr>
        <w:tab/>
        <w:t>An application under section 70E(2) for the renewal or further renewal of a retention licence shall be —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0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23F inserted in Gazette 24 Jun 1994 p. 2929; amended in Gazette 2 Feb 2001 p. 712.] </w:t>
      </w:r>
    </w:p>
    <w:p>
      <w:pPr>
        <w:pStyle w:val="Heading5"/>
        <w:spacing w:before="120"/>
        <w:rPr>
          <w:snapToGrid w:val="0"/>
        </w:rPr>
      </w:pPr>
      <w:bookmarkStart w:id="357" w:name="_Toc474633050"/>
      <w:bookmarkStart w:id="358" w:name="_Toc488740199"/>
      <w:bookmarkStart w:id="359" w:name="_Toc8623583"/>
      <w:bookmarkStart w:id="360" w:name="_Toc11229424"/>
      <w:bookmarkStart w:id="361" w:name="_Toc104276578"/>
      <w:bookmarkStart w:id="362" w:name="_Toc127337980"/>
      <w:r>
        <w:rPr>
          <w:rStyle w:val="CharSectno"/>
        </w:rPr>
        <w:t>23G</w:t>
      </w:r>
      <w:r>
        <w:rPr>
          <w:snapToGrid w:val="0"/>
        </w:rPr>
        <w:t>.</w:t>
      </w:r>
      <w:r>
        <w:rPr>
          <w:snapToGrid w:val="0"/>
        </w:rPr>
        <w:tab/>
        <w:t>Limit on amount of earth, etc., that may be removed</w:t>
      </w:r>
      <w:bookmarkEnd w:id="357"/>
      <w:bookmarkEnd w:id="358"/>
      <w:bookmarkEnd w:id="359"/>
      <w:bookmarkEnd w:id="360"/>
      <w:bookmarkEnd w:id="361"/>
      <w:bookmarkEnd w:id="362"/>
      <w:r>
        <w:rPr>
          <w:snapToGrid w:val="0"/>
        </w:rPr>
        <w:t xml:space="preserve"> </w:t>
      </w:r>
    </w:p>
    <w:p>
      <w:pPr>
        <w:pStyle w:val="Subsection"/>
        <w:spacing w:before="10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 xml:space="preserve">[Regulation 23G inserted in Gazette 24 Jun 1994 p. 2929.] </w:t>
      </w:r>
    </w:p>
    <w:p>
      <w:pPr>
        <w:pStyle w:val="Ednotesection"/>
        <w:rPr>
          <w:b/>
        </w:rPr>
      </w:pPr>
      <w:bookmarkStart w:id="363" w:name="_Toc74978863"/>
      <w:bookmarkStart w:id="364" w:name="_Toc74979127"/>
      <w:bookmarkStart w:id="365" w:name="_Toc79976425"/>
      <w:bookmarkStart w:id="366" w:name="_Toc80759696"/>
      <w:bookmarkStart w:id="367" w:name="_Toc80783459"/>
      <w:bookmarkStart w:id="368" w:name="_Toc94931126"/>
      <w:bookmarkStart w:id="369" w:name="_Toc104275249"/>
      <w:bookmarkStart w:id="370" w:name="_Toc104276580"/>
      <w:bookmarkStart w:id="371" w:name="_Toc107198801"/>
      <w:bookmarkStart w:id="372" w:name="_Toc107799252"/>
      <w:bookmarkStart w:id="373" w:name="_Toc127087259"/>
      <w:r>
        <w:t>[</w:t>
      </w:r>
      <w:r>
        <w:rPr>
          <w:b/>
        </w:rPr>
        <w:t>23H.</w:t>
      </w:r>
      <w:r>
        <w:rPr>
          <w:b/>
        </w:rPr>
        <w:tab/>
      </w:r>
      <w:r>
        <w:t>Repealed in Gazette 3 Feb 2006 p. 590.]</w:t>
      </w:r>
    </w:p>
    <w:p>
      <w:pPr>
        <w:pStyle w:val="Heading3"/>
        <w:spacing w:before="120"/>
        <w:rPr>
          <w:snapToGrid w:val="0"/>
        </w:rPr>
      </w:pPr>
      <w:bookmarkStart w:id="374" w:name="_Toc127183560"/>
      <w:bookmarkStart w:id="375" w:name="_Toc127337981"/>
      <w:r>
        <w:rPr>
          <w:rStyle w:val="CharDivNo"/>
        </w:rPr>
        <w:t>Division 3</w:t>
      </w:r>
      <w:r>
        <w:rPr>
          <w:snapToGrid w:val="0"/>
        </w:rPr>
        <w:t> — </w:t>
      </w:r>
      <w:r>
        <w:rPr>
          <w:rStyle w:val="CharDivText"/>
        </w:rPr>
        <w:t>Mining leases</w:t>
      </w:r>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5"/>
        <w:spacing w:before="120"/>
        <w:rPr>
          <w:snapToGrid w:val="0"/>
        </w:rPr>
      </w:pPr>
      <w:bookmarkStart w:id="376" w:name="_Toc474633052"/>
      <w:bookmarkStart w:id="377" w:name="_Toc488740201"/>
      <w:bookmarkStart w:id="378" w:name="_Toc8623585"/>
      <w:bookmarkStart w:id="379" w:name="_Toc11229426"/>
      <w:bookmarkStart w:id="380" w:name="_Toc104276581"/>
      <w:bookmarkStart w:id="381" w:name="_Toc127337982"/>
      <w:r>
        <w:rPr>
          <w:rStyle w:val="CharSectno"/>
        </w:rPr>
        <w:t>24</w:t>
      </w:r>
      <w:r>
        <w:rPr>
          <w:snapToGrid w:val="0"/>
        </w:rPr>
        <w:t>.</w:t>
      </w:r>
      <w:r>
        <w:rPr>
          <w:snapToGrid w:val="0"/>
        </w:rPr>
        <w:tab/>
        <w:t>Marking out and application</w:t>
      </w:r>
      <w:bookmarkEnd w:id="376"/>
      <w:bookmarkEnd w:id="377"/>
      <w:bookmarkEnd w:id="378"/>
      <w:bookmarkEnd w:id="379"/>
      <w:bookmarkEnd w:id="380"/>
      <w:bookmarkEnd w:id="381"/>
      <w:r>
        <w:rPr>
          <w:snapToGrid w:val="0"/>
        </w:rPr>
        <w:t xml:space="preserve"> </w:t>
      </w:r>
    </w:p>
    <w:p>
      <w:pPr>
        <w:pStyle w:val="Subsection"/>
        <w:spacing w:before="100"/>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382" w:name="_Toc127337983"/>
      <w:bookmarkStart w:id="383" w:name="_Toc474633054"/>
      <w:bookmarkStart w:id="384" w:name="_Toc488740203"/>
      <w:bookmarkStart w:id="385" w:name="_Toc8623586"/>
      <w:bookmarkStart w:id="386" w:name="_Toc11229427"/>
      <w:bookmarkStart w:id="387" w:name="_Toc104276582"/>
      <w:r>
        <w:rPr>
          <w:rStyle w:val="CharSectno"/>
        </w:rPr>
        <w:t>25</w:t>
      </w:r>
      <w:r>
        <w:t>.</w:t>
      </w:r>
      <w:r>
        <w:tab/>
        <w:t>Guidelines under Part IV Division 3 of the Act</w:t>
      </w:r>
      <w:bookmarkEnd w:id="382"/>
    </w:p>
    <w:p>
      <w:pPr>
        <w:pStyle w:val="Subsection"/>
      </w:pPr>
      <w:r>
        <w:tab/>
      </w:r>
      <w:r>
        <w:tab/>
        <w:t xml:space="preserve">For the purposes of section 70P —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388" w:name="_Toc127337984"/>
      <w:r>
        <w:rPr>
          <w:rStyle w:val="CharSectno"/>
        </w:rPr>
        <w:t>25A</w:t>
      </w:r>
      <w:r>
        <w:t>.</w:t>
      </w:r>
      <w:r>
        <w:tab/>
        <w:t>Marking out after grant of lease</w:t>
      </w:r>
      <w:bookmarkEnd w:id="388"/>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389" w:name="_Toc127337985"/>
      <w:r>
        <w:t>25B.</w:t>
      </w:r>
      <w:r>
        <w:tab/>
        <w:t>Fees for copies of certain documents</w:t>
      </w:r>
      <w:bookmarkEnd w:id="389"/>
    </w:p>
    <w:p>
      <w:pPr>
        <w:pStyle w:val="Subsection"/>
      </w:pPr>
      <w:r>
        <w:tab/>
      </w:r>
      <w:r>
        <w:tab/>
        <w:t xml:space="preserve">A person who wishes to obtain —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the Second Schedule.</w:t>
      </w:r>
    </w:p>
    <w:p>
      <w:pPr>
        <w:pStyle w:val="Footnotesection"/>
      </w:pPr>
      <w:r>
        <w:tab/>
        <w:t>[Regulation 25B inserted in Gazette 3 Feb 2006 p. 590.]</w:t>
      </w:r>
    </w:p>
    <w:p>
      <w:pPr>
        <w:pStyle w:val="Heading5"/>
      </w:pPr>
      <w:bookmarkStart w:id="390" w:name="_Toc127337986"/>
      <w:r>
        <w:t>25C.</w:t>
      </w:r>
      <w:r>
        <w:tab/>
        <w:t>Qualified persons — section 74</w:t>
      </w:r>
      <w:bookmarkEnd w:id="390"/>
    </w:p>
    <w:p>
      <w:pPr>
        <w:pStyle w:val="Subsection"/>
      </w:pPr>
      <w:r>
        <w:tab/>
      </w:r>
      <w:r>
        <w:tab/>
        <w:t xml:space="preserve">For the purposes of paragraph (a) of the definition of “qualified person” in section 74(7) each of the following is a prescribed body —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2C inserted in Gazette 3 Feb 2006 p. 591.]</w:t>
      </w:r>
    </w:p>
    <w:p>
      <w:pPr>
        <w:pStyle w:val="Heading5"/>
        <w:spacing w:before="120"/>
        <w:rPr>
          <w:snapToGrid w:val="0"/>
        </w:rPr>
      </w:pPr>
      <w:bookmarkStart w:id="391" w:name="_Toc127337987"/>
      <w:r>
        <w:rPr>
          <w:rStyle w:val="CharSectno"/>
        </w:rPr>
        <w:t>26</w:t>
      </w:r>
      <w:r>
        <w:rPr>
          <w:snapToGrid w:val="0"/>
        </w:rPr>
        <w:t>.</w:t>
      </w:r>
      <w:r>
        <w:rPr>
          <w:snapToGrid w:val="0"/>
        </w:rPr>
        <w:tab/>
        <w:t>Instrument of lease</w:t>
      </w:r>
      <w:bookmarkEnd w:id="383"/>
      <w:bookmarkEnd w:id="384"/>
      <w:bookmarkEnd w:id="385"/>
      <w:bookmarkEnd w:id="386"/>
      <w:bookmarkEnd w:id="387"/>
      <w:bookmarkEnd w:id="391"/>
      <w:r>
        <w:rPr>
          <w:snapToGrid w:val="0"/>
        </w:rPr>
        <w:t xml:space="preserve"> </w:t>
      </w:r>
    </w:p>
    <w:p>
      <w:pPr>
        <w:pStyle w:val="Subsection"/>
        <w:spacing w:before="100"/>
        <w:rPr>
          <w:snapToGrid w:val="0"/>
        </w:rPr>
      </w:pPr>
      <w:r>
        <w:rPr>
          <w:snapToGrid w:val="0"/>
        </w:rPr>
        <w:tab/>
      </w:r>
      <w:r>
        <w:rPr>
          <w:snapToGrid w:val="0"/>
        </w:rPr>
        <w:tab/>
        <w:t>The instrument of lease for a mining lease shall be in the form No. 8 in the First Schedule.</w:t>
      </w:r>
    </w:p>
    <w:p>
      <w:pPr>
        <w:pStyle w:val="Heading5"/>
        <w:keepNext w:val="0"/>
        <w:spacing w:before="200"/>
        <w:rPr>
          <w:snapToGrid w:val="0"/>
        </w:rPr>
      </w:pPr>
      <w:bookmarkStart w:id="392" w:name="_Toc474633055"/>
      <w:bookmarkStart w:id="393" w:name="_Toc488740204"/>
      <w:bookmarkStart w:id="394" w:name="_Toc8623587"/>
      <w:bookmarkStart w:id="395" w:name="_Toc11229428"/>
      <w:bookmarkStart w:id="396" w:name="_Toc104276583"/>
      <w:bookmarkStart w:id="397" w:name="_Toc127337988"/>
      <w:r>
        <w:rPr>
          <w:rStyle w:val="CharSectno"/>
        </w:rPr>
        <w:t>27</w:t>
      </w:r>
      <w:r>
        <w:rPr>
          <w:snapToGrid w:val="0"/>
        </w:rPr>
        <w:t>.</w:t>
      </w:r>
      <w:r>
        <w:rPr>
          <w:snapToGrid w:val="0"/>
        </w:rPr>
        <w:tab/>
        <w:t>Covenants</w:t>
      </w:r>
      <w:bookmarkEnd w:id="392"/>
      <w:bookmarkEnd w:id="393"/>
      <w:bookmarkEnd w:id="394"/>
      <w:bookmarkEnd w:id="395"/>
      <w:bookmarkEnd w:id="396"/>
      <w:bookmarkEnd w:id="397"/>
      <w:r>
        <w:rPr>
          <w:snapToGrid w:val="0"/>
        </w:rPr>
        <w:t xml:space="preserve"> </w:t>
      </w:r>
    </w:p>
    <w:p>
      <w:pPr>
        <w:pStyle w:val="Subsection"/>
        <w:spacing w:before="100"/>
        <w:rPr>
          <w:snapToGrid w:val="0"/>
        </w:rPr>
      </w:pPr>
      <w:r>
        <w:rPr>
          <w:snapToGrid w:val="0"/>
        </w:rPr>
        <w:tab/>
      </w:r>
      <w:r>
        <w:rPr>
          <w:snapToGrid w:val="0"/>
        </w:rPr>
        <w:tab/>
        <w:t>Every mining lease shall contain and be subject to the following covenants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spacing w:before="120"/>
        <w:rPr>
          <w:snapToGrid w:val="0"/>
        </w:rPr>
      </w:pPr>
      <w:bookmarkStart w:id="398" w:name="_Toc474633056"/>
      <w:bookmarkStart w:id="399" w:name="_Toc488740205"/>
      <w:bookmarkStart w:id="400" w:name="_Toc8623588"/>
      <w:bookmarkStart w:id="401" w:name="_Toc11229429"/>
      <w:bookmarkStart w:id="402" w:name="_Toc104276584"/>
      <w:bookmarkStart w:id="403" w:name="_Toc127337989"/>
      <w:r>
        <w:rPr>
          <w:rStyle w:val="CharSectno"/>
        </w:rPr>
        <w:t>28</w:t>
      </w:r>
      <w:r>
        <w:rPr>
          <w:snapToGrid w:val="0"/>
        </w:rPr>
        <w:t>.</w:t>
      </w:r>
      <w:r>
        <w:rPr>
          <w:snapToGrid w:val="0"/>
        </w:rPr>
        <w:tab/>
        <w:t>Additional condition</w:t>
      </w:r>
      <w:bookmarkEnd w:id="398"/>
      <w:bookmarkEnd w:id="399"/>
      <w:bookmarkEnd w:id="400"/>
      <w:bookmarkEnd w:id="401"/>
      <w:bookmarkEnd w:id="402"/>
      <w:bookmarkEnd w:id="403"/>
      <w:r>
        <w:rPr>
          <w:snapToGrid w:val="0"/>
        </w:rPr>
        <w:t xml:space="preserve"> </w:t>
      </w:r>
    </w:p>
    <w:p>
      <w:pPr>
        <w:pStyle w:val="Subsection"/>
        <w:spacing w:before="10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spacing w:before="120"/>
        <w:rPr>
          <w:snapToGrid w:val="0"/>
        </w:rPr>
      </w:pPr>
      <w:bookmarkStart w:id="404" w:name="_Toc474633057"/>
      <w:bookmarkStart w:id="405" w:name="_Toc488740206"/>
      <w:bookmarkStart w:id="406" w:name="_Toc8623589"/>
      <w:bookmarkStart w:id="407" w:name="_Toc11229430"/>
      <w:bookmarkStart w:id="408" w:name="_Toc104276585"/>
      <w:bookmarkStart w:id="409" w:name="_Toc127337990"/>
      <w:r>
        <w:rPr>
          <w:rStyle w:val="CharSectno"/>
        </w:rPr>
        <w:t>28A</w:t>
      </w:r>
      <w:r>
        <w:rPr>
          <w:snapToGrid w:val="0"/>
        </w:rPr>
        <w:t>.</w:t>
      </w:r>
      <w:r>
        <w:rPr>
          <w:snapToGrid w:val="0"/>
        </w:rPr>
        <w:tab/>
        <w:t>Additional rent for mining lease producing iron ore</w:t>
      </w:r>
      <w:bookmarkEnd w:id="404"/>
      <w:bookmarkEnd w:id="405"/>
      <w:bookmarkEnd w:id="406"/>
      <w:bookmarkEnd w:id="407"/>
      <w:bookmarkEnd w:id="408"/>
      <w:bookmarkEnd w:id="409"/>
      <w:r>
        <w:rPr>
          <w:snapToGrid w:val="0"/>
        </w:rPr>
        <w:t xml:space="preserve"> </w:t>
      </w:r>
    </w:p>
    <w:p>
      <w:pPr>
        <w:pStyle w:val="Subsection"/>
        <w:spacing w:before="100"/>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 xml:space="preserve">[Regulation 28A inserted in Gazette 13 Sep 1996 p. 4598.] </w:t>
      </w:r>
    </w:p>
    <w:p>
      <w:pPr>
        <w:pStyle w:val="Heading5"/>
        <w:rPr>
          <w:snapToGrid w:val="0"/>
        </w:rPr>
      </w:pPr>
      <w:bookmarkStart w:id="410" w:name="_Toc474633058"/>
      <w:bookmarkStart w:id="411" w:name="_Toc488740207"/>
      <w:bookmarkStart w:id="412" w:name="_Toc8623590"/>
      <w:bookmarkStart w:id="413" w:name="_Toc11229431"/>
      <w:bookmarkStart w:id="414" w:name="_Toc104276586"/>
      <w:bookmarkStart w:id="415" w:name="_Toc127337991"/>
      <w:r>
        <w:rPr>
          <w:rStyle w:val="CharSectno"/>
        </w:rPr>
        <w:t>29</w:t>
      </w:r>
      <w:r>
        <w:rPr>
          <w:snapToGrid w:val="0"/>
        </w:rPr>
        <w:t>.</w:t>
      </w:r>
      <w:r>
        <w:rPr>
          <w:snapToGrid w:val="0"/>
        </w:rPr>
        <w:tab/>
        <w:t>Application for renewal</w:t>
      </w:r>
      <w:bookmarkEnd w:id="410"/>
      <w:bookmarkEnd w:id="411"/>
      <w:bookmarkEnd w:id="412"/>
      <w:bookmarkEnd w:id="413"/>
      <w:bookmarkEnd w:id="414"/>
      <w:bookmarkEnd w:id="415"/>
      <w:r>
        <w:rPr>
          <w:snapToGrid w:val="0"/>
        </w:rPr>
        <w:t xml:space="preserve"> </w:t>
      </w:r>
    </w:p>
    <w:p>
      <w:pPr>
        <w:pStyle w:val="Subsection"/>
        <w:spacing w:before="120"/>
        <w:rPr>
          <w:snapToGrid w:val="0"/>
        </w:rPr>
      </w:pPr>
      <w:r>
        <w:rPr>
          <w:snapToGrid w:val="0"/>
        </w:rPr>
        <w:tab/>
        <w:t>(1)</w:t>
      </w:r>
      <w:r>
        <w:rPr>
          <w:snapToGrid w:val="0"/>
        </w:rPr>
        <w:tab/>
        <w:t>Application for renewal of a mining lease under section 78 shall be —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29 inserted in Gazette 2 Oct 1987 p. 3816; amended in Gazette 2 Feb 2001 p. 712.] </w:t>
      </w:r>
    </w:p>
    <w:p>
      <w:pPr>
        <w:pStyle w:val="Heading5"/>
        <w:rPr>
          <w:snapToGrid w:val="0"/>
        </w:rPr>
      </w:pPr>
      <w:bookmarkStart w:id="416" w:name="_Toc474633059"/>
      <w:bookmarkStart w:id="417" w:name="_Toc488740208"/>
      <w:bookmarkStart w:id="418" w:name="_Toc8623591"/>
      <w:bookmarkStart w:id="419" w:name="_Toc11229432"/>
      <w:bookmarkStart w:id="420" w:name="_Toc104276587"/>
      <w:bookmarkStart w:id="421" w:name="_Toc127337992"/>
      <w:r>
        <w:rPr>
          <w:rStyle w:val="CharSectno"/>
        </w:rPr>
        <w:t>30</w:t>
      </w:r>
      <w:r>
        <w:rPr>
          <w:snapToGrid w:val="0"/>
        </w:rPr>
        <w:t>.</w:t>
      </w:r>
      <w:r>
        <w:rPr>
          <w:snapToGrid w:val="0"/>
        </w:rPr>
        <w:tab/>
        <w:t>Notice required by section 56A(8), 70(6) or 85B(3)</w:t>
      </w:r>
      <w:bookmarkEnd w:id="416"/>
      <w:bookmarkEnd w:id="417"/>
      <w:bookmarkEnd w:id="418"/>
      <w:bookmarkEnd w:id="419"/>
      <w:bookmarkEnd w:id="420"/>
      <w:bookmarkEnd w:id="421"/>
      <w:r>
        <w:rPr>
          <w:snapToGrid w:val="0"/>
        </w:rPr>
        <w:t xml:space="preserve"> </w:t>
      </w:r>
    </w:p>
    <w:p>
      <w:pPr>
        <w:pStyle w:val="Subsection"/>
        <w:spacing w:before="120"/>
        <w:rPr>
          <w:snapToGrid w:val="0"/>
        </w:rPr>
      </w:pPr>
      <w:r>
        <w:rPr>
          <w:snapToGrid w:val="0"/>
        </w:rPr>
        <w:tab/>
      </w:r>
      <w:r>
        <w:rPr>
          <w:snapToGrid w:val="0"/>
        </w:rPr>
        <w:tab/>
        <w:t>When the holder of —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 xml:space="preserve">[Regulation 30 inserted in Gazette 24 Jun 1994 p. 2930.] </w:t>
      </w:r>
    </w:p>
    <w:p>
      <w:pPr>
        <w:pStyle w:val="Heading5"/>
        <w:rPr>
          <w:snapToGrid w:val="0"/>
        </w:rPr>
      </w:pPr>
      <w:bookmarkStart w:id="422" w:name="_Toc474633060"/>
      <w:bookmarkStart w:id="423" w:name="_Toc488740209"/>
      <w:bookmarkStart w:id="424" w:name="_Toc8623592"/>
      <w:bookmarkStart w:id="425" w:name="_Toc11229433"/>
      <w:bookmarkStart w:id="426" w:name="_Toc104276588"/>
      <w:bookmarkStart w:id="427" w:name="_Toc127337993"/>
      <w:r>
        <w:rPr>
          <w:rStyle w:val="CharSectno"/>
        </w:rPr>
        <w:t>31</w:t>
      </w:r>
      <w:r>
        <w:rPr>
          <w:snapToGrid w:val="0"/>
        </w:rPr>
        <w:t>.</w:t>
      </w:r>
      <w:r>
        <w:rPr>
          <w:snapToGrid w:val="0"/>
        </w:rPr>
        <w:tab/>
        <w:t>Expenditure condition</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 xml:space="preserve">[Regulation 31 amended in Gazette 16 Nov 1990 p. 5728; 31 Jul 1992 p. 3776; 11 Jun 1999 p. 2544; 18 Jun 1999 p. 2643; 17 Jan 2003 p. 111.] </w:t>
      </w:r>
    </w:p>
    <w:p>
      <w:pPr>
        <w:pStyle w:val="Heading5"/>
      </w:pPr>
      <w:bookmarkStart w:id="428" w:name="_Toc127337994"/>
      <w:bookmarkStart w:id="429" w:name="_Toc474633061"/>
      <w:bookmarkStart w:id="430" w:name="_Toc488740210"/>
      <w:bookmarkStart w:id="431" w:name="_Toc8623593"/>
      <w:bookmarkStart w:id="432" w:name="_Toc11229434"/>
      <w:bookmarkStart w:id="433" w:name="_Toc104276589"/>
      <w:r>
        <w:rPr>
          <w:rStyle w:val="CharSectno"/>
        </w:rPr>
        <w:t>31A</w:t>
      </w:r>
      <w:r>
        <w:t>.</w:t>
      </w:r>
      <w:r>
        <w:tab/>
        <w:t>Programme of work for ground disturbing equipment</w:t>
      </w:r>
      <w:bookmarkEnd w:id="428"/>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434" w:name="_Toc127337995"/>
      <w:r>
        <w:rPr>
          <w:rStyle w:val="CharSectno"/>
        </w:rPr>
        <w:t>32</w:t>
      </w:r>
      <w:r>
        <w:rPr>
          <w:snapToGrid w:val="0"/>
        </w:rPr>
        <w:t>.</w:t>
      </w:r>
      <w:r>
        <w:rPr>
          <w:snapToGrid w:val="0"/>
        </w:rPr>
        <w:tab/>
        <w:t>Reports to be filed</w:t>
      </w:r>
      <w:bookmarkEnd w:id="429"/>
      <w:bookmarkEnd w:id="430"/>
      <w:bookmarkEnd w:id="431"/>
      <w:bookmarkEnd w:id="432"/>
      <w:bookmarkEnd w:id="433"/>
      <w:bookmarkEnd w:id="434"/>
      <w:r>
        <w:rPr>
          <w:snapToGrid w:val="0"/>
        </w:rPr>
        <w:t xml:space="preserve"> </w:t>
      </w:r>
    </w:p>
    <w:p>
      <w:pPr>
        <w:pStyle w:val="Subsection"/>
      </w:pPr>
      <w:r>
        <w:rPr>
          <w:snapToGrid w:val="0"/>
        </w:rPr>
        <w:tab/>
        <w:t>(1)</w:t>
      </w:r>
      <w:r>
        <w:rPr>
          <w:snapToGrid w:val="0"/>
        </w:rPr>
        <w:tab/>
        <w:t xml:space="preserve">The reports required under section 82(1) shall be in the form No. 5 in the First Schedule and </w:t>
      </w:r>
      <w:r>
        <w:t xml:space="preserve">filed —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 xml:space="preserve">[Regulation 32 amended in Gazette 2 Oct 1987 p. 3816; 2 Jul 1993 p. 3270; 17 Jan 2003 p. 112.] </w:t>
      </w:r>
    </w:p>
    <w:p>
      <w:pPr>
        <w:pStyle w:val="Heading5"/>
      </w:pPr>
      <w:bookmarkStart w:id="435" w:name="_Toc127337996"/>
      <w:bookmarkStart w:id="436" w:name="_Toc74978873"/>
      <w:bookmarkStart w:id="437" w:name="_Toc74979137"/>
      <w:bookmarkStart w:id="438" w:name="_Toc79976435"/>
      <w:bookmarkStart w:id="439" w:name="_Toc80759706"/>
      <w:bookmarkStart w:id="440" w:name="_Toc80783469"/>
      <w:bookmarkStart w:id="441" w:name="_Toc94931136"/>
      <w:bookmarkStart w:id="442" w:name="_Toc104275259"/>
      <w:bookmarkStart w:id="443" w:name="_Toc104276590"/>
      <w:bookmarkStart w:id="444" w:name="_Toc107198811"/>
      <w:bookmarkStart w:id="445" w:name="_Toc107799262"/>
      <w:bookmarkStart w:id="446" w:name="_Toc127087269"/>
      <w:r>
        <w:rPr>
          <w:rStyle w:val="CharSectno"/>
        </w:rPr>
        <w:t>32A</w:t>
      </w:r>
      <w:r>
        <w:t>.</w:t>
      </w:r>
      <w:r>
        <w:tab/>
        <w:t>Condition under section 82A</w:t>
      </w:r>
      <w:bookmarkEnd w:id="435"/>
    </w:p>
    <w:p>
      <w:pPr>
        <w:pStyle w:val="Subsection"/>
      </w:pPr>
      <w:r>
        <w:tab/>
        <w:t>(1)</w:t>
      </w:r>
      <w:r>
        <w:tab/>
        <w:t xml:space="preserve">For the purposes of section 82A(2) the following kinds of mining operations are prescribed —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rPr>
          <w:snapToGrid w:val="0"/>
        </w:rPr>
      </w:pPr>
      <w:bookmarkStart w:id="447" w:name="_Toc127183576"/>
      <w:bookmarkStart w:id="448" w:name="_Toc127337997"/>
      <w:r>
        <w:rPr>
          <w:rStyle w:val="CharDivNo"/>
        </w:rPr>
        <w:t>Division 4</w:t>
      </w:r>
      <w:r>
        <w:rPr>
          <w:snapToGrid w:val="0"/>
        </w:rPr>
        <w:t> — </w:t>
      </w:r>
      <w:r>
        <w:rPr>
          <w:rStyle w:val="CharDivText"/>
        </w:rPr>
        <w:t>General purpose leases</w:t>
      </w:r>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DivText"/>
        </w:rPr>
        <w:t xml:space="preserve"> </w:t>
      </w:r>
    </w:p>
    <w:p>
      <w:pPr>
        <w:pStyle w:val="Heading5"/>
        <w:rPr>
          <w:snapToGrid w:val="0"/>
        </w:rPr>
      </w:pPr>
      <w:bookmarkStart w:id="449" w:name="_Toc474633062"/>
      <w:bookmarkStart w:id="450" w:name="_Toc488740211"/>
      <w:bookmarkStart w:id="451" w:name="_Toc8623594"/>
      <w:bookmarkStart w:id="452" w:name="_Toc11229435"/>
      <w:bookmarkStart w:id="453" w:name="_Toc104276591"/>
      <w:bookmarkStart w:id="454" w:name="_Toc127337998"/>
      <w:r>
        <w:rPr>
          <w:rStyle w:val="CharSectno"/>
        </w:rPr>
        <w:t>33</w:t>
      </w:r>
      <w:r>
        <w:rPr>
          <w:snapToGrid w:val="0"/>
        </w:rPr>
        <w:t>.</w:t>
      </w:r>
      <w:r>
        <w:rPr>
          <w:snapToGrid w:val="0"/>
        </w:rPr>
        <w:tab/>
        <w:t>Marking out and application</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455" w:name="_Toc474633064"/>
      <w:bookmarkStart w:id="456" w:name="_Toc488740213"/>
      <w:r>
        <w:t>[</w:t>
      </w:r>
      <w:r>
        <w:rPr>
          <w:b/>
        </w:rPr>
        <w:t>34.</w:t>
      </w:r>
      <w:r>
        <w:rPr>
          <w:b/>
        </w:rPr>
        <w:tab/>
      </w:r>
      <w:r>
        <w:t>Repealed in Gazette 2 Feb 2001 p. 712.]</w:t>
      </w:r>
    </w:p>
    <w:p>
      <w:pPr>
        <w:pStyle w:val="Heading5"/>
        <w:spacing w:before="160"/>
        <w:rPr>
          <w:snapToGrid w:val="0"/>
        </w:rPr>
      </w:pPr>
      <w:bookmarkStart w:id="457" w:name="_Toc8623595"/>
      <w:bookmarkStart w:id="458" w:name="_Toc11229436"/>
      <w:bookmarkStart w:id="459" w:name="_Toc104276592"/>
      <w:bookmarkStart w:id="460" w:name="_Toc127337999"/>
      <w:r>
        <w:rPr>
          <w:rStyle w:val="CharSectno"/>
        </w:rPr>
        <w:t>35</w:t>
      </w:r>
      <w:r>
        <w:rPr>
          <w:snapToGrid w:val="0"/>
        </w:rPr>
        <w:t>.</w:t>
      </w:r>
      <w:r>
        <w:rPr>
          <w:snapToGrid w:val="0"/>
        </w:rPr>
        <w:tab/>
        <w:t>Instrument of lease</w:t>
      </w:r>
      <w:bookmarkEnd w:id="455"/>
      <w:bookmarkEnd w:id="456"/>
      <w:bookmarkEnd w:id="457"/>
      <w:bookmarkEnd w:id="458"/>
      <w:bookmarkEnd w:id="459"/>
      <w:bookmarkEnd w:id="460"/>
      <w:r>
        <w:rPr>
          <w:snapToGrid w:val="0"/>
        </w:rPr>
        <w:t xml:space="preserve"> </w:t>
      </w:r>
    </w:p>
    <w:p>
      <w:pPr>
        <w:pStyle w:val="Subsection"/>
        <w:spacing w:before="100"/>
        <w:rPr>
          <w:snapToGrid w:val="0"/>
        </w:rPr>
      </w:pPr>
      <w:r>
        <w:rPr>
          <w:snapToGrid w:val="0"/>
        </w:rPr>
        <w:tab/>
      </w:r>
      <w:r>
        <w:rPr>
          <w:snapToGrid w:val="0"/>
        </w:rPr>
        <w:tab/>
        <w:t>The instrument of lease for a general purpose lease shall be in the form No. 10 in the First Schedule.</w:t>
      </w:r>
    </w:p>
    <w:p>
      <w:pPr>
        <w:pStyle w:val="Heading5"/>
        <w:spacing w:before="160"/>
        <w:rPr>
          <w:snapToGrid w:val="0"/>
        </w:rPr>
      </w:pPr>
      <w:bookmarkStart w:id="461" w:name="_Toc474633065"/>
      <w:bookmarkStart w:id="462" w:name="_Toc488740214"/>
      <w:bookmarkStart w:id="463" w:name="_Toc8623596"/>
      <w:bookmarkStart w:id="464" w:name="_Toc11229437"/>
      <w:bookmarkStart w:id="465" w:name="_Toc104276593"/>
      <w:bookmarkStart w:id="466" w:name="_Toc127338000"/>
      <w:r>
        <w:rPr>
          <w:rStyle w:val="CharSectno"/>
        </w:rPr>
        <w:t>36</w:t>
      </w:r>
      <w:r>
        <w:rPr>
          <w:snapToGrid w:val="0"/>
        </w:rPr>
        <w:t>.</w:t>
      </w:r>
      <w:r>
        <w:rPr>
          <w:snapToGrid w:val="0"/>
        </w:rPr>
        <w:tab/>
        <w:t>Covenants and conditions</w:t>
      </w:r>
      <w:bookmarkEnd w:id="461"/>
      <w:bookmarkEnd w:id="462"/>
      <w:bookmarkEnd w:id="463"/>
      <w:bookmarkEnd w:id="464"/>
      <w:bookmarkEnd w:id="465"/>
      <w:bookmarkEnd w:id="466"/>
      <w:r>
        <w:rPr>
          <w:snapToGrid w:val="0"/>
        </w:rPr>
        <w:t xml:space="preserve"> </w:t>
      </w:r>
    </w:p>
    <w:p>
      <w:pPr>
        <w:pStyle w:val="Subsection"/>
        <w:spacing w:before="100"/>
        <w:rPr>
          <w:snapToGrid w:val="0"/>
        </w:rPr>
      </w:pPr>
      <w:r>
        <w:rPr>
          <w:snapToGrid w:val="0"/>
        </w:rPr>
        <w:tab/>
      </w:r>
      <w:r>
        <w:rPr>
          <w:snapToGrid w:val="0"/>
        </w:rPr>
        <w:tab/>
        <w:t>Every general purpose lease shall contain and be subject to the following covenants and conditions that the lessee shall —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 xml:space="preserve">[Regulation 36 amended in Gazette 2 Oct 1987 p. 3837; 3 Feb 2006 p. 519.] </w:t>
      </w:r>
    </w:p>
    <w:p>
      <w:pPr>
        <w:pStyle w:val="Heading5"/>
        <w:rPr>
          <w:snapToGrid w:val="0"/>
        </w:rPr>
      </w:pPr>
      <w:bookmarkStart w:id="467" w:name="_Toc474633066"/>
      <w:bookmarkStart w:id="468" w:name="_Toc488740215"/>
      <w:bookmarkStart w:id="469" w:name="_Toc8623597"/>
      <w:bookmarkStart w:id="470" w:name="_Toc11229438"/>
      <w:bookmarkStart w:id="471" w:name="_Toc104276594"/>
      <w:bookmarkStart w:id="472" w:name="_Toc127338001"/>
      <w:r>
        <w:rPr>
          <w:rStyle w:val="CharSectno"/>
        </w:rPr>
        <w:t>36A</w:t>
      </w:r>
      <w:r>
        <w:rPr>
          <w:snapToGrid w:val="0"/>
        </w:rPr>
        <w:t>.</w:t>
      </w:r>
      <w:r>
        <w:rPr>
          <w:snapToGrid w:val="0"/>
        </w:rPr>
        <w:tab/>
        <w:t>Application for renewal</w:t>
      </w:r>
      <w:bookmarkEnd w:id="467"/>
      <w:bookmarkEnd w:id="468"/>
      <w:bookmarkEnd w:id="469"/>
      <w:bookmarkEnd w:id="470"/>
      <w:bookmarkEnd w:id="471"/>
      <w:bookmarkEnd w:id="472"/>
      <w:r>
        <w:rPr>
          <w:snapToGrid w:val="0"/>
        </w:rPr>
        <w:t xml:space="preserve"> </w:t>
      </w:r>
    </w:p>
    <w:p>
      <w:pPr>
        <w:pStyle w:val="Subsection"/>
        <w:spacing w:before="110"/>
        <w:rPr>
          <w:snapToGrid w:val="0"/>
        </w:rPr>
      </w:pPr>
      <w:r>
        <w:rPr>
          <w:snapToGrid w:val="0"/>
        </w:rPr>
        <w:tab/>
        <w:t>(1)</w:t>
      </w:r>
      <w:r>
        <w:rPr>
          <w:snapToGrid w:val="0"/>
        </w:rPr>
        <w:tab/>
        <w:t>Application for renewal of a general purpose lease under section 88 shall be —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spacing w:before="11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36A inserted in Gazette 2 Oct 1987 p. 3817; amended in Gazette 2 Feb 2001 p. 712.] </w:t>
      </w:r>
    </w:p>
    <w:p>
      <w:pPr>
        <w:pStyle w:val="Heading3"/>
        <w:spacing w:before="220"/>
        <w:rPr>
          <w:snapToGrid w:val="0"/>
        </w:rPr>
      </w:pPr>
      <w:bookmarkStart w:id="473" w:name="_Toc74978878"/>
      <w:bookmarkStart w:id="474" w:name="_Toc74979142"/>
      <w:bookmarkStart w:id="475" w:name="_Toc79976440"/>
      <w:bookmarkStart w:id="476" w:name="_Toc80759711"/>
      <w:bookmarkStart w:id="477" w:name="_Toc80783474"/>
      <w:bookmarkStart w:id="478" w:name="_Toc94931141"/>
      <w:bookmarkStart w:id="479" w:name="_Toc104275264"/>
      <w:bookmarkStart w:id="480" w:name="_Toc104276595"/>
      <w:bookmarkStart w:id="481" w:name="_Toc107198816"/>
      <w:bookmarkStart w:id="482" w:name="_Toc107799267"/>
      <w:bookmarkStart w:id="483" w:name="_Toc127087274"/>
      <w:bookmarkStart w:id="484" w:name="_Toc127183581"/>
      <w:bookmarkStart w:id="485" w:name="_Toc127338002"/>
      <w:r>
        <w:rPr>
          <w:rStyle w:val="CharDivNo"/>
        </w:rPr>
        <w:t>Division 5</w:t>
      </w:r>
      <w:r>
        <w:rPr>
          <w:snapToGrid w:val="0"/>
        </w:rPr>
        <w:t> — </w:t>
      </w:r>
      <w:r>
        <w:rPr>
          <w:rStyle w:val="CharDivText"/>
        </w:rPr>
        <w:t>Miscellaneous licences</w:t>
      </w:r>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DivText"/>
        </w:rPr>
        <w:t xml:space="preserve"> </w:t>
      </w:r>
    </w:p>
    <w:p>
      <w:pPr>
        <w:pStyle w:val="Heading5"/>
        <w:spacing w:before="170"/>
        <w:rPr>
          <w:snapToGrid w:val="0"/>
        </w:rPr>
      </w:pPr>
      <w:bookmarkStart w:id="486" w:name="_Toc474633067"/>
      <w:bookmarkStart w:id="487" w:name="_Toc488740216"/>
      <w:bookmarkStart w:id="488" w:name="_Toc8623598"/>
      <w:bookmarkStart w:id="489" w:name="_Toc11229439"/>
      <w:bookmarkStart w:id="490" w:name="_Toc104276596"/>
      <w:bookmarkStart w:id="491" w:name="_Toc127338003"/>
      <w:r>
        <w:rPr>
          <w:rStyle w:val="CharSectno"/>
        </w:rPr>
        <w:t>37</w:t>
      </w:r>
      <w:r>
        <w:rPr>
          <w:snapToGrid w:val="0"/>
        </w:rPr>
        <w:t>.</w:t>
      </w:r>
      <w:r>
        <w:rPr>
          <w:snapToGrid w:val="0"/>
        </w:rPr>
        <w:tab/>
        <w:t>Marking out and application</w:t>
      </w:r>
      <w:bookmarkEnd w:id="486"/>
      <w:bookmarkEnd w:id="487"/>
      <w:bookmarkEnd w:id="488"/>
      <w:bookmarkEnd w:id="489"/>
      <w:bookmarkEnd w:id="490"/>
      <w:bookmarkEnd w:id="491"/>
      <w:r>
        <w:rPr>
          <w:snapToGrid w:val="0"/>
        </w:rPr>
        <w:t xml:space="preserve"> </w:t>
      </w:r>
    </w:p>
    <w:p>
      <w:pPr>
        <w:pStyle w:val="Subsection"/>
      </w:pPr>
      <w:r>
        <w:tab/>
        <w:t>(1)</w:t>
      </w:r>
      <w:r>
        <w:tab/>
        <w:t xml:space="preserve">A miscellaneous licence shall be marked out — </w:t>
      </w:r>
    </w:p>
    <w:p>
      <w:pPr>
        <w:pStyle w:val="Indenta"/>
      </w:pPr>
      <w:r>
        <w:tab/>
        <w:t>(a)</w:t>
      </w:r>
      <w:r>
        <w:tab/>
        <w:t xml:space="preserve">by erecting a post (the </w:t>
      </w:r>
      <w:r>
        <w:rPr>
          <w:b/>
        </w:rPr>
        <w:t>“</w:t>
      </w:r>
      <w:r>
        <w:rPr>
          <w:rStyle w:val="CharDefText"/>
        </w:rPr>
        <w:t>datum post</w:t>
      </w:r>
      <w:r>
        <w:rPr>
          <w:b/>
        </w:rPr>
        <w: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spacing w:before="110"/>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 xml:space="preserve">[Regulation 37 amended in Gazette 16 Nov 1990 p. 5728; 13 Oct 1995 p. 4816; 17 Jan 2003 p. 112; 15 Aug 2003 p. 3693.] </w:t>
      </w:r>
    </w:p>
    <w:p>
      <w:pPr>
        <w:pStyle w:val="Heading5"/>
        <w:rPr>
          <w:snapToGrid w:val="0"/>
        </w:rPr>
      </w:pPr>
      <w:bookmarkStart w:id="492" w:name="_Toc474633068"/>
      <w:bookmarkStart w:id="493" w:name="_Toc488740217"/>
      <w:bookmarkStart w:id="494" w:name="_Toc8623599"/>
      <w:bookmarkStart w:id="495" w:name="_Toc11229440"/>
      <w:bookmarkStart w:id="496" w:name="_Toc104276597"/>
      <w:bookmarkStart w:id="497" w:name="_Toc127338004"/>
      <w:r>
        <w:rPr>
          <w:rStyle w:val="CharSectno"/>
        </w:rPr>
        <w:t>38</w:t>
      </w:r>
      <w:r>
        <w:rPr>
          <w:snapToGrid w:val="0"/>
        </w:rPr>
        <w:t>.</w:t>
      </w:r>
      <w:r>
        <w:rPr>
          <w:snapToGrid w:val="0"/>
        </w:rPr>
        <w:tab/>
        <w:t xml:space="preserve">Shape of </w:t>
      </w:r>
      <w:bookmarkEnd w:id="492"/>
      <w:bookmarkEnd w:id="493"/>
      <w:bookmarkEnd w:id="494"/>
      <w:r>
        <w:rPr>
          <w:snapToGrid w:val="0"/>
        </w:rPr>
        <w:t>licence</w:t>
      </w:r>
      <w:bookmarkEnd w:id="495"/>
      <w:bookmarkEnd w:id="496"/>
      <w:bookmarkEnd w:id="497"/>
      <w:r>
        <w:rPr>
          <w:snapToGrid w:val="0"/>
        </w:rPr>
        <w:t xml:space="preserve"> </w:t>
      </w:r>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pPr>
      <w:r>
        <w:t>[</w:t>
      </w:r>
      <w:r>
        <w:rPr>
          <w:b/>
        </w:rPr>
        <w:t>40.</w:t>
      </w:r>
      <w:r>
        <w:tab/>
        <w:t xml:space="preserve">Repealed in Gazette 13 Oct 1995 p. 4816.] </w:t>
      </w:r>
    </w:p>
    <w:p>
      <w:pPr>
        <w:pStyle w:val="Heading5"/>
        <w:rPr>
          <w:snapToGrid w:val="0"/>
        </w:rPr>
      </w:pPr>
      <w:bookmarkStart w:id="498" w:name="_Toc474633070"/>
      <w:bookmarkStart w:id="499" w:name="_Toc488740219"/>
      <w:bookmarkStart w:id="500" w:name="_Toc8623600"/>
      <w:bookmarkStart w:id="501" w:name="_Toc11229441"/>
      <w:bookmarkStart w:id="502" w:name="_Toc104276598"/>
      <w:bookmarkStart w:id="503" w:name="_Toc127338005"/>
      <w:r>
        <w:rPr>
          <w:rStyle w:val="CharSectno"/>
        </w:rPr>
        <w:t>41</w:t>
      </w:r>
      <w:r>
        <w:rPr>
          <w:snapToGrid w:val="0"/>
        </w:rPr>
        <w:t>.</w:t>
      </w:r>
      <w:r>
        <w:rPr>
          <w:snapToGrid w:val="0"/>
        </w:rPr>
        <w:tab/>
        <w:t>Covenants and conditions</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Every miscellaneous licence shall contain and be subject to the following covenants and conditions that the licensee shall —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pPr>
      <w:r>
        <w:tab/>
        <w:t xml:space="preserve">[Regulation 41 amended in Gazette 2 Oct 1987 p. 3837; 3 Feb 2006 p. 519.] </w:t>
      </w:r>
    </w:p>
    <w:p>
      <w:pPr>
        <w:pStyle w:val="Heading5"/>
        <w:rPr>
          <w:snapToGrid w:val="0"/>
        </w:rPr>
      </w:pPr>
      <w:bookmarkStart w:id="504" w:name="_Toc474633071"/>
      <w:bookmarkStart w:id="505" w:name="_Toc488740220"/>
      <w:bookmarkStart w:id="506" w:name="_Toc8623601"/>
      <w:bookmarkStart w:id="507" w:name="_Toc11229442"/>
      <w:bookmarkStart w:id="508" w:name="_Toc104276599"/>
      <w:bookmarkStart w:id="509" w:name="_Toc127338006"/>
      <w:r>
        <w:rPr>
          <w:rStyle w:val="CharSectno"/>
        </w:rPr>
        <w:t>42</w:t>
      </w:r>
      <w:r>
        <w:rPr>
          <w:snapToGrid w:val="0"/>
        </w:rPr>
        <w:t>.</w:t>
      </w:r>
      <w:r>
        <w:rPr>
          <w:snapToGrid w:val="0"/>
        </w:rPr>
        <w:tab/>
        <w:t xml:space="preserve">Instrument of </w:t>
      </w:r>
      <w:bookmarkEnd w:id="504"/>
      <w:bookmarkEnd w:id="505"/>
      <w:bookmarkEnd w:id="506"/>
      <w:r>
        <w:rPr>
          <w:snapToGrid w:val="0"/>
        </w:rPr>
        <w:t>licence</w:t>
      </w:r>
      <w:bookmarkEnd w:id="507"/>
      <w:bookmarkEnd w:id="508"/>
      <w:bookmarkEnd w:id="509"/>
      <w:r>
        <w:rPr>
          <w:snapToGrid w:val="0"/>
        </w:rPr>
        <w:t xml:space="preserve"> </w:t>
      </w:r>
    </w:p>
    <w:p>
      <w:pPr>
        <w:pStyle w:val="Subsection"/>
        <w:rPr>
          <w:snapToGrid w:val="0"/>
        </w:rPr>
      </w:pPr>
      <w:r>
        <w:rPr>
          <w:snapToGrid w:val="0"/>
        </w:rPr>
        <w:tab/>
      </w:r>
      <w:r>
        <w:rPr>
          <w:snapToGrid w:val="0"/>
        </w:rPr>
        <w:tab/>
        <w:t>The instrument of licence for a miscellaneous licence shall be in the form No. 11 in the First Schedule.</w:t>
      </w:r>
    </w:p>
    <w:p>
      <w:pPr>
        <w:pStyle w:val="Heading5"/>
        <w:rPr>
          <w:snapToGrid w:val="0"/>
        </w:rPr>
      </w:pPr>
      <w:bookmarkStart w:id="510" w:name="_Toc474633072"/>
      <w:bookmarkStart w:id="511" w:name="_Toc488740221"/>
      <w:bookmarkStart w:id="512" w:name="_Toc8623602"/>
      <w:bookmarkStart w:id="513" w:name="_Toc11229443"/>
      <w:bookmarkStart w:id="514" w:name="_Toc104276600"/>
      <w:bookmarkStart w:id="515" w:name="_Toc127338007"/>
      <w:r>
        <w:rPr>
          <w:rStyle w:val="CharSectno"/>
        </w:rPr>
        <w:t>42A</w:t>
      </w:r>
      <w:r>
        <w:rPr>
          <w:snapToGrid w:val="0"/>
        </w:rPr>
        <w:t>.</w:t>
      </w:r>
      <w:r>
        <w:rPr>
          <w:snapToGrid w:val="0"/>
        </w:rPr>
        <w:tab/>
        <w:t>Application for renewal</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Application for renewal of a miscellaneous licence under section 91A or 91B shall be —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42A inserted in Gazette 2 Oct 1987 p. 3817; amended in Gazette 11 Jun 1999 p. 2544; 2 Feb 2001 p. 712.] </w:t>
      </w:r>
    </w:p>
    <w:p>
      <w:pPr>
        <w:pStyle w:val="Heading5"/>
        <w:rPr>
          <w:snapToGrid w:val="0"/>
        </w:rPr>
      </w:pPr>
      <w:bookmarkStart w:id="516" w:name="_Toc474633073"/>
      <w:bookmarkStart w:id="517" w:name="_Toc488740222"/>
      <w:bookmarkStart w:id="518" w:name="_Toc8623603"/>
      <w:bookmarkStart w:id="519" w:name="_Toc11229444"/>
      <w:bookmarkStart w:id="520" w:name="_Toc104276601"/>
      <w:bookmarkStart w:id="521" w:name="_Toc127338008"/>
      <w:r>
        <w:rPr>
          <w:rStyle w:val="CharSectno"/>
        </w:rPr>
        <w:t>42B</w:t>
      </w:r>
      <w:r>
        <w:rPr>
          <w:snapToGrid w:val="0"/>
        </w:rPr>
        <w:t>.</w:t>
      </w:r>
      <w:r>
        <w:rPr>
          <w:snapToGrid w:val="0"/>
        </w:rPr>
        <w:tab/>
        <w:t xml:space="preserve">Prescribed purposes for grant of miscellaneous </w:t>
      </w:r>
      <w:bookmarkEnd w:id="516"/>
      <w:bookmarkEnd w:id="517"/>
      <w:bookmarkEnd w:id="518"/>
      <w:r>
        <w:rPr>
          <w:snapToGrid w:val="0"/>
        </w:rPr>
        <w:t>licence</w:t>
      </w:r>
      <w:bookmarkEnd w:id="519"/>
      <w:bookmarkEnd w:id="520"/>
      <w:bookmarkEnd w:id="521"/>
      <w:r>
        <w:rPr>
          <w:snapToGrid w:val="0"/>
        </w:rPr>
        <w:t xml:space="preserve"> </w:t>
      </w:r>
    </w:p>
    <w:p>
      <w:pPr>
        <w:pStyle w:val="Subsection"/>
        <w:spacing w:before="100"/>
        <w:rPr>
          <w:snapToGrid w:val="0"/>
        </w:rPr>
      </w:pPr>
      <w:r>
        <w:rPr>
          <w:snapToGrid w:val="0"/>
        </w:rPr>
        <w:tab/>
      </w:r>
      <w:r>
        <w:rPr>
          <w:snapToGrid w:val="0"/>
        </w:rPr>
        <w:tab/>
        <w:t>For the purposes of section 91(1), a miscellaneous licence may be granted for the use of land for one or more of the following purposes —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 or</w:t>
      </w:r>
    </w:p>
    <w:p>
      <w:pPr>
        <w:pStyle w:val="Indenta"/>
        <w:spacing w:before="60"/>
        <w:rPr>
          <w:snapToGrid w:val="0"/>
        </w:rPr>
      </w:pPr>
      <w:r>
        <w:rPr>
          <w:snapToGrid w:val="0"/>
        </w:rPr>
        <w:tab/>
        <w:t>(n)</w:t>
      </w:r>
      <w:r>
        <w:rPr>
          <w:snapToGrid w:val="0"/>
        </w:rPr>
        <w:tab/>
        <w:t>any other purpose directly connected with mining operations approved by the Director General of Mines.</w:t>
      </w:r>
    </w:p>
    <w:p>
      <w:pPr>
        <w:pStyle w:val="Footnotesection"/>
      </w:pPr>
      <w:r>
        <w:tab/>
        <w:t xml:space="preserve">[Regulation 42B inserted in Gazette 13 Oct 1995 p. 4817; amended in Gazette 4 Apr 1997 p. 1778.] </w:t>
      </w:r>
    </w:p>
    <w:p>
      <w:pPr>
        <w:pStyle w:val="Heading3"/>
        <w:spacing w:before="120"/>
        <w:rPr>
          <w:snapToGrid w:val="0"/>
        </w:rPr>
      </w:pPr>
      <w:bookmarkStart w:id="522" w:name="_Toc74978885"/>
      <w:bookmarkStart w:id="523" w:name="_Toc74979149"/>
      <w:bookmarkStart w:id="524" w:name="_Toc79976447"/>
      <w:bookmarkStart w:id="525" w:name="_Toc80759718"/>
      <w:bookmarkStart w:id="526" w:name="_Toc80783481"/>
      <w:bookmarkStart w:id="527" w:name="_Toc94931148"/>
      <w:bookmarkStart w:id="528" w:name="_Toc104275271"/>
      <w:bookmarkStart w:id="529" w:name="_Toc104276602"/>
      <w:bookmarkStart w:id="530" w:name="_Toc107198823"/>
      <w:bookmarkStart w:id="531" w:name="_Toc107799274"/>
      <w:bookmarkStart w:id="532" w:name="_Toc127087281"/>
      <w:bookmarkStart w:id="533" w:name="_Toc127183588"/>
      <w:bookmarkStart w:id="534" w:name="_Toc127338009"/>
      <w:r>
        <w:rPr>
          <w:rStyle w:val="CharDivNo"/>
        </w:rPr>
        <w:t>Division 6</w:t>
      </w:r>
      <w:r>
        <w:rPr>
          <w:snapToGrid w:val="0"/>
        </w:rPr>
        <w:t> — </w:t>
      </w:r>
      <w:r>
        <w:rPr>
          <w:rStyle w:val="CharDivText"/>
        </w:rPr>
        <w:t>Surrenders and forfeitures</w:t>
      </w:r>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DivText"/>
        </w:rPr>
        <w:t xml:space="preserve"> </w:t>
      </w:r>
    </w:p>
    <w:p>
      <w:pPr>
        <w:pStyle w:val="Heading5"/>
        <w:spacing w:before="120"/>
        <w:rPr>
          <w:snapToGrid w:val="0"/>
        </w:rPr>
      </w:pPr>
      <w:bookmarkStart w:id="535" w:name="_Toc474633074"/>
      <w:bookmarkStart w:id="536" w:name="_Toc488740223"/>
      <w:bookmarkStart w:id="537" w:name="_Toc8623604"/>
      <w:bookmarkStart w:id="538" w:name="_Toc11229445"/>
      <w:bookmarkStart w:id="539" w:name="_Toc104276603"/>
      <w:bookmarkStart w:id="540" w:name="_Toc127338010"/>
      <w:r>
        <w:rPr>
          <w:rStyle w:val="CharSectno"/>
        </w:rPr>
        <w:t>43</w:t>
      </w:r>
      <w:r>
        <w:rPr>
          <w:snapToGrid w:val="0"/>
        </w:rPr>
        <w:t>.</w:t>
      </w:r>
      <w:r>
        <w:rPr>
          <w:snapToGrid w:val="0"/>
        </w:rPr>
        <w:tab/>
        <w:t>Surrender of tenement</w:t>
      </w:r>
      <w:bookmarkEnd w:id="535"/>
      <w:bookmarkEnd w:id="536"/>
      <w:bookmarkEnd w:id="537"/>
      <w:bookmarkEnd w:id="538"/>
      <w:bookmarkEnd w:id="539"/>
      <w:bookmarkEnd w:id="540"/>
      <w:r>
        <w:rPr>
          <w:snapToGrid w:val="0"/>
        </w:rPr>
        <w:t xml:space="preserve"> </w:t>
      </w:r>
    </w:p>
    <w:p>
      <w:pPr>
        <w:pStyle w:val="Subsection"/>
        <w:spacing w:before="100"/>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spacing w:before="100"/>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 xml:space="preserve">[Regulation 43 amended in Gazette 12 Nov 1982 p. 4490.] </w:t>
      </w:r>
    </w:p>
    <w:p>
      <w:pPr>
        <w:pStyle w:val="Heading5"/>
        <w:spacing w:before="120"/>
        <w:rPr>
          <w:snapToGrid w:val="0"/>
        </w:rPr>
      </w:pPr>
      <w:bookmarkStart w:id="541" w:name="_Toc474633075"/>
      <w:bookmarkStart w:id="542" w:name="_Toc488740224"/>
      <w:bookmarkStart w:id="543" w:name="_Toc8623605"/>
      <w:bookmarkStart w:id="544" w:name="_Toc11229446"/>
      <w:bookmarkStart w:id="545" w:name="_Toc104276604"/>
      <w:bookmarkStart w:id="546" w:name="_Toc127338011"/>
      <w:r>
        <w:rPr>
          <w:rStyle w:val="CharSectno"/>
        </w:rPr>
        <w:t>44</w:t>
      </w:r>
      <w:r>
        <w:rPr>
          <w:snapToGrid w:val="0"/>
        </w:rPr>
        <w:t>.</w:t>
      </w:r>
      <w:r>
        <w:rPr>
          <w:snapToGrid w:val="0"/>
        </w:rPr>
        <w:tab/>
        <w:t>Shape of tenement after partial surrender</w:t>
      </w:r>
      <w:bookmarkEnd w:id="541"/>
      <w:bookmarkEnd w:id="542"/>
      <w:bookmarkEnd w:id="543"/>
      <w:bookmarkEnd w:id="544"/>
      <w:bookmarkEnd w:id="545"/>
      <w:bookmarkEnd w:id="546"/>
      <w:r>
        <w:rPr>
          <w:snapToGrid w:val="0"/>
        </w:rPr>
        <w:t xml:space="preserve"> </w:t>
      </w:r>
    </w:p>
    <w:p>
      <w:pPr>
        <w:pStyle w:val="Subsection"/>
        <w:spacing w:before="100"/>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spacing w:before="100"/>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spacing w:before="100"/>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 xml:space="preserve">8.] </w:t>
      </w:r>
    </w:p>
    <w:p>
      <w:pPr>
        <w:pStyle w:val="Heading5"/>
        <w:spacing w:before="120"/>
        <w:rPr>
          <w:snapToGrid w:val="0"/>
        </w:rPr>
      </w:pPr>
      <w:bookmarkStart w:id="547" w:name="_Toc474633076"/>
      <w:bookmarkStart w:id="548" w:name="_Toc488740225"/>
      <w:bookmarkStart w:id="549" w:name="_Toc8623606"/>
      <w:bookmarkStart w:id="550" w:name="_Toc11229447"/>
      <w:bookmarkStart w:id="551" w:name="_Toc104276605"/>
      <w:bookmarkStart w:id="552" w:name="_Toc127338012"/>
      <w:r>
        <w:rPr>
          <w:rStyle w:val="CharSectno"/>
        </w:rPr>
        <w:t>45</w:t>
      </w:r>
      <w:r>
        <w:rPr>
          <w:snapToGrid w:val="0"/>
        </w:rPr>
        <w:t>.</w:t>
      </w:r>
      <w:r>
        <w:rPr>
          <w:snapToGrid w:val="0"/>
        </w:rPr>
        <w:tab/>
        <w:t>Marking out etc., required for partial surrender</w:t>
      </w:r>
      <w:bookmarkEnd w:id="547"/>
      <w:bookmarkEnd w:id="548"/>
      <w:bookmarkEnd w:id="549"/>
      <w:bookmarkEnd w:id="550"/>
      <w:bookmarkEnd w:id="551"/>
      <w:bookmarkEnd w:id="552"/>
      <w:r>
        <w:rPr>
          <w:snapToGrid w:val="0"/>
        </w:rPr>
        <w:t xml:space="preserve"> </w:t>
      </w:r>
    </w:p>
    <w:p>
      <w:pPr>
        <w:pStyle w:val="Subsection"/>
        <w:keepNext/>
        <w:spacing w:before="100"/>
        <w:rPr>
          <w:snapToGrid w:val="0"/>
        </w:rPr>
      </w:pPr>
      <w:r>
        <w:rPr>
          <w:snapToGrid w:val="0"/>
        </w:rPr>
        <w:tab/>
        <w:t>(1)</w:t>
      </w:r>
      <w:r>
        <w:rPr>
          <w:snapToGrid w:val="0"/>
        </w:rPr>
        <w:tab/>
        <w:t>Where a mining tenement is being surrendered as to part only the holder shall —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spacing w:before="100"/>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spacing w:before="100"/>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spacing w:before="100"/>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spacing w:before="100"/>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 xml:space="preserve">[Regulation 45 amended in Gazette 15 Jun 1984 p. 1655; 20 Jun 1986 p. 2084; 26 Jun 1987 p. 2526; 2 Oct 1987 p. 3817; 16 Nov 1990 p. 5728; 31 May 1991 p. 2698 (corrigendum in Gazette 7 Jun 1991 p. 2836); 21 Jun 1991 p. 3055; 24 Jun 1994 p. 2931; 17 Jan 2003 p. 106.] </w:t>
      </w:r>
    </w:p>
    <w:p>
      <w:pPr>
        <w:pStyle w:val="Heading5"/>
        <w:rPr>
          <w:snapToGrid w:val="0"/>
        </w:rPr>
      </w:pPr>
      <w:bookmarkStart w:id="553" w:name="_Toc474633077"/>
      <w:bookmarkStart w:id="554" w:name="_Toc488740226"/>
      <w:bookmarkStart w:id="555" w:name="_Toc8623607"/>
      <w:bookmarkStart w:id="556" w:name="_Toc11229448"/>
      <w:bookmarkStart w:id="557" w:name="_Toc104276606"/>
      <w:bookmarkStart w:id="558" w:name="_Toc127338013"/>
      <w:r>
        <w:rPr>
          <w:rStyle w:val="CharSectno"/>
        </w:rPr>
        <w:t>46</w:t>
      </w:r>
      <w:r>
        <w:rPr>
          <w:snapToGrid w:val="0"/>
        </w:rPr>
        <w:t>.</w:t>
      </w:r>
      <w:r>
        <w:rPr>
          <w:snapToGrid w:val="0"/>
        </w:rPr>
        <w:tab/>
        <w:t>Partial surrender to be endorsed on instrument of lease/</w:t>
      </w:r>
      <w:bookmarkEnd w:id="553"/>
      <w:bookmarkEnd w:id="554"/>
      <w:bookmarkEnd w:id="555"/>
      <w:r>
        <w:rPr>
          <w:snapToGrid w:val="0"/>
        </w:rPr>
        <w:t>licence</w:t>
      </w:r>
      <w:bookmarkEnd w:id="556"/>
      <w:bookmarkEnd w:id="557"/>
      <w:bookmarkEnd w:id="558"/>
      <w:r>
        <w:rPr>
          <w:snapToGrid w:val="0"/>
        </w:rPr>
        <w:t xml:space="preserve"> </w:t>
      </w:r>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559" w:name="_Toc474633078"/>
      <w:bookmarkStart w:id="560" w:name="_Toc488740227"/>
      <w:bookmarkStart w:id="561" w:name="_Toc8623608"/>
      <w:bookmarkStart w:id="562" w:name="_Toc11229449"/>
      <w:bookmarkStart w:id="563" w:name="_Toc104276607"/>
      <w:bookmarkStart w:id="564" w:name="_Toc127338014"/>
      <w:r>
        <w:rPr>
          <w:rStyle w:val="CharSectno"/>
        </w:rPr>
        <w:t>47</w:t>
      </w:r>
      <w:r>
        <w:rPr>
          <w:snapToGrid w:val="0"/>
        </w:rPr>
        <w:t>.</w:t>
      </w:r>
      <w:r>
        <w:rPr>
          <w:snapToGrid w:val="0"/>
        </w:rPr>
        <w:tab/>
        <w:t>Consent of mortgagee to surrender</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 xml:space="preserve">[Regulation 47 amended in Gazette 31 May 1991 p. 2698.] </w:t>
      </w:r>
    </w:p>
    <w:p>
      <w:pPr>
        <w:pStyle w:val="Heading5"/>
        <w:rPr>
          <w:snapToGrid w:val="0"/>
        </w:rPr>
      </w:pPr>
      <w:bookmarkStart w:id="565" w:name="_Toc474633079"/>
      <w:bookmarkStart w:id="566" w:name="_Toc488740228"/>
      <w:bookmarkStart w:id="567" w:name="_Toc8623609"/>
      <w:bookmarkStart w:id="568" w:name="_Toc11229450"/>
      <w:bookmarkStart w:id="569" w:name="_Toc104276608"/>
      <w:bookmarkStart w:id="570" w:name="_Toc127338015"/>
      <w:r>
        <w:rPr>
          <w:rStyle w:val="CharSectno"/>
        </w:rPr>
        <w:t>47A</w:t>
      </w:r>
      <w:r>
        <w:rPr>
          <w:snapToGrid w:val="0"/>
        </w:rPr>
        <w:t>.</w:t>
      </w:r>
      <w:r>
        <w:rPr>
          <w:snapToGrid w:val="0"/>
        </w:rPr>
        <w:tab/>
        <w:t>Refund where conditional surrender of mining lease or general purpose lease</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 xml:space="preserve">[Regulation 47A inserted in Gazette 13 Oct 1995 p. 4817.] </w:t>
      </w:r>
    </w:p>
    <w:p>
      <w:pPr>
        <w:pStyle w:val="Heading5"/>
        <w:rPr>
          <w:snapToGrid w:val="0"/>
        </w:rPr>
      </w:pPr>
      <w:bookmarkStart w:id="571" w:name="_Toc474633080"/>
      <w:bookmarkStart w:id="572" w:name="_Toc488740229"/>
      <w:bookmarkStart w:id="573" w:name="_Toc8623610"/>
      <w:bookmarkStart w:id="574" w:name="_Toc11229451"/>
      <w:bookmarkStart w:id="575" w:name="_Toc104276609"/>
      <w:bookmarkStart w:id="576" w:name="_Toc127338016"/>
      <w:r>
        <w:rPr>
          <w:rStyle w:val="CharSectno"/>
        </w:rPr>
        <w:t>48</w:t>
      </w:r>
      <w:r>
        <w:rPr>
          <w:snapToGrid w:val="0"/>
        </w:rPr>
        <w:t>.</w:t>
      </w:r>
      <w:r>
        <w:rPr>
          <w:snapToGrid w:val="0"/>
        </w:rPr>
        <w:tab/>
        <w:t>Plaint for forfeiture</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An application for the forfeiture of a mining tenement under section 96(1)(b) or section 98 of the Act shall be made by way of plaint in the form No. 33 in the First Schedule.</w:t>
      </w:r>
    </w:p>
    <w:p>
      <w:pPr>
        <w:pStyle w:val="Heading5"/>
        <w:rPr>
          <w:snapToGrid w:val="0"/>
        </w:rPr>
      </w:pPr>
      <w:bookmarkStart w:id="577" w:name="_Toc474633081"/>
      <w:bookmarkStart w:id="578" w:name="_Toc488740230"/>
      <w:bookmarkStart w:id="579" w:name="_Toc8623611"/>
      <w:bookmarkStart w:id="580" w:name="_Toc11229452"/>
      <w:bookmarkStart w:id="581" w:name="_Toc104276610"/>
      <w:bookmarkStart w:id="582" w:name="_Toc127338017"/>
      <w:r>
        <w:rPr>
          <w:rStyle w:val="CharSectno"/>
        </w:rPr>
        <w:t>49</w:t>
      </w:r>
      <w:r>
        <w:rPr>
          <w:snapToGrid w:val="0"/>
        </w:rPr>
        <w:t>.</w:t>
      </w:r>
      <w:r>
        <w:rPr>
          <w:snapToGrid w:val="0"/>
        </w:rPr>
        <w:tab/>
        <w:t>Forfeiture for non</w:t>
      </w:r>
      <w:r>
        <w:rPr>
          <w:snapToGrid w:val="0"/>
        </w:rPr>
        <w:noBreakHyphen/>
        <w:t>payment of rent, etc.</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rPr>
          <w:snapToGrid w:val="0"/>
        </w:rPr>
      </w:pPr>
      <w:r>
        <w:rPr>
          <w:snapToGrid w:val="0"/>
        </w:rPr>
        <w:tab/>
        <w:t>(3)</w:t>
      </w:r>
      <w:r>
        <w:rPr>
          <w:snapToGrid w:val="0"/>
        </w:rPr>
        <w:tab/>
        <w:t>An objection in the form No. 16 in the First Schedule against the warden making an order for forfeiture referred to in subregulation (2) may be lodged at the office of the mining registrar at any time prior to the fixed date, and the warden shall hear and determine the matter.</w:t>
      </w:r>
    </w:p>
    <w:p>
      <w:pPr>
        <w:pStyle w:val="Footnotesection"/>
      </w:pPr>
      <w:r>
        <w:tab/>
        <w:t xml:space="preserve">[Regulation 49 amended in Gazette 24 Dec 1993 p. 6828.] </w:t>
      </w:r>
    </w:p>
    <w:p>
      <w:pPr>
        <w:pStyle w:val="Heading5"/>
        <w:rPr>
          <w:snapToGrid w:val="0"/>
        </w:rPr>
      </w:pPr>
      <w:bookmarkStart w:id="583" w:name="_Toc474633082"/>
      <w:bookmarkStart w:id="584" w:name="_Toc488740231"/>
      <w:bookmarkStart w:id="585" w:name="_Toc8623612"/>
      <w:bookmarkStart w:id="586" w:name="_Toc11229453"/>
      <w:bookmarkStart w:id="587" w:name="_Toc104276611"/>
      <w:bookmarkStart w:id="588" w:name="_Toc127338018"/>
      <w:r>
        <w:rPr>
          <w:rStyle w:val="CharSectno"/>
        </w:rPr>
        <w:t>50</w:t>
      </w:r>
      <w:r>
        <w:rPr>
          <w:snapToGrid w:val="0"/>
        </w:rPr>
        <w:t>.</w:t>
      </w:r>
      <w:r>
        <w:rPr>
          <w:snapToGrid w:val="0"/>
        </w:rPr>
        <w:tab/>
        <w:t>Notice to holder of mining tenement of intended forfeiture</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rPr>
          <w:snapToGrid w:val="0"/>
        </w:rPr>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rPr>
          <w:snapToGrid w:val="0"/>
        </w:rPr>
        <w:t>.</w:t>
      </w:r>
    </w:p>
    <w:p>
      <w:pPr>
        <w:pStyle w:val="Footnotesection"/>
      </w:pPr>
      <w:r>
        <w:tab/>
        <w:t xml:space="preserve">[Regulation 50 amended in Gazette 24 Jun 1994 p. 2931.] </w:t>
      </w:r>
    </w:p>
    <w:p>
      <w:pPr>
        <w:pStyle w:val="Heading5"/>
        <w:rPr>
          <w:snapToGrid w:val="0"/>
        </w:rPr>
      </w:pPr>
      <w:bookmarkStart w:id="589" w:name="_Toc474633083"/>
      <w:bookmarkStart w:id="590" w:name="_Toc488740232"/>
      <w:bookmarkStart w:id="591" w:name="_Toc8623613"/>
      <w:bookmarkStart w:id="592" w:name="_Toc11229454"/>
      <w:bookmarkStart w:id="593" w:name="_Toc104276612"/>
      <w:bookmarkStart w:id="594" w:name="_Toc127338019"/>
      <w:r>
        <w:rPr>
          <w:rStyle w:val="CharSectno"/>
        </w:rPr>
        <w:t>51</w:t>
      </w:r>
      <w:r>
        <w:rPr>
          <w:snapToGrid w:val="0"/>
        </w:rPr>
        <w:t>.</w:t>
      </w:r>
      <w:r>
        <w:rPr>
          <w:snapToGrid w:val="0"/>
        </w:rPr>
        <w:tab/>
        <w:t>Application for restoration of tenement</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An application under section 97A for restoration of a mining tenement and cancellation of forfeiture shall be —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 xml:space="preserve">[Regulation 51 inserted in Gazette 2 Oct 1987 p. 3818; amended in Gazette 24 Jun 1994 p. 2931.] </w:t>
      </w:r>
    </w:p>
    <w:p>
      <w:pPr>
        <w:pStyle w:val="Heading5"/>
        <w:rPr>
          <w:snapToGrid w:val="0"/>
        </w:rPr>
      </w:pPr>
      <w:bookmarkStart w:id="595" w:name="_Toc474633084"/>
      <w:bookmarkStart w:id="596" w:name="_Toc488740233"/>
      <w:bookmarkStart w:id="597" w:name="_Toc8623614"/>
      <w:bookmarkStart w:id="598" w:name="_Toc11229455"/>
      <w:bookmarkStart w:id="599" w:name="_Toc104276613"/>
      <w:bookmarkStart w:id="600" w:name="_Toc127338020"/>
      <w:r>
        <w:rPr>
          <w:rStyle w:val="CharSectno"/>
        </w:rPr>
        <w:t>51A</w:t>
      </w:r>
      <w:r>
        <w:rPr>
          <w:snapToGrid w:val="0"/>
        </w:rPr>
        <w:t>.</w:t>
      </w:r>
      <w:r>
        <w:rPr>
          <w:snapToGrid w:val="0"/>
        </w:rPr>
        <w:tab/>
        <w:t>Notice of application for restoration</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 xml:space="preserve">[Regulation 51A inserted in Gazette 2 Oct 1987 p. 3818.] </w:t>
      </w:r>
    </w:p>
    <w:p>
      <w:pPr>
        <w:pStyle w:val="Heading5"/>
        <w:rPr>
          <w:snapToGrid w:val="0"/>
        </w:rPr>
      </w:pPr>
      <w:bookmarkStart w:id="601" w:name="_Toc474633085"/>
      <w:bookmarkStart w:id="602" w:name="_Toc488740234"/>
      <w:bookmarkStart w:id="603" w:name="_Toc8623615"/>
      <w:bookmarkStart w:id="604" w:name="_Toc11229456"/>
      <w:bookmarkStart w:id="605" w:name="_Toc104276614"/>
      <w:bookmarkStart w:id="606" w:name="_Toc127338021"/>
      <w:r>
        <w:rPr>
          <w:rStyle w:val="CharSectno"/>
        </w:rPr>
        <w:t>51B</w:t>
      </w:r>
      <w:r>
        <w:rPr>
          <w:snapToGrid w:val="0"/>
        </w:rPr>
        <w:t>.</w:t>
      </w:r>
      <w:r>
        <w:rPr>
          <w:snapToGrid w:val="0"/>
        </w:rPr>
        <w:tab/>
        <w:t>Objection to application</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A notice of objection to the granting of an application under section 97A(1) shall be — </w:t>
      </w:r>
    </w:p>
    <w:p>
      <w:pPr>
        <w:pStyle w:val="Indenta"/>
        <w:rPr>
          <w:snapToGrid w:val="0"/>
        </w:rPr>
      </w:pPr>
      <w:r>
        <w:rPr>
          <w:snapToGrid w:val="0"/>
        </w:rPr>
        <w:tab/>
        <w:t>(a)</w:t>
      </w:r>
      <w:r>
        <w:rPr>
          <w:snapToGrid w:val="0"/>
        </w:rPr>
        <w:tab/>
        <w:t>in the form No. 16 in the First Schedule; and</w:t>
      </w:r>
    </w:p>
    <w:p>
      <w:pPr>
        <w:pStyle w:val="Indenta"/>
        <w:rPr>
          <w:snapToGrid w:val="0"/>
        </w:rPr>
      </w:pPr>
      <w:r>
        <w:rPr>
          <w:snapToGrid w:val="0"/>
        </w:rPr>
        <w:tab/>
        <w:t>(b)</w:t>
      </w:r>
      <w:r>
        <w:rPr>
          <w:snapToGrid w:val="0"/>
        </w:rPr>
        <w:tab/>
        <w:t>lodged at the office of the mining registrar within 30 days of the lodging of the application at the office of the mining registrar or within such further time as the warden considers reasonable.</w:t>
      </w:r>
    </w:p>
    <w:p>
      <w:pPr>
        <w:pStyle w:val="Subsection"/>
      </w:pPr>
      <w:r>
        <w:tab/>
        <w:t>(2)</w:t>
      </w:r>
      <w:r>
        <w:tab/>
        <w:t>A person who lodges a notice of objection referred to in subregulation (1) shall serve a copy of the notice on the applicant.</w:t>
      </w:r>
    </w:p>
    <w:p>
      <w:pPr>
        <w:pStyle w:val="Footnotesection"/>
      </w:pPr>
      <w:r>
        <w:tab/>
        <w:t xml:space="preserve">[Regulation 51B inserted in Gazette 2 Oct 1987 p. 3818; amended in Gazette 24 Dec 1993 p. 6828; 24 Jun 1994 p. 2931; 3 Feb 2006 p. 519-20.] </w:t>
      </w:r>
    </w:p>
    <w:p>
      <w:pPr>
        <w:pStyle w:val="Heading5"/>
        <w:rPr>
          <w:snapToGrid w:val="0"/>
        </w:rPr>
      </w:pPr>
      <w:bookmarkStart w:id="607" w:name="_Toc474633086"/>
      <w:bookmarkStart w:id="608" w:name="_Toc488740235"/>
      <w:bookmarkStart w:id="609" w:name="_Toc8623616"/>
      <w:bookmarkStart w:id="610" w:name="_Toc11229457"/>
      <w:bookmarkStart w:id="611" w:name="_Toc104276615"/>
      <w:bookmarkStart w:id="612" w:name="_Toc127338022"/>
      <w:r>
        <w:rPr>
          <w:rStyle w:val="CharSectno"/>
        </w:rPr>
        <w:t>52</w:t>
      </w:r>
      <w:r>
        <w:rPr>
          <w:snapToGrid w:val="0"/>
        </w:rPr>
        <w:t>.</w:t>
      </w:r>
      <w:r>
        <w:rPr>
          <w:snapToGrid w:val="0"/>
        </w:rPr>
        <w:tab/>
        <w:t>Reduced expenditure where forfeiture plaint lodged</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Notwithstanding regulations 15(1), 21(1) and (1b) and 31(1), where a plaint for forfeiture of a mining tenement is lodged, a pro rata reduction in the annual amount to be expended in respect of the mining tenement applies for each whole month from the date of lodgment to the date of determination of the plaint.</w:t>
      </w:r>
    </w:p>
    <w:p>
      <w:pPr>
        <w:pStyle w:val="Footnotesection"/>
      </w:pPr>
      <w:r>
        <w:tab/>
        <w:t xml:space="preserve">[Regulation 52 inserted in Gazette 16 Nov 1990 p. 5728; amended in Gazette 3 Feb 2006 p. 592.] </w:t>
      </w:r>
    </w:p>
    <w:p>
      <w:pPr>
        <w:pStyle w:val="Heading5"/>
        <w:rPr>
          <w:snapToGrid w:val="0"/>
        </w:rPr>
      </w:pPr>
      <w:bookmarkStart w:id="613" w:name="_Toc474633087"/>
      <w:bookmarkStart w:id="614" w:name="_Toc488740236"/>
      <w:bookmarkStart w:id="615" w:name="_Toc8623617"/>
      <w:bookmarkStart w:id="616" w:name="_Toc11229458"/>
      <w:bookmarkStart w:id="617" w:name="_Toc104276616"/>
      <w:bookmarkStart w:id="618" w:name="_Toc127338023"/>
      <w:r>
        <w:rPr>
          <w:rStyle w:val="CharSectno"/>
        </w:rPr>
        <w:t>53</w:t>
      </w:r>
      <w:r>
        <w:rPr>
          <w:snapToGrid w:val="0"/>
        </w:rPr>
        <w:t>.</w:t>
      </w:r>
      <w:r>
        <w:rPr>
          <w:snapToGrid w:val="0"/>
        </w:rPr>
        <w:tab/>
        <w:t>Notice to mortgagee</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Where a mining tenement that is liable to forfeiture is encumbered by a mortgage then at the same time as notification is sent to the holder pursuant to regulations 49 and 50 the warden or Minister as the case may be shall cause a copy of the notification to be forwarded to the mortgagee by post.</w:t>
      </w:r>
    </w:p>
    <w:p>
      <w:pPr>
        <w:pStyle w:val="Heading3"/>
        <w:rPr>
          <w:snapToGrid w:val="0"/>
        </w:rPr>
      </w:pPr>
      <w:bookmarkStart w:id="619" w:name="_Toc74978900"/>
      <w:bookmarkStart w:id="620" w:name="_Toc74979164"/>
      <w:bookmarkStart w:id="621" w:name="_Toc79976462"/>
      <w:bookmarkStart w:id="622" w:name="_Toc80759733"/>
      <w:bookmarkStart w:id="623" w:name="_Toc80783496"/>
      <w:bookmarkStart w:id="624" w:name="_Toc94931163"/>
      <w:bookmarkStart w:id="625" w:name="_Toc104275286"/>
      <w:bookmarkStart w:id="626" w:name="_Toc104276617"/>
      <w:bookmarkStart w:id="627" w:name="_Toc107198838"/>
      <w:bookmarkStart w:id="628" w:name="_Toc107799289"/>
      <w:bookmarkStart w:id="629" w:name="_Toc127087296"/>
      <w:bookmarkStart w:id="630" w:name="_Toc127183603"/>
      <w:bookmarkStart w:id="631" w:name="_Toc127338024"/>
      <w:r>
        <w:rPr>
          <w:rStyle w:val="CharDivNo"/>
        </w:rPr>
        <w:t>Division 7</w:t>
      </w:r>
      <w:r>
        <w:rPr>
          <w:snapToGrid w:val="0"/>
        </w:rPr>
        <w:t> — </w:t>
      </w:r>
      <w:r>
        <w:rPr>
          <w:rStyle w:val="CharDivText"/>
        </w:rPr>
        <w:t>Exemptions</w:t>
      </w:r>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DivText"/>
        </w:rPr>
        <w:t xml:space="preserve"> </w:t>
      </w:r>
    </w:p>
    <w:p>
      <w:pPr>
        <w:pStyle w:val="Heading5"/>
        <w:rPr>
          <w:snapToGrid w:val="0"/>
        </w:rPr>
      </w:pPr>
      <w:bookmarkStart w:id="632" w:name="_Toc474633088"/>
      <w:bookmarkStart w:id="633" w:name="_Toc488740237"/>
      <w:bookmarkStart w:id="634" w:name="_Toc8623618"/>
      <w:bookmarkStart w:id="635" w:name="_Toc11229459"/>
      <w:bookmarkStart w:id="636" w:name="_Toc104276618"/>
      <w:bookmarkStart w:id="637" w:name="_Toc127338025"/>
      <w:r>
        <w:rPr>
          <w:rStyle w:val="CharSectno"/>
        </w:rPr>
        <w:t>54</w:t>
      </w:r>
      <w:r>
        <w:rPr>
          <w:snapToGrid w:val="0"/>
        </w:rPr>
        <w:t>.</w:t>
      </w:r>
      <w:r>
        <w:rPr>
          <w:snapToGrid w:val="0"/>
        </w:rPr>
        <w:tab/>
        <w:t>Application for certificate of exemption</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spacing w:before="100"/>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spacing w:before="100"/>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spacing w:before="100"/>
        <w:rPr>
          <w:snapToGrid w:val="0"/>
        </w:rPr>
      </w:pPr>
      <w:r>
        <w:rPr>
          <w:snapToGrid w:val="0"/>
        </w:rPr>
        <w:tab/>
        <w:t>(2)</w:t>
      </w:r>
      <w:r>
        <w:rPr>
          <w:snapToGrid w:val="0"/>
        </w:rPr>
        <w:tab/>
        <w:t>An application for a certificate of exemption under section 102A shall be accompanied by the prescribed fee.</w:t>
      </w:r>
    </w:p>
    <w:p>
      <w:pPr>
        <w:pStyle w:val="Subsection"/>
        <w:spacing w:before="100"/>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spacing w:before="100"/>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 xml:space="preserve">[Regulation 54 inserted in Gazette 2 Oct 1987 p. 3818; amended in Gazette 31 May 1991 p. 2698; 13 Oct 1995 p. 4818; 4 Apr 1997 p. 1778; 17 Jan 2003 p. 113.] </w:t>
      </w:r>
    </w:p>
    <w:p>
      <w:pPr>
        <w:pStyle w:val="Heading5"/>
        <w:rPr>
          <w:snapToGrid w:val="0"/>
        </w:rPr>
      </w:pPr>
      <w:bookmarkStart w:id="638" w:name="_Toc474633089"/>
      <w:bookmarkStart w:id="639" w:name="_Toc488740238"/>
      <w:bookmarkStart w:id="640" w:name="_Toc8623619"/>
      <w:bookmarkStart w:id="641" w:name="_Toc11229460"/>
      <w:bookmarkStart w:id="642" w:name="_Toc104276619"/>
      <w:bookmarkStart w:id="643" w:name="_Toc127338026"/>
      <w:r>
        <w:rPr>
          <w:rStyle w:val="CharSectno"/>
        </w:rPr>
        <w:t>55</w:t>
      </w:r>
      <w:r>
        <w:rPr>
          <w:snapToGrid w:val="0"/>
        </w:rPr>
        <w:t>.</w:t>
      </w:r>
      <w:r>
        <w:rPr>
          <w:snapToGrid w:val="0"/>
        </w:rPr>
        <w:tab/>
        <w:t>Objection to application for exemption</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A person may within 21 days of the date of lodgement of an application for a certificate of exemption under section 102, or within such further period as the warden considers reasonable, lodge an objection against that application in the form No. 16 in the First Schedule.</w:t>
      </w:r>
    </w:p>
    <w:p>
      <w:pPr>
        <w:pStyle w:val="Subsection"/>
      </w:pPr>
      <w:r>
        <w:tab/>
        <w:t>(2)</w:t>
      </w:r>
      <w:r>
        <w:tab/>
        <w:t>A person who lodges an objection referred to in subregulation (1) shall serve a copy of the objection on the applicant.</w:t>
      </w:r>
    </w:p>
    <w:p>
      <w:pPr>
        <w:pStyle w:val="Footnotesection"/>
        <w:ind w:left="890" w:hanging="890"/>
      </w:pPr>
      <w:r>
        <w:tab/>
        <w:t xml:space="preserve">[Regulation 55 inserted in Gazette 13 Oct 1995 p. 4818; amended in Gazette 4 Apr 1997 p. 1778; 3 Feb 2006 p. 520.] </w:t>
      </w:r>
    </w:p>
    <w:p>
      <w:pPr>
        <w:pStyle w:val="Heading5"/>
        <w:rPr>
          <w:snapToGrid w:val="0"/>
        </w:rPr>
      </w:pPr>
      <w:bookmarkStart w:id="644" w:name="_Toc474633090"/>
      <w:bookmarkStart w:id="645" w:name="_Toc488740239"/>
      <w:bookmarkStart w:id="646" w:name="_Toc8623620"/>
      <w:bookmarkStart w:id="647" w:name="_Toc11229461"/>
      <w:bookmarkStart w:id="648" w:name="_Toc104276620"/>
      <w:bookmarkStart w:id="649" w:name="_Toc127338027"/>
      <w:r>
        <w:rPr>
          <w:rStyle w:val="CharSectno"/>
        </w:rPr>
        <w:t>56</w:t>
      </w:r>
      <w:r>
        <w:rPr>
          <w:snapToGrid w:val="0"/>
        </w:rPr>
        <w:t>.</w:t>
      </w:r>
      <w:r>
        <w:rPr>
          <w:snapToGrid w:val="0"/>
        </w:rPr>
        <w:tab/>
        <w:t>Evidence in support of application</w:t>
      </w:r>
      <w:bookmarkEnd w:id="644"/>
      <w:r>
        <w:rPr>
          <w:snapToGrid w:val="0"/>
        </w:rPr>
        <w:t xml:space="preserve"> and objection</w:t>
      </w:r>
      <w:bookmarkEnd w:id="645"/>
      <w:bookmarkEnd w:id="646"/>
      <w:bookmarkEnd w:id="647"/>
      <w:bookmarkEnd w:id="648"/>
      <w:bookmarkEnd w:id="649"/>
    </w:p>
    <w:p>
      <w:pPr>
        <w:pStyle w:val="Subsection"/>
        <w:rPr>
          <w:snapToGrid w:val="0"/>
        </w:rPr>
      </w:pPr>
      <w:r>
        <w:rPr>
          <w:snapToGrid w:val="0"/>
        </w:rPr>
        <w:tab/>
        <w:t>(1)</w:t>
      </w:r>
      <w:r>
        <w:rPr>
          <w:snapToGrid w:val="0"/>
        </w:rPr>
        <w:tab/>
        <w:t>Where any objection against an application for a certificate of exemption under section 102 is lodged within the time allowed, the warden shall receive evidence in open court in support of the application and in support of any objection so lodged.</w:t>
      </w:r>
    </w:p>
    <w:p>
      <w:pPr>
        <w:pStyle w:val="Ednotesubsection"/>
        <w:keepNext/>
        <w:spacing w:before="110"/>
      </w:pPr>
      <w:r>
        <w:tab/>
        <w:t>[(2)</w:t>
      </w:r>
      <w:r>
        <w:tab/>
        <w:t>repealed]</w:t>
      </w:r>
    </w:p>
    <w:p>
      <w:pPr>
        <w:pStyle w:val="Footnotesection"/>
        <w:ind w:left="890" w:hanging="890"/>
      </w:pPr>
      <w:r>
        <w:tab/>
        <w:t xml:space="preserve">[Regulation 56 inserted in Gazette 2 Oct 1987 p. 3818; amended in Gazette 31 May 1991 p. 2698 (corrigendum in Gazette 21 Jun 1991 p. 3057).] </w:t>
      </w:r>
    </w:p>
    <w:p>
      <w:pPr>
        <w:pStyle w:val="Ednotesection"/>
        <w:spacing w:before="170"/>
      </w:pPr>
      <w:r>
        <w:t>[</w:t>
      </w:r>
      <w:r>
        <w:rPr>
          <w:b/>
        </w:rPr>
        <w:t>57.</w:t>
      </w:r>
      <w:r>
        <w:tab/>
        <w:t xml:space="preserve">Repealed in Gazette 2 Oct 1987 p. 3818.] </w:t>
      </w:r>
    </w:p>
    <w:p>
      <w:pPr>
        <w:pStyle w:val="Heading5"/>
        <w:rPr>
          <w:snapToGrid w:val="0"/>
        </w:rPr>
      </w:pPr>
      <w:bookmarkStart w:id="650" w:name="_Toc474633091"/>
      <w:bookmarkStart w:id="651" w:name="_Toc488740240"/>
      <w:bookmarkStart w:id="652" w:name="_Toc8623621"/>
      <w:bookmarkStart w:id="653" w:name="_Toc11229462"/>
      <w:bookmarkStart w:id="654" w:name="_Toc104276621"/>
      <w:bookmarkStart w:id="655" w:name="_Toc127338028"/>
      <w:r>
        <w:rPr>
          <w:rStyle w:val="CharSectno"/>
        </w:rPr>
        <w:t>58</w:t>
      </w:r>
      <w:r>
        <w:rPr>
          <w:snapToGrid w:val="0"/>
        </w:rPr>
        <w:t>.</w:t>
      </w:r>
      <w:r>
        <w:rPr>
          <w:snapToGrid w:val="0"/>
        </w:rPr>
        <w:tab/>
        <w:t>Certificate of exemption</w:t>
      </w:r>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 xml:space="preserve">[Regulation 58 amended in Gazette 2 Oct 1987 p. 3819.] </w:t>
      </w:r>
    </w:p>
    <w:p>
      <w:pPr>
        <w:pStyle w:val="Heading5"/>
      </w:pPr>
      <w:bookmarkStart w:id="656" w:name="_Toc127338029"/>
      <w:bookmarkStart w:id="657" w:name="_Toc74978905"/>
      <w:bookmarkStart w:id="658" w:name="_Toc74979169"/>
      <w:bookmarkStart w:id="659" w:name="_Toc79976467"/>
      <w:bookmarkStart w:id="660" w:name="_Toc80759738"/>
      <w:bookmarkStart w:id="661" w:name="_Toc80783501"/>
      <w:bookmarkStart w:id="662" w:name="_Toc94931168"/>
      <w:bookmarkStart w:id="663" w:name="_Toc104275291"/>
      <w:bookmarkStart w:id="664" w:name="_Toc104276622"/>
      <w:bookmarkStart w:id="665" w:name="_Toc107198843"/>
      <w:bookmarkStart w:id="666" w:name="_Toc107799294"/>
      <w:bookmarkStart w:id="667" w:name="_Toc127087301"/>
      <w:r>
        <w:rPr>
          <w:rStyle w:val="CharSectno"/>
        </w:rPr>
        <w:t>58A</w:t>
      </w:r>
      <w:r>
        <w:t>.</w:t>
      </w:r>
      <w:r>
        <w:tab/>
        <w:t>Aggregate exploration expenditure</w:t>
      </w:r>
      <w:bookmarkEnd w:id="656"/>
    </w:p>
    <w:p>
      <w:pPr>
        <w:pStyle w:val="Subsection"/>
      </w:pPr>
      <w:r>
        <w:tab/>
        <w:t>(1)</w:t>
      </w:r>
      <w:r>
        <w:tab/>
        <w:t xml:space="preserve">In this regulation — </w:t>
      </w:r>
    </w:p>
    <w:p>
      <w:pPr>
        <w:pStyle w:val="Defstart"/>
      </w:pPr>
      <w:r>
        <w:rPr>
          <w:b/>
        </w:rPr>
        <w:tab/>
        <w:t>“</w:t>
      </w:r>
      <w:r>
        <w:rPr>
          <w:rStyle w:val="CharDefText"/>
        </w:rPr>
        <w:t>relevant operations report</w:t>
      </w:r>
      <w:r>
        <w:rPr>
          <w:b/>
        </w:rPr>
        <w:t>”</w:t>
      </w:r>
      <w:r>
        <w:t xml:space="preserve"> means a report of the kind required under section 51, 68(3), 70H(1)(f) or 82(1)(e) —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668" w:name="_Toc127183609"/>
      <w:bookmarkStart w:id="669" w:name="_Toc127338030"/>
      <w:r>
        <w:rPr>
          <w:rStyle w:val="CharPartNo"/>
        </w:rPr>
        <w:t>Part V</w:t>
      </w:r>
      <w:r>
        <w:t> — </w:t>
      </w:r>
      <w:r>
        <w:rPr>
          <w:rStyle w:val="CharPartText"/>
        </w:rPr>
        <w:t>General regulations</w:t>
      </w:r>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PartText"/>
        </w:rPr>
        <w:t xml:space="preserve"> </w:t>
      </w:r>
    </w:p>
    <w:p>
      <w:pPr>
        <w:pStyle w:val="Heading3"/>
        <w:spacing w:before="160"/>
        <w:rPr>
          <w:snapToGrid w:val="0"/>
        </w:rPr>
      </w:pPr>
      <w:bookmarkStart w:id="670" w:name="_Toc74978906"/>
      <w:bookmarkStart w:id="671" w:name="_Toc74979170"/>
      <w:bookmarkStart w:id="672" w:name="_Toc79976468"/>
      <w:bookmarkStart w:id="673" w:name="_Toc80759739"/>
      <w:bookmarkStart w:id="674" w:name="_Toc80783502"/>
      <w:bookmarkStart w:id="675" w:name="_Toc94931169"/>
      <w:bookmarkStart w:id="676" w:name="_Toc104275292"/>
      <w:bookmarkStart w:id="677" w:name="_Toc104276623"/>
      <w:bookmarkStart w:id="678" w:name="_Toc107198844"/>
      <w:bookmarkStart w:id="679" w:name="_Toc107799295"/>
      <w:bookmarkStart w:id="680" w:name="_Toc127087302"/>
      <w:bookmarkStart w:id="681" w:name="_Toc127183610"/>
      <w:bookmarkStart w:id="682" w:name="_Toc127338031"/>
      <w:r>
        <w:rPr>
          <w:rStyle w:val="CharDivNo"/>
        </w:rPr>
        <w:t>Division 1</w:t>
      </w:r>
      <w:r>
        <w:rPr>
          <w:snapToGrid w:val="0"/>
        </w:rPr>
        <w:t> — </w:t>
      </w:r>
      <w:r>
        <w:rPr>
          <w:rStyle w:val="CharDivText"/>
        </w:rPr>
        <w:t>Marking out mining tenements</w:t>
      </w:r>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DivText"/>
        </w:rPr>
        <w:t xml:space="preserve"> </w:t>
      </w:r>
    </w:p>
    <w:p>
      <w:pPr>
        <w:pStyle w:val="Heading5"/>
        <w:spacing w:before="140"/>
        <w:rPr>
          <w:snapToGrid w:val="0"/>
        </w:rPr>
      </w:pPr>
      <w:bookmarkStart w:id="683" w:name="_Toc474633092"/>
      <w:bookmarkStart w:id="684" w:name="_Toc488740241"/>
      <w:bookmarkStart w:id="685" w:name="_Toc8623622"/>
      <w:bookmarkStart w:id="686" w:name="_Toc11229463"/>
      <w:bookmarkStart w:id="687" w:name="_Toc104276624"/>
      <w:bookmarkStart w:id="688" w:name="_Toc127338032"/>
      <w:r>
        <w:rPr>
          <w:rStyle w:val="CharSectno"/>
        </w:rPr>
        <w:t>59</w:t>
      </w:r>
      <w:r>
        <w:rPr>
          <w:snapToGrid w:val="0"/>
        </w:rPr>
        <w:t>.</w:t>
      </w:r>
      <w:r>
        <w:rPr>
          <w:snapToGrid w:val="0"/>
        </w:rPr>
        <w:tab/>
        <w:t>Manner of marking out a tenement</w:t>
      </w:r>
      <w:bookmarkEnd w:id="683"/>
      <w:bookmarkEnd w:id="684"/>
      <w:bookmarkEnd w:id="685"/>
      <w:bookmarkEnd w:id="686"/>
      <w:bookmarkEnd w:id="687"/>
      <w:bookmarkEnd w:id="688"/>
      <w:r>
        <w:rPr>
          <w:snapToGrid w:val="0"/>
        </w:rPr>
        <w:t xml:space="preserve"> </w:t>
      </w:r>
    </w:p>
    <w:p>
      <w:pPr>
        <w:pStyle w:val="Subsection"/>
        <w:spacing w:before="110"/>
        <w:rPr>
          <w:snapToGrid w:val="0"/>
        </w:rPr>
      </w:pPr>
      <w:r>
        <w:rPr>
          <w:snapToGrid w:val="0"/>
        </w:rPr>
        <w:tab/>
        <w:t>(1)</w:t>
      </w:r>
      <w:r>
        <w:rPr>
          <w:snapToGrid w:val="0"/>
        </w:rPr>
        <w:tab/>
        <w:t>Land in respect of which a person is seeking a mining tenement shall, except where other provision is expressly made, be marked out — </w:t>
      </w:r>
    </w:p>
    <w:p>
      <w:pPr>
        <w:pStyle w:val="Indenta"/>
        <w:spacing w:before="60"/>
        <w:rPr>
          <w:snapToGrid w:val="0"/>
        </w:rPr>
      </w:pPr>
      <w:r>
        <w:rPr>
          <w:snapToGrid w:val="0"/>
        </w:rPr>
        <w:tab/>
        <w:t>(a)</w:t>
      </w:r>
      <w:r>
        <w:rPr>
          <w:snapToGrid w:val="0"/>
        </w:rPr>
        <w:tab/>
        <w:t>by fixing firmly in the ground —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spacing w:before="110"/>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spacing w:before="110"/>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 xml:space="preserve">[Regulation 59 inserted in Gazette 16 Nov 1990 p. 5728; amended in Gazette 2 Jul 1993 p. 3271; 15 Aug 2003 p. 3693.] </w:t>
      </w:r>
    </w:p>
    <w:p>
      <w:pPr>
        <w:pStyle w:val="Heading5"/>
        <w:rPr>
          <w:snapToGrid w:val="0"/>
        </w:rPr>
      </w:pPr>
      <w:bookmarkStart w:id="689" w:name="_Toc474633093"/>
      <w:bookmarkStart w:id="690" w:name="_Toc488740242"/>
      <w:bookmarkStart w:id="691" w:name="_Toc8623623"/>
      <w:bookmarkStart w:id="692" w:name="_Toc11229464"/>
      <w:bookmarkStart w:id="693" w:name="_Toc104276625"/>
      <w:bookmarkStart w:id="694" w:name="_Toc127338033"/>
      <w:r>
        <w:rPr>
          <w:rStyle w:val="CharSectno"/>
        </w:rPr>
        <w:t>60</w:t>
      </w:r>
      <w:r>
        <w:rPr>
          <w:snapToGrid w:val="0"/>
        </w:rPr>
        <w:t>.</w:t>
      </w:r>
      <w:r>
        <w:rPr>
          <w:snapToGrid w:val="0"/>
        </w:rPr>
        <w:tab/>
        <w:t>Stones used to support posts</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 xml:space="preserve">[Regulation 60 inserted in Gazette 2 Jul 1993 p. 3271.] </w:t>
      </w:r>
    </w:p>
    <w:p>
      <w:pPr>
        <w:pStyle w:val="Heading5"/>
        <w:rPr>
          <w:snapToGrid w:val="0"/>
        </w:rPr>
      </w:pPr>
      <w:bookmarkStart w:id="695" w:name="_Toc474633094"/>
      <w:bookmarkStart w:id="696" w:name="_Toc488740243"/>
      <w:bookmarkStart w:id="697" w:name="_Toc8623624"/>
      <w:bookmarkStart w:id="698" w:name="_Toc11229465"/>
      <w:bookmarkStart w:id="699" w:name="_Toc104276626"/>
      <w:bookmarkStart w:id="700" w:name="_Toc127338034"/>
      <w:r>
        <w:rPr>
          <w:rStyle w:val="CharSectno"/>
        </w:rPr>
        <w:t>61</w:t>
      </w:r>
      <w:r>
        <w:rPr>
          <w:snapToGrid w:val="0"/>
        </w:rPr>
        <w:t>.</w:t>
      </w:r>
      <w:r>
        <w:rPr>
          <w:snapToGrid w:val="0"/>
        </w:rPr>
        <w:tab/>
        <w:t>Marking out surveyed land</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 xml:space="preserve">[Regulation 61 amended in Gazette 2 Oct 1987 p. 3819; 2 Jul 1993 p. 3271.] </w:t>
      </w:r>
    </w:p>
    <w:p>
      <w:pPr>
        <w:pStyle w:val="Heading5"/>
        <w:rPr>
          <w:snapToGrid w:val="0"/>
        </w:rPr>
      </w:pPr>
      <w:bookmarkStart w:id="701" w:name="_Toc474633095"/>
      <w:bookmarkStart w:id="702" w:name="_Toc488740244"/>
      <w:bookmarkStart w:id="703" w:name="_Toc8623625"/>
      <w:bookmarkStart w:id="704" w:name="_Toc11229466"/>
      <w:bookmarkStart w:id="705" w:name="_Toc104276627"/>
      <w:bookmarkStart w:id="706" w:name="_Toc127338035"/>
      <w:r>
        <w:rPr>
          <w:rStyle w:val="CharSectno"/>
        </w:rPr>
        <w:t>62</w:t>
      </w:r>
      <w:r>
        <w:rPr>
          <w:snapToGrid w:val="0"/>
        </w:rPr>
        <w:t>.</w:t>
      </w:r>
      <w:r>
        <w:rPr>
          <w:snapToGrid w:val="0"/>
        </w:rPr>
        <w:tab/>
        <w:t>Surplus land may be applied for by others</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spacing w:before="120"/>
        <w:rPr>
          <w:snapToGrid w:val="0"/>
        </w:rPr>
      </w:pPr>
      <w:bookmarkStart w:id="707" w:name="_Toc474633096"/>
      <w:bookmarkStart w:id="708" w:name="_Toc488740245"/>
      <w:bookmarkStart w:id="709" w:name="_Toc8623626"/>
      <w:bookmarkStart w:id="710" w:name="_Toc11229467"/>
      <w:bookmarkStart w:id="711" w:name="_Toc104276628"/>
      <w:bookmarkStart w:id="712" w:name="_Toc127338036"/>
      <w:r>
        <w:rPr>
          <w:rStyle w:val="CharSectno"/>
        </w:rPr>
        <w:t>63</w:t>
      </w:r>
      <w:r>
        <w:rPr>
          <w:snapToGrid w:val="0"/>
        </w:rPr>
        <w:t>.</w:t>
      </w:r>
      <w:r>
        <w:rPr>
          <w:snapToGrid w:val="0"/>
        </w:rPr>
        <w:tab/>
        <w:t>Land marked out but not applied for</w:t>
      </w:r>
      <w:bookmarkEnd w:id="707"/>
      <w:bookmarkEnd w:id="708"/>
      <w:bookmarkEnd w:id="709"/>
      <w:bookmarkEnd w:id="710"/>
      <w:bookmarkEnd w:id="711"/>
      <w:bookmarkEnd w:id="712"/>
      <w:r>
        <w:rPr>
          <w:snapToGrid w:val="0"/>
        </w:rPr>
        <w:t xml:space="preserve"> </w:t>
      </w:r>
    </w:p>
    <w:p>
      <w:pPr>
        <w:pStyle w:val="Subsection"/>
        <w:spacing w:before="10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0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713" w:name="_Toc127338037"/>
      <w:bookmarkStart w:id="714" w:name="_Toc74978912"/>
      <w:bookmarkStart w:id="715" w:name="_Toc74979176"/>
      <w:bookmarkStart w:id="716" w:name="_Toc79976474"/>
      <w:bookmarkStart w:id="717" w:name="_Toc80759745"/>
      <w:bookmarkStart w:id="718" w:name="_Toc80783508"/>
      <w:bookmarkStart w:id="719" w:name="_Toc94931175"/>
      <w:bookmarkStart w:id="720" w:name="_Toc104275298"/>
      <w:bookmarkStart w:id="721" w:name="_Toc104276629"/>
      <w:bookmarkStart w:id="722" w:name="_Toc107198850"/>
      <w:bookmarkStart w:id="723" w:name="_Toc107799301"/>
      <w:bookmarkStart w:id="724" w:name="_Toc127087308"/>
      <w:r>
        <w:rPr>
          <w:rStyle w:val="CharSectno"/>
        </w:rPr>
        <w:t>63A</w:t>
      </w:r>
      <w:r>
        <w:t>.</w:t>
      </w:r>
      <w:r>
        <w:tab/>
        <w:t>Requirement for marking out following grant of reversion licence</w:t>
      </w:r>
      <w:bookmarkEnd w:id="713"/>
    </w:p>
    <w:p>
      <w:pPr>
        <w:pStyle w:val="Subsection"/>
      </w:pPr>
      <w:r>
        <w:tab/>
        <w:t>(1)</w:t>
      </w:r>
      <w:r>
        <w:tab/>
        <w:t xml:space="preserve">If, as a result of a reversion licence application, a mining tenement (the </w:t>
      </w:r>
      <w:r>
        <w:rPr>
          <w:b/>
          <w:bCs/>
        </w:rPr>
        <w:t>“</w:t>
      </w:r>
      <w:r>
        <w:rPr>
          <w:rStyle w:val="CharDefText"/>
        </w:rPr>
        <w:t>reversion licence</w:t>
      </w:r>
      <w:r>
        <w:rPr>
          <w:b/>
          <w:bCs/>
        </w:rPr>
        <w:t>”</w:t>
      </w:r>
      <w:r>
        <w:t xml:space="preserve">) is granted in respect of part of the land the subject of an application for a mining lease (the </w:t>
      </w:r>
      <w:r>
        <w:rPr>
          <w:b/>
          <w:bCs/>
        </w:rPr>
        <w:t>“</w:t>
      </w:r>
      <w:r>
        <w:rPr>
          <w:rStyle w:val="CharDefText"/>
        </w:rPr>
        <w:t>lease application</w:t>
      </w:r>
      <w:r>
        <w:rPr>
          <w:b/>
          <w:bCs/>
        </w:rPr>
        <w:t>”</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spacing w:before="120"/>
        <w:rPr>
          <w:snapToGrid w:val="0"/>
        </w:rPr>
      </w:pPr>
      <w:bookmarkStart w:id="725" w:name="_Toc127183617"/>
      <w:bookmarkStart w:id="726" w:name="_Toc127338038"/>
      <w:r>
        <w:rPr>
          <w:rStyle w:val="CharDivNo"/>
        </w:rPr>
        <w:t>Division 2</w:t>
      </w:r>
      <w:r>
        <w:rPr>
          <w:snapToGrid w:val="0"/>
        </w:rPr>
        <w:t> — </w:t>
      </w:r>
      <w:r>
        <w:rPr>
          <w:rStyle w:val="CharDivText"/>
        </w:rPr>
        <w:t>Applications and objections</w:t>
      </w:r>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DivText"/>
        </w:rPr>
        <w:t xml:space="preserve"> </w:t>
      </w:r>
    </w:p>
    <w:p>
      <w:pPr>
        <w:pStyle w:val="Heading5"/>
        <w:spacing w:before="120"/>
        <w:rPr>
          <w:snapToGrid w:val="0"/>
        </w:rPr>
      </w:pPr>
      <w:bookmarkStart w:id="727" w:name="_Toc474633097"/>
      <w:bookmarkStart w:id="728" w:name="_Toc488740246"/>
      <w:bookmarkStart w:id="729" w:name="_Toc8623627"/>
      <w:bookmarkStart w:id="730" w:name="_Toc11229468"/>
      <w:bookmarkStart w:id="731" w:name="_Toc104276630"/>
      <w:bookmarkStart w:id="732" w:name="_Toc127338039"/>
      <w:r>
        <w:rPr>
          <w:rStyle w:val="CharSectno"/>
        </w:rPr>
        <w:t>64</w:t>
      </w:r>
      <w:r>
        <w:rPr>
          <w:snapToGrid w:val="0"/>
        </w:rPr>
        <w:t>.</w:t>
      </w:r>
      <w:r>
        <w:rPr>
          <w:snapToGrid w:val="0"/>
        </w:rPr>
        <w:tab/>
        <w:t>Application for mining tenement</w:t>
      </w:r>
      <w:bookmarkEnd w:id="727"/>
      <w:bookmarkEnd w:id="728"/>
      <w:bookmarkEnd w:id="729"/>
      <w:bookmarkEnd w:id="730"/>
      <w:bookmarkEnd w:id="731"/>
      <w:bookmarkEnd w:id="732"/>
      <w:r>
        <w:rPr>
          <w:snapToGrid w:val="0"/>
        </w:rPr>
        <w:t xml:space="preserve"> </w:t>
      </w:r>
    </w:p>
    <w:p>
      <w:pPr>
        <w:pStyle w:val="Subsection"/>
        <w:spacing w:before="100"/>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spacing w:before="100"/>
        <w:rPr>
          <w:snapToGrid w:val="0"/>
        </w:rPr>
      </w:pPr>
      <w:r>
        <w:rPr>
          <w:snapToGrid w:val="0"/>
        </w:rPr>
        <w:tab/>
        <w:t>(1a)</w:t>
      </w:r>
      <w:r>
        <w:rPr>
          <w:snapToGrid w:val="0"/>
        </w:rPr>
        <w:tab/>
        <w:t>For the purposes of section 58(1) an application for an exploration licence, in the form No. 21 of the First Schedule, includes —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spacing w:before="60"/>
        <w:rPr>
          <w:snapToGrid w:val="0"/>
        </w:rPr>
      </w:pPr>
      <w:r>
        <w:rPr>
          <w:snapToGrid w:val="0"/>
        </w:rPr>
        <w:tab/>
      </w:r>
      <w:r>
        <w:rPr>
          <w:snapToGrid w:val="0"/>
        </w:rPr>
        <w:tab/>
        <w:t>in accordance with section 58(2)(a).</w:t>
      </w:r>
    </w:p>
    <w:p>
      <w:pPr>
        <w:pStyle w:val="Subsection"/>
        <w:spacing w:before="100"/>
      </w:pPr>
      <w:r>
        <w:tab/>
        <w:t>(1b)</w:t>
      </w:r>
      <w:r>
        <w:tab/>
        <w:t xml:space="preserve">The prescribed </w:t>
      </w:r>
      <w:r>
        <w:rPr>
          <w:snapToGrid w:val="0"/>
        </w:rPr>
        <w:t>application</w:t>
      </w:r>
      <w:r>
        <w:t xml:space="preserve"> fee for a mining tenement is set out in item 2 of the Second Schedule.</w:t>
      </w:r>
    </w:p>
    <w:p>
      <w:pPr>
        <w:pStyle w:val="Subsection"/>
        <w:spacing w:before="100"/>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spacing w:before="150"/>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 xml:space="preserve">13; 3 Feb 2006 p. 520 and 594.] </w:t>
      </w:r>
    </w:p>
    <w:p>
      <w:pPr>
        <w:pStyle w:val="Heading5"/>
        <w:rPr>
          <w:snapToGrid w:val="0"/>
        </w:rPr>
      </w:pPr>
      <w:bookmarkStart w:id="733" w:name="_Toc474633098"/>
      <w:bookmarkStart w:id="734" w:name="_Toc488740247"/>
      <w:bookmarkStart w:id="735" w:name="_Toc8623628"/>
      <w:bookmarkStart w:id="736" w:name="_Toc11229469"/>
      <w:bookmarkStart w:id="737" w:name="_Toc104276631"/>
      <w:bookmarkStart w:id="738" w:name="_Toc127338040"/>
      <w:r>
        <w:rPr>
          <w:rStyle w:val="CharSectno"/>
        </w:rPr>
        <w:t>64A</w:t>
      </w:r>
      <w:r>
        <w:rPr>
          <w:snapToGrid w:val="0"/>
        </w:rPr>
        <w:t>.</w:t>
      </w:r>
      <w:r>
        <w:rPr>
          <w:snapToGrid w:val="0"/>
        </w:rPr>
        <w:tab/>
        <w:t>Notice of application for prospecting licence, exploration licence, retention licence or mining lease</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For the purposes of sections 41(2), 58(4), 70C(4) and 74(3), the notice required to be served on the owner and occupier shall be —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 xml:space="preserve">[Regulation 64A inserted in Gazette 13 Oct 1995 p. 4818.] </w:t>
      </w:r>
    </w:p>
    <w:p>
      <w:pPr>
        <w:pStyle w:val="Heading5"/>
        <w:rPr>
          <w:snapToGrid w:val="0"/>
        </w:rPr>
      </w:pPr>
      <w:bookmarkStart w:id="739" w:name="_Toc474633099"/>
      <w:bookmarkStart w:id="740" w:name="_Toc488740248"/>
      <w:bookmarkStart w:id="741" w:name="_Toc8623629"/>
      <w:bookmarkStart w:id="742" w:name="_Toc11229470"/>
      <w:bookmarkStart w:id="743" w:name="_Toc104276632"/>
      <w:bookmarkStart w:id="744" w:name="_Toc127338041"/>
      <w:r>
        <w:rPr>
          <w:rStyle w:val="CharSectno"/>
        </w:rPr>
        <w:t>64B</w:t>
      </w:r>
      <w:r>
        <w:rPr>
          <w:snapToGrid w:val="0"/>
        </w:rPr>
        <w:t>.</w:t>
      </w:r>
      <w:r>
        <w:rPr>
          <w:snapToGrid w:val="0"/>
        </w:rPr>
        <w:tab/>
        <w:t>Notice of application for mining tenement — pastoral lessee or other leaseholder</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 xml:space="preserve">[Regulation 64B inserted in Gazette 24 Jun 1994 p. 2931.] </w:t>
      </w:r>
    </w:p>
    <w:p>
      <w:pPr>
        <w:pStyle w:val="Heading5"/>
      </w:pPr>
      <w:bookmarkStart w:id="745" w:name="_Toc104276633"/>
      <w:bookmarkStart w:id="746" w:name="_Toc127338042"/>
      <w:bookmarkStart w:id="747" w:name="_Toc474633100"/>
      <w:bookmarkStart w:id="748" w:name="_Toc488740249"/>
      <w:bookmarkStart w:id="749" w:name="_Toc8623630"/>
      <w:bookmarkStart w:id="750" w:name="_Toc11229471"/>
      <w:r>
        <w:rPr>
          <w:rStyle w:val="CharSectno"/>
        </w:rPr>
        <w:t>64C</w:t>
      </w:r>
      <w:r>
        <w:t>.</w:t>
      </w:r>
      <w:r>
        <w:tab/>
        <w:t>Copy of application for miscellaneous licence</w:t>
      </w:r>
      <w:bookmarkEnd w:id="745"/>
      <w:bookmarkEnd w:id="746"/>
    </w:p>
    <w:p>
      <w:pPr>
        <w:pStyle w:val="Subsection"/>
      </w:pPr>
      <w:r>
        <w:tab/>
      </w:r>
      <w:r>
        <w:tab/>
        <w:t>For the purposes of section 91(9), the prescribed time is 14 days after the lodging of the application concerned.</w:t>
      </w:r>
    </w:p>
    <w:p>
      <w:pPr>
        <w:pStyle w:val="Footnotesection"/>
      </w:pPr>
      <w:r>
        <w:tab/>
        <w:t xml:space="preserve">[Regulation 64C inserted in Gazette 17 Jan 2003 p. 106.] </w:t>
      </w:r>
    </w:p>
    <w:p>
      <w:pPr>
        <w:pStyle w:val="Heading5"/>
        <w:rPr>
          <w:snapToGrid w:val="0"/>
        </w:rPr>
      </w:pPr>
      <w:bookmarkStart w:id="751" w:name="_Toc104276634"/>
      <w:bookmarkStart w:id="752" w:name="_Toc127338043"/>
      <w:r>
        <w:rPr>
          <w:rStyle w:val="CharSectno"/>
        </w:rPr>
        <w:t>65</w:t>
      </w:r>
      <w:r>
        <w:rPr>
          <w:snapToGrid w:val="0"/>
        </w:rPr>
        <w:t>.</w:t>
      </w:r>
      <w:r>
        <w:rPr>
          <w:snapToGrid w:val="0"/>
        </w:rPr>
        <w:tab/>
        <w:t>Number of shares to be stated on application</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753" w:name="_Toc474633101"/>
      <w:bookmarkStart w:id="754" w:name="_Toc488740250"/>
      <w:bookmarkStart w:id="755" w:name="_Toc8623631"/>
      <w:bookmarkStart w:id="756" w:name="_Toc11229472"/>
      <w:bookmarkStart w:id="757" w:name="_Toc104276635"/>
      <w:bookmarkStart w:id="758" w:name="_Toc127338044"/>
      <w:r>
        <w:rPr>
          <w:rStyle w:val="CharSectno"/>
        </w:rPr>
        <w:t>66</w:t>
      </w:r>
      <w:r>
        <w:rPr>
          <w:snapToGrid w:val="0"/>
        </w:rPr>
        <w:t>.</w:t>
      </w:r>
      <w:r>
        <w:rPr>
          <w:snapToGrid w:val="0"/>
        </w:rPr>
        <w:tab/>
        <w:t>Description of boundaries</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r>
      <w:r>
        <w:rPr>
          <w:snapToGrid w:val="0"/>
        </w:rPr>
        <w:tab/>
        <w:t>The boundaries of every mining tenement applied for, other than an exploration licence, shall be described from either —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 xml:space="preserve">[Regulation 66 inserted in Gazette 2 Jul 1993 p. 3271; amended in Gazette 15 Dec 2000 p. 7219.] </w:t>
      </w:r>
    </w:p>
    <w:p>
      <w:pPr>
        <w:pStyle w:val="Ednotesection"/>
      </w:pPr>
      <w:r>
        <w:t>[</w:t>
      </w:r>
      <w:r>
        <w:rPr>
          <w:b/>
        </w:rPr>
        <w:t>66A.</w:t>
      </w:r>
      <w:r>
        <w:rPr>
          <w:b/>
        </w:rPr>
        <w:tab/>
      </w:r>
      <w:r>
        <w:t xml:space="preserve">Repealed in Gazette 4 Apr 1997 p. 1778.] </w:t>
      </w:r>
    </w:p>
    <w:p>
      <w:pPr>
        <w:pStyle w:val="Heading5"/>
        <w:rPr>
          <w:snapToGrid w:val="0"/>
        </w:rPr>
      </w:pPr>
      <w:bookmarkStart w:id="759" w:name="_Toc474633102"/>
      <w:bookmarkStart w:id="760" w:name="_Toc488740251"/>
      <w:bookmarkStart w:id="761" w:name="_Toc8623632"/>
      <w:bookmarkStart w:id="762" w:name="_Toc11229473"/>
      <w:bookmarkStart w:id="763" w:name="_Toc104276636"/>
      <w:bookmarkStart w:id="764" w:name="_Toc127338045"/>
      <w:r>
        <w:rPr>
          <w:rStyle w:val="CharSectno"/>
        </w:rPr>
        <w:t>67</w:t>
      </w:r>
      <w:r>
        <w:rPr>
          <w:snapToGrid w:val="0"/>
        </w:rPr>
        <w:t>.</w:t>
      </w:r>
      <w:r>
        <w:rPr>
          <w:snapToGrid w:val="0"/>
        </w:rPr>
        <w:tab/>
        <w:t>Objection against application</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Within 35 days of the date of application for a mining tenement or such further period as the warden considers reasonable any person may lodge at the office of the mining registrar an objection in the form No. 16 in the First Schedule and the objector shall serve a copy of such objection on the applicant.</w:t>
      </w:r>
    </w:p>
    <w:p>
      <w:pPr>
        <w:pStyle w:val="Subsection"/>
        <w:rPr>
          <w:snapToGrid w:val="0"/>
        </w:rPr>
      </w:pPr>
      <w:r>
        <w:rPr>
          <w:snapToGrid w:val="0"/>
        </w:rPr>
        <w:tab/>
        <w:t>(2)</w:t>
      </w:r>
      <w:r>
        <w:rPr>
          <w:snapToGrid w:val="0"/>
        </w:rPr>
        <w:tab/>
        <w:t>Notwithstanding subregulation (1), where an application is made for a mining tenement that relates to private land, the period during which a person may lodge an objection is — </w:t>
      </w:r>
    </w:p>
    <w:p>
      <w:pPr>
        <w:pStyle w:val="Indenta"/>
        <w:rPr>
          <w:snapToGrid w:val="0"/>
        </w:rPr>
      </w:pPr>
      <w:r>
        <w:rPr>
          <w:snapToGrid w:val="0"/>
        </w:rPr>
        <w:tab/>
        <w:t>(a)</w:t>
      </w:r>
      <w:r>
        <w:rPr>
          <w:snapToGrid w:val="0"/>
        </w:rPr>
        <w:tab/>
        <w:t>within 21 days of the date on which the person was served with a copy of notice required to be given under section 33(1); or</w:t>
      </w:r>
    </w:p>
    <w:p>
      <w:pPr>
        <w:pStyle w:val="Indenta"/>
        <w:keepNext/>
        <w:rPr>
          <w:snapToGrid w:val="0"/>
        </w:rPr>
      </w:pPr>
      <w:r>
        <w:rPr>
          <w:snapToGrid w:val="0"/>
        </w:rPr>
        <w:tab/>
        <w:t>(b)</w:t>
      </w:r>
      <w:r>
        <w:rPr>
          <w:snapToGrid w:val="0"/>
        </w:rPr>
        <w:tab/>
        <w:t>within 35 days of the date of the application,</w:t>
      </w:r>
    </w:p>
    <w:p>
      <w:pPr>
        <w:pStyle w:val="Subsection"/>
        <w:keepNext/>
        <w:rPr>
          <w:snapToGrid w:val="0"/>
        </w:rPr>
      </w:pPr>
      <w:r>
        <w:rPr>
          <w:snapToGrid w:val="0"/>
        </w:rPr>
        <w:tab/>
      </w:r>
      <w:r>
        <w:rPr>
          <w:snapToGrid w:val="0"/>
        </w:rPr>
        <w:tab/>
        <w:t>whichever period ends later, or such further period as the warden considers reasonable.</w:t>
      </w:r>
    </w:p>
    <w:p>
      <w:pPr>
        <w:pStyle w:val="Footnotesection"/>
      </w:pPr>
      <w:r>
        <w:tab/>
        <w:t xml:space="preserve">[Regulation 67 amended in Gazette 31 May 1991 p. 2699; 2 Jul 1993 p. 3272; 24 Dec 1993 p. 6828.] </w:t>
      </w:r>
    </w:p>
    <w:p>
      <w:pPr>
        <w:pStyle w:val="Ednotesection"/>
        <w:ind w:left="890" w:hanging="890"/>
      </w:pPr>
      <w:r>
        <w:t>[</w:t>
      </w:r>
      <w:r>
        <w:rPr>
          <w:b/>
        </w:rPr>
        <w:t>67A.</w:t>
      </w:r>
      <w:r>
        <w:tab/>
        <w:t xml:space="preserve">Repealed in Gazette 4 Apr 1997 p. 1778.] </w:t>
      </w:r>
    </w:p>
    <w:p>
      <w:pPr>
        <w:pStyle w:val="Heading5"/>
        <w:rPr>
          <w:snapToGrid w:val="0"/>
        </w:rPr>
      </w:pPr>
      <w:bookmarkStart w:id="765" w:name="_Toc474633103"/>
      <w:bookmarkStart w:id="766" w:name="_Toc488740252"/>
      <w:bookmarkStart w:id="767" w:name="_Toc8623633"/>
      <w:bookmarkStart w:id="768" w:name="_Toc11229474"/>
      <w:bookmarkStart w:id="769" w:name="_Toc104276637"/>
      <w:bookmarkStart w:id="770" w:name="_Toc127338046"/>
      <w:r>
        <w:rPr>
          <w:rStyle w:val="CharSectno"/>
        </w:rPr>
        <w:t>68</w:t>
      </w:r>
      <w:r>
        <w:rPr>
          <w:snapToGrid w:val="0"/>
        </w:rPr>
        <w:t>.</w:t>
      </w:r>
      <w:r>
        <w:rPr>
          <w:snapToGrid w:val="0"/>
        </w:rPr>
        <w:tab/>
        <w:t>Warden may obtain report</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pPr>
      <w:r>
        <w:tab/>
        <w:t>[Regulation 68 amended in Gazette 3 Feb 2006 p. 594.]</w:t>
      </w:r>
    </w:p>
    <w:p>
      <w:pPr>
        <w:pStyle w:val="Heading5"/>
        <w:spacing w:before="180"/>
        <w:rPr>
          <w:snapToGrid w:val="0"/>
        </w:rPr>
      </w:pPr>
      <w:bookmarkStart w:id="771" w:name="_Toc474633104"/>
      <w:bookmarkStart w:id="772" w:name="_Toc488740253"/>
      <w:bookmarkStart w:id="773" w:name="_Toc8623634"/>
      <w:bookmarkStart w:id="774" w:name="_Toc11229475"/>
      <w:bookmarkStart w:id="775" w:name="_Toc104276638"/>
      <w:bookmarkStart w:id="776" w:name="_Toc127338047"/>
      <w:r>
        <w:rPr>
          <w:rStyle w:val="CharSectno"/>
        </w:rPr>
        <w:t>69</w:t>
      </w:r>
      <w:r>
        <w:rPr>
          <w:snapToGrid w:val="0"/>
        </w:rPr>
        <w:t>.</w:t>
      </w:r>
      <w:r>
        <w:rPr>
          <w:snapToGrid w:val="0"/>
        </w:rPr>
        <w:tab/>
        <w:t>Withdrawal of applications</w:t>
      </w:r>
      <w:bookmarkEnd w:id="771"/>
      <w:bookmarkEnd w:id="772"/>
      <w:bookmarkEnd w:id="773"/>
      <w:bookmarkEnd w:id="774"/>
      <w:bookmarkEnd w:id="775"/>
      <w:bookmarkEnd w:id="776"/>
      <w:r>
        <w:rPr>
          <w:snapToGrid w:val="0"/>
        </w:rPr>
        <w:t xml:space="preserve"> </w:t>
      </w:r>
    </w:p>
    <w:p>
      <w:pPr>
        <w:pStyle w:val="Subsection"/>
        <w:spacing w:before="120"/>
        <w:rPr>
          <w:snapToGrid w:val="0"/>
        </w:rPr>
      </w:pPr>
      <w:r>
        <w:rPr>
          <w:snapToGrid w:val="0"/>
        </w:rPr>
        <w:tab/>
      </w:r>
      <w:r>
        <w:rPr>
          <w:snapToGrid w:val="0"/>
        </w:rPr>
        <w:tab/>
        <w:t>An applicant for a mining tenement may, at any time before the granting of the application, apply to withdraw his application by lodging a withdrawal in the form No. 22 in the First Schedule, but if — </w:t>
      </w:r>
    </w:p>
    <w:p>
      <w:pPr>
        <w:pStyle w:val="Indenta"/>
        <w:spacing w:before="70"/>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spacing w:before="80"/>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w:t>
      </w:r>
    </w:p>
    <w:p>
      <w:pPr>
        <w:pStyle w:val="Heading5"/>
        <w:spacing w:before="180"/>
      </w:pPr>
      <w:bookmarkStart w:id="777" w:name="_Toc8623635"/>
      <w:bookmarkStart w:id="778" w:name="_Toc11229476"/>
      <w:bookmarkStart w:id="779" w:name="_Toc104276639"/>
      <w:bookmarkStart w:id="780" w:name="_Toc127338048"/>
      <w:bookmarkStart w:id="781" w:name="_Toc474633105"/>
      <w:bookmarkStart w:id="782" w:name="_Toc488740254"/>
      <w:r>
        <w:rPr>
          <w:rStyle w:val="CharSectno"/>
        </w:rPr>
        <w:t>69A</w:t>
      </w:r>
      <w:r>
        <w:t>.</w:t>
      </w:r>
      <w:r>
        <w:tab/>
        <w:t>GST to be paid at time of grant of application</w:t>
      </w:r>
      <w:bookmarkEnd w:id="777"/>
      <w:bookmarkEnd w:id="778"/>
      <w:bookmarkEnd w:id="779"/>
      <w:bookmarkEnd w:id="780"/>
    </w:p>
    <w:p>
      <w:pPr>
        <w:pStyle w:val="Subsection"/>
        <w:spacing w:before="120"/>
      </w:pPr>
      <w:r>
        <w:tab/>
        <w:t>(1)</w:t>
      </w:r>
      <w:r>
        <w:tab/>
        <w:t xml:space="preserve">In this regulation — </w:t>
      </w:r>
    </w:p>
    <w:p>
      <w:pPr>
        <w:pStyle w:val="Defstart"/>
      </w:pPr>
      <w:r>
        <w:tab/>
      </w:r>
      <w:r>
        <w:rPr>
          <w:b/>
        </w:rPr>
        <w:t>“</w:t>
      </w:r>
      <w:r>
        <w:rPr>
          <w:rStyle w:val="CharDefText"/>
        </w:rPr>
        <w:t>prescribed application</w:t>
      </w:r>
      <w:r>
        <w:rPr>
          <w:b/>
        </w:rPr>
        <w:t>”</w:t>
      </w:r>
      <w:r>
        <w:t xml:space="preserve"> means an application for a mining tenement that is made after 5 February 2001.</w:t>
      </w:r>
    </w:p>
    <w:p>
      <w:pPr>
        <w:pStyle w:val="Subsection"/>
        <w:spacing w:before="120"/>
      </w:pPr>
      <w:r>
        <w:tab/>
        <w:t>(2)</w:t>
      </w:r>
      <w:r>
        <w:tab/>
        <w:t>A prescribed application shall not be granted unless the applicant pays one eleventh of the annual rent that was prescribed for that tenement at the time the application was made.</w:t>
      </w:r>
    </w:p>
    <w:p>
      <w:pPr>
        <w:pStyle w:val="Subsection"/>
        <w:spacing w:before="120"/>
      </w:pPr>
      <w:r>
        <w:tab/>
        <w:t>(3)</w:t>
      </w:r>
      <w:r>
        <w:tab/>
        <w:t>Written notice requiring the payment of the amount referred to in subregulation (2) within 30 days of the date of the issue of the notice may be given to the applicant.</w:t>
      </w:r>
    </w:p>
    <w:p>
      <w:pPr>
        <w:pStyle w:val="Subsection"/>
        <w:spacing w:before="120"/>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spacing w:before="180"/>
        <w:rPr>
          <w:snapToGrid w:val="0"/>
        </w:rPr>
      </w:pPr>
      <w:bookmarkStart w:id="783" w:name="_Toc8623636"/>
      <w:bookmarkStart w:id="784" w:name="_Toc11229477"/>
      <w:bookmarkStart w:id="785" w:name="_Toc104276640"/>
      <w:bookmarkStart w:id="786" w:name="_Toc127338049"/>
      <w:r>
        <w:rPr>
          <w:rStyle w:val="CharSectno"/>
        </w:rPr>
        <w:t>70</w:t>
      </w:r>
      <w:r>
        <w:rPr>
          <w:snapToGrid w:val="0"/>
        </w:rPr>
        <w:t>.</w:t>
      </w:r>
      <w:r>
        <w:rPr>
          <w:snapToGrid w:val="0"/>
        </w:rPr>
        <w:tab/>
        <w:t>Refund of rent on withdrawal or refusal of application</w:t>
      </w:r>
      <w:bookmarkEnd w:id="781"/>
      <w:bookmarkEnd w:id="782"/>
      <w:bookmarkEnd w:id="783"/>
      <w:bookmarkEnd w:id="784"/>
      <w:bookmarkEnd w:id="785"/>
      <w:bookmarkEnd w:id="786"/>
      <w:r>
        <w:rPr>
          <w:snapToGrid w:val="0"/>
        </w:rPr>
        <w:t xml:space="preserve"> </w:t>
      </w:r>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 xml:space="preserve">[Regulation 70 inserted in Gazette 2 Oct 1987 p. 3819.] </w:t>
      </w:r>
    </w:p>
    <w:p>
      <w:pPr>
        <w:pStyle w:val="Heading5"/>
        <w:rPr>
          <w:snapToGrid w:val="0"/>
        </w:rPr>
      </w:pPr>
      <w:bookmarkStart w:id="787" w:name="_Toc474633106"/>
      <w:bookmarkStart w:id="788" w:name="_Toc488740255"/>
      <w:bookmarkStart w:id="789" w:name="_Toc8623637"/>
      <w:bookmarkStart w:id="790" w:name="_Toc11229478"/>
      <w:bookmarkStart w:id="791" w:name="_Toc104276641"/>
      <w:bookmarkStart w:id="792" w:name="_Toc127338050"/>
      <w:r>
        <w:rPr>
          <w:rStyle w:val="CharSectno"/>
        </w:rPr>
        <w:t>70A</w:t>
      </w:r>
      <w:r>
        <w:rPr>
          <w:snapToGrid w:val="0"/>
        </w:rPr>
        <w:t>.</w:t>
      </w:r>
      <w:r>
        <w:rPr>
          <w:snapToGrid w:val="0"/>
        </w:rPr>
        <w:tab/>
        <w:t>Amalgamation of secondary tenement</w:t>
      </w:r>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An application to amalgamate a secondary tenement under section 67A shall —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 xml:space="preserve">19.] </w:t>
      </w:r>
    </w:p>
    <w:p>
      <w:pPr>
        <w:pStyle w:val="Heading5"/>
        <w:rPr>
          <w:snapToGrid w:val="0"/>
        </w:rPr>
      </w:pPr>
      <w:bookmarkStart w:id="793" w:name="_Toc474633107"/>
      <w:bookmarkStart w:id="794" w:name="_Toc488740256"/>
      <w:bookmarkStart w:id="795" w:name="_Toc8623638"/>
      <w:bookmarkStart w:id="796" w:name="_Toc11229479"/>
      <w:bookmarkStart w:id="797" w:name="_Toc104276642"/>
      <w:bookmarkStart w:id="798" w:name="_Toc127338051"/>
      <w:r>
        <w:rPr>
          <w:rStyle w:val="CharSectno"/>
        </w:rPr>
        <w:t>70B</w:t>
      </w:r>
      <w:r>
        <w:rPr>
          <w:snapToGrid w:val="0"/>
        </w:rPr>
        <w:t>.</w:t>
      </w:r>
      <w:r>
        <w:rPr>
          <w:snapToGrid w:val="0"/>
        </w:rPr>
        <w:tab/>
        <w:t>Agreement as to priority</w:t>
      </w:r>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 xml:space="preserve">[Regulation 70B inserted in Gazette 31 May 1991 p. 2699.] </w:t>
      </w:r>
    </w:p>
    <w:p>
      <w:pPr>
        <w:pStyle w:val="Heading5"/>
        <w:rPr>
          <w:snapToGrid w:val="0"/>
        </w:rPr>
      </w:pPr>
      <w:bookmarkStart w:id="799" w:name="_Toc474633108"/>
      <w:bookmarkStart w:id="800" w:name="_Toc488740257"/>
      <w:bookmarkStart w:id="801" w:name="_Toc8623639"/>
      <w:bookmarkStart w:id="802" w:name="_Toc11229480"/>
      <w:bookmarkStart w:id="803" w:name="_Toc104276643"/>
      <w:bookmarkStart w:id="804" w:name="_Toc127338052"/>
      <w:r>
        <w:rPr>
          <w:rStyle w:val="CharSectno"/>
        </w:rPr>
        <w:t>70C</w:t>
      </w:r>
      <w:r>
        <w:rPr>
          <w:snapToGrid w:val="0"/>
        </w:rPr>
        <w:t>.</w:t>
      </w:r>
      <w:r>
        <w:rPr>
          <w:snapToGrid w:val="0"/>
        </w:rPr>
        <w:tab/>
        <w:t>Refund where licence substituted or lease refused</w:t>
      </w:r>
      <w:bookmarkEnd w:id="799"/>
      <w:bookmarkEnd w:id="800"/>
      <w:bookmarkEnd w:id="801"/>
      <w:bookmarkEnd w:id="802"/>
      <w:bookmarkEnd w:id="803"/>
      <w:bookmarkEnd w:id="804"/>
      <w:r>
        <w:rPr>
          <w:snapToGrid w:val="0"/>
        </w:rPr>
        <w:t xml:space="preserve"> </w:t>
      </w:r>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 xml:space="preserve">[Regulation 70C inserted in Gazette 31 May 1991 p. 2699; amended in Gazette 24 Jun 1994 p. 2932.] </w:t>
      </w:r>
    </w:p>
    <w:p>
      <w:pPr>
        <w:pStyle w:val="Heading5"/>
        <w:spacing w:before="180"/>
        <w:rPr>
          <w:snapToGrid w:val="0"/>
        </w:rPr>
      </w:pPr>
      <w:bookmarkStart w:id="805" w:name="_Toc474633109"/>
      <w:bookmarkStart w:id="806" w:name="_Toc488740258"/>
      <w:bookmarkStart w:id="807" w:name="_Toc8623640"/>
      <w:bookmarkStart w:id="808" w:name="_Toc11229481"/>
      <w:bookmarkStart w:id="809" w:name="_Toc104276644"/>
      <w:bookmarkStart w:id="810" w:name="_Toc127338053"/>
      <w:r>
        <w:rPr>
          <w:rStyle w:val="CharSectno"/>
        </w:rPr>
        <w:t>70D</w:t>
      </w:r>
      <w:r>
        <w:rPr>
          <w:snapToGrid w:val="0"/>
        </w:rPr>
        <w:t>.</w:t>
      </w:r>
      <w:r>
        <w:rPr>
          <w:snapToGrid w:val="0"/>
        </w:rPr>
        <w:tab/>
        <w:t>Refund when retention licence granted or refused</w:t>
      </w:r>
      <w:bookmarkEnd w:id="805"/>
      <w:bookmarkEnd w:id="806"/>
      <w:bookmarkEnd w:id="807"/>
      <w:bookmarkEnd w:id="808"/>
      <w:bookmarkEnd w:id="809"/>
      <w:bookmarkEnd w:id="810"/>
      <w:r>
        <w:rPr>
          <w:snapToGrid w:val="0"/>
        </w:rPr>
        <w:t xml:space="preserve"> </w:t>
      </w:r>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 xml:space="preserve">[Regulation 70D inserted in Gazette 24 Jun 1994 p. 2932.] </w:t>
      </w:r>
    </w:p>
    <w:p>
      <w:pPr>
        <w:pStyle w:val="Heading5"/>
      </w:pPr>
      <w:bookmarkStart w:id="811" w:name="_Toc104276645"/>
      <w:bookmarkStart w:id="812" w:name="_Toc127338054"/>
      <w:r>
        <w:rPr>
          <w:rStyle w:val="CharSectno"/>
        </w:rPr>
        <w:t>70E</w:t>
      </w:r>
      <w:r>
        <w:t>.</w:t>
      </w:r>
      <w:r>
        <w:tab/>
        <w:t>Partial refund of application fee in certain circumstances</w:t>
      </w:r>
      <w:bookmarkEnd w:id="811"/>
      <w:bookmarkEnd w:id="812"/>
    </w:p>
    <w:p>
      <w:pPr>
        <w:pStyle w:val="Subsection"/>
      </w:pPr>
      <w:r>
        <w:tab/>
      </w:r>
      <w:r>
        <w:tab/>
        <w:t xml:space="preserve">An applicant for a mining tenement is entitled to a refund of $110 of the application fee paid by the applicant if —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 xml:space="preserve">[Regulation 70E inserted in Gazette 15 Aug 2003 p. 3694.] </w:t>
      </w:r>
    </w:p>
    <w:p>
      <w:pPr>
        <w:pStyle w:val="Heading3"/>
        <w:rPr>
          <w:snapToGrid w:val="0"/>
        </w:rPr>
      </w:pPr>
      <w:bookmarkStart w:id="813" w:name="_Toc74978929"/>
      <w:bookmarkStart w:id="814" w:name="_Toc74979193"/>
      <w:bookmarkStart w:id="815" w:name="_Toc79976491"/>
      <w:bookmarkStart w:id="816" w:name="_Toc80759762"/>
      <w:bookmarkStart w:id="817" w:name="_Toc80783525"/>
      <w:bookmarkStart w:id="818" w:name="_Toc94931192"/>
      <w:bookmarkStart w:id="819" w:name="_Toc104275315"/>
      <w:bookmarkStart w:id="820" w:name="_Toc104276646"/>
      <w:bookmarkStart w:id="821" w:name="_Toc107198867"/>
      <w:bookmarkStart w:id="822" w:name="_Toc107799318"/>
      <w:bookmarkStart w:id="823" w:name="_Toc127087325"/>
      <w:bookmarkStart w:id="824" w:name="_Toc127183634"/>
      <w:bookmarkStart w:id="825" w:name="_Toc127338055"/>
      <w:r>
        <w:rPr>
          <w:rStyle w:val="CharDivNo"/>
        </w:rPr>
        <w:t>Division 3</w:t>
      </w:r>
      <w:r>
        <w:rPr>
          <w:snapToGrid w:val="0"/>
        </w:rPr>
        <w:t> — </w:t>
      </w:r>
      <w:r>
        <w:rPr>
          <w:rStyle w:val="CharDivText"/>
        </w:rPr>
        <w:t>Boundary marks</w:t>
      </w:r>
      <w:bookmarkEnd w:id="813"/>
      <w:bookmarkEnd w:id="814"/>
      <w:bookmarkEnd w:id="815"/>
      <w:bookmarkEnd w:id="816"/>
      <w:bookmarkEnd w:id="817"/>
      <w:bookmarkEnd w:id="818"/>
      <w:bookmarkEnd w:id="819"/>
      <w:bookmarkEnd w:id="820"/>
      <w:bookmarkEnd w:id="821"/>
      <w:bookmarkEnd w:id="822"/>
      <w:bookmarkEnd w:id="823"/>
      <w:bookmarkEnd w:id="824"/>
      <w:bookmarkEnd w:id="825"/>
      <w:r>
        <w:rPr>
          <w:rStyle w:val="CharDivText"/>
        </w:rPr>
        <w:t xml:space="preserve"> </w:t>
      </w:r>
    </w:p>
    <w:p>
      <w:pPr>
        <w:pStyle w:val="Heading5"/>
        <w:rPr>
          <w:snapToGrid w:val="0"/>
        </w:rPr>
      </w:pPr>
      <w:bookmarkStart w:id="826" w:name="_Toc474633110"/>
      <w:bookmarkStart w:id="827" w:name="_Toc488740259"/>
      <w:bookmarkStart w:id="828" w:name="_Toc8623641"/>
      <w:bookmarkStart w:id="829" w:name="_Toc11229482"/>
      <w:bookmarkStart w:id="830" w:name="_Toc104276647"/>
      <w:bookmarkStart w:id="831" w:name="_Toc127338056"/>
      <w:r>
        <w:rPr>
          <w:rStyle w:val="CharSectno"/>
        </w:rPr>
        <w:t>71</w:t>
      </w:r>
      <w:r>
        <w:rPr>
          <w:snapToGrid w:val="0"/>
        </w:rPr>
        <w:t>.</w:t>
      </w:r>
      <w:r>
        <w:rPr>
          <w:snapToGrid w:val="0"/>
        </w:rPr>
        <w:tab/>
        <w:t>Boundary marks to be maintained</w:t>
      </w:r>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 xml:space="preserve">[Regulation 71 amended in Gazette 16 Nov 1990 p. 5729.] </w:t>
      </w:r>
    </w:p>
    <w:p>
      <w:pPr>
        <w:pStyle w:val="Heading5"/>
        <w:rPr>
          <w:snapToGrid w:val="0"/>
        </w:rPr>
      </w:pPr>
      <w:bookmarkStart w:id="832" w:name="_Toc474633111"/>
      <w:bookmarkStart w:id="833" w:name="_Toc488740260"/>
      <w:bookmarkStart w:id="834" w:name="_Toc8623642"/>
      <w:bookmarkStart w:id="835" w:name="_Toc11229483"/>
      <w:bookmarkStart w:id="836" w:name="_Toc104276648"/>
      <w:bookmarkStart w:id="837" w:name="_Toc127338057"/>
      <w:r>
        <w:rPr>
          <w:rStyle w:val="CharSectno"/>
        </w:rPr>
        <w:t>72</w:t>
      </w:r>
      <w:r>
        <w:rPr>
          <w:snapToGrid w:val="0"/>
        </w:rPr>
        <w:t>.</w:t>
      </w:r>
      <w:r>
        <w:rPr>
          <w:snapToGrid w:val="0"/>
        </w:rPr>
        <w:tab/>
        <w:t>No liability for mining if boundary marks not maintained</w:t>
      </w:r>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 xml:space="preserve">[Regulation 72 amended in Gazette 16 Nov 1990 p. 5729.] </w:t>
      </w:r>
    </w:p>
    <w:p>
      <w:pPr>
        <w:pStyle w:val="Heading5"/>
        <w:rPr>
          <w:snapToGrid w:val="0"/>
        </w:rPr>
      </w:pPr>
      <w:bookmarkStart w:id="838" w:name="_Toc474633112"/>
      <w:bookmarkStart w:id="839" w:name="_Toc488740261"/>
      <w:bookmarkStart w:id="840" w:name="_Toc8623643"/>
      <w:bookmarkStart w:id="841" w:name="_Toc11229484"/>
      <w:bookmarkStart w:id="842" w:name="_Toc104276649"/>
      <w:bookmarkStart w:id="843" w:name="_Toc127338058"/>
      <w:r>
        <w:rPr>
          <w:rStyle w:val="CharSectno"/>
        </w:rPr>
        <w:t>73</w:t>
      </w:r>
      <w:r>
        <w:rPr>
          <w:snapToGrid w:val="0"/>
        </w:rPr>
        <w:t>.</w:t>
      </w:r>
      <w:r>
        <w:rPr>
          <w:snapToGrid w:val="0"/>
        </w:rPr>
        <w:tab/>
        <w:t>Holder to identify boundaries</w:t>
      </w:r>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 xml:space="preserve">[Regulation 73 amended in Gazette 16 Nov 1990 p. 5729.] </w:t>
      </w:r>
    </w:p>
    <w:p>
      <w:pPr>
        <w:pStyle w:val="Heading5"/>
        <w:rPr>
          <w:snapToGrid w:val="0"/>
        </w:rPr>
      </w:pPr>
      <w:bookmarkStart w:id="844" w:name="_Toc474633113"/>
      <w:bookmarkStart w:id="845" w:name="_Toc488740262"/>
      <w:bookmarkStart w:id="846" w:name="_Toc8623644"/>
      <w:bookmarkStart w:id="847" w:name="_Toc11229485"/>
      <w:bookmarkStart w:id="848" w:name="_Toc104276650"/>
      <w:bookmarkStart w:id="849" w:name="_Toc127338059"/>
      <w:r>
        <w:rPr>
          <w:rStyle w:val="CharSectno"/>
        </w:rPr>
        <w:t>74</w:t>
      </w:r>
      <w:r>
        <w:rPr>
          <w:snapToGrid w:val="0"/>
        </w:rPr>
        <w:t>.</w:t>
      </w:r>
      <w:r>
        <w:rPr>
          <w:snapToGrid w:val="0"/>
        </w:rPr>
        <w:tab/>
        <w:t>False documents/notices not to be posted</w:t>
      </w:r>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rPr>
          <w:snapToGrid w:val="0"/>
        </w:rPr>
      </w:pPr>
      <w:bookmarkStart w:id="850" w:name="_Toc74978934"/>
      <w:bookmarkStart w:id="851" w:name="_Toc74979198"/>
      <w:bookmarkStart w:id="852" w:name="_Toc79976496"/>
      <w:bookmarkStart w:id="853" w:name="_Toc80759767"/>
      <w:bookmarkStart w:id="854" w:name="_Toc80783530"/>
      <w:bookmarkStart w:id="855" w:name="_Toc94931197"/>
      <w:bookmarkStart w:id="856" w:name="_Toc104275320"/>
      <w:bookmarkStart w:id="857" w:name="_Toc104276651"/>
      <w:bookmarkStart w:id="858" w:name="_Toc107198872"/>
      <w:bookmarkStart w:id="859" w:name="_Toc107799323"/>
      <w:bookmarkStart w:id="860" w:name="_Toc127087330"/>
      <w:bookmarkStart w:id="861" w:name="_Toc127183639"/>
      <w:bookmarkStart w:id="862" w:name="_Toc127338060"/>
      <w:r>
        <w:rPr>
          <w:rStyle w:val="CharDivNo"/>
        </w:rPr>
        <w:t>Division 3A</w:t>
      </w:r>
      <w:r>
        <w:rPr>
          <w:snapToGrid w:val="0"/>
        </w:rPr>
        <w:t> — </w:t>
      </w:r>
      <w:r>
        <w:rPr>
          <w:rStyle w:val="CharDivText"/>
        </w:rPr>
        <w:t>Fossicking</w:t>
      </w:r>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DivText"/>
        </w:rPr>
        <w:t xml:space="preserve"> </w:t>
      </w:r>
    </w:p>
    <w:p>
      <w:pPr>
        <w:pStyle w:val="Footnoteheading"/>
        <w:keepNext/>
        <w:ind w:left="890"/>
        <w:rPr>
          <w:snapToGrid w:val="0"/>
        </w:rPr>
      </w:pPr>
      <w:r>
        <w:rPr>
          <w:snapToGrid w:val="0"/>
        </w:rPr>
        <w:tab/>
        <w:t>[Heading inserted in Gazette 2 Oct 1987 p. 3820.]</w:t>
      </w:r>
    </w:p>
    <w:p>
      <w:pPr>
        <w:pStyle w:val="Heading5"/>
        <w:rPr>
          <w:snapToGrid w:val="0"/>
        </w:rPr>
      </w:pPr>
      <w:bookmarkStart w:id="863" w:name="_Toc474633114"/>
      <w:bookmarkStart w:id="864" w:name="_Toc488740263"/>
      <w:bookmarkStart w:id="865" w:name="_Toc8623645"/>
      <w:bookmarkStart w:id="866" w:name="_Toc11229486"/>
      <w:bookmarkStart w:id="867" w:name="_Toc104276652"/>
      <w:bookmarkStart w:id="868" w:name="_Toc127338061"/>
      <w:r>
        <w:rPr>
          <w:rStyle w:val="CharSectno"/>
        </w:rPr>
        <w:t>74A</w:t>
      </w:r>
      <w:r>
        <w:rPr>
          <w:snapToGrid w:val="0"/>
        </w:rPr>
        <w:t>.</w:t>
      </w:r>
      <w:r>
        <w:rPr>
          <w:snapToGrid w:val="0"/>
        </w:rPr>
        <w:tab/>
        <w:t>Means of fossicking</w:t>
      </w:r>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 xml:space="preserve">[Regulation 74A inserted in Gazette 20 Oct 1987 p. 3820.] </w:t>
      </w:r>
    </w:p>
    <w:p>
      <w:pPr>
        <w:pStyle w:val="Heading3"/>
        <w:rPr>
          <w:snapToGrid w:val="0"/>
        </w:rPr>
      </w:pPr>
      <w:bookmarkStart w:id="869" w:name="_Toc74978936"/>
      <w:bookmarkStart w:id="870" w:name="_Toc74979200"/>
      <w:bookmarkStart w:id="871" w:name="_Toc79976498"/>
      <w:bookmarkStart w:id="872" w:name="_Toc80759769"/>
      <w:bookmarkStart w:id="873" w:name="_Toc80783532"/>
      <w:bookmarkStart w:id="874" w:name="_Toc94931199"/>
      <w:bookmarkStart w:id="875" w:name="_Toc104275322"/>
      <w:bookmarkStart w:id="876" w:name="_Toc104276653"/>
      <w:bookmarkStart w:id="877" w:name="_Toc107198874"/>
      <w:bookmarkStart w:id="878" w:name="_Toc107799325"/>
      <w:bookmarkStart w:id="879" w:name="_Toc127087332"/>
      <w:bookmarkStart w:id="880" w:name="_Toc127183641"/>
      <w:bookmarkStart w:id="881" w:name="_Toc127338062"/>
      <w:r>
        <w:rPr>
          <w:rStyle w:val="CharDivNo"/>
        </w:rPr>
        <w:t>Division 4</w:t>
      </w:r>
      <w:r>
        <w:rPr>
          <w:snapToGrid w:val="0"/>
        </w:rPr>
        <w:t> — </w:t>
      </w:r>
      <w:r>
        <w:rPr>
          <w:rStyle w:val="CharDivText"/>
        </w:rPr>
        <w:t>Transfers, caveats, mortgages</w:t>
      </w:r>
      <w:bookmarkEnd w:id="869"/>
      <w:bookmarkEnd w:id="870"/>
      <w:bookmarkEnd w:id="871"/>
      <w:bookmarkEnd w:id="872"/>
      <w:bookmarkEnd w:id="873"/>
      <w:bookmarkEnd w:id="874"/>
      <w:bookmarkEnd w:id="875"/>
      <w:bookmarkEnd w:id="876"/>
      <w:bookmarkEnd w:id="877"/>
      <w:bookmarkEnd w:id="878"/>
      <w:bookmarkEnd w:id="879"/>
      <w:bookmarkEnd w:id="880"/>
      <w:bookmarkEnd w:id="881"/>
      <w:r>
        <w:rPr>
          <w:rStyle w:val="CharDivText"/>
        </w:rPr>
        <w:t xml:space="preserve"> </w:t>
      </w:r>
    </w:p>
    <w:p>
      <w:pPr>
        <w:pStyle w:val="Heading5"/>
        <w:spacing w:before="120"/>
        <w:rPr>
          <w:snapToGrid w:val="0"/>
        </w:rPr>
      </w:pPr>
      <w:bookmarkStart w:id="882" w:name="_Toc474633115"/>
      <w:bookmarkStart w:id="883" w:name="_Toc488740264"/>
      <w:bookmarkStart w:id="884" w:name="_Toc8623646"/>
      <w:bookmarkStart w:id="885" w:name="_Toc11229487"/>
      <w:bookmarkStart w:id="886" w:name="_Toc104276654"/>
      <w:bookmarkStart w:id="887" w:name="_Toc127338063"/>
      <w:r>
        <w:rPr>
          <w:rStyle w:val="CharSectno"/>
        </w:rPr>
        <w:t>75</w:t>
      </w:r>
      <w:r>
        <w:rPr>
          <w:snapToGrid w:val="0"/>
        </w:rPr>
        <w:t>.</w:t>
      </w:r>
      <w:r>
        <w:rPr>
          <w:snapToGrid w:val="0"/>
        </w:rPr>
        <w:tab/>
        <w:t>Transfer of tenement</w:t>
      </w:r>
      <w:bookmarkEnd w:id="882"/>
      <w:bookmarkEnd w:id="883"/>
      <w:bookmarkEnd w:id="884"/>
      <w:bookmarkEnd w:id="885"/>
      <w:bookmarkEnd w:id="886"/>
      <w:bookmarkEnd w:id="887"/>
      <w:r>
        <w:rPr>
          <w:snapToGrid w:val="0"/>
        </w:rPr>
        <w:t xml:space="preserve"> </w:t>
      </w:r>
    </w:p>
    <w:p>
      <w:pPr>
        <w:pStyle w:val="Subsection"/>
        <w:spacing w:before="80"/>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 </w:t>
      </w:r>
    </w:p>
    <w:p>
      <w:pPr>
        <w:pStyle w:val="Indenta"/>
        <w:spacing w:before="56"/>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spacing w:before="56"/>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spacing w:before="56"/>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spacing w:before="56"/>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spacing w:before="56"/>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spacing w:before="56"/>
        <w:rPr>
          <w:snapToGrid w:val="0"/>
        </w:rPr>
      </w:pPr>
      <w:r>
        <w:rPr>
          <w:snapToGrid w:val="0"/>
        </w:rPr>
        <w:tab/>
        <w:t>(f)</w:t>
      </w:r>
      <w:r>
        <w:rPr>
          <w:snapToGrid w:val="0"/>
        </w:rPr>
        <w:tab/>
        <w:t>all transfers shall take priority according to the date and time of their registration; and</w:t>
      </w:r>
    </w:p>
    <w:p>
      <w:pPr>
        <w:pStyle w:val="Indenta"/>
        <w:spacing w:before="56"/>
        <w:rPr>
          <w:snapToGrid w:val="0"/>
        </w:rPr>
      </w:pPr>
      <w:r>
        <w:rPr>
          <w:snapToGrid w:val="0"/>
        </w:rPr>
        <w:tab/>
        <w:t>(g)</w:t>
      </w:r>
      <w:r>
        <w:rPr>
          <w:snapToGrid w:val="0"/>
        </w:rPr>
        <w:tab/>
        <w:t>when — </w:t>
      </w:r>
    </w:p>
    <w:p>
      <w:pPr>
        <w:pStyle w:val="Indenti"/>
        <w:spacing w:before="56"/>
        <w:rPr>
          <w:snapToGrid w:val="0"/>
        </w:rPr>
      </w:pPr>
      <w:r>
        <w:rPr>
          <w:snapToGrid w:val="0"/>
        </w:rPr>
        <w:tab/>
        <w:t>(i)</w:t>
      </w:r>
      <w:r>
        <w:rPr>
          <w:snapToGrid w:val="0"/>
        </w:rPr>
        <w:tab/>
        <w:t>a mining tenement is encumbered by a mortgage; or</w:t>
      </w:r>
    </w:p>
    <w:p>
      <w:pPr>
        <w:pStyle w:val="Indenti"/>
        <w:spacing w:before="56"/>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 xml:space="preserve">[Regulation 75 amended in Gazette 31 May 1991 p. 2699; 24 Jun 1994 p. 2933.] </w:t>
      </w:r>
    </w:p>
    <w:p>
      <w:pPr>
        <w:pStyle w:val="Heading5"/>
      </w:pPr>
      <w:bookmarkStart w:id="888" w:name="_Toc127338064"/>
      <w:bookmarkStart w:id="889" w:name="_Toc474633117"/>
      <w:bookmarkStart w:id="890" w:name="_Toc488740266"/>
      <w:bookmarkStart w:id="891" w:name="_Toc8623648"/>
      <w:bookmarkStart w:id="892" w:name="_Toc11229489"/>
      <w:bookmarkStart w:id="893" w:name="_Toc104276656"/>
      <w:r>
        <w:rPr>
          <w:rStyle w:val="CharSectno"/>
        </w:rPr>
        <w:t>76</w:t>
      </w:r>
      <w:r>
        <w:t>.</w:t>
      </w:r>
      <w:r>
        <w:tab/>
        <w:t>Lodgment of caveats</w:t>
      </w:r>
      <w:bookmarkEnd w:id="888"/>
    </w:p>
    <w:p>
      <w:pPr>
        <w:pStyle w:val="Subsection"/>
      </w:pPr>
      <w:r>
        <w:tab/>
        <w:t>(1)</w:t>
      </w:r>
      <w:r>
        <w:tab/>
        <w:t xml:space="preserve">For the purposes of section 122A a caveat shall be — </w:t>
      </w:r>
    </w:p>
    <w:p>
      <w:pPr>
        <w:pStyle w:val="Indenta"/>
      </w:pPr>
      <w:r>
        <w:tab/>
        <w:t>(a)</w:t>
      </w:r>
      <w:r>
        <w:tab/>
        <w:t>in the form No. 24 in the First Schedule; and</w:t>
      </w:r>
    </w:p>
    <w:p>
      <w:pPr>
        <w:pStyle w:val="Indenta"/>
      </w:pPr>
      <w:r>
        <w:tab/>
        <w:t>(b)</w:t>
      </w:r>
      <w:r>
        <w:tab/>
        <w:t>accompanied by the prescribed fee.</w:t>
      </w:r>
    </w:p>
    <w:p>
      <w:pPr>
        <w:pStyle w:val="Subsection"/>
      </w:pPr>
      <w:r>
        <w:tab/>
        <w:t>(2)</w:t>
      </w:r>
      <w:r>
        <w:tab/>
        <w:t>A separate caveat shall be lodged in respect of each mining tenement affected.</w:t>
      </w:r>
    </w:p>
    <w:p>
      <w:pPr>
        <w:pStyle w:val="Footnotesection"/>
      </w:pPr>
      <w:r>
        <w:tab/>
        <w:t>[Regulation 76 inserted in Gazette 3 Feb 2006 p. 520.]</w:t>
      </w:r>
    </w:p>
    <w:p>
      <w:pPr>
        <w:pStyle w:val="Heading5"/>
        <w:spacing w:before="180"/>
        <w:rPr>
          <w:snapToGrid w:val="0"/>
        </w:rPr>
      </w:pPr>
      <w:bookmarkStart w:id="894" w:name="_Toc127338065"/>
      <w:r>
        <w:rPr>
          <w:rStyle w:val="CharSectno"/>
        </w:rPr>
        <w:t>76A</w:t>
      </w:r>
      <w:r>
        <w:rPr>
          <w:snapToGrid w:val="0"/>
        </w:rPr>
        <w:t>.</w:t>
      </w:r>
      <w:r>
        <w:rPr>
          <w:snapToGrid w:val="0"/>
        </w:rPr>
        <w:tab/>
        <w:t>Withdrawal of caveats</w:t>
      </w:r>
      <w:bookmarkEnd w:id="889"/>
      <w:bookmarkEnd w:id="890"/>
      <w:bookmarkEnd w:id="891"/>
      <w:bookmarkEnd w:id="892"/>
      <w:bookmarkEnd w:id="893"/>
      <w:bookmarkEnd w:id="894"/>
      <w:r>
        <w:rPr>
          <w:snapToGrid w:val="0"/>
        </w:rPr>
        <w:t xml:space="preserve"> </w:t>
      </w:r>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 xml:space="preserve">[Regulation 76A inserted in Gazette 31 Jul 1992 p. 3776.] </w:t>
      </w:r>
    </w:p>
    <w:p>
      <w:pPr>
        <w:pStyle w:val="Heading5"/>
        <w:spacing w:before="180"/>
        <w:rPr>
          <w:snapToGrid w:val="0"/>
        </w:rPr>
      </w:pPr>
      <w:bookmarkStart w:id="895" w:name="_Toc474633118"/>
      <w:bookmarkStart w:id="896" w:name="_Toc488740267"/>
      <w:bookmarkStart w:id="897" w:name="_Toc8623649"/>
      <w:bookmarkStart w:id="898" w:name="_Toc11229490"/>
      <w:bookmarkStart w:id="899" w:name="_Toc104276657"/>
      <w:bookmarkStart w:id="900" w:name="_Toc127338066"/>
      <w:r>
        <w:rPr>
          <w:rStyle w:val="CharSectno"/>
        </w:rPr>
        <w:t>76B</w:t>
      </w:r>
      <w:r>
        <w:rPr>
          <w:snapToGrid w:val="0"/>
        </w:rPr>
        <w:t>.</w:t>
      </w:r>
      <w:r>
        <w:rPr>
          <w:snapToGrid w:val="0"/>
        </w:rPr>
        <w:tab/>
        <w:t>Notification of registration of surrender</w:t>
      </w:r>
      <w:bookmarkEnd w:id="895"/>
      <w:bookmarkEnd w:id="896"/>
      <w:bookmarkEnd w:id="897"/>
      <w:bookmarkEnd w:id="898"/>
      <w:bookmarkEnd w:id="899"/>
      <w:bookmarkEnd w:id="900"/>
      <w:r>
        <w:rPr>
          <w:snapToGrid w:val="0"/>
        </w:rPr>
        <w:t xml:space="preserve"> </w:t>
      </w:r>
    </w:p>
    <w:p>
      <w:pPr>
        <w:pStyle w:val="Subsection"/>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 xml:space="preserve">[Regulation 76B inserted in Gazette 24 Jun 1994 p. 2933; amended in Gazette 3 Feb 2006 p. 520-1.] </w:t>
      </w:r>
    </w:p>
    <w:p>
      <w:pPr>
        <w:pStyle w:val="Heading5"/>
      </w:pPr>
      <w:bookmarkStart w:id="901" w:name="_Toc127338067"/>
      <w:bookmarkStart w:id="902" w:name="_Toc474633120"/>
      <w:bookmarkStart w:id="903" w:name="_Toc488740269"/>
      <w:bookmarkStart w:id="904" w:name="_Toc8623651"/>
      <w:bookmarkStart w:id="905" w:name="_Toc11229492"/>
      <w:bookmarkStart w:id="906" w:name="_Toc104276659"/>
      <w:r>
        <w:rPr>
          <w:rStyle w:val="CharSectno"/>
        </w:rPr>
        <w:t>77</w:t>
      </w:r>
      <w:r>
        <w:t>.</w:t>
      </w:r>
      <w:r>
        <w:tab/>
        <w:t>Mortgage</w:t>
      </w:r>
      <w:bookmarkEnd w:id="901"/>
    </w:p>
    <w:p>
      <w:pPr>
        <w:pStyle w:val="Subsection"/>
      </w:pPr>
      <w:r>
        <w:tab/>
      </w:r>
      <w:r>
        <w:tab/>
        <w:t xml:space="preserve">A mortgage shall be — </w:t>
      </w:r>
    </w:p>
    <w:p>
      <w:pPr>
        <w:pStyle w:val="Indenta"/>
      </w:pPr>
      <w:r>
        <w:tab/>
        <w:t>(a)</w:t>
      </w:r>
      <w:r>
        <w:tab/>
        <w:t>lodged in the form No. 25 in the First Schedule; and</w:t>
      </w:r>
    </w:p>
    <w:p>
      <w:pPr>
        <w:pStyle w:val="Indenta"/>
      </w:pPr>
      <w:r>
        <w:tab/>
        <w:t>(b)</w:t>
      </w:r>
      <w:r>
        <w:tab/>
        <w:t>accompanied by the prescribed fee.</w:t>
      </w:r>
    </w:p>
    <w:p>
      <w:pPr>
        <w:pStyle w:val="Footnotesection"/>
      </w:pPr>
      <w:r>
        <w:tab/>
        <w:t>[Regulation 77 inserted in Gazette 3 Feb 2006 p. 521.]</w:t>
      </w:r>
    </w:p>
    <w:p>
      <w:pPr>
        <w:pStyle w:val="Ednotesection"/>
      </w:pPr>
      <w:bookmarkStart w:id="907" w:name="_Toc474633121"/>
      <w:bookmarkStart w:id="908" w:name="_Toc488740270"/>
      <w:bookmarkStart w:id="909" w:name="_Toc8623652"/>
      <w:bookmarkStart w:id="910" w:name="_Toc11229493"/>
      <w:bookmarkStart w:id="911" w:name="_Toc104276660"/>
      <w:bookmarkEnd w:id="902"/>
      <w:bookmarkEnd w:id="903"/>
      <w:bookmarkEnd w:id="904"/>
      <w:bookmarkEnd w:id="905"/>
      <w:bookmarkEnd w:id="906"/>
      <w:r>
        <w:t>[</w:t>
      </w:r>
      <w:r>
        <w:rPr>
          <w:b/>
          <w:bCs/>
        </w:rPr>
        <w:t>78.</w:t>
      </w:r>
      <w:r>
        <w:tab/>
        <w:t>Repealed in Gazette 3 Feb 2006 p. 521.]</w:t>
      </w:r>
    </w:p>
    <w:p>
      <w:pPr>
        <w:pStyle w:val="Heading5"/>
        <w:spacing w:before="180"/>
        <w:rPr>
          <w:snapToGrid w:val="0"/>
        </w:rPr>
      </w:pPr>
      <w:bookmarkStart w:id="912" w:name="_Toc127338068"/>
      <w:r>
        <w:rPr>
          <w:rStyle w:val="CharSectno"/>
        </w:rPr>
        <w:t>79</w:t>
      </w:r>
      <w:r>
        <w:rPr>
          <w:snapToGrid w:val="0"/>
        </w:rPr>
        <w:t>.</w:t>
      </w:r>
      <w:r>
        <w:rPr>
          <w:snapToGrid w:val="0"/>
        </w:rPr>
        <w:tab/>
        <w:t>Covenants included in mortgage</w:t>
      </w:r>
      <w:bookmarkEnd w:id="907"/>
      <w:bookmarkEnd w:id="908"/>
      <w:bookmarkEnd w:id="909"/>
      <w:bookmarkEnd w:id="910"/>
      <w:bookmarkEnd w:id="911"/>
      <w:bookmarkEnd w:id="912"/>
      <w:r>
        <w:rPr>
          <w:snapToGrid w:val="0"/>
        </w:rPr>
        <w:t xml:space="preserve"> </w:t>
      </w:r>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spacing w:before="120"/>
        <w:rPr>
          <w:snapToGrid w:val="0"/>
        </w:rPr>
      </w:pPr>
      <w:r>
        <w:rPr>
          <w:snapToGrid w:val="0"/>
        </w:rPr>
        <w:tab/>
        <w:t>(2)</w:t>
      </w:r>
      <w:r>
        <w:rPr>
          <w:snapToGrid w:val="0"/>
        </w:rPr>
        <w:tab/>
        <w:t>Except as is otherwise provided by a mortgage there shall be deemed to be included in every mortgage —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 </w:t>
      </w:r>
    </w:p>
    <w:p>
      <w:pPr>
        <w:pStyle w:val="IndentI0"/>
        <w:rPr>
          <w:snapToGrid w:val="0"/>
        </w:rPr>
      </w:pPr>
      <w:r>
        <w:rPr>
          <w:snapToGrid w:val="0"/>
        </w:rPr>
        <w:tab/>
        <w:t>(I)</w:t>
      </w:r>
      <w:r>
        <w:rPr>
          <w:snapToGrid w:val="0"/>
        </w:rPr>
        <w:tab/>
        <w:t>advertised his intention so to do by such means as the Minister approves; but —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913" w:name="_Toc474633122"/>
      <w:bookmarkStart w:id="914" w:name="_Toc488740271"/>
      <w:bookmarkStart w:id="915" w:name="_Toc8623653"/>
      <w:bookmarkStart w:id="916" w:name="_Toc11229494"/>
      <w:bookmarkStart w:id="917" w:name="_Toc104276661"/>
      <w:bookmarkStart w:id="918" w:name="_Toc127338069"/>
      <w:r>
        <w:rPr>
          <w:rStyle w:val="CharSectno"/>
        </w:rPr>
        <w:t>80</w:t>
      </w:r>
      <w:r>
        <w:rPr>
          <w:snapToGrid w:val="0"/>
        </w:rPr>
        <w:t>.</w:t>
      </w:r>
      <w:r>
        <w:rPr>
          <w:snapToGrid w:val="0"/>
        </w:rPr>
        <w:tab/>
        <w:t>Mortgagee’s expenses may be added to security</w:t>
      </w:r>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919" w:name="_Toc474633123"/>
      <w:bookmarkStart w:id="920" w:name="_Toc488740272"/>
      <w:bookmarkStart w:id="921" w:name="_Toc8623654"/>
      <w:bookmarkStart w:id="922" w:name="_Toc11229495"/>
      <w:bookmarkStart w:id="923" w:name="_Toc104276662"/>
      <w:bookmarkStart w:id="924" w:name="_Toc127338070"/>
      <w:r>
        <w:rPr>
          <w:rStyle w:val="CharSectno"/>
        </w:rPr>
        <w:t>81</w:t>
      </w:r>
      <w:r>
        <w:rPr>
          <w:snapToGrid w:val="0"/>
        </w:rPr>
        <w:t>.</w:t>
      </w:r>
      <w:r>
        <w:rPr>
          <w:snapToGrid w:val="0"/>
        </w:rPr>
        <w:tab/>
        <w:t>Transfer under powers contained in mortgage</w:t>
      </w:r>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925" w:name="_Toc474633124"/>
      <w:bookmarkStart w:id="926" w:name="_Toc488740273"/>
      <w:bookmarkStart w:id="927" w:name="_Toc8623655"/>
      <w:bookmarkStart w:id="928" w:name="_Toc11229496"/>
      <w:bookmarkStart w:id="929" w:name="_Toc104276663"/>
      <w:bookmarkStart w:id="930" w:name="_Toc127338071"/>
      <w:r>
        <w:rPr>
          <w:rStyle w:val="CharSectno"/>
        </w:rPr>
        <w:t>82</w:t>
      </w:r>
      <w:r>
        <w:rPr>
          <w:snapToGrid w:val="0"/>
        </w:rPr>
        <w:t>.</w:t>
      </w:r>
      <w:r>
        <w:rPr>
          <w:snapToGrid w:val="0"/>
        </w:rPr>
        <w:tab/>
        <w:t>Redemption of mortgage</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931" w:name="_Toc474633125"/>
      <w:bookmarkStart w:id="932" w:name="_Toc488740274"/>
      <w:bookmarkStart w:id="933" w:name="_Toc8623656"/>
      <w:bookmarkStart w:id="934" w:name="_Toc11229497"/>
      <w:bookmarkStart w:id="935" w:name="_Toc104276664"/>
      <w:bookmarkStart w:id="936" w:name="_Toc127338072"/>
      <w:r>
        <w:rPr>
          <w:rStyle w:val="CharSectno"/>
        </w:rPr>
        <w:t>83</w:t>
      </w:r>
      <w:r>
        <w:rPr>
          <w:snapToGrid w:val="0"/>
        </w:rPr>
        <w:t>.</w:t>
      </w:r>
      <w:r>
        <w:rPr>
          <w:snapToGrid w:val="0"/>
        </w:rPr>
        <w:tab/>
        <w:t>Discharge of mortgage</w:t>
      </w:r>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 xml:space="preserve">[Regulation 83 amended in Gazette 31 Jul 1992 p. 3776.] </w:t>
      </w:r>
    </w:p>
    <w:p>
      <w:pPr>
        <w:pStyle w:val="Heading5"/>
        <w:rPr>
          <w:snapToGrid w:val="0"/>
        </w:rPr>
      </w:pPr>
      <w:bookmarkStart w:id="937" w:name="_Toc474633126"/>
      <w:bookmarkStart w:id="938" w:name="_Toc488740275"/>
      <w:bookmarkStart w:id="939" w:name="_Toc8623657"/>
      <w:bookmarkStart w:id="940" w:name="_Toc11229498"/>
      <w:bookmarkStart w:id="941" w:name="_Toc104276665"/>
      <w:bookmarkStart w:id="942" w:name="_Toc127338073"/>
      <w:r>
        <w:rPr>
          <w:rStyle w:val="CharSectno"/>
        </w:rPr>
        <w:t>84</w:t>
      </w:r>
      <w:r>
        <w:rPr>
          <w:snapToGrid w:val="0"/>
        </w:rPr>
        <w:t>.</w:t>
      </w:r>
      <w:r>
        <w:rPr>
          <w:snapToGrid w:val="0"/>
        </w:rPr>
        <w:tab/>
        <w:t>Transfer of mortgage</w:t>
      </w:r>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943" w:name="_Toc127338074"/>
      <w:bookmarkStart w:id="944" w:name="_Toc74978949"/>
      <w:bookmarkStart w:id="945" w:name="_Toc74979213"/>
      <w:bookmarkStart w:id="946" w:name="_Toc79976511"/>
      <w:bookmarkStart w:id="947" w:name="_Toc80759782"/>
      <w:bookmarkStart w:id="948" w:name="_Toc80783545"/>
      <w:bookmarkStart w:id="949" w:name="_Toc94931212"/>
      <w:bookmarkStart w:id="950" w:name="_Toc104275335"/>
      <w:bookmarkStart w:id="951" w:name="_Toc104276666"/>
      <w:bookmarkStart w:id="952" w:name="_Toc107198887"/>
      <w:bookmarkStart w:id="953" w:name="_Toc107799338"/>
      <w:bookmarkStart w:id="954" w:name="_Toc127087345"/>
      <w:bookmarkStart w:id="955" w:name="_Toc127183654"/>
      <w:r>
        <w:rPr>
          <w:rStyle w:val="CharDivNo"/>
        </w:rPr>
        <w:t>Division 4A</w:t>
      </w:r>
      <w:r>
        <w:t> — </w:t>
      </w:r>
      <w:r>
        <w:rPr>
          <w:rStyle w:val="CharDivText"/>
        </w:rPr>
        <w:t>Lodgment of instruments and the register</w:t>
      </w:r>
      <w:bookmarkEnd w:id="943"/>
    </w:p>
    <w:p>
      <w:pPr>
        <w:pStyle w:val="Footnoteheading"/>
      </w:pPr>
      <w:r>
        <w:tab/>
        <w:t>[Heading inserted in Gazette 3 Feb 2006 p. 521.]</w:t>
      </w:r>
    </w:p>
    <w:p>
      <w:pPr>
        <w:pStyle w:val="Heading5"/>
      </w:pPr>
      <w:bookmarkStart w:id="956" w:name="_Toc127338075"/>
      <w:r>
        <w:rPr>
          <w:rStyle w:val="CharSectno"/>
        </w:rPr>
        <w:t>84A</w:t>
      </w:r>
      <w:r>
        <w:t>.</w:t>
      </w:r>
      <w:r>
        <w:tab/>
        <w:t>Lodgment of instruments</w:t>
      </w:r>
      <w:bookmarkEnd w:id="956"/>
    </w:p>
    <w:p>
      <w:pPr>
        <w:pStyle w:val="Subsection"/>
      </w:pPr>
      <w:r>
        <w:tab/>
      </w:r>
      <w:r>
        <w:tab/>
        <w:t xml:space="preserve">An instrument to which section 103C applies shall be —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957" w:name="_Toc127338076"/>
      <w:r>
        <w:rPr>
          <w:rStyle w:val="CharSectno"/>
        </w:rPr>
        <w:t>84B</w:t>
      </w:r>
      <w:r>
        <w:t>.</w:t>
      </w:r>
      <w:r>
        <w:tab/>
        <w:t>Provisional lodgment</w:t>
      </w:r>
      <w:bookmarkEnd w:id="957"/>
    </w:p>
    <w:p>
      <w:pPr>
        <w:pStyle w:val="Subsection"/>
      </w:pPr>
      <w:r>
        <w:tab/>
        <w:t>(1)</w:t>
      </w:r>
      <w:r>
        <w:tab/>
        <w:t xml:space="preserve">In this regulation — </w:t>
      </w:r>
    </w:p>
    <w:p>
      <w:pPr>
        <w:pStyle w:val="Defstart"/>
      </w:pPr>
      <w:r>
        <w:rPr>
          <w:b/>
        </w:rPr>
        <w:tab/>
        <w:t>“</w:t>
      </w:r>
      <w:r>
        <w:rPr>
          <w:rStyle w:val="CharDefText"/>
        </w:rPr>
        <w:t>allowed period</w:t>
      </w:r>
      <w:r>
        <w:rPr>
          <w:b/>
        </w:rPr>
        <w:t>”</w:t>
      </w:r>
      <w:r>
        <w:t xml:space="preserve"> means —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 xml:space="preserve">This regulation applies to the following instruments —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 xml:space="preserve">Where a direction is given under subregulation (4) in relation to an instrument —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 xml:space="preserve">An authorised officer —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958" w:name="_Toc127338077"/>
      <w:r>
        <w:rPr>
          <w:rStyle w:val="CharSectno"/>
        </w:rPr>
        <w:t>84C</w:t>
      </w:r>
      <w:r>
        <w:t>.</w:t>
      </w:r>
      <w:r>
        <w:tab/>
        <w:t>Content of register</w:t>
      </w:r>
      <w:bookmarkEnd w:id="958"/>
    </w:p>
    <w:p>
      <w:pPr>
        <w:pStyle w:val="Subsection"/>
      </w:pPr>
      <w:r>
        <w:tab/>
      </w:r>
      <w:r>
        <w:tab/>
        <w:t xml:space="preserve">The register is to contain the following particulars — </w:t>
      </w:r>
    </w:p>
    <w:p>
      <w:pPr>
        <w:pStyle w:val="Indenta"/>
      </w:pPr>
      <w:r>
        <w:tab/>
        <w:t>(a)</w:t>
      </w:r>
      <w:r>
        <w:tab/>
        <w:t xml:space="preserve">in relation to an application for a mining tenement —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 xml:space="preserve">in relation to a mining tenement —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959" w:name="_Toc127338078"/>
      <w:r>
        <w:rPr>
          <w:rStyle w:val="CharSectno"/>
        </w:rPr>
        <w:t>84D</w:t>
      </w:r>
      <w:r>
        <w:t>.</w:t>
      </w:r>
      <w:r>
        <w:tab/>
        <w:t>Fees for copies of entries, dealings, etc.</w:t>
      </w:r>
      <w:bookmarkEnd w:id="959"/>
    </w:p>
    <w:p>
      <w:pPr>
        <w:pStyle w:val="Subsection"/>
      </w:pPr>
      <w:r>
        <w:tab/>
      </w:r>
      <w:r>
        <w:tab/>
        <w:t>For the purposes of section 103F(4) the fees set out in item 3 of the Second Schedule are prescribed.</w:t>
      </w:r>
    </w:p>
    <w:p>
      <w:pPr>
        <w:pStyle w:val="Footnotesection"/>
      </w:pPr>
      <w:r>
        <w:tab/>
        <w:t>[Regulation 84D inserted in Gazette 3 Feb 2006 p. 523.]</w:t>
      </w:r>
    </w:p>
    <w:p>
      <w:pPr>
        <w:pStyle w:val="Heading5"/>
      </w:pPr>
      <w:bookmarkStart w:id="960" w:name="_Toc127338079"/>
      <w:r>
        <w:rPr>
          <w:rStyle w:val="CharSectno"/>
        </w:rPr>
        <w:t>84E</w:t>
      </w:r>
      <w:r>
        <w:t>.</w:t>
      </w:r>
      <w:r>
        <w:tab/>
        <w:t>Amendment of register</w:t>
      </w:r>
      <w:bookmarkEnd w:id="960"/>
    </w:p>
    <w:p>
      <w:pPr>
        <w:pStyle w:val="Subsection"/>
      </w:pPr>
      <w:r>
        <w:tab/>
      </w:r>
      <w:r>
        <w:tab/>
        <w:t xml:space="preserve">An application to amend particulars in the register shall be — </w:t>
      </w:r>
    </w:p>
    <w:p>
      <w:pPr>
        <w:pStyle w:val="Indenta"/>
      </w:pPr>
      <w:r>
        <w:tab/>
        <w:t>(a)</w:t>
      </w:r>
      <w:r>
        <w:tab/>
        <w:t>made in the form No. 30 in the First Schedule; and</w:t>
      </w:r>
    </w:p>
    <w:p>
      <w:pPr>
        <w:pStyle w:val="Indenta"/>
      </w:pPr>
      <w:r>
        <w:tab/>
        <w:t>(b)</w:t>
      </w:r>
      <w:r>
        <w:tab/>
        <w:t>lodged at the office of the mining registrar or the Department at Perth.</w:t>
      </w:r>
    </w:p>
    <w:p>
      <w:pPr>
        <w:pStyle w:val="Footnotesection"/>
      </w:pPr>
      <w:r>
        <w:tab/>
        <w:t>[Regulation 84E inserted in Gazette 3 Feb 2006 p. 523.]</w:t>
      </w:r>
    </w:p>
    <w:p>
      <w:pPr>
        <w:pStyle w:val="Heading5"/>
      </w:pPr>
      <w:bookmarkStart w:id="961" w:name="_Toc127338080"/>
      <w:r>
        <w:rPr>
          <w:rStyle w:val="CharSectno"/>
        </w:rPr>
        <w:t>84F</w:t>
      </w:r>
      <w:r>
        <w:t>.</w:t>
      </w:r>
      <w:r>
        <w:tab/>
        <w:t>Inclusion of information in register despite late lodgment of report</w:t>
      </w:r>
      <w:bookmarkEnd w:id="961"/>
    </w:p>
    <w:p>
      <w:pPr>
        <w:pStyle w:val="Subsection"/>
      </w:pPr>
      <w:r>
        <w:tab/>
        <w:t>(1)</w:t>
      </w:r>
      <w:r>
        <w:tab/>
        <w:t xml:space="preserve">In this regulation — </w:t>
      </w:r>
    </w:p>
    <w:p>
      <w:pPr>
        <w:pStyle w:val="Defstart"/>
      </w:pPr>
      <w:r>
        <w:rPr>
          <w:b/>
        </w:rPr>
        <w:tab/>
        <w:t>“</w:t>
      </w:r>
      <w:r>
        <w:rPr>
          <w:rStyle w:val="CharDefText"/>
        </w:rPr>
        <w:t>prescribed period</w:t>
      </w:r>
      <w:r>
        <w:rPr>
          <w:b/>
        </w:rPr>
        <w:t>”</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rPr>
          <w:snapToGrid w:val="0"/>
        </w:rPr>
      </w:pPr>
      <w:bookmarkStart w:id="962" w:name="_Toc127338081"/>
      <w:r>
        <w:rPr>
          <w:rStyle w:val="CharDivNo"/>
        </w:rPr>
        <w:t>Division 5</w:t>
      </w:r>
      <w:r>
        <w:rPr>
          <w:snapToGrid w:val="0"/>
        </w:rPr>
        <w:t> — </w:t>
      </w:r>
      <w:r>
        <w:rPr>
          <w:rStyle w:val="CharDivText"/>
        </w:rPr>
        <w:t>Production and royalties</w:t>
      </w:r>
      <w:bookmarkEnd w:id="944"/>
      <w:bookmarkEnd w:id="945"/>
      <w:bookmarkEnd w:id="946"/>
      <w:bookmarkEnd w:id="947"/>
      <w:bookmarkEnd w:id="948"/>
      <w:bookmarkEnd w:id="949"/>
      <w:bookmarkEnd w:id="950"/>
      <w:bookmarkEnd w:id="951"/>
      <w:bookmarkEnd w:id="952"/>
      <w:bookmarkEnd w:id="953"/>
      <w:bookmarkEnd w:id="954"/>
      <w:bookmarkEnd w:id="955"/>
      <w:bookmarkEnd w:id="962"/>
      <w:r>
        <w:rPr>
          <w:rStyle w:val="CharDivText"/>
        </w:rPr>
        <w:t xml:space="preserve"> </w:t>
      </w:r>
    </w:p>
    <w:p>
      <w:pPr>
        <w:pStyle w:val="Heading5"/>
      </w:pPr>
      <w:bookmarkStart w:id="963" w:name="_Toc486150003"/>
      <w:bookmarkStart w:id="964" w:name="_Toc488740276"/>
      <w:bookmarkStart w:id="965" w:name="_Toc8623658"/>
      <w:bookmarkStart w:id="966" w:name="_Toc11229499"/>
      <w:bookmarkStart w:id="967" w:name="_Toc104276667"/>
      <w:bookmarkStart w:id="968" w:name="_Toc127338082"/>
      <w:bookmarkStart w:id="969" w:name="_Toc474633128"/>
      <w:r>
        <w:rPr>
          <w:rStyle w:val="CharSectno"/>
        </w:rPr>
        <w:t>85</w:t>
      </w:r>
      <w:r>
        <w:t>.</w:t>
      </w:r>
      <w:r>
        <w:tab/>
        <w:t>Interpretation of Division</w:t>
      </w:r>
      <w:bookmarkEnd w:id="963"/>
      <w:bookmarkEnd w:id="964"/>
      <w:bookmarkEnd w:id="965"/>
      <w:bookmarkEnd w:id="966"/>
      <w:bookmarkEnd w:id="967"/>
      <w:bookmarkEnd w:id="968"/>
    </w:p>
    <w:p>
      <w:pPr>
        <w:pStyle w:val="Subsection"/>
      </w:pPr>
      <w:r>
        <w:tab/>
        <w:t>(1)</w:t>
      </w:r>
      <w:r>
        <w:tab/>
        <w:t>In this Division, unless the contrary intention appears —</w:t>
      </w:r>
    </w:p>
    <w:p>
      <w:pPr>
        <w:pStyle w:val="Defstart"/>
      </w:pPr>
      <w:r>
        <w:tab/>
      </w:r>
      <w:r>
        <w:rPr>
          <w:b/>
        </w:rPr>
        <w:t>“</w:t>
      </w:r>
      <w:r>
        <w:rPr>
          <w:rStyle w:val="CharDefText"/>
        </w:rPr>
        <w:t>allowable deductions</w:t>
      </w:r>
      <w:r>
        <w:rPr>
          <w:b/>
        </w:rPr>
        <w:t>”</w:t>
      </w:r>
      <w:r>
        <w:t xml:space="preserve">, in relation to a mineral, means — </w:t>
      </w:r>
    </w:p>
    <w:p>
      <w:pPr>
        <w:pStyle w:val="Defpara"/>
      </w:pPr>
      <w:r>
        <w:tab/>
        <w:t>(a)</w:t>
      </w:r>
      <w:r>
        <w:tab/>
        <w:t xml:space="preserve">the amount, in Australian currency, of any reasonable costs incurred in transporting the mineral, in the form in which it is first sold, where those costs —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b/>
        </w:rPr>
        <w:t>“</w:t>
      </w:r>
      <w:r>
        <w:rPr>
          <w:rStyle w:val="CharDefText"/>
        </w:rPr>
        <w:t>concentrate</w:t>
      </w:r>
      <w:r>
        <w:rPr>
          <w:b/>
        </w:rPr>
        <w:t>”</w:t>
      </w:r>
      <w:r>
        <w:t xml:space="preserve"> means the product of a process of extraction of metal or a metallic mineral from mineral ore that results in substantial enrichment of the metal or metallic mineral concerned;</w:t>
      </w:r>
    </w:p>
    <w:p>
      <w:pPr>
        <w:pStyle w:val="Defstart"/>
      </w:pPr>
      <w:r>
        <w:tab/>
      </w:r>
      <w:r>
        <w:rPr>
          <w:b/>
        </w:rPr>
        <w:t>“</w:t>
      </w:r>
      <w:r>
        <w:rPr>
          <w:rStyle w:val="CharDefText"/>
        </w:rPr>
        <w:t>gross invoice value</w:t>
      </w:r>
      <w:r>
        <w:rPr>
          <w:b/>
        </w:rPr>
        <w:t>”</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b/>
        </w:rPr>
        <w:t>“</w:t>
      </w:r>
      <w:r>
        <w:rPr>
          <w:rStyle w:val="CharDefText"/>
        </w:rPr>
        <w:t>nickel by</w:t>
      </w:r>
      <w:r>
        <w:rPr>
          <w:rStyle w:val="CharDefText"/>
        </w:rPr>
        <w:noBreakHyphen/>
        <w:t>product</w:t>
      </w:r>
      <w:r>
        <w:rPr>
          <w:b/>
        </w:rPr>
        <w:t>”</w:t>
      </w:r>
      <w:r>
        <w:t xml:space="preserve"> means a by</w:t>
      </w:r>
      <w:r>
        <w:noBreakHyphen/>
        <w:t>product or co</w:t>
      </w:r>
      <w:r>
        <w:noBreakHyphen/>
        <w:t>product of nickel mining or processing;</w:t>
      </w:r>
    </w:p>
    <w:p>
      <w:pPr>
        <w:pStyle w:val="Defstart"/>
        <w:spacing w:before="60"/>
      </w:pPr>
      <w:r>
        <w:tab/>
      </w:r>
      <w:r>
        <w:rPr>
          <w:b/>
        </w:rPr>
        <w:t>“</w:t>
      </w:r>
      <w:r>
        <w:rPr>
          <w:rStyle w:val="CharDefText"/>
        </w:rPr>
        <w:t>purchaser</w:t>
      </w:r>
      <w:r>
        <w:rPr>
          <w:b/>
        </w:rPr>
        <w:t>”</w:t>
      </w:r>
      <w:r>
        <w:t>, in relation to a mineral, means the person to whom the mineral is first sold;</w:t>
      </w:r>
    </w:p>
    <w:p>
      <w:pPr>
        <w:pStyle w:val="Defstart"/>
        <w:spacing w:before="60"/>
      </w:pPr>
      <w:r>
        <w:tab/>
      </w:r>
      <w:r>
        <w:rPr>
          <w:b/>
        </w:rPr>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related corporation</w:t>
      </w:r>
      <w:r>
        <w:rPr>
          <w:b/>
        </w:rPr>
        <w:t>”</w:t>
      </w:r>
      <w:r>
        <w:t xml:space="preserve">, in relation to a body corporate (the </w:t>
      </w:r>
      <w:r>
        <w:rPr>
          <w:b/>
        </w:rPr>
        <w:t>“</w:t>
      </w:r>
      <w:r>
        <w:rPr>
          <w:rStyle w:val="CharDefText"/>
        </w:rPr>
        <w:t>first body corporate</w:t>
      </w:r>
      <w:r>
        <w:rPr>
          <w:b/>
        </w:rPr>
        <w:t>”</w:t>
      </w:r>
      <w:r>
        <w:t>), means a body corporate that, under section 50 of the Corporations Act, is related to the first body corporate;</w:t>
      </w:r>
    </w:p>
    <w:p>
      <w:pPr>
        <w:pStyle w:val="Defstart"/>
        <w:spacing w:before="60"/>
      </w:pPr>
      <w:r>
        <w:tab/>
      </w:r>
      <w:r>
        <w:rPr>
          <w:b/>
        </w:rPr>
        <w:t>“</w:t>
      </w:r>
      <w:r>
        <w:rPr>
          <w:rStyle w:val="CharDefText"/>
        </w:rPr>
        <w:t>royalty value</w:t>
      </w:r>
      <w:r>
        <w:rPr>
          <w:b/>
        </w:rPr>
        <w:t>”</w:t>
      </w:r>
      <w:r>
        <w:t>, in relation to a mineral other than gold, means the gross invoice value of the mineral less any allowable deductions for the mineral;</w:t>
      </w:r>
    </w:p>
    <w:p>
      <w:pPr>
        <w:pStyle w:val="Defstart"/>
        <w:spacing w:before="60"/>
      </w:pPr>
      <w:r>
        <w:tab/>
      </w:r>
      <w:r>
        <w:rPr>
          <w:b/>
        </w:rPr>
        <w:t>“</w:t>
      </w:r>
      <w:r>
        <w:rPr>
          <w:rStyle w:val="CharDefText"/>
        </w:rPr>
        <w:t>shipment date</w:t>
      </w:r>
      <w:r>
        <w:rPr>
          <w:b/>
        </w:rPr>
        <w:t>”</w:t>
      </w:r>
      <w:r>
        <w:t xml:space="preserve">, in relation to a mineral, means —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b/>
        </w:rPr>
        <w:t>“</w:t>
      </w:r>
      <w:r>
        <w:rPr>
          <w:rStyle w:val="CharDefText"/>
        </w:rPr>
        <w:t>sold</w:t>
      </w:r>
      <w:r>
        <w:rPr>
          <w:b/>
        </w:rPr>
        <w:t>”</w:t>
      </w:r>
      <w:r>
        <w:t xml:space="preserve"> includes transferred, shipped or otherwise disposed of, and </w:t>
      </w:r>
      <w:r>
        <w:rPr>
          <w:b/>
        </w:rPr>
        <w:t>“</w:t>
      </w:r>
      <w:r>
        <w:rPr>
          <w:rStyle w:val="CharDefText"/>
        </w:rPr>
        <w:t>sale</w:t>
      </w:r>
      <w:r>
        <w:rPr>
          <w:b/>
        </w:rPr>
        <w:t>”</w:t>
      </w:r>
      <w:r>
        <w:t xml:space="preserve"> has a corresponding meaning.</w:t>
      </w:r>
    </w:p>
    <w:p>
      <w:pPr>
        <w:pStyle w:val="Subsection"/>
        <w:spacing w:before="140"/>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970" w:name="_Toc486150004"/>
      <w:bookmarkStart w:id="971" w:name="_Toc488740277"/>
      <w:bookmarkStart w:id="972" w:name="_Toc8623659"/>
      <w:bookmarkStart w:id="973" w:name="_Toc11229500"/>
      <w:bookmarkStart w:id="974" w:name="_Toc104276668"/>
      <w:bookmarkStart w:id="975" w:name="_Toc127338083"/>
      <w:r>
        <w:rPr>
          <w:rStyle w:val="CharSectno"/>
        </w:rPr>
        <w:t>85AA</w:t>
      </w:r>
      <w:r>
        <w:t>.</w:t>
      </w:r>
      <w:r>
        <w:tab/>
        <w:t>Effect of GST etc. on royalties</w:t>
      </w:r>
      <w:bookmarkEnd w:id="970"/>
      <w:bookmarkEnd w:id="971"/>
      <w:bookmarkEnd w:id="972"/>
      <w:bookmarkEnd w:id="973"/>
      <w:bookmarkEnd w:id="974"/>
      <w:bookmarkEnd w:id="975"/>
    </w:p>
    <w:p>
      <w:pPr>
        <w:pStyle w:val="Subsection"/>
        <w:spacing w:before="14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b/>
        </w:rPr>
        <w:t>“</w:t>
      </w:r>
      <w:r>
        <w:rPr>
          <w:rStyle w:val="CharDefText"/>
        </w:rPr>
        <w:t>expense</w:t>
      </w:r>
      <w:r>
        <w:rPr>
          <w:b/>
        </w:rPr>
        <w:t>”</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b/>
        </w:rPr>
        <w:t>“</w:t>
      </w:r>
      <w:r>
        <w:rPr>
          <w:rStyle w:val="CharDefText"/>
        </w:rPr>
        <w:t>net input tax credit</w:t>
      </w:r>
      <w:r>
        <w:rPr>
          <w:b/>
        </w:rPr>
        <w: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b/>
        </w:rPr>
        <w:t>“</w:t>
      </w:r>
      <w:r>
        <w:rPr>
          <w:rStyle w:val="CharDefText"/>
        </w:rPr>
        <w:t>decreasing adjustment</w:t>
      </w:r>
      <w:r>
        <w:rPr>
          <w:b/>
        </w:rPr>
        <w:t>”</w:t>
      </w:r>
      <w:r>
        <w:t xml:space="preserve">, </w:t>
      </w:r>
      <w:r>
        <w:rPr>
          <w:b/>
        </w:rPr>
        <w:t>“</w:t>
      </w:r>
      <w:r>
        <w:rPr>
          <w:rStyle w:val="CharDefText"/>
        </w:rPr>
        <w:t>GST</w:t>
      </w:r>
      <w:r>
        <w:rPr>
          <w:b/>
        </w:rPr>
        <w:t>”</w:t>
      </w:r>
      <w:r>
        <w:t xml:space="preserve">, </w:t>
      </w:r>
      <w:r>
        <w:rPr>
          <w:b/>
        </w:rPr>
        <w:t>“</w:t>
      </w:r>
      <w:r>
        <w:rPr>
          <w:rStyle w:val="CharDefText"/>
        </w:rPr>
        <w:t>increasing adjustment</w:t>
      </w:r>
      <w:r>
        <w:rPr>
          <w:b/>
        </w:rPr>
        <w:t>”</w:t>
      </w:r>
      <w:r>
        <w:t xml:space="preserve">, </w:t>
      </w:r>
      <w:r>
        <w:rPr>
          <w:b/>
        </w:rPr>
        <w:t>“</w:t>
      </w:r>
      <w:r>
        <w:rPr>
          <w:rStyle w:val="CharDefText"/>
        </w:rPr>
        <w:t>input tax credit</w:t>
      </w:r>
      <w:r>
        <w:rPr>
          <w:b/>
        </w:rPr>
        <w:t>”</w:t>
      </w:r>
      <w:r>
        <w:t>,</w:t>
      </w:r>
      <w:r>
        <w:rPr>
          <w:b/>
        </w:rPr>
        <w:t xml:space="preserve"> “</w:t>
      </w:r>
      <w:r>
        <w:rPr>
          <w:rStyle w:val="CharDefText"/>
        </w:rPr>
        <w:t>net GST</w:t>
      </w:r>
      <w:r>
        <w:rPr>
          <w:b/>
        </w:rPr>
        <w:t>”</w:t>
      </w:r>
      <w:r>
        <w:t xml:space="preserve"> and </w:t>
      </w:r>
      <w:r>
        <w:rPr>
          <w:b/>
        </w:rPr>
        <w:t>“</w:t>
      </w:r>
      <w:r>
        <w:rPr>
          <w:rStyle w:val="CharDefText"/>
        </w:rPr>
        <w:t>supply</w:t>
      </w:r>
      <w:r>
        <w:rPr>
          <w:b/>
        </w:rPr>
        <w:t>”</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976" w:name="_Toc8623660"/>
      <w:bookmarkStart w:id="977" w:name="_Toc11229501"/>
      <w:bookmarkStart w:id="978" w:name="_Toc104276669"/>
      <w:bookmarkStart w:id="979" w:name="_Toc127338084"/>
      <w:bookmarkStart w:id="980" w:name="_Toc488740278"/>
      <w:r>
        <w:rPr>
          <w:rStyle w:val="CharSectno"/>
        </w:rPr>
        <w:t>85AB</w:t>
      </w:r>
      <w:r>
        <w:t>.</w:t>
      </w:r>
      <w:r>
        <w:tab/>
        <w:t>Conversion to Australian currency</w:t>
      </w:r>
      <w:bookmarkEnd w:id="976"/>
      <w:bookmarkEnd w:id="977"/>
      <w:bookmarkEnd w:id="978"/>
      <w:bookmarkEnd w:id="979"/>
    </w:p>
    <w:p>
      <w:pPr>
        <w:pStyle w:val="Subsection"/>
        <w:keepNext/>
      </w:pPr>
      <w:r>
        <w:tab/>
        <w:t>(1)</w:t>
      </w:r>
      <w:r>
        <w:tab/>
        <w:t xml:space="preserve">In this regulation — </w:t>
      </w:r>
    </w:p>
    <w:p>
      <w:pPr>
        <w:pStyle w:val="Defstart"/>
      </w:pPr>
      <w:r>
        <w:tab/>
      </w:r>
      <w:r>
        <w:rPr>
          <w:b/>
        </w:rPr>
        <w:t>“</w:t>
      </w:r>
      <w:r>
        <w:rPr>
          <w:rStyle w:val="CharDefText"/>
        </w:rPr>
        <w:t>RBA rate</w:t>
      </w:r>
      <w:r>
        <w:rPr>
          <w:b/>
        </w:rPr>
        <w:t>”</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spacing w:before="140"/>
      </w:pPr>
      <w:r>
        <w:tab/>
        <w:t>(3)</w:t>
      </w:r>
      <w:r>
        <w:tab/>
        <w:t xml:space="preserve">Where, for the purposes of the definition of “gold spot price” in regulation 86AA(11), it is necessary to convert a price to Australian currency, the conversion is to be calculated — </w:t>
      </w:r>
    </w:p>
    <w:p>
      <w:pPr>
        <w:pStyle w:val="Indenta"/>
        <w:spacing w:before="60"/>
      </w:pPr>
      <w:r>
        <w:tab/>
        <w:t>(a)</w:t>
      </w:r>
      <w:r>
        <w:tab/>
        <w:t>using the RBA rate for the day on which the price was fixed; or</w:t>
      </w:r>
    </w:p>
    <w:p>
      <w:pPr>
        <w:pStyle w:val="Indenta"/>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981" w:name="_Toc104276670"/>
      <w:bookmarkStart w:id="982" w:name="_Toc127338085"/>
      <w:bookmarkStart w:id="983" w:name="_Toc474633129"/>
      <w:bookmarkStart w:id="984" w:name="_Toc488740279"/>
      <w:bookmarkStart w:id="985" w:name="_Toc8623662"/>
      <w:bookmarkStart w:id="986" w:name="_Toc11229503"/>
      <w:bookmarkEnd w:id="969"/>
      <w:bookmarkEnd w:id="980"/>
      <w:r>
        <w:rPr>
          <w:rStyle w:val="CharSectno"/>
        </w:rPr>
        <w:t>85A</w:t>
      </w:r>
      <w:r>
        <w:t>.</w:t>
      </w:r>
      <w:r>
        <w:tab/>
        <w:t>Quarterly production reports</w:t>
      </w:r>
      <w:bookmarkEnd w:id="981"/>
      <w:bookmarkEnd w:id="982"/>
    </w:p>
    <w:p>
      <w:pPr>
        <w:pStyle w:val="Subsection"/>
      </w:pPr>
      <w:r>
        <w:tab/>
        <w:t>(1)</w:t>
      </w:r>
      <w:r>
        <w:tab/>
        <w:t xml:space="preserve">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 xml:space="preserve">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987" w:name="_Toc104276671"/>
      <w:bookmarkStart w:id="988" w:name="_Toc127338086"/>
      <w:r>
        <w:rPr>
          <w:rStyle w:val="CharSectno"/>
        </w:rPr>
        <w:t>85B</w:t>
      </w:r>
      <w:r>
        <w:rPr>
          <w:snapToGrid w:val="0"/>
        </w:rPr>
        <w:t>.</w:t>
      </w:r>
      <w:r>
        <w:rPr>
          <w:snapToGrid w:val="0"/>
        </w:rPr>
        <w:tab/>
        <w:t>Royalty return</w:t>
      </w:r>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 xml:space="preserve">[Regulation 85B inserted in Gazette 20 May 1988 p. 1705; amended in Gazette 3 Oct 1997 p. 5530; 14 Dec 2001 p. 6405; 8 Feb 2002 p. 607.] </w:t>
      </w:r>
    </w:p>
    <w:p>
      <w:pPr>
        <w:pStyle w:val="Heading5"/>
        <w:rPr>
          <w:snapToGrid w:val="0"/>
        </w:rPr>
      </w:pPr>
      <w:bookmarkStart w:id="989" w:name="_Toc474633130"/>
      <w:bookmarkStart w:id="990" w:name="_Toc488740280"/>
      <w:bookmarkStart w:id="991" w:name="_Toc8623663"/>
      <w:bookmarkStart w:id="992" w:name="_Toc11229504"/>
      <w:bookmarkStart w:id="993" w:name="_Toc104276672"/>
      <w:bookmarkStart w:id="994" w:name="_Toc127338087"/>
      <w:r>
        <w:rPr>
          <w:rStyle w:val="CharSectno"/>
        </w:rPr>
        <w:t>86</w:t>
      </w:r>
      <w:r>
        <w:rPr>
          <w:snapToGrid w:val="0"/>
        </w:rPr>
        <w:t>.</w:t>
      </w:r>
      <w:r>
        <w:rPr>
          <w:snapToGrid w:val="0"/>
        </w:rPr>
        <w:tab/>
        <w:t>Rates of royalty</w:t>
      </w:r>
      <w:bookmarkEnd w:id="989"/>
      <w:bookmarkEnd w:id="990"/>
      <w:bookmarkEnd w:id="991"/>
      <w:bookmarkEnd w:id="992"/>
      <w:bookmarkEnd w:id="993"/>
      <w:bookmarkEnd w:id="994"/>
      <w:r>
        <w:rPr>
          <w:snapToGrid w:val="0"/>
        </w:rPr>
        <w:t xml:space="preserve"> </w:t>
      </w:r>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 xml:space="preserve">In the Table to this regulation — </w:t>
      </w:r>
    </w:p>
    <w:p>
      <w:pPr>
        <w:pStyle w:val="Defstart"/>
      </w:pPr>
      <w:r>
        <w:rPr>
          <w:b/>
        </w:rPr>
        <w:tab/>
        <w:t>“</w:t>
      </w:r>
      <w:r>
        <w:rPr>
          <w:rStyle w:val="CharDefText"/>
        </w:rPr>
        <w:t>Amount A</w:t>
      </w:r>
      <w:r>
        <w:rPr>
          <w:b/>
        </w:rPr>
        <w:t>”</w:t>
      </w:r>
      <w:r>
        <w:t xml:space="preserve"> means —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b/>
          <w:bCs/>
        </w:rPr>
        <w:t>“</w:t>
      </w:r>
      <w:r>
        <w:rPr>
          <w:rStyle w:val="CharDefText"/>
        </w:rPr>
        <w:t>relevant period</w:t>
      </w:r>
      <w:r>
        <w:rPr>
          <w:b/>
          <w:bCs/>
        </w:rPr>
        <w:t>”</w:t>
      </w:r>
      <w:r>
        <w:t>), the amount calculated under subregulation (2b) or provided for in subregulation (2d), as the case requires;</w:t>
      </w:r>
    </w:p>
    <w:p>
      <w:pPr>
        <w:pStyle w:val="Defstart"/>
      </w:pPr>
      <w:r>
        <w:rPr>
          <w:b/>
        </w:rPr>
        <w:tab/>
        <w:t>“</w:t>
      </w:r>
      <w:r>
        <w:rPr>
          <w:rStyle w:val="CharDefText"/>
        </w:rPr>
        <w:t>Amount B</w:t>
      </w:r>
      <w:r>
        <w:rPr>
          <w:b/>
        </w:rPr>
        <w:t>”</w:t>
      </w:r>
      <w:r>
        <w:t xml:space="preserve"> means —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b/>
          <w:bCs/>
        </w:rPr>
        <w:t>“</w:t>
      </w:r>
      <w:r>
        <w:rPr>
          <w:rStyle w:val="CharDefText"/>
        </w:rPr>
        <w:t>relevant period</w:t>
      </w:r>
      <w:r>
        <w:rPr>
          <w:b/>
          <w:bCs/>
        </w:rPr>
        <w:t>”</w:t>
      </w:r>
      <w:r>
        <w:t>), the amount calculated under subregulation (2b) or provided for in subregulation (2d), as the case requires.</w:t>
      </w:r>
    </w:p>
    <w:p>
      <w:pPr>
        <w:pStyle w:val="Subsection"/>
      </w:pPr>
      <w:r>
        <w:tab/>
        <w:t>(2b)</w:t>
      </w:r>
      <w:r>
        <w:tab/>
        <w:t xml:space="preserve">Subject to subregulations (2c) and (2d), the amount for the relevant period is the amount calculated using the formula — </w:t>
      </w:r>
    </w:p>
    <w:p>
      <w:pPr>
        <w:pStyle w:val="Equation"/>
        <w:ind w:left="851"/>
        <w:jc w:val="center"/>
        <w:rPr>
          <w:del w:id="995" w:author="Master Repository Process" w:date="2021-08-29T08:44:00Z"/>
        </w:rPr>
      </w:pPr>
      <w:del w:id="996" w:author="Master Repository Process" w:date="2021-08-29T08:44: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4" o:title=""/>
            </v:shape>
          </w:pict>
        </w:r>
      </w:del>
    </w:p>
    <w:p>
      <w:pPr>
        <w:pStyle w:val="Equation"/>
        <w:ind w:left="851"/>
        <w:jc w:val="center"/>
        <w:rPr>
          <w:ins w:id="997" w:author="Master Repository Process" w:date="2021-08-29T08:44:00Z"/>
        </w:rPr>
      </w:pPr>
      <w:ins w:id="998" w:author="Master Repository Process" w:date="2021-08-29T08:44:00Z">
        <w:r>
          <w:rPr>
            <w:position w:val="-24"/>
          </w:rPr>
          <w:pict>
            <v:shape id="_x0000_i1026" type="#_x0000_t75" style="width:1in;height:32.25pt">
              <v:imagedata r:id="rId14" o:title=""/>
            </v:shape>
          </w:pict>
        </w:r>
      </w:ins>
    </w:p>
    <w:p>
      <w:pPr>
        <w:pStyle w:val="Subsection"/>
      </w:pPr>
      <w:r>
        <w:tab/>
      </w:r>
      <w:r>
        <w:tab/>
        <w:t xml:space="preserve">where — </w:t>
      </w:r>
    </w:p>
    <w:p>
      <w:pPr>
        <w:pStyle w:val="Indenta"/>
      </w:pPr>
      <w:r>
        <w:tab/>
        <w:t>R</w:t>
      </w:r>
      <w:r>
        <w:tab/>
        <w:t>is the amount;</w:t>
      </w:r>
    </w:p>
    <w:p>
      <w:pPr>
        <w:pStyle w:val="Indenta"/>
      </w:pPr>
      <w:r>
        <w:tab/>
        <w:t>C</w:t>
      </w:r>
      <w:r>
        <w:tab/>
        <w:t xml:space="preserve">is —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b/>
          <w:bCs/>
        </w:rPr>
        <w:t>“</w:t>
      </w:r>
      <w:r>
        <w:rPr>
          <w:rStyle w:val="CharDefText"/>
        </w:rPr>
        <w:t>existing amount</w:t>
      </w:r>
      <w:r>
        <w:rPr>
          <w:b/>
          <w:bCs/>
        </w:rPr>
        <w: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Coal</w:t>
            </w:r>
          </w:p>
          <w:p>
            <w:pPr>
              <w:pStyle w:val="Table"/>
              <w:spacing w:before="0" w:line="160" w:lineRule="atLeast"/>
              <w:ind w:left="-56"/>
              <w:rPr>
                <w:sz w:val="16"/>
              </w:rPr>
            </w:pPr>
            <w:r>
              <w:rPr>
                <w:sz w:val="16"/>
              </w:rPr>
              <w:t xml:space="preserve">  (including</w:t>
            </w:r>
          </w:p>
          <w:p>
            <w:pPr>
              <w:pStyle w:val="Table"/>
              <w:spacing w:before="0" w:line="160" w:lineRule="atLeast"/>
              <w:ind w:left="-56"/>
              <w:rPr>
                <w:sz w:val="16"/>
              </w:rPr>
            </w:pPr>
            <w:r>
              <w:rPr>
                <w:sz w:val="16"/>
              </w:rPr>
              <w:t xml:space="preserve">  lignite) </w:t>
            </w:r>
            <w:r>
              <w:rPr>
                <w:snapToGrid w:val="0"/>
                <w:sz w:val="16"/>
              </w:rPr>
              <w:t>—</w:t>
            </w:r>
          </w:p>
          <w:p>
            <w:pPr>
              <w:pStyle w:val="Table"/>
              <w:spacing w:before="0" w:line="160" w:lineRule="atLeast"/>
              <w:ind w:left="-56"/>
              <w:rPr>
                <w:sz w:val="16"/>
              </w:rPr>
            </w:pPr>
            <w:r>
              <w:rPr>
                <w:sz w:val="16"/>
              </w:rPr>
              <w:t xml:space="preserve">  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56"/>
              <w:rPr>
                <w:sz w:val="16"/>
              </w:rPr>
            </w:pPr>
            <w:r>
              <w:rPr>
                <w:sz w:val="16"/>
              </w:rPr>
              <w:t xml:space="preserve">  </w:t>
            </w: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18"/>
                <w:sz w:val="16"/>
              </w:rPr>
              <w:pict>
                <v:shape id="_x0000_i1027" type="#_x0000_t75" style="width:99pt;height:24pt" fillcolor="window">
                  <v:imagedata r:id="rId15" o:title=""/>
                </v:shape>
              </w:pi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 xml:space="preserve">Where —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pict>
                <v:shape id="_x0000_i1028" type="#_x0000_t75" style="width:99pt;height:24pt" fillcolor="window">
                  <v:imagedata r:id="rId16" o:title=""/>
                </v:shape>
              </w:pi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 xml:space="preserve">Where —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Ilmenite (other than ilmenite feedstock as defined in regulations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56"/>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del w:id="999" w:author="Master Repository Process" w:date="2021-08-29T08:44:00Z">
              <w:r>
                <w:rPr>
                  <w:spacing w:val="-2"/>
                  <w:position w:val="-24"/>
                  <w:sz w:val="20"/>
                </w:rPr>
                <w:pict>
                  <v:shape id="_x0000_i1029" type="#_x0000_t75" style="width:96pt;height:30.75pt" fillcolor="window">
                    <v:imagedata r:id="rId17" o:title=""/>
                  </v:shape>
                </w:pict>
              </w:r>
            </w:del>
            <w:ins w:id="1000" w:author="Master Repository Process" w:date="2021-08-29T08:44:00Z">
              <w:r>
                <w:rPr>
                  <w:spacing w:val="-2"/>
                  <w:position w:val="-24"/>
                  <w:sz w:val="20"/>
                </w:rPr>
                <w:pict>
                  <v:shape id="_x0000_i1030" type="#_x0000_t75" style="width:96pt;height:32.25pt" fillcolor="window">
                    <v:imagedata r:id="rId17" o:title=""/>
                  </v:shape>
                </w:pict>
              </w:r>
            </w:ins>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 xml:space="preserve">The rate is — </w:t>
            </w:r>
          </w:p>
          <w:p>
            <w:pPr>
              <w:pStyle w:val="Table"/>
              <w:tabs>
                <w:tab w:val="left" w:pos="280"/>
                <w:tab w:val="left" w:pos="699"/>
              </w:tabs>
              <w:spacing w:before="0" w:line="160" w:lineRule="atLeast"/>
              <w:ind w:left="714" w:hanging="714"/>
              <w:rPr>
                <w:sz w:val="16"/>
              </w:rPr>
            </w:pPr>
            <w:r>
              <w:rPr>
                <w:sz w:val="16"/>
              </w:rPr>
              <w:tab/>
              <w:t>(a)</w:t>
            </w:r>
            <w:r>
              <w:rPr>
                <w:sz w:val="16"/>
              </w:rPr>
              <w:tab/>
              <w:t xml:space="preserve">in the period beginning on 1 January 2003 and ending on 30 June 2003 —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 xml:space="preserve">in the period beginning on 1 July 2003 and ending on 30 June 2004 —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 xml:space="preserve">on or after 1 July 2004 —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rPr>
          <w:del w:id="1001" w:author="Master Repository Process" w:date="2021-08-29T08:44:00Z"/>
        </w:trPr>
        <w:tc>
          <w:tcPr>
            <w:tcW w:w="1440" w:type="dxa"/>
          </w:tcPr>
          <w:p>
            <w:pPr>
              <w:pStyle w:val="Table"/>
              <w:spacing w:before="0" w:line="160" w:lineRule="atLeast"/>
              <w:ind w:left="-56"/>
              <w:rPr>
                <w:del w:id="1002" w:author="Master Repository Process" w:date="2021-08-29T08:44:00Z"/>
                <w:sz w:val="16"/>
              </w:rPr>
            </w:pPr>
            <w:del w:id="1003" w:author="Master Repository Process" w:date="2021-08-29T08:44:00Z">
              <w:r>
                <w:rPr>
                  <w:sz w:val="16"/>
                </w:rPr>
                <w:delText>Vanadium</w:delText>
              </w:r>
            </w:del>
          </w:p>
        </w:tc>
        <w:tc>
          <w:tcPr>
            <w:tcW w:w="1254" w:type="dxa"/>
            <w:tcBorders>
              <w:left w:val="single" w:sz="4" w:space="0" w:color="auto"/>
              <w:right w:val="single" w:sz="4" w:space="0" w:color="auto"/>
            </w:tcBorders>
          </w:tcPr>
          <w:p>
            <w:pPr>
              <w:pStyle w:val="Table"/>
              <w:spacing w:before="0" w:line="160" w:lineRule="atLeast"/>
              <w:ind w:left="-27"/>
              <w:jc w:val="center"/>
              <w:rPr>
                <w:del w:id="1004" w:author="Master Repository Process" w:date="2021-08-29T08:44:00Z"/>
                <w:sz w:val="16"/>
              </w:rPr>
            </w:pPr>
          </w:p>
        </w:tc>
        <w:tc>
          <w:tcPr>
            <w:tcW w:w="1275" w:type="dxa"/>
            <w:tcBorders>
              <w:left w:val="nil"/>
              <w:right w:val="single" w:sz="4" w:space="0" w:color="auto"/>
            </w:tcBorders>
          </w:tcPr>
          <w:p>
            <w:pPr>
              <w:pStyle w:val="Table"/>
              <w:spacing w:before="0" w:line="160" w:lineRule="atLeast"/>
              <w:ind w:left="-56"/>
              <w:jc w:val="center"/>
              <w:rPr>
                <w:del w:id="1005" w:author="Master Repository Process" w:date="2021-08-29T08:44:00Z"/>
                <w:sz w:val="16"/>
              </w:rPr>
            </w:pPr>
          </w:p>
        </w:tc>
        <w:tc>
          <w:tcPr>
            <w:tcW w:w="3119" w:type="dxa"/>
            <w:tcBorders>
              <w:left w:val="nil"/>
            </w:tcBorders>
          </w:tcPr>
          <w:p>
            <w:pPr>
              <w:pStyle w:val="Table"/>
              <w:tabs>
                <w:tab w:val="left" w:pos="228"/>
              </w:tabs>
              <w:spacing w:before="0" w:line="160" w:lineRule="atLeast"/>
              <w:rPr>
                <w:del w:id="1006" w:author="Master Repository Process" w:date="2021-08-29T08:44:00Z"/>
                <w:sz w:val="16"/>
              </w:rPr>
            </w:pPr>
            <w:del w:id="1007" w:author="Master Repository Process" w:date="2021-08-29T08:44:00Z">
              <w:r>
                <w:rPr>
                  <w:sz w:val="16"/>
                </w:rPr>
                <w:delText>The higher of —</w:delText>
              </w:r>
            </w:del>
          </w:p>
          <w:p>
            <w:pPr>
              <w:pStyle w:val="Table"/>
              <w:tabs>
                <w:tab w:val="left" w:pos="228"/>
              </w:tabs>
              <w:spacing w:before="0" w:line="160" w:lineRule="atLeast"/>
              <w:ind w:left="510" w:right="-57" w:hanging="510"/>
              <w:rPr>
                <w:del w:id="1008" w:author="Master Repository Process" w:date="2021-08-29T08:44:00Z"/>
                <w:sz w:val="16"/>
              </w:rPr>
            </w:pPr>
            <w:del w:id="1009" w:author="Master Repository Process" w:date="2021-08-29T08:44:00Z">
              <w:r>
                <w:rPr>
                  <w:sz w:val="16"/>
                </w:rPr>
                <w:tab/>
                <w:delText>(a)</w:delText>
              </w:r>
              <w:r>
                <w:rPr>
                  <w:sz w:val="16"/>
                </w:rPr>
                <w:tab/>
                <w:delText>5% of the amount calculated by deducting from the royalty value of vanadium pentoxide produced from the vanadium such costs of producing that vanadium pentoxide as are allowed by the Minister after consultation with the person liable to pay the royalty; and</w:delText>
              </w:r>
            </w:del>
          </w:p>
          <w:p>
            <w:pPr>
              <w:pStyle w:val="Table"/>
              <w:tabs>
                <w:tab w:val="left" w:pos="228"/>
              </w:tabs>
              <w:spacing w:before="0" w:line="160" w:lineRule="atLeast"/>
              <w:ind w:left="510" w:right="-57" w:hanging="510"/>
              <w:rPr>
                <w:del w:id="1010" w:author="Master Repository Process" w:date="2021-08-29T08:44:00Z"/>
                <w:sz w:val="16"/>
              </w:rPr>
            </w:pPr>
            <w:del w:id="1011" w:author="Master Repository Process" w:date="2021-08-29T08:44:00Z">
              <w:r>
                <w:rPr>
                  <w:sz w:val="16"/>
                </w:rPr>
                <w:tab/>
                <w:delText>(b)</w:delText>
              </w:r>
              <w:r>
                <w:rPr>
                  <w:sz w:val="16"/>
                </w:rPr>
                <w:tab/>
                <w:delText>1.5% of the gross invoice value of vanadium pentoxide produced from the vanadium.</w:delText>
              </w:r>
            </w:del>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 xml:space="preserve">The rate is —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w:t>
      </w:r>
      <w:ins w:id="1012" w:author="Master Repository Process" w:date="2021-08-29T08:44:00Z">
        <w:r>
          <w:t>; 4 Apr 2006 p. 1409</w:t>
        </w:r>
      </w:ins>
      <w:r>
        <w:t xml:space="preserve">.] </w:t>
      </w:r>
    </w:p>
    <w:p>
      <w:pPr>
        <w:pStyle w:val="Heading5"/>
        <w:rPr>
          <w:snapToGrid w:val="0"/>
        </w:rPr>
      </w:pPr>
      <w:bookmarkStart w:id="1013" w:name="_Toc474633131"/>
      <w:bookmarkStart w:id="1014" w:name="_Toc488740281"/>
      <w:bookmarkStart w:id="1015" w:name="_Toc8623664"/>
      <w:bookmarkStart w:id="1016" w:name="_Toc11229505"/>
      <w:bookmarkStart w:id="1017" w:name="_Toc104276673"/>
      <w:bookmarkStart w:id="1018" w:name="_Toc127338088"/>
      <w:r>
        <w:rPr>
          <w:rStyle w:val="CharSectno"/>
        </w:rPr>
        <w:t>86AA</w:t>
      </w:r>
      <w:r>
        <w:rPr>
          <w:snapToGrid w:val="0"/>
        </w:rPr>
        <w:t>.</w:t>
      </w:r>
      <w:r>
        <w:rPr>
          <w:snapToGrid w:val="0"/>
        </w:rPr>
        <w:tab/>
        <w:t>Rates of royalty in respect of gold</w:t>
      </w:r>
      <w:bookmarkEnd w:id="1013"/>
      <w:bookmarkEnd w:id="1014"/>
      <w:bookmarkEnd w:id="1015"/>
      <w:bookmarkEnd w:id="1016"/>
      <w:bookmarkEnd w:id="1017"/>
      <w:bookmarkEnd w:id="1018"/>
      <w:r>
        <w:rPr>
          <w:snapToGrid w:val="0"/>
        </w:rPr>
        <w:t xml:space="preserve"> </w:t>
      </w:r>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spacing w:before="120"/>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spacing w:before="120"/>
        <w:rPr>
          <w:snapToGrid w:val="0"/>
        </w:rPr>
      </w:pPr>
      <w:r>
        <w:rPr>
          <w:snapToGrid w:val="0"/>
        </w:rPr>
        <w:tab/>
        <w:t>(8)</w:t>
      </w:r>
      <w:r>
        <w:rPr>
          <w:snapToGrid w:val="0"/>
        </w:rPr>
        <w:tab/>
        <w:t>If gold bearing material is delivered to a refinery within 3 months after it, or gold bearing material from which it was produced, was taken from the ground —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 </w:t>
      </w:r>
    </w:p>
    <w:p>
      <w:pPr>
        <w:pStyle w:val="Defstart"/>
      </w:pPr>
      <w:r>
        <w:rPr>
          <w:b/>
        </w:rPr>
        <w:tab/>
        <w:t>“</w:t>
      </w:r>
      <w:r>
        <w:rPr>
          <w:rStyle w:val="CharDefText"/>
        </w:rPr>
        <w:t>deliverer</w:t>
      </w:r>
      <w:r>
        <w:rPr>
          <w:b/>
        </w:rPr>
        <w:t>”</w:t>
      </w:r>
      <w:r>
        <w:t xml:space="preserve"> means the person who produces the gold bearing material that is delivered to a refinery;</w:t>
      </w:r>
    </w:p>
    <w:p>
      <w:pPr>
        <w:pStyle w:val="Defstart"/>
      </w:pPr>
      <w:r>
        <w:rPr>
          <w:b/>
        </w:rPr>
        <w:tab/>
        <w:t>“</w:t>
      </w:r>
      <w:r>
        <w:rPr>
          <w:rStyle w:val="CharDefText"/>
        </w:rPr>
        <w:t>gold bearing material</w:t>
      </w:r>
      <w:r>
        <w:rPr>
          <w:b/>
        </w:rPr>
        <w:t>”</w:t>
      </w:r>
      <w:r>
        <w:t xml:space="preserve"> is material of any kind containing gold;</w:t>
      </w:r>
    </w:p>
    <w:p>
      <w:pPr>
        <w:pStyle w:val="Defstart"/>
      </w:pPr>
      <w:r>
        <w:rPr>
          <w:b/>
        </w:rPr>
        <w:tab/>
        <w:t>“</w:t>
      </w:r>
      <w:r>
        <w:rPr>
          <w:rStyle w:val="CharDefText"/>
        </w:rPr>
        <w:t>gold metal</w:t>
      </w:r>
      <w:r>
        <w:rPr>
          <w:b/>
        </w:rPr>
        <w:t>”</w:t>
      </w:r>
      <w:r>
        <w:t xml:space="preserve"> means gold that is at least 99.5% pure;</w:t>
      </w:r>
    </w:p>
    <w:p>
      <w:pPr>
        <w:pStyle w:val="Defstart"/>
        <w:keepNext/>
      </w:pPr>
      <w:r>
        <w:rPr>
          <w:b/>
        </w:rPr>
        <w:tab/>
        <w:t>“</w:t>
      </w:r>
      <w:r>
        <w:rPr>
          <w:rStyle w:val="CharDefText"/>
        </w:rPr>
        <w:t>gold royalty project</w:t>
      </w:r>
      <w:r>
        <w:rPr>
          <w:b/>
        </w:rPr>
        <w:t>”</w:t>
      </w:r>
      <w:r>
        <w:t xml:space="preserve"> means — </w:t>
      </w:r>
    </w:p>
    <w:p>
      <w:pPr>
        <w:pStyle w:val="Defpara"/>
      </w:pPr>
      <w:r>
        <w:tab/>
        <w:t>(a)</w:t>
      </w:r>
      <w:r>
        <w:tab/>
        <w:t>subject to subregulation (12), the mining tenement or, if there is more than one, all mining tenements from which anyone produces or obtains gold bearing material that is treated or processed at a common —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t>“</w:t>
      </w:r>
      <w:r>
        <w:rPr>
          <w:rStyle w:val="CharDefText"/>
        </w:rPr>
        <w:t>gold spot price</w:t>
      </w:r>
      <w:r>
        <w:rPr>
          <w:b/>
        </w:rPr>
        <w:t>”</w:t>
      </w:r>
      <w:r>
        <w:t xml:space="preserve"> means —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t>“</w:t>
      </w:r>
      <w:r>
        <w:rPr>
          <w:rStyle w:val="CharDefText"/>
        </w:rPr>
        <w:t>mining tenement</w:t>
      </w:r>
      <w:r>
        <w:rPr>
          <w:b/>
        </w:rPr>
        <w:t>”</w:t>
      </w:r>
      <w:r>
        <w:t xml:space="preserve"> includes land the subject of an application for a mining tenement;</w:t>
      </w:r>
    </w:p>
    <w:p>
      <w:pPr>
        <w:pStyle w:val="Defstart"/>
      </w:pPr>
      <w:r>
        <w:rPr>
          <w:b/>
        </w:rPr>
        <w:tab/>
        <w:t>“</w:t>
      </w:r>
      <w:r>
        <w:rPr>
          <w:rStyle w:val="CharDefText"/>
        </w:rPr>
        <w:t>refiner</w:t>
      </w:r>
      <w:r>
        <w:rPr>
          <w:b/>
        </w:rPr>
        <w:t>”</w:t>
      </w:r>
      <w:r>
        <w:t xml:space="preserve"> means the operator of a refinery;</w:t>
      </w:r>
    </w:p>
    <w:p>
      <w:pPr>
        <w:pStyle w:val="Defstart"/>
      </w:pPr>
      <w:r>
        <w:rPr>
          <w:b/>
        </w:rPr>
        <w:tab/>
        <w:t>“</w:t>
      </w:r>
      <w:r>
        <w:rPr>
          <w:rStyle w:val="CharDefText"/>
        </w:rPr>
        <w:t>refinery</w:t>
      </w:r>
      <w:r>
        <w:rPr>
          <w:b/>
        </w:rPr>
        <w:t>”</w:t>
      </w:r>
      <w:r>
        <w:t xml:space="preserve"> means a place where gold metal is produced;</w:t>
      </w:r>
    </w:p>
    <w:p>
      <w:pPr>
        <w:pStyle w:val="Defstart"/>
      </w:pPr>
      <w:r>
        <w:rPr>
          <w:b/>
        </w:rPr>
        <w:tab/>
        <w:t>“</w:t>
      </w:r>
      <w:r>
        <w:rPr>
          <w:rStyle w:val="CharDefText"/>
        </w:rPr>
        <w:t>treatment facility</w:t>
      </w:r>
      <w:r>
        <w:rPr>
          <w:b/>
        </w:rPr>
        <w:t>”</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 xml:space="preserve">3; amended in Gazette 24 Apr 1998 p. 2153; 14 Apr 2000 p. 1891; 14 Dec 2001 p. 6406.] </w:t>
      </w:r>
    </w:p>
    <w:p>
      <w:pPr>
        <w:pStyle w:val="Heading5"/>
      </w:pPr>
      <w:bookmarkStart w:id="1019" w:name="_Toc486150009"/>
      <w:bookmarkStart w:id="1020" w:name="_Toc488740282"/>
      <w:bookmarkStart w:id="1021" w:name="_Toc8623665"/>
      <w:bookmarkStart w:id="1022" w:name="_Toc11229506"/>
      <w:bookmarkStart w:id="1023" w:name="_Toc104276674"/>
      <w:bookmarkStart w:id="1024" w:name="_Toc127338089"/>
      <w:bookmarkStart w:id="1025" w:name="_Toc474633132"/>
      <w:r>
        <w:rPr>
          <w:rStyle w:val="CharSectno"/>
        </w:rPr>
        <w:t>86AB</w:t>
      </w:r>
      <w:r>
        <w:t>.</w:t>
      </w:r>
      <w:r>
        <w:tab/>
        <w:t>Optional royalty rate for cobalt sold as a nickel by</w:t>
      </w:r>
      <w:r>
        <w:noBreakHyphen/>
        <w:t>product</w:t>
      </w:r>
      <w:bookmarkEnd w:id="1019"/>
      <w:bookmarkEnd w:id="1020"/>
      <w:bookmarkEnd w:id="1021"/>
      <w:bookmarkEnd w:id="1022"/>
      <w:bookmarkEnd w:id="1023"/>
      <w:bookmarkEnd w:id="1024"/>
    </w:p>
    <w:p>
      <w:pPr>
        <w:pStyle w:val="Subsection"/>
      </w:pPr>
      <w:r>
        <w:tab/>
        <w:t>(1)</w:t>
      </w:r>
      <w:r>
        <w:tab/>
        <w:t>In this regulation —</w:t>
      </w:r>
    </w:p>
    <w:p>
      <w:pPr>
        <w:pStyle w:val="Defstart"/>
      </w:pPr>
      <w:r>
        <w:tab/>
      </w:r>
      <w:r>
        <w:rPr>
          <w:b/>
        </w:rPr>
        <w:t>“</w:t>
      </w:r>
      <w:r>
        <w:rPr>
          <w:rStyle w:val="CharDefText"/>
        </w:rPr>
        <w:t>optional royalty period</w:t>
      </w:r>
      <w:r>
        <w:rPr>
          <w:b/>
        </w:rPr>
        <w:t>”</w:t>
      </w:r>
      <w:r>
        <w:t xml:space="preserve"> means the period beginning on 1 July 2000 and ending on 30 June 2005;</w:t>
      </w:r>
    </w:p>
    <w:p>
      <w:pPr>
        <w:pStyle w:val="Defstart"/>
      </w:pPr>
      <w:r>
        <w:tab/>
      </w:r>
      <w:r>
        <w:rPr>
          <w:b/>
        </w:rPr>
        <w:t>“</w:t>
      </w:r>
      <w:r>
        <w:rPr>
          <w:rStyle w:val="CharDefText"/>
        </w:rPr>
        <w:t>optional royalty rate</w:t>
      </w:r>
      <w:r>
        <w:rPr>
          <w:b/>
        </w:rPr>
        <w:t>”</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026" w:name="_Toc127338090"/>
      <w:bookmarkStart w:id="1027" w:name="_Toc8623666"/>
      <w:bookmarkStart w:id="1028" w:name="_Toc11229507"/>
      <w:bookmarkStart w:id="1029" w:name="_Toc104276675"/>
      <w:bookmarkStart w:id="1030" w:name="_Toc474633133"/>
      <w:bookmarkStart w:id="1031" w:name="_Toc488740284"/>
      <w:bookmarkEnd w:id="1025"/>
      <w:r>
        <w:t>86AC.</w:t>
      </w:r>
      <w:r>
        <w:tab/>
        <w:t>Rates of royalty for ilmenite feedstock</w:t>
      </w:r>
      <w:bookmarkEnd w:id="1026"/>
    </w:p>
    <w:p>
      <w:pPr>
        <w:pStyle w:val="Subsection"/>
      </w:pPr>
      <w:r>
        <w:tab/>
        <w:t>(1)</w:t>
      </w:r>
      <w:r>
        <w:tab/>
        <w:t xml:space="preserve">In this regulation — </w:t>
      </w:r>
    </w:p>
    <w:p>
      <w:pPr>
        <w:pStyle w:val="Defstart"/>
      </w:pPr>
      <w:r>
        <w:rPr>
          <w:b/>
        </w:rPr>
        <w:tab/>
        <w:t>“</w:t>
      </w:r>
      <w:r>
        <w:rPr>
          <w:rStyle w:val="CharDefText"/>
        </w:rPr>
        <w:t>beneficiation plant</w:t>
      </w:r>
      <w:r>
        <w:rPr>
          <w:b/>
        </w:rPr>
        <w:t>”</w:t>
      </w:r>
      <w:r>
        <w:t xml:space="preserve"> means a mineral processing plant located in Western Australia that produces or is designed to produce upgraded ilmenite with an average titanium dioxide content of not less than 90%;</w:t>
      </w:r>
    </w:p>
    <w:p>
      <w:pPr>
        <w:pStyle w:val="Defstart"/>
      </w:pPr>
      <w:r>
        <w:rPr>
          <w:b/>
        </w:rPr>
        <w:tab/>
        <w:t>“</w:t>
      </w:r>
      <w:r>
        <w:rPr>
          <w:rStyle w:val="CharDefText"/>
        </w:rPr>
        <w:t>ilmenite feedstock</w:t>
      </w:r>
      <w:r>
        <w:rPr>
          <w:b/>
        </w:rPr>
        <w:t>”</w:t>
      </w:r>
      <w:r>
        <w:t xml:space="preserve"> means ilmenite concentrate intended for use as feedstock in a beneficiation plant that is owned or operated by —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pPr>
      <w:r>
        <w:tab/>
        <w:t>(4)</w:t>
      </w:r>
      <w:r>
        <w:tab/>
        <w:t xml:space="preserve">The rate of royalty payable for ilmenite feedstock that is of marketable quality is —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032" w:name="_Toc127338091"/>
      <w:r>
        <w:rPr>
          <w:rStyle w:val="CharSectno"/>
        </w:rPr>
        <w:t>86A</w:t>
      </w:r>
      <w:r>
        <w:t>.</w:t>
      </w:r>
      <w:r>
        <w:tab/>
        <w:t>Payment of royalties</w:t>
      </w:r>
      <w:bookmarkEnd w:id="1027"/>
      <w:bookmarkEnd w:id="1028"/>
      <w:bookmarkEnd w:id="1029"/>
      <w:bookmarkEnd w:id="1032"/>
    </w:p>
    <w:p>
      <w:pPr>
        <w:pStyle w:val="Subsection"/>
        <w:spacing w:before="120"/>
      </w:pPr>
      <w:r>
        <w:tab/>
        <w:t>(1)</w:t>
      </w:r>
      <w:r>
        <w:tab/>
        <w:t>Royalties for a mineral shall be paid to the Department at Perth.</w:t>
      </w:r>
    </w:p>
    <w:p>
      <w:pPr>
        <w:pStyle w:val="Subsection"/>
        <w:spacing w:before="120"/>
      </w:pPr>
      <w:r>
        <w:tab/>
        <w:t>(2)</w:t>
      </w:r>
      <w:r>
        <w:tab/>
        <w:t>Subject to this regulation, royalties for a mineral shall be paid within 30 days after the end of the quarter during which the relevant amount of the mineral was produced or obtained.</w:t>
      </w:r>
    </w:p>
    <w:p>
      <w:pPr>
        <w:pStyle w:val="Subsection"/>
        <w:spacing w:before="120"/>
      </w:pPr>
      <w:r>
        <w:tab/>
        <w:t>(3)</w:t>
      </w:r>
      <w:r>
        <w:tab/>
        <w:t>In the case of gold metal, royalties shall be paid within 30 days after the end of the quarter during which the gold metal is to be regarded because of regulation 86AA as having been produced.</w:t>
      </w:r>
    </w:p>
    <w:p>
      <w:pPr>
        <w:pStyle w:val="Subsection"/>
        <w:spacing w:before="12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20"/>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spacing w:before="120"/>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spacing w:before="120"/>
        <w:rPr>
          <w:snapToGrid w:val="0"/>
        </w:rPr>
      </w:pPr>
      <w:bookmarkStart w:id="1033" w:name="_Toc8623667"/>
      <w:bookmarkStart w:id="1034" w:name="_Toc11229508"/>
      <w:bookmarkStart w:id="1035" w:name="_Toc104276676"/>
      <w:bookmarkStart w:id="1036" w:name="_Toc127338092"/>
      <w:r>
        <w:rPr>
          <w:rStyle w:val="CharSectno"/>
        </w:rPr>
        <w:t>86B</w:t>
      </w:r>
      <w:r>
        <w:rPr>
          <w:snapToGrid w:val="0"/>
        </w:rPr>
        <w:t>.</w:t>
      </w:r>
      <w:r>
        <w:rPr>
          <w:snapToGrid w:val="0"/>
        </w:rPr>
        <w:tab/>
        <w:t>Tenement within Carnarvon Irrigation District</w:t>
      </w:r>
      <w:bookmarkEnd w:id="1030"/>
      <w:bookmarkEnd w:id="1031"/>
      <w:bookmarkEnd w:id="1033"/>
      <w:bookmarkEnd w:id="1034"/>
      <w:bookmarkEnd w:id="1035"/>
      <w:bookmarkEnd w:id="1036"/>
      <w:r>
        <w:rPr>
          <w:snapToGrid w:val="0"/>
        </w:rPr>
        <w:t xml:space="preserve"> </w:t>
      </w:r>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 xml:space="preserve">Repealed in Gazette 3 Oct 1997 p. 5533.] </w:t>
      </w:r>
    </w:p>
    <w:p>
      <w:pPr>
        <w:pStyle w:val="Heading5"/>
        <w:rPr>
          <w:snapToGrid w:val="0"/>
        </w:rPr>
      </w:pPr>
      <w:bookmarkStart w:id="1037" w:name="_Toc474633134"/>
      <w:bookmarkStart w:id="1038" w:name="_Toc488740285"/>
      <w:bookmarkStart w:id="1039" w:name="_Toc8623668"/>
      <w:bookmarkStart w:id="1040" w:name="_Toc11229509"/>
      <w:bookmarkStart w:id="1041" w:name="_Toc104276677"/>
      <w:bookmarkStart w:id="1042" w:name="_Toc127338093"/>
      <w:r>
        <w:rPr>
          <w:rStyle w:val="CharSectno"/>
        </w:rPr>
        <w:t>86D</w:t>
      </w:r>
      <w:r>
        <w:rPr>
          <w:snapToGrid w:val="0"/>
        </w:rPr>
        <w:t>.</w:t>
      </w:r>
      <w:r>
        <w:rPr>
          <w:snapToGrid w:val="0"/>
        </w:rPr>
        <w:tab/>
        <w:t>Exemption in respect of certain clay, gravel, limestone, rock or sand</w:t>
      </w:r>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 xml:space="preserve">[Regulation 86D inserted in Gazette 12 Nov 1982 p. 4490.] </w:t>
      </w:r>
    </w:p>
    <w:p>
      <w:pPr>
        <w:pStyle w:val="Heading5"/>
        <w:rPr>
          <w:snapToGrid w:val="0"/>
        </w:rPr>
      </w:pPr>
      <w:bookmarkStart w:id="1043" w:name="_Toc474633135"/>
      <w:bookmarkStart w:id="1044" w:name="_Toc488740286"/>
      <w:bookmarkStart w:id="1045" w:name="_Toc8623669"/>
      <w:bookmarkStart w:id="1046" w:name="_Toc11229510"/>
      <w:bookmarkStart w:id="1047" w:name="_Toc104276678"/>
      <w:bookmarkStart w:id="1048" w:name="_Toc127338094"/>
      <w:r>
        <w:rPr>
          <w:rStyle w:val="CharSectno"/>
        </w:rPr>
        <w:t>86E</w:t>
      </w:r>
      <w:r>
        <w:rPr>
          <w:snapToGrid w:val="0"/>
        </w:rPr>
        <w:t>.</w:t>
      </w:r>
      <w:r>
        <w:rPr>
          <w:snapToGrid w:val="0"/>
        </w:rPr>
        <w:tab/>
        <w:t>Exemption in respect of rock for the Eyre Highway</w:t>
      </w:r>
      <w:bookmarkEnd w:id="1043"/>
      <w:bookmarkEnd w:id="1044"/>
      <w:bookmarkEnd w:id="1045"/>
      <w:bookmarkEnd w:id="1046"/>
      <w:bookmarkEnd w:id="1047"/>
      <w:bookmarkEnd w:id="1048"/>
      <w:r>
        <w:rPr>
          <w:snapToGrid w:val="0"/>
        </w:rPr>
        <w:t xml:space="preserve"> </w:t>
      </w:r>
    </w:p>
    <w:p>
      <w:pPr>
        <w:pStyle w:val="Subsection"/>
        <w:keepNext/>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 xml:space="preserve">[Regulation 86E inserted in Gazette 3 Jul 1992 p. 2973; amended in Gazette 4 Apr 1997 p. 1779.] </w:t>
      </w:r>
    </w:p>
    <w:p>
      <w:pPr>
        <w:pStyle w:val="Heading5"/>
      </w:pPr>
      <w:bookmarkStart w:id="1049" w:name="_Toc486150014"/>
      <w:bookmarkStart w:id="1050" w:name="_Toc488740287"/>
      <w:bookmarkStart w:id="1051" w:name="_Toc8623670"/>
      <w:bookmarkStart w:id="1052" w:name="_Toc11229511"/>
      <w:bookmarkStart w:id="1053" w:name="_Toc104276679"/>
      <w:bookmarkStart w:id="1054" w:name="_Toc127338095"/>
      <w:bookmarkStart w:id="1055" w:name="_Toc474633137"/>
      <w:r>
        <w:rPr>
          <w:rStyle w:val="CharSectno"/>
        </w:rPr>
        <w:t>86F</w:t>
      </w:r>
      <w:r>
        <w:t>.</w:t>
      </w:r>
      <w:r>
        <w:tab/>
        <w:t>Royalty relief</w:t>
      </w:r>
      <w:bookmarkEnd w:id="1049"/>
      <w:bookmarkEnd w:id="1050"/>
      <w:bookmarkEnd w:id="1051"/>
      <w:bookmarkEnd w:id="1052"/>
      <w:bookmarkEnd w:id="1053"/>
      <w:bookmarkEnd w:id="1054"/>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 xml:space="preserve">under regulation 86, for any mineral produced or obtained while the determination is expressed to apply; </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spacing w:before="120"/>
      </w:pPr>
      <w:r>
        <w:tab/>
      </w:r>
      <w:r>
        <w:tab/>
        <w:t>is to be on the basis of a portion only, as specified in the determination, of the royalty base.</w:t>
      </w:r>
    </w:p>
    <w:p>
      <w:pPr>
        <w:pStyle w:val="Subsection"/>
        <w:spacing w:before="120"/>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spacing w:before="120"/>
      </w:pPr>
      <w:r>
        <w:tab/>
        <w:t>(3)</w:t>
      </w:r>
      <w:r>
        <w:tab/>
        <w:t>In this regulation —</w:t>
      </w:r>
    </w:p>
    <w:p>
      <w:pPr>
        <w:pStyle w:val="Defstart"/>
      </w:pPr>
      <w:r>
        <w:tab/>
      </w:r>
      <w:r>
        <w:rPr>
          <w:b/>
        </w:rPr>
        <w:t>“</w:t>
      </w:r>
      <w:r>
        <w:rPr>
          <w:rStyle w:val="CharDefText"/>
        </w:rPr>
        <w:t>circumstances justifying royalty relief</w:t>
      </w:r>
      <w:r>
        <w:rPr>
          <w:b/>
        </w:rPr>
        <w:t>”</w:t>
      </w:r>
      <w:r>
        <w:t xml:space="preserve"> means circumstances that meet criteria for the giving of royalty relief that the Minister has published in the </w:t>
      </w:r>
      <w:r>
        <w:rPr>
          <w:i/>
        </w:rPr>
        <w:t>Gazette</w:t>
      </w:r>
      <w:r>
        <w:t>;</w:t>
      </w:r>
    </w:p>
    <w:p>
      <w:pPr>
        <w:pStyle w:val="Defstart"/>
      </w:pPr>
      <w:r>
        <w:tab/>
      </w:r>
      <w:r>
        <w:rPr>
          <w:b/>
        </w:rPr>
        <w:t>“</w:t>
      </w:r>
      <w:r>
        <w:rPr>
          <w:rStyle w:val="CharDefText"/>
        </w:rPr>
        <w:t>gold metal</w:t>
      </w:r>
      <w:r>
        <w:rPr>
          <w:b/>
        </w:rPr>
        <w:t>”</w:t>
      </w:r>
      <w:r>
        <w:t xml:space="preserve"> has the same meaning as it has in regulation 86AA(11);</w:t>
      </w:r>
    </w:p>
    <w:p>
      <w:pPr>
        <w:pStyle w:val="Defstart"/>
        <w:keepNext/>
      </w:pPr>
      <w:r>
        <w:tab/>
      </w:r>
      <w:r>
        <w:rPr>
          <w:b/>
        </w:rPr>
        <w:t>“</w:t>
      </w:r>
      <w:r>
        <w:rPr>
          <w:rStyle w:val="CharDefText"/>
        </w:rPr>
        <w:t>royalty base</w:t>
      </w:r>
      <w:r>
        <w:rPr>
          <w:b/>
        </w:rPr>
        <w:t>”</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056" w:name="_Toc488740288"/>
      <w:bookmarkStart w:id="1057" w:name="_Toc8623671"/>
      <w:bookmarkStart w:id="1058" w:name="_Toc11229512"/>
      <w:bookmarkStart w:id="1059" w:name="_Toc104276680"/>
      <w:bookmarkStart w:id="1060" w:name="_Toc127338096"/>
      <w:r>
        <w:rPr>
          <w:rStyle w:val="CharSectno"/>
        </w:rPr>
        <w:t>87</w:t>
      </w:r>
      <w:r>
        <w:rPr>
          <w:snapToGrid w:val="0"/>
        </w:rPr>
        <w:t>.</w:t>
      </w:r>
      <w:r>
        <w:rPr>
          <w:snapToGrid w:val="0"/>
        </w:rPr>
        <w:tab/>
        <w:t>Minister may determine value of mineral for the purpose of calculating royalties</w:t>
      </w:r>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spacing w:before="120"/>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 xml:space="preserve">[Regulation 87 inserted in Gazette 20 May 1988 p. 1706; amended in Gazette 3 Oct 1997 p. 5533; 14 Dec 2001 p. 6407; 13 Dec 2002 p. 5805.] </w:t>
      </w:r>
    </w:p>
    <w:p>
      <w:pPr>
        <w:pStyle w:val="Heading5"/>
        <w:spacing w:before="180"/>
        <w:rPr>
          <w:snapToGrid w:val="0"/>
        </w:rPr>
      </w:pPr>
      <w:bookmarkStart w:id="1061" w:name="_Toc474633138"/>
      <w:bookmarkStart w:id="1062" w:name="_Toc488740289"/>
      <w:bookmarkStart w:id="1063" w:name="_Toc8623672"/>
      <w:bookmarkStart w:id="1064" w:name="_Toc11229513"/>
      <w:bookmarkStart w:id="1065" w:name="_Toc104276681"/>
      <w:bookmarkStart w:id="1066" w:name="_Toc127338097"/>
      <w:r>
        <w:rPr>
          <w:rStyle w:val="CharSectno"/>
        </w:rPr>
        <w:t>87A</w:t>
      </w:r>
      <w:r>
        <w:rPr>
          <w:snapToGrid w:val="0"/>
        </w:rPr>
        <w:t>.</w:t>
      </w:r>
      <w:r>
        <w:rPr>
          <w:snapToGrid w:val="0"/>
        </w:rPr>
        <w:tab/>
        <w:t>Notice of determination and assessment under regulation 87</w:t>
      </w:r>
      <w:bookmarkEnd w:id="1061"/>
      <w:bookmarkEnd w:id="1062"/>
      <w:bookmarkEnd w:id="1063"/>
      <w:bookmarkEnd w:id="1064"/>
      <w:bookmarkEnd w:id="1065"/>
      <w:bookmarkEnd w:id="1066"/>
      <w:r>
        <w:rPr>
          <w:snapToGrid w:val="0"/>
        </w:rPr>
        <w:t xml:space="preserve"> </w:t>
      </w:r>
    </w:p>
    <w:p>
      <w:pPr>
        <w:pStyle w:val="Subsection"/>
        <w:spacing w:before="120"/>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spacing w:before="120"/>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 xml:space="preserve">[Regulation 87A inserted in Gazette 20 May 1988 p. 1706.] </w:t>
      </w:r>
    </w:p>
    <w:p>
      <w:pPr>
        <w:pStyle w:val="Heading5"/>
        <w:spacing w:before="180"/>
        <w:rPr>
          <w:snapToGrid w:val="0"/>
        </w:rPr>
      </w:pPr>
      <w:bookmarkStart w:id="1067" w:name="_Toc474633139"/>
      <w:bookmarkStart w:id="1068" w:name="_Toc488740290"/>
      <w:bookmarkStart w:id="1069" w:name="_Toc8623673"/>
      <w:bookmarkStart w:id="1070" w:name="_Toc11229514"/>
      <w:bookmarkStart w:id="1071" w:name="_Toc104276682"/>
      <w:bookmarkStart w:id="1072" w:name="_Toc127338098"/>
      <w:r>
        <w:rPr>
          <w:rStyle w:val="CharSectno"/>
        </w:rPr>
        <w:t>87B</w:t>
      </w:r>
      <w:r>
        <w:rPr>
          <w:snapToGrid w:val="0"/>
        </w:rPr>
        <w:t>.</w:t>
      </w:r>
      <w:r>
        <w:rPr>
          <w:snapToGrid w:val="0"/>
        </w:rPr>
        <w:tab/>
        <w:t>Records</w:t>
      </w:r>
      <w:bookmarkEnd w:id="1067"/>
      <w:bookmarkEnd w:id="1068"/>
      <w:bookmarkEnd w:id="1069"/>
      <w:bookmarkEnd w:id="1070"/>
      <w:bookmarkEnd w:id="1071"/>
      <w:bookmarkEnd w:id="1072"/>
      <w:r>
        <w:rPr>
          <w:snapToGrid w:val="0"/>
        </w:rPr>
        <w:t xml:space="preserve"> </w:t>
      </w:r>
    </w:p>
    <w:p>
      <w:pPr>
        <w:pStyle w:val="Subsection"/>
        <w:spacing w:before="120"/>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 </w:t>
      </w:r>
    </w:p>
    <w:p>
      <w:pPr>
        <w:pStyle w:val="Indenta"/>
        <w:spacing w:before="50"/>
        <w:rPr>
          <w:snapToGrid w:val="0"/>
        </w:rPr>
      </w:pPr>
      <w:r>
        <w:rPr>
          <w:snapToGrid w:val="0"/>
        </w:rPr>
        <w:tab/>
        <w:t>(a)</w:t>
      </w:r>
      <w:r>
        <w:rPr>
          <w:snapToGrid w:val="0"/>
        </w:rPr>
        <w:tab/>
        <w:t>to give a true and complete indication of —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 xml:space="preserve">8; 8 Feb 2002 p. 608.] </w:t>
      </w:r>
    </w:p>
    <w:p>
      <w:pPr>
        <w:pStyle w:val="Ednotesection"/>
      </w:pPr>
      <w:r>
        <w:t>[</w:t>
      </w:r>
      <w:r>
        <w:rPr>
          <w:b/>
        </w:rPr>
        <w:t>88.</w:t>
      </w:r>
      <w:r>
        <w:tab/>
        <w:t xml:space="preserve">Repealed in Gazette 31 May 1991 p. 2699.] </w:t>
      </w:r>
    </w:p>
    <w:p>
      <w:pPr>
        <w:pStyle w:val="Heading5"/>
        <w:rPr>
          <w:snapToGrid w:val="0"/>
        </w:rPr>
      </w:pPr>
      <w:bookmarkStart w:id="1073" w:name="_Toc474633140"/>
      <w:bookmarkStart w:id="1074" w:name="_Toc488740291"/>
      <w:bookmarkStart w:id="1075" w:name="_Toc8623674"/>
      <w:bookmarkStart w:id="1076" w:name="_Toc11229515"/>
      <w:bookmarkStart w:id="1077" w:name="_Toc104276683"/>
      <w:bookmarkStart w:id="1078" w:name="_Toc127338099"/>
      <w:r>
        <w:rPr>
          <w:rStyle w:val="CharSectno"/>
        </w:rPr>
        <w:t>89</w:t>
      </w:r>
      <w:r>
        <w:rPr>
          <w:snapToGrid w:val="0"/>
        </w:rPr>
        <w:t>.</w:t>
      </w:r>
      <w:r>
        <w:rPr>
          <w:snapToGrid w:val="0"/>
        </w:rPr>
        <w:tab/>
        <w:t>Recovery of royalty</w:t>
      </w:r>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079" w:name="_Toc74978967"/>
      <w:bookmarkStart w:id="1080" w:name="_Toc74979231"/>
      <w:bookmarkStart w:id="1081" w:name="_Toc79976529"/>
      <w:bookmarkStart w:id="1082" w:name="_Toc80759800"/>
      <w:bookmarkStart w:id="1083" w:name="_Toc80783563"/>
      <w:bookmarkStart w:id="1084" w:name="_Toc94931230"/>
      <w:bookmarkStart w:id="1085" w:name="_Toc104275353"/>
      <w:bookmarkStart w:id="1086" w:name="_Toc104276684"/>
      <w:bookmarkStart w:id="1087" w:name="_Toc107198905"/>
      <w:bookmarkStart w:id="1088" w:name="_Toc107799357"/>
      <w:bookmarkStart w:id="1089" w:name="_Toc127087364"/>
      <w:bookmarkStart w:id="1090" w:name="_Toc127183673"/>
      <w:bookmarkStart w:id="1091" w:name="_Toc127338100"/>
      <w:r>
        <w:rPr>
          <w:rStyle w:val="CharDivNo"/>
        </w:rPr>
        <w:t>Division 5A</w:t>
      </w:r>
      <w:r>
        <w:t> — </w:t>
      </w:r>
      <w:r>
        <w:rPr>
          <w:rStyle w:val="CharDivText"/>
        </w:rPr>
        <w:t>Prescribed Australian datum</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Footnoteheading"/>
        <w:ind w:left="890"/>
      </w:pPr>
      <w:r>
        <w:tab/>
        <w:t>[Heading inserted in Gazette 15 Dec 2000 p. 7219.]</w:t>
      </w:r>
    </w:p>
    <w:p>
      <w:pPr>
        <w:pStyle w:val="Heading5"/>
      </w:pPr>
      <w:bookmarkStart w:id="1092" w:name="_Toc8623675"/>
      <w:bookmarkStart w:id="1093" w:name="_Toc11229516"/>
      <w:bookmarkStart w:id="1094" w:name="_Toc104276685"/>
      <w:bookmarkStart w:id="1095" w:name="_Toc127338101"/>
      <w:r>
        <w:rPr>
          <w:rStyle w:val="CharSectno"/>
        </w:rPr>
        <w:t>89A</w:t>
      </w:r>
      <w:r>
        <w:t>.</w:t>
      </w:r>
      <w:r>
        <w:tab/>
        <w:t>Geocentric Datum of Australia — section 9B</w:t>
      </w:r>
      <w:bookmarkEnd w:id="1092"/>
      <w:bookmarkEnd w:id="1093"/>
      <w:bookmarkEnd w:id="1094"/>
      <w:bookmarkEnd w:id="1095"/>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b/>
        </w:rPr>
        <w:t>“</w:t>
      </w:r>
      <w:r>
        <w:rPr>
          <w:rStyle w:val="CharDefText"/>
        </w:rPr>
        <w:t>the GDA</w:t>
      </w:r>
      <w:r>
        <w:rPr>
          <w:b/>
        </w:rPr>
        <w:t>”</w:t>
      </w:r>
      <w:r>
        <w:t>) is prescribed for the purposes referred to in section 9B.</w:t>
      </w:r>
    </w:p>
    <w:p>
      <w:pPr>
        <w:pStyle w:val="Subsection"/>
        <w:spacing w:before="140"/>
      </w:pPr>
      <w:r>
        <w:tab/>
        <w:t>(3)</w:t>
      </w:r>
      <w:r>
        <w:tab/>
        <w:t>The reference ellipsoid for the GDA is the Geodetic Reference System 1980 (</w:t>
      </w:r>
      <w:r>
        <w:rPr>
          <w:b/>
        </w:rPr>
        <w:t>“</w:t>
      </w:r>
      <w:r>
        <w:rPr>
          <w:rStyle w:val="CharDefText"/>
        </w:rPr>
        <w:t>GRS80</w:t>
      </w:r>
      <w:r>
        <w:rPr>
          <w:b/>
        </w:rPr>
        <w:t>”</w:t>
      </w:r>
      <w:r>
        <w:t>) ellipsoid with a semi</w:t>
      </w:r>
      <w:r>
        <w:noBreakHyphen/>
        <w:t>major axis of 6 378 137 m exactly and an inverse flattening (l/f) of 298.257 222 101.</w:t>
      </w:r>
    </w:p>
    <w:p>
      <w:pPr>
        <w:pStyle w:val="Subsection"/>
        <w:spacing w:before="140"/>
        <w:ind w:right="8"/>
      </w:pPr>
      <w:r>
        <w:tab/>
        <w:t>(4)</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p>
      <w:pPr>
        <w:pStyle w:val="MiscellaneousHeading"/>
        <w:rPr>
          <w:b/>
          <w:bCs/>
        </w:rPr>
      </w:pP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rPr>
          <w:snapToGrid w:val="0"/>
        </w:rPr>
      </w:pPr>
      <w:bookmarkStart w:id="1096" w:name="_Toc74978969"/>
      <w:bookmarkStart w:id="1097" w:name="_Toc74979233"/>
      <w:bookmarkStart w:id="1098" w:name="_Toc79976531"/>
      <w:bookmarkStart w:id="1099" w:name="_Toc80759802"/>
      <w:bookmarkStart w:id="1100" w:name="_Toc80783565"/>
      <w:bookmarkStart w:id="1101" w:name="_Toc94931232"/>
      <w:bookmarkStart w:id="1102" w:name="_Toc104275355"/>
      <w:bookmarkStart w:id="1103" w:name="_Toc104276686"/>
      <w:bookmarkStart w:id="1104" w:name="_Toc107198907"/>
      <w:bookmarkStart w:id="1105" w:name="_Toc107799359"/>
      <w:bookmarkStart w:id="1106" w:name="_Toc127087366"/>
      <w:bookmarkStart w:id="1107" w:name="_Toc127183675"/>
      <w:bookmarkStart w:id="1108" w:name="_Toc127338102"/>
      <w:r>
        <w:rPr>
          <w:rStyle w:val="CharDivNo"/>
        </w:rPr>
        <w:t>Division 6</w:t>
      </w:r>
      <w:r>
        <w:rPr>
          <w:snapToGrid w:val="0"/>
        </w:rPr>
        <w:t> — </w:t>
      </w:r>
      <w:r>
        <w:rPr>
          <w:rStyle w:val="CharDivText"/>
        </w:rPr>
        <w:t>Miscellaneous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DivText"/>
        </w:rPr>
        <w:t xml:space="preserve"> </w:t>
      </w:r>
    </w:p>
    <w:p>
      <w:pPr>
        <w:pStyle w:val="Heading5"/>
      </w:pPr>
      <w:bookmarkStart w:id="1109" w:name="_Toc104276687"/>
      <w:bookmarkStart w:id="1110" w:name="_Toc127338103"/>
      <w:bookmarkStart w:id="1111" w:name="_Toc474633141"/>
      <w:bookmarkStart w:id="1112" w:name="_Toc488740292"/>
      <w:bookmarkStart w:id="1113" w:name="_Toc8623676"/>
      <w:bookmarkStart w:id="1114" w:name="_Toc11229517"/>
      <w:r>
        <w:rPr>
          <w:rStyle w:val="CharSectno"/>
        </w:rPr>
        <w:t>89B</w:t>
      </w:r>
      <w:r>
        <w:t>.</w:t>
      </w:r>
      <w:r>
        <w:tab/>
        <w:t>Prescribed office — section 8(1)</w:t>
      </w:r>
      <w:bookmarkEnd w:id="1109"/>
      <w:bookmarkEnd w:id="1110"/>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115" w:name="_Toc127338104"/>
      <w:bookmarkStart w:id="1116" w:name="_Toc104276688"/>
      <w:r>
        <w:rPr>
          <w:rStyle w:val="CharSectno"/>
        </w:rPr>
        <w:t>89C</w:t>
      </w:r>
      <w:r>
        <w:t>.</w:t>
      </w:r>
      <w:r>
        <w:tab/>
        <w:t>Identified mineral resource — section 8(1)</w:t>
      </w:r>
      <w:bookmarkEnd w:id="1115"/>
    </w:p>
    <w:p>
      <w:pPr>
        <w:pStyle w:val="Subsection"/>
      </w:pPr>
      <w:r>
        <w:tab/>
        <w:t>(1)</w:t>
      </w:r>
      <w:r>
        <w:tab/>
        <w:t xml:space="preserve">In this regulation — </w:t>
      </w:r>
    </w:p>
    <w:p>
      <w:pPr>
        <w:pStyle w:val="Defstart"/>
      </w:pPr>
      <w:r>
        <w:rPr>
          <w:b/>
        </w:rPr>
        <w:tab/>
        <w:t>“</w:t>
      </w:r>
      <w:r>
        <w:rPr>
          <w:rStyle w:val="CharDefText"/>
        </w:rPr>
        <w:t>JORC Code</w:t>
      </w:r>
      <w:r>
        <w:rPr>
          <w:b/>
        </w:rPr>
        <w:t>”</w:t>
      </w:r>
      <w:r>
        <w:t xml:space="preserve"> means the </w:t>
      </w:r>
      <w:r>
        <w:rPr>
          <w:i/>
          <w:iCs/>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 xml:space="preserve">For the purposes of the definition of “identified mineral resource” in section 8(1), a deposit of minerals has to be identified as coming within one of the following classifications provided for in clauses 20, 21 and 22 of the JORC Code —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117" w:name="_Toc127338105"/>
      <w:r>
        <w:rPr>
          <w:rStyle w:val="CharSectno"/>
        </w:rPr>
        <w:t>90</w:t>
      </w:r>
      <w:r>
        <w:rPr>
          <w:snapToGrid w:val="0"/>
        </w:rPr>
        <w:t>.</w:t>
      </w:r>
      <w:r>
        <w:rPr>
          <w:snapToGrid w:val="0"/>
        </w:rPr>
        <w:tab/>
        <w:t>Forms to be completed in accordance with directions</w:t>
      </w:r>
      <w:bookmarkEnd w:id="1111"/>
      <w:bookmarkEnd w:id="1112"/>
      <w:bookmarkEnd w:id="1113"/>
      <w:bookmarkEnd w:id="1114"/>
      <w:bookmarkEnd w:id="1116"/>
      <w:bookmarkEnd w:id="1117"/>
      <w:r>
        <w:rPr>
          <w:snapToGrid w:val="0"/>
        </w:rPr>
        <w:t xml:space="preserve"> </w:t>
      </w:r>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118" w:name="_Toc127338106"/>
      <w:bookmarkStart w:id="1119" w:name="_Toc474633142"/>
      <w:bookmarkStart w:id="1120" w:name="_Toc488740293"/>
      <w:bookmarkStart w:id="1121" w:name="_Toc8623677"/>
      <w:bookmarkStart w:id="1122" w:name="_Toc11229518"/>
      <w:bookmarkStart w:id="1123" w:name="_Toc104276689"/>
      <w:r>
        <w:rPr>
          <w:rStyle w:val="CharSectno"/>
        </w:rPr>
        <w:t>90A.</w:t>
      </w:r>
      <w:r>
        <w:rPr>
          <w:rStyle w:val="CharSectno"/>
        </w:rPr>
        <w:tab/>
      </w:r>
      <w:r>
        <w:rPr>
          <w:snapToGrid w:val="0"/>
        </w:rPr>
        <w:t>Prescribed procedure for certain applications</w:t>
      </w:r>
      <w:bookmarkEnd w:id="1118"/>
    </w:p>
    <w:p>
      <w:pPr>
        <w:pStyle w:val="Subsection"/>
        <w:rPr>
          <w:snapToGrid w:val="0"/>
        </w:rPr>
      </w:pPr>
      <w:r>
        <w:rPr>
          <w:snapToGrid w:val="0"/>
        </w:rPr>
        <w:tab/>
        <w:t>(1)</w:t>
      </w:r>
      <w:r>
        <w:rPr>
          <w:snapToGrid w:val="0"/>
        </w:rPr>
        <w:tab/>
        <w:t xml:space="preserve">This regulation applies to —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rPr>
          <w:snapToGrid w:val="0"/>
        </w:rPr>
      </w:pPr>
      <w:bookmarkStart w:id="1124" w:name="_Toc127338107"/>
      <w:r>
        <w:rPr>
          <w:rStyle w:val="CharSectno"/>
        </w:rPr>
        <w:t>91</w:t>
      </w:r>
      <w:r>
        <w:rPr>
          <w:snapToGrid w:val="0"/>
        </w:rPr>
        <w:t>.</w:t>
      </w:r>
      <w:r>
        <w:rPr>
          <w:snapToGrid w:val="0"/>
        </w:rPr>
        <w:tab/>
        <w:t>Appeal to Minister</w:t>
      </w:r>
      <w:bookmarkEnd w:id="1119"/>
      <w:bookmarkEnd w:id="1120"/>
      <w:bookmarkEnd w:id="1121"/>
      <w:bookmarkEnd w:id="1122"/>
      <w:bookmarkEnd w:id="1123"/>
      <w:bookmarkEnd w:id="1124"/>
      <w:r>
        <w:rPr>
          <w:snapToGrid w:val="0"/>
        </w:rPr>
        <w:t xml:space="preserve"> </w:t>
      </w:r>
    </w:p>
    <w:p>
      <w:pPr>
        <w:pStyle w:val="Subsection"/>
        <w:spacing w:before="14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 xml:space="preserve">[Regulation 91 amended in Gazette 12 Nov 1982 p. 4490; 13 Oct 1995 p. 4819.] </w:t>
      </w:r>
    </w:p>
    <w:p>
      <w:pPr>
        <w:pStyle w:val="Heading5"/>
        <w:rPr>
          <w:snapToGrid w:val="0"/>
        </w:rPr>
      </w:pPr>
      <w:bookmarkStart w:id="1125" w:name="_Toc474633143"/>
      <w:bookmarkStart w:id="1126" w:name="_Toc488740294"/>
      <w:bookmarkStart w:id="1127" w:name="_Toc8623678"/>
      <w:bookmarkStart w:id="1128" w:name="_Toc11229519"/>
      <w:bookmarkStart w:id="1129" w:name="_Toc104276690"/>
      <w:bookmarkStart w:id="1130" w:name="_Toc127338108"/>
      <w:r>
        <w:rPr>
          <w:rStyle w:val="CharSectno"/>
        </w:rPr>
        <w:t>92</w:t>
      </w:r>
      <w:r>
        <w:rPr>
          <w:snapToGrid w:val="0"/>
        </w:rPr>
        <w:t>.</w:t>
      </w:r>
      <w:r>
        <w:rPr>
          <w:snapToGrid w:val="0"/>
        </w:rPr>
        <w:tab/>
        <w:t>Shape of tenement</w:t>
      </w:r>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 xml:space="preserve">[Regulation 92 amended in Gazette 31 May 1991 p. 2699.] </w:t>
      </w:r>
    </w:p>
    <w:p>
      <w:pPr>
        <w:pStyle w:val="Ednotesection"/>
      </w:pPr>
      <w:r>
        <w:t>[</w:t>
      </w:r>
      <w:r>
        <w:rPr>
          <w:b/>
        </w:rPr>
        <w:t>93.</w:t>
      </w:r>
      <w:r>
        <w:tab/>
        <w:t>Repealed in Gazette 2 Feb 2001 p. 713.]</w:t>
      </w:r>
    </w:p>
    <w:p>
      <w:pPr>
        <w:pStyle w:val="Ednotesection"/>
      </w:pPr>
      <w:r>
        <w:t>[</w:t>
      </w:r>
      <w:r>
        <w:rPr>
          <w:b/>
        </w:rPr>
        <w:t>94, 94A.</w:t>
      </w:r>
      <w:r>
        <w:tab/>
        <w:t xml:space="preserve">Repealed in Gazette 24 Jun 1994 p. 2933.] </w:t>
      </w:r>
    </w:p>
    <w:p>
      <w:pPr>
        <w:pStyle w:val="Heading5"/>
        <w:rPr>
          <w:snapToGrid w:val="0"/>
        </w:rPr>
      </w:pPr>
      <w:bookmarkStart w:id="1131" w:name="_Toc474633145"/>
      <w:bookmarkStart w:id="1132" w:name="_Toc488740296"/>
      <w:bookmarkStart w:id="1133" w:name="_Toc8623679"/>
      <w:bookmarkStart w:id="1134" w:name="_Toc11229520"/>
      <w:bookmarkStart w:id="1135" w:name="_Toc104276691"/>
      <w:bookmarkStart w:id="1136" w:name="_Toc127338109"/>
      <w:r>
        <w:rPr>
          <w:rStyle w:val="CharSectno"/>
        </w:rPr>
        <w:t>95</w:t>
      </w:r>
      <w:r>
        <w:rPr>
          <w:snapToGrid w:val="0"/>
        </w:rPr>
        <w:t>.</w:t>
      </w:r>
      <w:r>
        <w:rPr>
          <w:snapToGrid w:val="0"/>
        </w:rPr>
        <w:tab/>
        <w:t>Tenements within more than one mineral field or district</w:t>
      </w:r>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 xml:space="preserve">[Regulation 95 amended in Gazette 2 Oct 1987 p. 3837.] </w:t>
      </w:r>
    </w:p>
    <w:p>
      <w:pPr>
        <w:pStyle w:val="Heading5"/>
      </w:pPr>
      <w:bookmarkStart w:id="1137" w:name="_Toc127338110"/>
      <w:bookmarkStart w:id="1138" w:name="_Toc474633146"/>
      <w:bookmarkStart w:id="1139" w:name="_Toc488740297"/>
      <w:bookmarkStart w:id="1140" w:name="_Toc8623680"/>
      <w:bookmarkStart w:id="1141" w:name="_Toc11229521"/>
      <w:bookmarkStart w:id="1142" w:name="_Toc104276692"/>
      <w:r>
        <w:rPr>
          <w:rStyle w:val="CharSectno"/>
        </w:rPr>
        <w:t>95A</w:t>
      </w:r>
      <w:r>
        <w:t>.</w:t>
      </w:r>
      <w:r>
        <w:tab/>
        <w:t>Mining statistics</w:t>
      </w:r>
      <w:bookmarkEnd w:id="1137"/>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143" w:name="_Toc127338111"/>
      <w:r>
        <w:rPr>
          <w:rStyle w:val="CharSectno"/>
        </w:rPr>
        <w:t>96</w:t>
      </w:r>
      <w:r>
        <w:rPr>
          <w:snapToGrid w:val="0"/>
        </w:rPr>
        <w:t>.</w:t>
      </w:r>
      <w:r>
        <w:rPr>
          <w:snapToGrid w:val="0"/>
        </w:rPr>
        <w:tab/>
        <w:t>Release of information contained in reports</w:t>
      </w:r>
      <w:bookmarkEnd w:id="1138"/>
      <w:bookmarkEnd w:id="1139"/>
      <w:bookmarkEnd w:id="1140"/>
      <w:bookmarkEnd w:id="1141"/>
      <w:bookmarkEnd w:id="1142"/>
      <w:bookmarkEnd w:id="1143"/>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combined mineral exploration report</w:t>
      </w:r>
      <w:r>
        <w:rPr>
          <w:b/>
        </w:rPr>
        <w:t>”</w:t>
      </w:r>
      <w:r>
        <w:t xml:space="preserve"> means a combined mineral exploration report filed in accordance with arrangements referred to in section 115A(4);</w:t>
      </w:r>
    </w:p>
    <w:p>
      <w:pPr>
        <w:pStyle w:val="Defstart"/>
      </w:pPr>
      <w:r>
        <w:rPr>
          <w:b/>
        </w:rPr>
        <w:tab/>
        <w:t>“</w:t>
      </w:r>
      <w:r>
        <w:rPr>
          <w:rStyle w:val="CharDefText"/>
        </w:rPr>
        <w:t>mineral exploration report</w:t>
      </w:r>
      <w:r>
        <w:rPr>
          <w:b/>
        </w:rPr>
        <w:t>”</w:t>
      </w:r>
      <w:r>
        <w:t xml:space="preserve"> includes a combined mineral exploration report;</w:t>
      </w:r>
    </w:p>
    <w:p>
      <w:pPr>
        <w:pStyle w:val="Defstart"/>
      </w:pPr>
      <w:r>
        <w:rPr>
          <w:b/>
        </w:rPr>
        <w:tab/>
        <w:t>“</w:t>
      </w:r>
      <w:r>
        <w:rPr>
          <w:rStyle w:val="CharDefText"/>
        </w:rPr>
        <w:t>mining information</w:t>
      </w:r>
      <w:r>
        <w:rPr>
          <w:b/>
        </w:rPr>
        <w:t>”</w:t>
      </w:r>
      <w:r>
        <w:t xml:space="preserve"> means — </w:t>
      </w:r>
    </w:p>
    <w:p>
      <w:pPr>
        <w:pStyle w:val="Defpara"/>
      </w:pPr>
      <w:r>
        <w:tab/>
        <w:t>(a)</w:t>
      </w:r>
      <w:r>
        <w:tab/>
        <w:t xml:space="preserve">information contained in —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r>
      <w:r>
        <w:tab/>
        <w:t>but does not include such information if it is in the form of mining statistics compiled under regulation 95A;</w:t>
      </w:r>
    </w:p>
    <w:p>
      <w:pPr>
        <w:pStyle w:val="Defstart"/>
      </w:pPr>
      <w:r>
        <w:tab/>
      </w:r>
      <w:r>
        <w:rPr>
          <w:b/>
        </w:rPr>
        <w:t>“</w:t>
      </w:r>
      <w:r>
        <w:rPr>
          <w:rStyle w:val="CharDefText"/>
        </w:rPr>
        <w:t>operations report</w:t>
      </w:r>
      <w:r>
        <w:rPr>
          <w:b/>
        </w:rPr>
        <w:t>”</w:t>
      </w:r>
      <w:r>
        <w:t xml:space="preserve"> has the same meaning as in section 115A(1);</w:t>
      </w:r>
    </w:p>
    <w:p>
      <w:pPr>
        <w:pStyle w:val="Defstart"/>
      </w:pPr>
      <w:r>
        <w:rPr>
          <w:b/>
        </w:rPr>
        <w:tab/>
        <w:t>“</w:t>
      </w:r>
      <w:r>
        <w:rPr>
          <w:rStyle w:val="CharDefText"/>
        </w:rPr>
        <w:t>release</w:t>
      </w:r>
      <w:r>
        <w:rPr>
          <w:b/>
        </w:rPr>
        <w:t>”</w:t>
      </w:r>
      <w:r>
        <w:t xml:space="preserve"> means publish, print, reproduce or otherwise make available to the public.</w:t>
      </w:r>
    </w:p>
    <w:p>
      <w:pPr>
        <w:pStyle w:val="Subsection"/>
        <w:spacing w:before="120"/>
        <w:rPr>
          <w:snapToGrid w:val="0"/>
        </w:rPr>
      </w:pPr>
      <w:r>
        <w:rPr>
          <w:snapToGrid w:val="0"/>
        </w:rPr>
        <w:tab/>
        <w:t>(2)</w:t>
      </w:r>
      <w:r>
        <w:rPr>
          <w:snapToGrid w:val="0"/>
        </w:rPr>
        <w:tab/>
        <w:t>The Minister may only release</w:t>
      </w:r>
      <w:r>
        <w:t xml:space="preserve"> mining information</w:t>
      </w:r>
      <w:r>
        <w:rPr>
          <w:snapToGrid w:val="0"/>
        </w:rPr>
        <w:t> —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spacing w:before="120"/>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spacing w:before="120"/>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spacing w:before="120"/>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spacing w:before="120"/>
        <w:rPr>
          <w:snapToGrid w:val="0"/>
        </w:rPr>
      </w:pPr>
      <w:r>
        <w:rPr>
          <w:snapToGrid w:val="0"/>
        </w:rPr>
        <w:tab/>
        <w:t>(7)</w:t>
      </w:r>
      <w:r>
        <w:rPr>
          <w:snapToGrid w:val="0"/>
        </w:rPr>
        <w:tab/>
        <w:t>If —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 xml:space="preserve">20; amended in Gazette 11 Jun 1999 p. 2544; 3 Feb 2006 p. 597-9.] </w:t>
      </w:r>
    </w:p>
    <w:p>
      <w:pPr>
        <w:pStyle w:val="Heading5"/>
        <w:rPr>
          <w:snapToGrid w:val="0"/>
        </w:rPr>
      </w:pPr>
      <w:bookmarkStart w:id="1144" w:name="_Toc474633147"/>
      <w:bookmarkStart w:id="1145" w:name="_Toc488740298"/>
      <w:bookmarkStart w:id="1146" w:name="_Toc8623681"/>
      <w:bookmarkStart w:id="1147" w:name="_Toc11229522"/>
      <w:bookmarkStart w:id="1148" w:name="_Toc104276693"/>
      <w:bookmarkStart w:id="1149" w:name="_Toc127338112"/>
      <w:r>
        <w:rPr>
          <w:rStyle w:val="CharSectno"/>
        </w:rPr>
        <w:t>96A</w:t>
      </w:r>
      <w:r>
        <w:rPr>
          <w:snapToGrid w:val="0"/>
        </w:rPr>
        <w:t>.</w:t>
      </w:r>
      <w:r>
        <w:rPr>
          <w:snapToGrid w:val="0"/>
        </w:rPr>
        <w:tab/>
        <w:t>Authorisation for release of information in mineral exploration reports</w:t>
      </w:r>
      <w:bookmarkEnd w:id="1144"/>
      <w:bookmarkEnd w:id="1145"/>
      <w:bookmarkEnd w:id="1146"/>
      <w:bookmarkEnd w:id="1147"/>
      <w:bookmarkEnd w:id="1148"/>
      <w:bookmarkEnd w:id="1149"/>
      <w:r>
        <w:rPr>
          <w:snapToGrid w:val="0"/>
        </w:rPr>
        <w:t xml:space="preserve"> </w:t>
      </w:r>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 xml:space="preserve">[Regulation 96A inserted in Gazette 13 Oct 1995 p. 4820; amended in Gazette 15 Dec 1995 p. 6115.] </w:t>
      </w:r>
    </w:p>
    <w:p>
      <w:pPr>
        <w:pStyle w:val="Heading5"/>
        <w:rPr>
          <w:snapToGrid w:val="0"/>
        </w:rPr>
      </w:pPr>
      <w:bookmarkStart w:id="1150" w:name="_Toc474633148"/>
      <w:bookmarkStart w:id="1151" w:name="_Toc488740299"/>
      <w:bookmarkStart w:id="1152" w:name="_Toc8623682"/>
      <w:bookmarkStart w:id="1153" w:name="_Toc11229523"/>
      <w:bookmarkStart w:id="1154" w:name="_Toc104276694"/>
      <w:bookmarkStart w:id="1155" w:name="_Toc127338113"/>
      <w:r>
        <w:rPr>
          <w:rStyle w:val="CharSectno"/>
        </w:rPr>
        <w:t>96B</w:t>
      </w:r>
      <w:r>
        <w:rPr>
          <w:snapToGrid w:val="0"/>
        </w:rPr>
        <w:t>.</w:t>
      </w:r>
      <w:r>
        <w:rPr>
          <w:snapToGrid w:val="0"/>
        </w:rPr>
        <w:tab/>
        <w:t>Publication of guidelines — mineral exploration reports</w:t>
      </w:r>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 xml:space="preserve">[Regulation 96B inserted in Gazette 13 Oct 1995 p. 4820.] </w:t>
      </w:r>
    </w:p>
    <w:p>
      <w:pPr>
        <w:pStyle w:val="Heading5"/>
      </w:pPr>
      <w:bookmarkStart w:id="1156" w:name="_Toc474633149"/>
      <w:bookmarkStart w:id="1157" w:name="_Toc488740300"/>
      <w:bookmarkStart w:id="1158" w:name="_Toc8623683"/>
      <w:bookmarkStart w:id="1159" w:name="_Toc11229524"/>
      <w:bookmarkStart w:id="1160" w:name="_Toc104276695"/>
      <w:bookmarkStart w:id="1161" w:name="_Toc127338114"/>
      <w:r>
        <w:rPr>
          <w:rStyle w:val="CharSectno"/>
        </w:rPr>
        <w:t>96C</w:t>
      </w:r>
      <w:r>
        <w:t>.</w:t>
      </w:r>
      <w:r>
        <w:tab/>
        <w:t>Specific expenditure provisions</w:t>
      </w:r>
      <w:bookmarkEnd w:id="1156"/>
      <w:bookmarkEnd w:id="1157"/>
      <w:bookmarkEnd w:id="1158"/>
      <w:bookmarkEnd w:id="1159"/>
      <w:bookmarkEnd w:id="1160"/>
      <w:bookmarkEnd w:id="1161"/>
    </w:p>
    <w:p>
      <w:pPr>
        <w:pStyle w:val="Subsection"/>
      </w:pPr>
      <w:r>
        <w:tab/>
        <w:t>(1)</w:t>
      </w:r>
      <w:r>
        <w:tab/>
        <w:t xml:space="preserve">The cost of an Aboriginal heritage survey conducted on land which is the subject of a mining tenement may be used in the calculation of expenditure expended on, or in connection with, mining on the mining tenement. </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 xml:space="preserve">For the purposes of subregulations (3b) and (3d) the cost of an aerial survey comprises —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p>
    <w:p>
      <w:pPr>
        <w:pStyle w:val="Heading5"/>
      </w:pPr>
      <w:bookmarkStart w:id="1162" w:name="_Toc127338115"/>
      <w:bookmarkStart w:id="1163" w:name="_Toc474633150"/>
      <w:bookmarkStart w:id="1164" w:name="_Toc488740301"/>
      <w:bookmarkStart w:id="1165" w:name="_Toc8623684"/>
      <w:bookmarkStart w:id="1166" w:name="_Toc11229525"/>
      <w:bookmarkStart w:id="1167" w:name="_Toc104276696"/>
      <w:r>
        <w:rPr>
          <w:rStyle w:val="CharSectno"/>
        </w:rPr>
        <w:t>96D</w:t>
      </w:r>
      <w:r>
        <w:t>.</w:t>
      </w:r>
      <w:r>
        <w:tab/>
        <w:t>Drill cores</w:t>
      </w:r>
      <w:bookmarkEnd w:id="1162"/>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168" w:name="_Toc127338116"/>
      <w:r>
        <w:rPr>
          <w:rStyle w:val="CharSectno"/>
        </w:rPr>
        <w:t>97</w:t>
      </w:r>
      <w:r>
        <w:rPr>
          <w:snapToGrid w:val="0"/>
        </w:rPr>
        <w:t>.</w:t>
      </w:r>
      <w:r>
        <w:rPr>
          <w:snapToGrid w:val="0"/>
        </w:rPr>
        <w:tab/>
        <w:t>No mining that obstructs public thoroughfares, etc.</w:t>
      </w:r>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169" w:name="_Toc474633151"/>
      <w:bookmarkStart w:id="1170" w:name="_Toc488740302"/>
      <w:bookmarkStart w:id="1171" w:name="_Toc8623685"/>
      <w:bookmarkStart w:id="1172" w:name="_Toc11229526"/>
      <w:bookmarkStart w:id="1173" w:name="_Toc104276697"/>
      <w:bookmarkStart w:id="1174" w:name="_Toc127338117"/>
      <w:r>
        <w:rPr>
          <w:rStyle w:val="CharSectno"/>
        </w:rPr>
        <w:t>98</w:t>
      </w:r>
      <w:r>
        <w:rPr>
          <w:snapToGrid w:val="0"/>
        </w:rPr>
        <w:t>.</w:t>
      </w:r>
      <w:r>
        <w:rPr>
          <w:snapToGrid w:val="0"/>
        </w:rPr>
        <w:tab/>
        <w:t>Control of detritus, dirt, etc.</w:t>
      </w:r>
      <w:bookmarkEnd w:id="1169"/>
      <w:bookmarkEnd w:id="1170"/>
      <w:bookmarkEnd w:id="1171"/>
      <w:bookmarkEnd w:id="1172"/>
      <w:bookmarkEnd w:id="1173"/>
      <w:bookmarkEnd w:id="1174"/>
      <w:r>
        <w:rPr>
          <w:snapToGrid w:val="0"/>
        </w:rPr>
        <w:t xml:space="preserve"> </w:t>
      </w:r>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175" w:name="_Toc474633152"/>
      <w:bookmarkStart w:id="1176" w:name="_Toc488740303"/>
      <w:bookmarkStart w:id="1177" w:name="_Toc8623686"/>
      <w:bookmarkStart w:id="1178" w:name="_Toc11229527"/>
      <w:bookmarkStart w:id="1179" w:name="_Toc104276698"/>
      <w:bookmarkStart w:id="1180" w:name="_Toc127338118"/>
      <w:r>
        <w:rPr>
          <w:rStyle w:val="CharSectno"/>
        </w:rPr>
        <w:t>99</w:t>
      </w:r>
      <w:r>
        <w:rPr>
          <w:snapToGrid w:val="0"/>
        </w:rPr>
        <w:t>.</w:t>
      </w:r>
      <w:r>
        <w:rPr>
          <w:snapToGrid w:val="0"/>
        </w:rPr>
        <w:tab/>
        <w:t>Decency and sanitation</w:t>
      </w:r>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181" w:name="_Toc474633153"/>
      <w:bookmarkStart w:id="1182" w:name="_Toc488740304"/>
      <w:bookmarkStart w:id="1183" w:name="_Toc8623687"/>
      <w:bookmarkStart w:id="1184" w:name="_Toc11229528"/>
      <w:bookmarkStart w:id="1185" w:name="_Toc104276699"/>
      <w:bookmarkStart w:id="1186" w:name="_Toc127338119"/>
      <w:r>
        <w:rPr>
          <w:rStyle w:val="CharSectno"/>
        </w:rPr>
        <w:t>100</w:t>
      </w:r>
      <w:r>
        <w:rPr>
          <w:snapToGrid w:val="0"/>
        </w:rPr>
        <w:t>.</w:t>
      </w:r>
      <w:r>
        <w:rPr>
          <w:snapToGrid w:val="0"/>
        </w:rPr>
        <w:tab/>
        <w:t>Removal of fences, timbers, etc.</w:t>
      </w:r>
      <w:bookmarkEnd w:id="1181"/>
      <w:bookmarkEnd w:id="1182"/>
      <w:bookmarkEnd w:id="1183"/>
      <w:bookmarkEnd w:id="1184"/>
      <w:bookmarkEnd w:id="1185"/>
      <w:bookmarkEnd w:id="1186"/>
      <w:r>
        <w:rPr>
          <w:snapToGrid w:val="0"/>
        </w:rPr>
        <w:t xml:space="preserve"> </w:t>
      </w:r>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187" w:name="_Toc127338120"/>
      <w:bookmarkStart w:id="1188" w:name="_Toc104276701"/>
      <w:bookmarkStart w:id="1189" w:name="_Toc474633155"/>
      <w:bookmarkStart w:id="1190" w:name="_Toc488740306"/>
      <w:bookmarkStart w:id="1191" w:name="_Toc8623689"/>
      <w:bookmarkStart w:id="1192" w:name="_Toc11229530"/>
      <w:r>
        <w:rPr>
          <w:rStyle w:val="CharSectno"/>
        </w:rPr>
        <w:t>101</w:t>
      </w:r>
      <w:r>
        <w:t>.</w:t>
      </w:r>
      <w:r>
        <w:tab/>
        <w:t>Manner of camping — section 20(2)(e)</w:t>
      </w:r>
      <w:bookmarkEnd w:id="1187"/>
    </w:p>
    <w:p>
      <w:pPr>
        <w:pStyle w:val="Subsection"/>
      </w:pPr>
      <w:r>
        <w:tab/>
      </w:r>
      <w:r>
        <w:tab/>
        <w:t xml:space="preserve">For the purposes of section 20(2)(e) the holder of a Miner’s Right may camp on Crown land in —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193" w:name="_Toc127338121"/>
      <w:r>
        <w:rPr>
          <w:rStyle w:val="CharSectno"/>
        </w:rPr>
        <w:t>101A</w:t>
      </w:r>
      <w:r>
        <w:t>.</w:t>
      </w:r>
      <w:r>
        <w:tab/>
        <w:t>Notice before mining under certain Crown land or private land</w:t>
      </w:r>
      <w:bookmarkEnd w:id="1188"/>
      <w:bookmarkEnd w:id="1193"/>
    </w:p>
    <w:p>
      <w:pPr>
        <w:pStyle w:val="Subsection"/>
      </w:pPr>
      <w:r>
        <w:tab/>
        <w:t>(1)</w:t>
      </w:r>
      <w:r>
        <w:tab/>
        <w:t xml:space="preserve">In this regulation — </w:t>
      </w:r>
    </w:p>
    <w:p>
      <w:pPr>
        <w:pStyle w:val="Defstart"/>
      </w:pPr>
      <w:r>
        <w:rPr>
          <w:b/>
        </w:rPr>
        <w:tab/>
        <w:t>“</w:t>
      </w:r>
      <w:r>
        <w:rPr>
          <w:rStyle w:val="CharDefText"/>
        </w:rPr>
        <w:t>relevant depth</w:t>
      </w:r>
      <w:r>
        <w:rPr>
          <w:b/>
        </w:rPr>
        <w:t>”</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 xml:space="preserve">The notice is to contain details of —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194" w:name="_Toc104276702"/>
      <w:bookmarkStart w:id="1195" w:name="_Toc127338122"/>
      <w:r>
        <w:rPr>
          <w:rStyle w:val="CharSectno"/>
        </w:rPr>
        <w:t>102</w:t>
      </w:r>
      <w:r>
        <w:rPr>
          <w:snapToGrid w:val="0"/>
        </w:rPr>
        <w:t>.</w:t>
      </w:r>
      <w:r>
        <w:rPr>
          <w:snapToGrid w:val="0"/>
        </w:rPr>
        <w:tab/>
        <w:t>Devolution on death, etc.</w:t>
      </w:r>
      <w:bookmarkEnd w:id="1189"/>
      <w:bookmarkEnd w:id="1190"/>
      <w:bookmarkEnd w:id="1191"/>
      <w:bookmarkEnd w:id="1192"/>
      <w:bookmarkEnd w:id="1194"/>
      <w:bookmarkEnd w:id="1195"/>
      <w:r>
        <w:rPr>
          <w:snapToGrid w:val="0"/>
        </w:rPr>
        <w:t xml:space="preserve"> </w:t>
      </w:r>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Ednotesection"/>
      </w:pPr>
      <w:bookmarkStart w:id="1196" w:name="_Toc474633157"/>
      <w:bookmarkStart w:id="1197" w:name="_Toc488740308"/>
      <w:bookmarkStart w:id="1198" w:name="_Toc8623691"/>
      <w:bookmarkStart w:id="1199" w:name="_Toc11229532"/>
      <w:bookmarkStart w:id="1200" w:name="_Toc104276704"/>
      <w:r>
        <w:t>[</w:t>
      </w:r>
      <w:r>
        <w:rPr>
          <w:b/>
          <w:bCs/>
        </w:rPr>
        <w:t>103.</w:t>
      </w:r>
      <w:r>
        <w:tab/>
        <w:t>Repealed in Gazette 3 Feb 2006 p. 524.]</w:t>
      </w:r>
    </w:p>
    <w:p>
      <w:pPr>
        <w:pStyle w:val="Heading5"/>
        <w:rPr>
          <w:snapToGrid w:val="0"/>
        </w:rPr>
      </w:pPr>
      <w:bookmarkStart w:id="1201" w:name="_Toc127338123"/>
      <w:r>
        <w:rPr>
          <w:rStyle w:val="CharSectno"/>
        </w:rPr>
        <w:t>104</w:t>
      </w:r>
      <w:r>
        <w:rPr>
          <w:snapToGrid w:val="0"/>
        </w:rPr>
        <w:t>.</w:t>
      </w:r>
      <w:r>
        <w:rPr>
          <w:snapToGrid w:val="0"/>
        </w:rPr>
        <w:tab/>
        <w:t>Time for any act may be extended</w:t>
      </w:r>
      <w:bookmarkEnd w:id="1196"/>
      <w:bookmarkEnd w:id="1197"/>
      <w:bookmarkEnd w:id="1198"/>
      <w:bookmarkEnd w:id="1199"/>
      <w:bookmarkEnd w:id="1200"/>
      <w:bookmarkEnd w:id="1201"/>
      <w:r>
        <w:rPr>
          <w:snapToGrid w:val="0"/>
        </w:rPr>
        <w:t xml:space="preserve"> </w:t>
      </w:r>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202" w:name="_Toc474633158"/>
      <w:bookmarkStart w:id="1203" w:name="_Toc488740309"/>
      <w:bookmarkStart w:id="1204" w:name="_Toc8623692"/>
      <w:bookmarkStart w:id="1205" w:name="_Toc11229533"/>
      <w:bookmarkStart w:id="1206" w:name="_Toc104276705"/>
      <w:bookmarkStart w:id="1207" w:name="_Toc127338124"/>
      <w:r>
        <w:rPr>
          <w:rStyle w:val="CharSectno"/>
        </w:rPr>
        <w:t>105</w:t>
      </w:r>
      <w:r>
        <w:rPr>
          <w:snapToGrid w:val="0"/>
        </w:rPr>
        <w:t>.</w:t>
      </w:r>
      <w:r>
        <w:rPr>
          <w:snapToGrid w:val="0"/>
        </w:rPr>
        <w:tab/>
        <w:t>Application for copy document</w:t>
      </w:r>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Ednotesection"/>
      </w:pPr>
      <w:bookmarkStart w:id="1208" w:name="_Toc474633162"/>
      <w:bookmarkStart w:id="1209" w:name="_Toc488740313"/>
      <w:bookmarkStart w:id="1210" w:name="_Toc8623696"/>
      <w:bookmarkStart w:id="1211" w:name="_Toc11229537"/>
      <w:bookmarkStart w:id="1212" w:name="_Toc104276710"/>
      <w:r>
        <w:t>[</w:t>
      </w:r>
      <w:r>
        <w:rPr>
          <w:b/>
          <w:bCs/>
        </w:rPr>
        <w:t>106-107AA.</w:t>
      </w:r>
      <w:r>
        <w:tab/>
        <w:t>Repealed in Gazette 3 Feb 2006 p. 524.]</w:t>
      </w:r>
    </w:p>
    <w:p>
      <w:pPr>
        <w:pStyle w:val="Heading5"/>
        <w:spacing w:before="120"/>
        <w:rPr>
          <w:snapToGrid w:val="0"/>
        </w:rPr>
      </w:pPr>
      <w:bookmarkStart w:id="1213" w:name="_Toc127338125"/>
      <w:r>
        <w:rPr>
          <w:rStyle w:val="CharSectno"/>
        </w:rPr>
        <w:t>108</w:t>
      </w:r>
      <w:r>
        <w:rPr>
          <w:snapToGrid w:val="0"/>
        </w:rPr>
        <w:t>.</w:t>
      </w:r>
      <w:r>
        <w:rPr>
          <w:snapToGrid w:val="0"/>
        </w:rPr>
        <w:tab/>
        <w:t>Appointment of attorney</w:t>
      </w:r>
      <w:bookmarkEnd w:id="1208"/>
      <w:bookmarkEnd w:id="1209"/>
      <w:bookmarkEnd w:id="1210"/>
      <w:bookmarkEnd w:id="1211"/>
      <w:bookmarkEnd w:id="1212"/>
      <w:bookmarkEnd w:id="1213"/>
      <w:r>
        <w:rPr>
          <w:snapToGrid w:val="0"/>
        </w:rPr>
        <w:t xml:space="preserve"> </w:t>
      </w:r>
    </w:p>
    <w:p>
      <w:pPr>
        <w:pStyle w:val="Subsection"/>
        <w:spacing w:before="100"/>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spacing w:before="120"/>
        <w:rPr>
          <w:snapToGrid w:val="0"/>
        </w:rPr>
      </w:pPr>
      <w:bookmarkStart w:id="1214" w:name="_Toc474633163"/>
      <w:bookmarkStart w:id="1215" w:name="_Toc488740314"/>
      <w:bookmarkStart w:id="1216" w:name="_Toc8623697"/>
      <w:bookmarkStart w:id="1217" w:name="_Toc11229538"/>
      <w:bookmarkStart w:id="1218" w:name="_Toc104276711"/>
      <w:bookmarkStart w:id="1219" w:name="_Toc127338126"/>
      <w:r>
        <w:rPr>
          <w:rStyle w:val="CharSectno"/>
        </w:rPr>
        <w:t>109</w:t>
      </w:r>
      <w:r>
        <w:rPr>
          <w:snapToGrid w:val="0"/>
        </w:rPr>
        <w:t>.</w:t>
      </w:r>
      <w:r>
        <w:rPr>
          <w:snapToGrid w:val="0"/>
        </w:rPr>
        <w:tab/>
        <w:t>Fees and rents</w:t>
      </w:r>
      <w:bookmarkEnd w:id="1214"/>
      <w:bookmarkEnd w:id="1215"/>
      <w:bookmarkEnd w:id="1216"/>
      <w:bookmarkEnd w:id="1217"/>
      <w:bookmarkEnd w:id="1218"/>
      <w:bookmarkEnd w:id="1219"/>
      <w:r>
        <w:rPr>
          <w:snapToGrid w:val="0"/>
        </w:rPr>
        <w:t xml:space="preserve"> </w:t>
      </w:r>
    </w:p>
    <w:p>
      <w:pPr>
        <w:pStyle w:val="Subsection"/>
        <w:spacing w:before="100"/>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spacing w:before="100"/>
        <w:rPr>
          <w:snapToGrid w:val="0"/>
        </w:rPr>
      </w:pPr>
      <w:r>
        <w:rPr>
          <w:snapToGrid w:val="0"/>
        </w:rPr>
        <w:tab/>
        <w:t>(2)</w:t>
      </w:r>
      <w:r>
        <w:rPr>
          <w:snapToGrid w:val="0"/>
        </w:rPr>
        <w:tab/>
        <w:t xml:space="preserve">The bailiff </w:t>
      </w:r>
      <w:r>
        <w:t>fees</w:t>
      </w:r>
      <w:r>
        <w:rPr>
          <w:snapToGrid w:val="0"/>
        </w:rPr>
        <w:t xml:space="preserve"> set out in Part II of the Appendix to the </w:t>
      </w:r>
      <w:r>
        <w:rPr>
          <w:i/>
          <w:snapToGrid w:val="0"/>
        </w:rPr>
        <w:t>Local Court Rules 1961</w:t>
      </w:r>
      <w:r>
        <w:rPr>
          <w:snapToGrid w:val="0"/>
        </w:rPr>
        <w:t xml:space="preserve"> are, so far as they are applicable, prescribed as the bailiff fees payable in relation to proceedings under the Act.</w:t>
      </w:r>
    </w:p>
    <w:p>
      <w:pPr>
        <w:pStyle w:val="Subsection"/>
        <w:spacing w:before="100"/>
      </w:pPr>
      <w:r>
        <w:tab/>
        <w:t>(3)</w:t>
      </w:r>
      <w:r>
        <w:tab/>
        <w:t>For the purposes of the Act, the prescribed rent, including GST, for a mining tenement for a year is that set out in item 1 of the Second Schedule for that tenement.</w:t>
      </w:r>
    </w:p>
    <w:p>
      <w:pPr>
        <w:pStyle w:val="Subsection"/>
        <w:spacing w:before="100"/>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 xml:space="preserve">14.] </w:t>
      </w:r>
    </w:p>
    <w:p>
      <w:pPr>
        <w:pStyle w:val="Heading5"/>
      </w:pPr>
      <w:bookmarkStart w:id="1220" w:name="_Toc8623698"/>
      <w:bookmarkStart w:id="1221" w:name="_Toc11229539"/>
      <w:bookmarkStart w:id="1222" w:name="_Toc104276712"/>
      <w:bookmarkStart w:id="1223" w:name="_Toc127338127"/>
      <w:bookmarkStart w:id="1224" w:name="_Toc474633165"/>
      <w:bookmarkStart w:id="1225" w:name="_Toc488740316"/>
      <w:r>
        <w:rPr>
          <w:rStyle w:val="CharSectno"/>
        </w:rPr>
        <w:t>109A</w:t>
      </w:r>
      <w:r>
        <w:t>.</w:t>
      </w:r>
      <w:r>
        <w:tab/>
        <w:t>GST to be paid on certain applications</w:t>
      </w:r>
      <w:bookmarkEnd w:id="1220"/>
      <w:bookmarkEnd w:id="1221"/>
      <w:bookmarkEnd w:id="1222"/>
      <w:bookmarkEnd w:id="1223"/>
    </w:p>
    <w:p>
      <w:pPr>
        <w:pStyle w:val="Subsection"/>
        <w:spacing w:before="140"/>
      </w:pPr>
      <w:r>
        <w:tab/>
        <w:t>(1)</w:t>
      </w:r>
      <w:r>
        <w:tab/>
        <w:t xml:space="preserve">This regulation applies to an application for a mining tenement if —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spacing w:before="140"/>
      </w:pPr>
      <w:r>
        <w:tab/>
        <w:t>(2)</w:t>
      </w:r>
      <w:r>
        <w:tab/>
        <w:t>An application to which this regulation applies shall not be granted unless the applicant pays an amount that is 10% of the rent that was paid at the time the application was made.</w:t>
      </w:r>
    </w:p>
    <w:p>
      <w:pPr>
        <w:pStyle w:val="Subsection"/>
        <w:spacing w:before="140"/>
      </w:pPr>
      <w:r>
        <w:tab/>
        <w:t>(3)</w:t>
      </w:r>
      <w:r>
        <w:tab/>
        <w:t>Written notice requiring the payment of the amount referred to in subregulation (2) within 30 days of the date of the issue of the notice may be given to the applicant.</w:t>
      </w:r>
    </w:p>
    <w:p>
      <w:pPr>
        <w:pStyle w:val="Subsection"/>
        <w:spacing w:before="140"/>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226" w:name="_Toc474633166"/>
      <w:bookmarkStart w:id="1227" w:name="_Toc488740317"/>
      <w:bookmarkStart w:id="1228" w:name="_Toc8623700"/>
      <w:bookmarkStart w:id="1229" w:name="_Toc11229541"/>
      <w:bookmarkStart w:id="1230" w:name="_Toc104276714"/>
      <w:bookmarkEnd w:id="1224"/>
      <w:bookmarkEnd w:id="1225"/>
      <w:r>
        <w:t>[</w:t>
      </w:r>
      <w:r>
        <w:rPr>
          <w:b/>
          <w:bCs/>
        </w:rPr>
        <w:t>110.</w:t>
      </w:r>
      <w:r>
        <w:tab/>
        <w:t>Repealed in Gazette 3 Feb 2006 p. 524.]</w:t>
      </w:r>
    </w:p>
    <w:p>
      <w:pPr>
        <w:pStyle w:val="Heading5"/>
        <w:rPr>
          <w:snapToGrid w:val="0"/>
        </w:rPr>
      </w:pPr>
      <w:bookmarkStart w:id="1231" w:name="_Toc127338128"/>
      <w:r>
        <w:rPr>
          <w:rStyle w:val="CharSectno"/>
        </w:rPr>
        <w:t>111</w:t>
      </w:r>
      <w:r>
        <w:rPr>
          <w:snapToGrid w:val="0"/>
        </w:rPr>
        <w:t>.</w:t>
      </w:r>
      <w:r>
        <w:rPr>
          <w:snapToGrid w:val="0"/>
        </w:rPr>
        <w:tab/>
        <w:t>Service of notices</w:t>
      </w:r>
      <w:bookmarkEnd w:id="1226"/>
      <w:bookmarkEnd w:id="1227"/>
      <w:bookmarkEnd w:id="1228"/>
      <w:bookmarkEnd w:id="1229"/>
      <w:bookmarkEnd w:id="1230"/>
      <w:bookmarkEnd w:id="1231"/>
      <w:r>
        <w:rPr>
          <w:snapToGrid w:val="0"/>
        </w:rPr>
        <w:t xml:space="preserve"> </w:t>
      </w:r>
    </w:p>
    <w:p>
      <w:pPr>
        <w:pStyle w:val="Subsection"/>
        <w:spacing w:before="130"/>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w:t>
      </w:r>
    </w:p>
    <w:p>
      <w:pPr>
        <w:pStyle w:val="Indenta"/>
        <w:spacing w:before="60"/>
        <w:rPr>
          <w:snapToGrid w:val="0"/>
        </w:rPr>
      </w:pPr>
      <w:r>
        <w:rPr>
          <w:snapToGrid w:val="0"/>
        </w:rPr>
        <w:tab/>
        <w:t>(c)</w:t>
      </w:r>
      <w:r>
        <w:rPr>
          <w:snapToGrid w:val="0"/>
        </w:rPr>
        <w:tab/>
        <w:t>by forwarding it by post in a certified or prepaid registered letter addressed to such person at his last known place of abode or business;</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spacing w:before="120"/>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spacing w:before="120"/>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spacing w:before="120"/>
        <w:rPr>
          <w:snapToGrid w:val="0"/>
        </w:rPr>
      </w:pPr>
      <w:r>
        <w:rPr>
          <w:snapToGrid w:val="0"/>
        </w:rPr>
        <w:tab/>
        <w:t>(4)</w:t>
      </w:r>
      <w:r>
        <w:rPr>
          <w:snapToGrid w:val="0"/>
        </w:rPr>
        <w:tab/>
        <w:t>Where in any case the practice and procedure for service of notices is not sufficiently defined in this regulation, the practice and procedure of Local Courts shall be adopted as far as possible.</w:t>
      </w:r>
    </w:p>
    <w:p>
      <w:pPr>
        <w:pStyle w:val="Heading5"/>
      </w:pPr>
      <w:bookmarkStart w:id="1232" w:name="_Toc127338129"/>
      <w:bookmarkStart w:id="1233" w:name="_Toc474633168"/>
      <w:bookmarkStart w:id="1234" w:name="_Toc488740319"/>
      <w:bookmarkStart w:id="1235" w:name="_Toc8623702"/>
      <w:bookmarkStart w:id="1236" w:name="_Toc11229543"/>
      <w:bookmarkStart w:id="1237" w:name="_Toc104276716"/>
      <w:r>
        <w:rPr>
          <w:rStyle w:val="CharSectno"/>
        </w:rPr>
        <w:t>112</w:t>
      </w:r>
      <w:r>
        <w:t>.</w:t>
      </w:r>
      <w:r>
        <w:tab/>
        <w:t>Securities</w:t>
      </w:r>
      <w:bookmarkEnd w:id="1232"/>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No. 32 in the First Schedule is prescribed.</w:t>
      </w:r>
    </w:p>
    <w:p>
      <w:pPr>
        <w:pStyle w:val="Footnotesection"/>
      </w:pPr>
      <w:r>
        <w:tab/>
        <w:t>[Regulation 112 inserted in Gazette 3 Feb 2006 p. 601.]</w:t>
      </w:r>
    </w:p>
    <w:p>
      <w:pPr>
        <w:pStyle w:val="Heading5"/>
        <w:rPr>
          <w:snapToGrid w:val="0"/>
        </w:rPr>
      </w:pPr>
      <w:bookmarkStart w:id="1238" w:name="_Toc127338130"/>
      <w:r>
        <w:rPr>
          <w:rStyle w:val="CharSectno"/>
        </w:rPr>
        <w:t>112A</w:t>
      </w:r>
      <w:r>
        <w:rPr>
          <w:snapToGrid w:val="0"/>
        </w:rPr>
        <w:t>.</w:t>
      </w:r>
      <w:r>
        <w:rPr>
          <w:snapToGrid w:val="0"/>
        </w:rPr>
        <w:tab/>
        <w:t>Discharge of security</w:t>
      </w:r>
      <w:bookmarkEnd w:id="1233"/>
      <w:bookmarkEnd w:id="1234"/>
      <w:bookmarkEnd w:id="1235"/>
      <w:bookmarkEnd w:id="1236"/>
      <w:bookmarkEnd w:id="1237"/>
      <w:bookmarkEnd w:id="1238"/>
      <w:r>
        <w:rPr>
          <w:snapToGrid w:val="0"/>
        </w:rPr>
        <w:t xml:space="preserve"> </w:t>
      </w:r>
    </w:p>
    <w:p>
      <w:pPr>
        <w:pStyle w:val="Subsection"/>
        <w:spacing w:before="140"/>
        <w:rPr>
          <w:snapToGrid w:val="0"/>
        </w:rPr>
      </w:pPr>
      <w:r>
        <w:rPr>
          <w:snapToGrid w:val="0"/>
        </w:rPr>
        <w:tab/>
      </w:r>
      <w:r>
        <w:rPr>
          <w:snapToGrid w:val="0"/>
        </w:rPr>
        <w:tab/>
        <w:t>An application for discharge of a security under section 126(7) shall be accompanied by —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rPr>
          <w:snapToGrid w:val="0"/>
        </w:rPr>
      </w:pPr>
      <w:r>
        <w:rPr>
          <w:snapToGrid w:val="0"/>
        </w:rPr>
        <w:tab/>
        <w:t>(b)</w:t>
      </w:r>
      <w:r>
        <w:rPr>
          <w:snapToGrid w:val="0"/>
        </w:rPr>
        <w:tab/>
        <w:t>a map showing —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 xml:space="preserve">[Regulation 112A inserted in Gazette 2 Oct 1987 p. 3821.] </w:t>
      </w:r>
    </w:p>
    <w:p>
      <w:pPr>
        <w:pStyle w:val="Heading5"/>
        <w:rPr>
          <w:snapToGrid w:val="0"/>
        </w:rPr>
      </w:pPr>
      <w:bookmarkStart w:id="1239" w:name="_Toc474633169"/>
      <w:bookmarkStart w:id="1240" w:name="_Toc488740320"/>
      <w:bookmarkStart w:id="1241" w:name="_Toc8623703"/>
      <w:bookmarkStart w:id="1242" w:name="_Toc11229544"/>
      <w:bookmarkStart w:id="1243" w:name="_Toc104276717"/>
      <w:bookmarkStart w:id="1244" w:name="_Toc127338131"/>
      <w:r>
        <w:rPr>
          <w:rStyle w:val="CharSectno"/>
        </w:rPr>
        <w:t>113</w:t>
      </w:r>
      <w:r>
        <w:rPr>
          <w:snapToGrid w:val="0"/>
        </w:rPr>
        <w:t>.</w:t>
      </w:r>
      <w:r>
        <w:rPr>
          <w:snapToGrid w:val="0"/>
        </w:rPr>
        <w:tab/>
        <w:t>Employees not to use information</w:t>
      </w:r>
      <w:bookmarkEnd w:id="1239"/>
      <w:bookmarkEnd w:id="1240"/>
      <w:bookmarkEnd w:id="1241"/>
      <w:bookmarkEnd w:id="1242"/>
      <w:bookmarkEnd w:id="1243"/>
      <w:bookmarkEnd w:id="1244"/>
      <w:r>
        <w:rPr>
          <w:snapToGrid w:val="0"/>
        </w:rPr>
        <w:t xml:space="preserve"> </w:t>
      </w:r>
    </w:p>
    <w:p>
      <w:pPr>
        <w:pStyle w:val="Subsection"/>
        <w:spacing w:before="14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1245" w:name="_Toc474633170"/>
      <w:bookmarkStart w:id="1246" w:name="_Toc488740321"/>
      <w:bookmarkStart w:id="1247" w:name="_Toc8623704"/>
      <w:bookmarkStart w:id="1248" w:name="_Toc11229545"/>
      <w:bookmarkStart w:id="1249" w:name="_Toc104276718"/>
      <w:bookmarkStart w:id="1250" w:name="_Toc127338132"/>
      <w:r>
        <w:rPr>
          <w:rStyle w:val="CharSectno"/>
        </w:rPr>
        <w:t>113A</w:t>
      </w:r>
      <w:r>
        <w:t>.</w:t>
      </w:r>
      <w:r>
        <w:tab/>
        <w:t>General power for wardens to administer oaths</w:t>
      </w:r>
      <w:bookmarkEnd w:id="1245"/>
      <w:bookmarkEnd w:id="1246"/>
      <w:bookmarkEnd w:id="1247"/>
      <w:bookmarkEnd w:id="1248"/>
      <w:bookmarkEnd w:id="1249"/>
      <w:bookmarkEnd w:id="1250"/>
    </w:p>
    <w:p>
      <w:pPr>
        <w:pStyle w:val="Subsection"/>
        <w:spacing w:before="140"/>
      </w:pPr>
      <w:r>
        <w:tab/>
      </w:r>
      <w:r>
        <w:tab/>
        <w:t xml:space="preserve">In addition to the powers set out in section 138 of the Act </w:t>
      </w:r>
      <w:r>
        <w:rPr>
          <w:i/>
        </w:rPr>
        <w:t>(permitting a warden, etc., to administer an oath in relation to “proceedings in a warden’s court”)</w:t>
      </w:r>
      <w:r>
        <w:t>, a warden, the mining registrar or other person acting as the clerk of the warden’s court may also administer an oath for the purposes of taking evidence in proceedings that are not “proceedings in a warden’s court”.</w:t>
      </w:r>
    </w:p>
    <w:p>
      <w:pPr>
        <w:pStyle w:val="Footnotesection"/>
      </w:pPr>
      <w:r>
        <w:tab/>
        <w:t>[Regulation 113A inserted in Gazette 21 Jan 2000 p. 344</w:t>
      </w:r>
      <w:r>
        <w:noBreakHyphen/>
        <w:t>5.]</w:t>
      </w:r>
    </w:p>
    <w:p>
      <w:pPr>
        <w:pStyle w:val="Heading5"/>
        <w:rPr>
          <w:snapToGrid w:val="0"/>
        </w:rPr>
      </w:pPr>
      <w:bookmarkStart w:id="1251" w:name="_Toc474633171"/>
      <w:bookmarkStart w:id="1252" w:name="_Toc488740322"/>
      <w:bookmarkStart w:id="1253" w:name="_Toc8623705"/>
      <w:bookmarkStart w:id="1254" w:name="_Toc11229546"/>
      <w:bookmarkStart w:id="1255" w:name="_Toc104276719"/>
      <w:bookmarkStart w:id="1256" w:name="_Toc127338133"/>
      <w:r>
        <w:rPr>
          <w:rStyle w:val="CharSectno"/>
        </w:rPr>
        <w:t>114</w:t>
      </w:r>
      <w:r>
        <w:rPr>
          <w:snapToGrid w:val="0"/>
        </w:rPr>
        <w:t>.</w:t>
      </w:r>
      <w:r>
        <w:rPr>
          <w:snapToGrid w:val="0"/>
        </w:rPr>
        <w:tab/>
        <w:t>Warden’s order not to be disobeyed</w:t>
      </w:r>
      <w:bookmarkEnd w:id="1251"/>
      <w:bookmarkEnd w:id="1252"/>
      <w:bookmarkEnd w:id="1253"/>
      <w:bookmarkEnd w:id="1254"/>
      <w:bookmarkEnd w:id="1255"/>
      <w:bookmarkEnd w:id="1256"/>
      <w:r>
        <w:rPr>
          <w:snapToGrid w:val="0"/>
        </w:rPr>
        <w:t xml:space="preserve"> </w:t>
      </w:r>
    </w:p>
    <w:p>
      <w:pPr>
        <w:pStyle w:val="Subsection"/>
        <w:rPr>
          <w:snapToGrid w:val="0"/>
        </w:rPr>
      </w:pPr>
      <w:r>
        <w:rPr>
          <w:snapToGrid w:val="0"/>
        </w:rPr>
        <w:tab/>
      </w:r>
      <w:r>
        <w:rPr>
          <w:snapToGrid w:val="0"/>
        </w:rPr>
        <w:tab/>
        <w:t>A person who disobeys a lawful order of a warden or a warden’s court commits an offence.</w:t>
      </w:r>
    </w:p>
    <w:p>
      <w:pPr>
        <w:pStyle w:val="Heading5"/>
        <w:rPr>
          <w:snapToGrid w:val="0"/>
        </w:rPr>
      </w:pPr>
      <w:bookmarkStart w:id="1257" w:name="_Toc474633172"/>
      <w:bookmarkStart w:id="1258" w:name="_Toc488740323"/>
      <w:bookmarkStart w:id="1259" w:name="_Toc8623706"/>
      <w:bookmarkStart w:id="1260" w:name="_Toc11229547"/>
      <w:bookmarkStart w:id="1261" w:name="_Toc104276720"/>
      <w:bookmarkStart w:id="1262" w:name="_Toc127338134"/>
      <w:r>
        <w:rPr>
          <w:rStyle w:val="CharSectno"/>
        </w:rPr>
        <w:t>115</w:t>
      </w:r>
      <w:r>
        <w:rPr>
          <w:snapToGrid w:val="0"/>
        </w:rPr>
        <w:t>.</w:t>
      </w:r>
      <w:r>
        <w:rPr>
          <w:snapToGrid w:val="0"/>
        </w:rPr>
        <w:tab/>
        <w:t>General penalty</w:t>
      </w:r>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 xml:space="preserve">[Regulation 115 amended in Gazette 31 Jul 1992 p. 3776; 17 Jan 2003 p. 107.] </w:t>
      </w:r>
    </w:p>
    <w:p>
      <w:pPr>
        <w:pStyle w:val="Heading2"/>
      </w:pPr>
      <w:bookmarkStart w:id="1263" w:name="_Toc74979004"/>
      <w:bookmarkStart w:id="1264" w:name="_Toc74979268"/>
      <w:bookmarkStart w:id="1265" w:name="_Toc79976566"/>
      <w:bookmarkStart w:id="1266" w:name="_Toc80759837"/>
      <w:bookmarkStart w:id="1267" w:name="_Toc80783600"/>
      <w:bookmarkStart w:id="1268" w:name="_Toc94931267"/>
      <w:bookmarkStart w:id="1269" w:name="_Toc104275390"/>
      <w:bookmarkStart w:id="1270" w:name="_Toc104276721"/>
      <w:bookmarkStart w:id="1271" w:name="_Toc107198942"/>
      <w:bookmarkStart w:id="1272" w:name="_Toc107799394"/>
      <w:bookmarkStart w:id="1273" w:name="_Toc127087401"/>
      <w:bookmarkStart w:id="1274" w:name="_Toc127183714"/>
      <w:bookmarkStart w:id="1275" w:name="_Toc127338135"/>
      <w:r>
        <w:rPr>
          <w:rStyle w:val="CharPartNo"/>
        </w:rPr>
        <w:t>Part VI</w:t>
      </w:r>
      <w:r>
        <w:rPr>
          <w:rStyle w:val="CharDivNo"/>
        </w:rPr>
        <w:t> </w:t>
      </w:r>
      <w:r>
        <w:t>—</w:t>
      </w:r>
      <w:r>
        <w:rPr>
          <w:rStyle w:val="CharDivText"/>
        </w:rPr>
        <w:t> </w:t>
      </w:r>
      <w:r>
        <w:rPr>
          <w:rStyle w:val="CharPartText"/>
        </w:rPr>
        <w:t>Surveys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r>
        <w:rPr>
          <w:rStyle w:val="CharPartText"/>
        </w:rPr>
        <w:t xml:space="preserve"> </w:t>
      </w:r>
    </w:p>
    <w:p>
      <w:pPr>
        <w:pStyle w:val="Footnoteheading"/>
        <w:ind w:left="890"/>
        <w:rPr>
          <w:snapToGrid w:val="0"/>
        </w:rPr>
      </w:pPr>
      <w:r>
        <w:rPr>
          <w:snapToGrid w:val="0"/>
        </w:rPr>
        <w:tab/>
        <w:t xml:space="preserve">[Heading inserted in Gazette 30 May 1986 p. 1840.] </w:t>
      </w:r>
    </w:p>
    <w:p>
      <w:pPr>
        <w:pStyle w:val="Heading5"/>
        <w:rPr>
          <w:snapToGrid w:val="0"/>
        </w:rPr>
      </w:pPr>
      <w:bookmarkStart w:id="1276" w:name="_Toc474633173"/>
      <w:bookmarkStart w:id="1277" w:name="_Toc488740324"/>
      <w:bookmarkStart w:id="1278" w:name="_Toc8623707"/>
      <w:bookmarkStart w:id="1279" w:name="_Toc11229548"/>
      <w:bookmarkStart w:id="1280" w:name="_Toc104276722"/>
      <w:bookmarkStart w:id="1281" w:name="_Toc127338136"/>
      <w:r>
        <w:rPr>
          <w:rStyle w:val="CharSectno"/>
        </w:rPr>
        <w:t>116</w:t>
      </w:r>
      <w:r>
        <w:rPr>
          <w:snapToGrid w:val="0"/>
        </w:rPr>
        <w:t>.</w:t>
      </w:r>
      <w:r>
        <w:rPr>
          <w:snapToGrid w:val="0"/>
        </w:rPr>
        <w:tab/>
        <w:t>Interpretation in Part VI</w:t>
      </w:r>
      <w:bookmarkEnd w:id="1276"/>
      <w:bookmarkEnd w:id="1277"/>
      <w:bookmarkEnd w:id="1278"/>
      <w:bookmarkEnd w:id="1279"/>
      <w:bookmarkEnd w:id="1280"/>
      <w:bookmarkEnd w:id="128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 surveyor</w:t>
      </w:r>
      <w:r>
        <w:rPr>
          <w:b/>
        </w:rPr>
        <w:t>”</w:t>
      </w:r>
      <w:r>
        <w:t xml:space="preserve"> means licensed surveyor who is for the time approved under regulation 117;</w:t>
      </w:r>
    </w:p>
    <w:p>
      <w:pPr>
        <w:pStyle w:val="Defstart"/>
      </w:pPr>
      <w:r>
        <w:rPr>
          <w:b/>
        </w:rPr>
        <w:tab/>
        <w:t>“</w:t>
      </w:r>
      <w:r>
        <w:rPr>
          <w:rStyle w:val="CharDefText"/>
        </w:rPr>
        <w:t>licensed surveyor</w:t>
      </w:r>
      <w:r>
        <w:rPr>
          <w:b/>
        </w:rPr>
        <w:t>”</w:t>
      </w:r>
      <w:r>
        <w:t xml:space="preserve"> has the meaning given by section 3 of the </w:t>
      </w:r>
      <w:r>
        <w:rPr>
          <w:i/>
        </w:rPr>
        <w:t>Licensed Surveyors Act 1909</w:t>
      </w:r>
      <w:r>
        <w:t>;</w:t>
      </w:r>
    </w:p>
    <w:p>
      <w:pPr>
        <w:pStyle w:val="Defstart"/>
      </w:pPr>
      <w:r>
        <w:rPr>
          <w:b/>
        </w:rPr>
        <w:tab/>
        <w:t>“</w:t>
      </w:r>
      <w:r>
        <w:rPr>
          <w:rStyle w:val="CharDefText"/>
        </w:rPr>
        <w:t>mining survey</w:t>
      </w:r>
      <w:r>
        <w:rPr>
          <w:b/>
        </w:rPr>
        <w:t>”</w:t>
      </w:r>
      <w:r>
        <w:t xml:space="preserve"> means survey required under the Act or these regulations in respect of the boundaries of the area of land to which a tenement relates;</w:t>
      </w:r>
    </w:p>
    <w:p>
      <w:pPr>
        <w:pStyle w:val="Defstart"/>
      </w:pPr>
      <w:r>
        <w:rPr>
          <w:b/>
        </w:rPr>
        <w:tab/>
        <w:t>“</w:t>
      </w:r>
      <w:r>
        <w:rPr>
          <w:rStyle w:val="CharDefText"/>
        </w:rPr>
        <w:t>tenement</w:t>
      </w:r>
      <w:r>
        <w:rPr>
          <w:b/>
        </w:rPr>
        <w:t>”</w:t>
      </w:r>
      <w:r>
        <w:t xml:space="preserve"> means mining tenement or application therefor;</w:t>
      </w:r>
    </w:p>
    <w:p>
      <w:pPr>
        <w:pStyle w:val="Defstart"/>
      </w:pPr>
      <w:r>
        <w:rPr>
          <w:b/>
        </w:rPr>
        <w:tab/>
        <w:t>“</w:t>
      </w:r>
      <w:r>
        <w:rPr>
          <w:rStyle w:val="CharDefText"/>
        </w:rPr>
        <w:t>the Director</w:t>
      </w:r>
      <w:r>
        <w:rPr>
          <w:b/>
        </w:rPr>
        <w:t>”</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 xml:space="preserve">[Regulation 116 inserted in Gazette 30 May 1986 p. 1840; amended in Gazette 13 Oct 1995 p. 4821.] </w:t>
      </w:r>
    </w:p>
    <w:p>
      <w:pPr>
        <w:pStyle w:val="Heading5"/>
        <w:rPr>
          <w:snapToGrid w:val="0"/>
        </w:rPr>
      </w:pPr>
      <w:bookmarkStart w:id="1282" w:name="_Toc474633174"/>
      <w:bookmarkStart w:id="1283" w:name="_Toc488740325"/>
      <w:bookmarkStart w:id="1284" w:name="_Toc8623708"/>
      <w:bookmarkStart w:id="1285" w:name="_Toc11229549"/>
      <w:bookmarkStart w:id="1286" w:name="_Toc104276723"/>
      <w:bookmarkStart w:id="1287" w:name="_Toc127338137"/>
      <w:r>
        <w:rPr>
          <w:rStyle w:val="CharSectno"/>
        </w:rPr>
        <w:t>117</w:t>
      </w:r>
      <w:r>
        <w:rPr>
          <w:snapToGrid w:val="0"/>
        </w:rPr>
        <w:t>.</w:t>
      </w:r>
      <w:r>
        <w:rPr>
          <w:snapToGrid w:val="0"/>
        </w:rPr>
        <w:tab/>
        <w:t>Approved surveyors</w:t>
      </w:r>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The Minister may from time to time —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 xml:space="preserve">[Regulation 117 inserted in Gazette 30 May 1986 p. 1840; amended in Gazette 2 Jul 1993 p. 3272.] </w:t>
      </w:r>
    </w:p>
    <w:p>
      <w:pPr>
        <w:pStyle w:val="Heading5"/>
        <w:rPr>
          <w:snapToGrid w:val="0"/>
        </w:rPr>
      </w:pPr>
      <w:bookmarkStart w:id="1288" w:name="_Toc474633175"/>
      <w:bookmarkStart w:id="1289" w:name="_Toc488740326"/>
      <w:bookmarkStart w:id="1290" w:name="_Toc8623709"/>
      <w:bookmarkStart w:id="1291" w:name="_Toc11229550"/>
      <w:bookmarkStart w:id="1292" w:name="_Toc104276724"/>
      <w:bookmarkStart w:id="1293" w:name="_Toc127338138"/>
      <w:r>
        <w:rPr>
          <w:rStyle w:val="CharSectno"/>
        </w:rPr>
        <w:t>118</w:t>
      </w:r>
      <w:r>
        <w:rPr>
          <w:snapToGrid w:val="0"/>
        </w:rPr>
        <w:t>.</w:t>
      </w:r>
      <w:r>
        <w:rPr>
          <w:snapToGrid w:val="0"/>
        </w:rPr>
        <w:tab/>
        <w:t>Initiation of mining surveys</w:t>
      </w:r>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t>(1)</w:t>
      </w:r>
      <w:r>
        <w:rPr>
          <w:snapToGrid w:val="0"/>
        </w:rPr>
        <w:tab/>
        <w:t>Subject to subregulation (2), the Director shall — </w:t>
      </w:r>
    </w:p>
    <w:p>
      <w:pPr>
        <w:pStyle w:val="Indenta"/>
        <w:rPr>
          <w:snapToGrid w:val="0"/>
        </w:rPr>
      </w:pPr>
      <w:r>
        <w:rPr>
          <w:snapToGrid w:val="0"/>
        </w:rPr>
        <w:tab/>
        <w:t>(a)</w:t>
      </w:r>
      <w:r>
        <w:rPr>
          <w:snapToGrid w:val="0"/>
        </w:rPr>
        <w:tab/>
        <w:t>when a mining survey is ordered to be made under section 47(1), 58(2)(b) or 70G(1) of the Act;</w:t>
      </w:r>
    </w:p>
    <w:p>
      <w:pPr>
        <w:pStyle w:val="Indenta"/>
        <w:rPr>
          <w:snapToGrid w:val="0"/>
        </w:rPr>
      </w:pPr>
      <w:r>
        <w:rPr>
          <w:snapToGrid w:val="0"/>
        </w:rPr>
        <w:tab/>
        <w:t>(b)</w:t>
      </w:r>
      <w:r>
        <w:rPr>
          <w:snapToGrid w:val="0"/>
        </w:rPr>
        <w:tab/>
        <w:t>subject to section 80 of the Act, after the lodging of an application for a mining lease;</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when a mining survey is requested by the Minister or a warden 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 xml:space="preserve">[Regulation 118 inserted in Gazette 30 May 1986 p. 1840; amended in Gazette 21 Jun 1991 p. 3056; 24 Jun 1994 p. 2933.] </w:t>
      </w:r>
    </w:p>
    <w:p>
      <w:pPr>
        <w:pStyle w:val="Heading5"/>
        <w:rPr>
          <w:snapToGrid w:val="0"/>
        </w:rPr>
      </w:pPr>
      <w:bookmarkStart w:id="1294" w:name="_Toc474633176"/>
      <w:bookmarkStart w:id="1295" w:name="_Toc488740327"/>
      <w:bookmarkStart w:id="1296" w:name="_Toc8623710"/>
      <w:bookmarkStart w:id="1297" w:name="_Toc11229551"/>
      <w:bookmarkStart w:id="1298" w:name="_Toc104276725"/>
      <w:bookmarkStart w:id="1299" w:name="_Toc127338139"/>
      <w:r>
        <w:rPr>
          <w:rStyle w:val="CharSectno"/>
        </w:rPr>
        <w:t>118A</w:t>
      </w:r>
      <w:r>
        <w:rPr>
          <w:snapToGrid w:val="0"/>
        </w:rPr>
        <w:t>.</w:t>
      </w:r>
      <w:r>
        <w:rPr>
          <w:snapToGrid w:val="0"/>
        </w:rPr>
        <w:tab/>
        <w:t>Notice of proposed mining surveys</w:t>
      </w:r>
      <w:bookmarkEnd w:id="1294"/>
      <w:bookmarkEnd w:id="1295"/>
      <w:bookmarkEnd w:id="1296"/>
      <w:bookmarkEnd w:id="1297"/>
      <w:bookmarkEnd w:id="1298"/>
      <w:bookmarkEnd w:id="1299"/>
      <w:r>
        <w:rPr>
          <w:snapToGrid w:val="0"/>
        </w:rPr>
        <w:t xml:space="preserve"> </w:t>
      </w:r>
    </w:p>
    <w:p>
      <w:pPr>
        <w:pStyle w:val="Subsection"/>
        <w:rPr>
          <w:snapToGrid w:val="0"/>
        </w:rPr>
      </w:pPr>
      <w:r>
        <w:rPr>
          <w:snapToGrid w:val="0"/>
        </w:rPr>
        <w:tab/>
        <w:t>(1)</w:t>
      </w:r>
      <w:r>
        <w:rPr>
          <w:snapToGrid w:val="0"/>
        </w:rPr>
        <w:tab/>
        <w:t>Where the Director proposes to carry out a mining survey of a tenement, the Director shall serve by post notice of that fact on —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 xml:space="preserve">[Regulation 118A inserted in Gazette 16 Nov 1990 p. 5729; amended in Gazette 21 Jun 1991 p. 3056.] </w:t>
      </w:r>
    </w:p>
    <w:p>
      <w:pPr>
        <w:pStyle w:val="Heading5"/>
        <w:rPr>
          <w:snapToGrid w:val="0"/>
        </w:rPr>
      </w:pPr>
      <w:bookmarkStart w:id="1300" w:name="_Toc474633177"/>
      <w:bookmarkStart w:id="1301" w:name="_Toc488740328"/>
      <w:bookmarkStart w:id="1302" w:name="_Toc8623711"/>
      <w:bookmarkStart w:id="1303" w:name="_Toc11229552"/>
      <w:bookmarkStart w:id="1304" w:name="_Toc104276726"/>
      <w:bookmarkStart w:id="1305" w:name="_Toc127338140"/>
      <w:r>
        <w:rPr>
          <w:rStyle w:val="CharSectno"/>
        </w:rPr>
        <w:t>118B</w:t>
      </w:r>
      <w:r>
        <w:rPr>
          <w:snapToGrid w:val="0"/>
        </w:rPr>
        <w:t>.</w:t>
      </w:r>
      <w:r>
        <w:rPr>
          <w:snapToGrid w:val="0"/>
        </w:rPr>
        <w:tab/>
        <w:t>When mining surveys are to be carried out</w:t>
      </w:r>
      <w:bookmarkEnd w:id="1300"/>
      <w:bookmarkEnd w:id="1301"/>
      <w:bookmarkEnd w:id="1302"/>
      <w:bookmarkEnd w:id="1303"/>
      <w:bookmarkEnd w:id="1304"/>
      <w:bookmarkEnd w:id="1305"/>
      <w:r>
        <w:rPr>
          <w:snapToGrid w:val="0"/>
        </w:rPr>
        <w:t xml:space="preserve"> </w:t>
      </w:r>
    </w:p>
    <w:p>
      <w:pPr>
        <w:pStyle w:val="Subsection"/>
        <w:rPr>
          <w:snapToGrid w:val="0"/>
        </w:rPr>
      </w:pPr>
      <w:r>
        <w:rPr>
          <w:snapToGrid w:val="0"/>
        </w:rPr>
        <w:tab/>
      </w:r>
      <w:r>
        <w:rPr>
          <w:snapToGrid w:val="0"/>
        </w:rPr>
        <w:tab/>
        <w:t>A mining survey, in relation to a lease application lodged after 1 July 1991 —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 xml:space="preserve">[Regulation 118B inserted in Gazette 21 Jun 1991 p. 3056.] </w:t>
      </w:r>
    </w:p>
    <w:p>
      <w:pPr>
        <w:pStyle w:val="Heading5"/>
        <w:rPr>
          <w:snapToGrid w:val="0"/>
        </w:rPr>
      </w:pPr>
      <w:bookmarkStart w:id="1306" w:name="_Toc474633178"/>
      <w:bookmarkStart w:id="1307" w:name="_Toc488740329"/>
      <w:bookmarkStart w:id="1308" w:name="_Toc8623712"/>
      <w:bookmarkStart w:id="1309" w:name="_Toc11229553"/>
      <w:bookmarkStart w:id="1310" w:name="_Toc104276727"/>
      <w:bookmarkStart w:id="1311" w:name="_Toc127338141"/>
      <w:r>
        <w:rPr>
          <w:rStyle w:val="CharSectno"/>
        </w:rPr>
        <w:t>118C</w:t>
      </w:r>
      <w:r>
        <w:rPr>
          <w:snapToGrid w:val="0"/>
        </w:rPr>
        <w:t>.</w:t>
      </w:r>
      <w:r>
        <w:rPr>
          <w:snapToGrid w:val="0"/>
        </w:rPr>
        <w:tab/>
        <w:t>Refund of certain survey fees</w:t>
      </w:r>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 xml:space="preserve">4.] </w:t>
      </w:r>
    </w:p>
    <w:p>
      <w:pPr>
        <w:pStyle w:val="Heading5"/>
        <w:rPr>
          <w:snapToGrid w:val="0"/>
        </w:rPr>
      </w:pPr>
      <w:bookmarkStart w:id="1312" w:name="_Toc474633179"/>
      <w:bookmarkStart w:id="1313" w:name="_Toc488740330"/>
      <w:bookmarkStart w:id="1314" w:name="_Toc8623713"/>
      <w:bookmarkStart w:id="1315" w:name="_Toc11229554"/>
      <w:bookmarkStart w:id="1316" w:name="_Toc104276728"/>
      <w:bookmarkStart w:id="1317" w:name="_Toc127338142"/>
      <w:r>
        <w:rPr>
          <w:rStyle w:val="CharSectno"/>
        </w:rPr>
        <w:t>119</w:t>
      </w:r>
      <w:r>
        <w:rPr>
          <w:snapToGrid w:val="0"/>
        </w:rPr>
        <w:t>.</w:t>
      </w:r>
      <w:r>
        <w:rPr>
          <w:snapToGrid w:val="0"/>
        </w:rPr>
        <w:tab/>
        <w:t>Boundary marks to be pointed out</w:t>
      </w:r>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 xml:space="preserve">[Regulation 119 inserted in Gazette 30 May 1986 p. 1840; amended in Gazette 21 Jun 1991 p. 3056.] </w:t>
      </w:r>
    </w:p>
    <w:p>
      <w:pPr>
        <w:pStyle w:val="Heading5"/>
        <w:spacing w:before="180"/>
        <w:rPr>
          <w:snapToGrid w:val="0"/>
        </w:rPr>
      </w:pPr>
      <w:bookmarkStart w:id="1318" w:name="_Toc474633180"/>
      <w:bookmarkStart w:id="1319" w:name="_Toc488740331"/>
      <w:bookmarkStart w:id="1320" w:name="_Toc8623714"/>
      <w:bookmarkStart w:id="1321" w:name="_Toc11229555"/>
      <w:bookmarkStart w:id="1322" w:name="_Toc104276729"/>
      <w:bookmarkStart w:id="1323" w:name="_Toc127338143"/>
      <w:r>
        <w:rPr>
          <w:rStyle w:val="CharSectno"/>
        </w:rPr>
        <w:t>120</w:t>
      </w:r>
      <w:r>
        <w:rPr>
          <w:snapToGrid w:val="0"/>
        </w:rPr>
        <w:t>.</w:t>
      </w:r>
      <w:r>
        <w:rPr>
          <w:snapToGrid w:val="0"/>
        </w:rPr>
        <w:tab/>
        <w:t>Adjustment of boundaries</w:t>
      </w:r>
      <w:bookmarkEnd w:id="1318"/>
      <w:bookmarkEnd w:id="1319"/>
      <w:bookmarkEnd w:id="1320"/>
      <w:bookmarkEnd w:id="1321"/>
      <w:bookmarkEnd w:id="1322"/>
      <w:bookmarkEnd w:id="1323"/>
      <w:r>
        <w:rPr>
          <w:snapToGrid w:val="0"/>
        </w:rPr>
        <w:t xml:space="preserve"> </w:t>
      </w:r>
    </w:p>
    <w:p>
      <w:pPr>
        <w:pStyle w:val="Subsection"/>
        <w:spacing w:before="110"/>
        <w:rPr>
          <w:snapToGrid w:val="0"/>
        </w:rPr>
      </w:pPr>
      <w:r>
        <w:rPr>
          <w:snapToGrid w:val="0"/>
        </w:rPr>
        <w:tab/>
        <w:t>(1)</w:t>
      </w:r>
      <w:r>
        <w:rPr>
          <w:snapToGrid w:val="0"/>
        </w:rPr>
        <w:tab/>
        <w:t>Subject to this regulation, an approved surveyor shall carry out a mining survey in respect of — </w:t>
      </w:r>
    </w:p>
    <w:p>
      <w:pPr>
        <w:pStyle w:val="Indenta"/>
        <w:spacing w:before="60"/>
        <w:rPr>
          <w:snapToGrid w:val="0"/>
        </w:rPr>
      </w:pPr>
      <w:r>
        <w:rPr>
          <w:snapToGrid w:val="0"/>
        </w:rPr>
        <w:tab/>
        <w:t>(a)</w:t>
      </w:r>
      <w:r>
        <w:rPr>
          <w:snapToGrid w:val="0"/>
        </w:rPr>
        <w:tab/>
        <w:t>a tenement other than an exploration licence so as to conform with —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1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1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1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 xml:space="preserve">[Regulation 120 inserted in Gazette 30 May 1986 p. 1840; amended in Gazette 21 Jun 1991 p. 3057.] </w:t>
      </w:r>
    </w:p>
    <w:p>
      <w:pPr>
        <w:pStyle w:val="Heading5"/>
        <w:rPr>
          <w:snapToGrid w:val="0"/>
        </w:rPr>
      </w:pPr>
      <w:bookmarkStart w:id="1324" w:name="_Toc474633181"/>
      <w:bookmarkStart w:id="1325" w:name="_Toc488740332"/>
      <w:bookmarkStart w:id="1326" w:name="_Toc8623715"/>
      <w:bookmarkStart w:id="1327" w:name="_Toc11229556"/>
      <w:bookmarkStart w:id="1328" w:name="_Toc104276730"/>
      <w:bookmarkStart w:id="1329" w:name="_Toc127338144"/>
      <w:r>
        <w:rPr>
          <w:rStyle w:val="CharSectno"/>
        </w:rPr>
        <w:t>120A</w:t>
      </w:r>
      <w:r>
        <w:rPr>
          <w:snapToGrid w:val="0"/>
        </w:rPr>
        <w:t>.</w:t>
      </w:r>
      <w:r>
        <w:rPr>
          <w:snapToGrid w:val="0"/>
        </w:rPr>
        <w:tab/>
        <w:t>Disputes and objections in mining survey</w:t>
      </w:r>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Subject to section 135 of the Act, a dispute or objection referred or lodged under this regulation shall be heard by the warden’s court.</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 xml:space="preserve">1; amended in Gazette 16 Nov 1990 p. 5729; 21 Jun 1991 p. 3057; 24 Dec 1993 p. 6829.] </w:t>
      </w:r>
    </w:p>
    <w:p>
      <w:pPr>
        <w:pStyle w:val="Heading5"/>
        <w:spacing w:before="180"/>
        <w:rPr>
          <w:snapToGrid w:val="0"/>
        </w:rPr>
      </w:pPr>
      <w:bookmarkStart w:id="1330" w:name="_Toc474633182"/>
      <w:bookmarkStart w:id="1331" w:name="_Toc488740333"/>
      <w:bookmarkStart w:id="1332" w:name="_Toc8623716"/>
      <w:bookmarkStart w:id="1333" w:name="_Toc11229557"/>
      <w:bookmarkStart w:id="1334" w:name="_Toc104276731"/>
      <w:bookmarkStart w:id="1335" w:name="_Toc127338145"/>
      <w:r>
        <w:rPr>
          <w:rStyle w:val="CharSectno"/>
        </w:rPr>
        <w:t>120B</w:t>
      </w:r>
      <w:r>
        <w:rPr>
          <w:snapToGrid w:val="0"/>
        </w:rPr>
        <w:t>.</w:t>
      </w:r>
      <w:r>
        <w:rPr>
          <w:snapToGrid w:val="0"/>
        </w:rPr>
        <w:tab/>
        <w:t>Cost of travelling</w:t>
      </w:r>
      <w:bookmarkEnd w:id="1330"/>
      <w:bookmarkEnd w:id="1331"/>
      <w:bookmarkEnd w:id="1332"/>
      <w:bookmarkEnd w:id="1333"/>
      <w:bookmarkEnd w:id="1334"/>
      <w:bookmarkEnd w:id="1335"/>
      <w:r>
        <w:rPr>
          <w:snapToGrid w:val="0"/>
        </w:rPr>
        <w:t xml:space="preserve"> </w:t>
      </w:r>
    </w:p>
    <w:p>
      <w:pPr>
        <w:pStyle w:val="Subsection"/>
        <w:spacing w:before="140"/>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 xml:space="preserve">[Regulation 120B inserted in Gazette 30 May 1986 p. 1841.] </w:t>
      </w:r>
    </w:p>
    <w:p>
      <w:pPr>
        <w:pStyle w:val="Heading5"/>
        <w:spacing w:before="180"/>
        <w:rPr>
          <w:snapToGrid w:val="0"/>
        </w:rPr>
      </w:pPr>
      <w:bookmarkStart w:id="1336" w:name="_Toc474633183"/>
      <w:bookmarkStart w:id="1337" w:name="_Toc488740334"/>
      <w:bookmarkStart w:id="1338" w:name="_Toc8623717"/>
      <w:bookmarkStart w:id="1339" w:name="_Toc11229558"/>
      <w:bookmarkStart w:id="1340" w:name="_Toc104276732"/>
      <w:bookmarkStart w:id="1341" w:name="_Toc127338146"/>
      <w:r>
        <w:rPr>
          <w:rStyle w:val="CharSectno"/>
        </w:rPr>
        <w:t>120C</w:t>
      </w:r>
      <w:r>
        <w:rPr>
          <w:snapToGrid w:val="0"/>
        </w:rPr>
        <w:t>.</w:t>
      </w:r>
      <w:r>
        <w:rPr>
          <w:snapToGrid w:val="0"/>
        </w:rPr>
        <w:tab/>
        <w:t>Correction of errors or omissions</w:t>
      </w:r>
      <w:bookmarkEnd w:id="1336"/>
      <w:bookmarkEnd w:id="1337"/>
      <w:bookmarkEnd w:id="1338"/>
      <w:bookmarkEnd w:id="1339"/>
      <w:bookmarkEnd w:id="1340"/>
      <w:bookmarkEnd w:id="1341"/>
      <w:r>
        <w:rPr>
          <w:snapToGrid w:val="0"/>
        </w:rPr>
        <w:t xml:space="preserve"> </w:t>
      </w:r>
    </w:p>
    <w:p>
      <w:pPr>
        <w:pStyle w:val="Subsection"/>
        <w:spacing w:before="130"/>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spacing w:before="130"/>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spacing w:before="130"/>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spacing w:before="130"/>
        <w:rPr>
          <w:snapToGrid w:val="0"/>
        </w:rPr>
      </w:pPr>
      <w:r>
        <w:rPr>
          <w:snapToGrid w:val="0"/>
        </w:rPr>
        <w:tab/>
        <w:t>(4)</w:t>
      </w:r>
      <w:r>
        <w:rPr>
          <w:snapToGrid w:val="0"/>
        </w:rPr>
        <w:tab/>
        <w:t>The cost of correction or completion in compliance with a request made under subregulation (2) or (3) is a debt due to the Minister by the approved surveyor —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 xml:space="preserve">[Regulation 120C inserted in Gazette 30 May 1986 p. 1841; amended in Gazette 21 Jun 1991 p. 3057.] </w:t>
      </w:r>
    </w:p>
    <w:p>
      <w:pPr>
        <w:pStyle w:val="Heading5"/>
        <w:rPr>
          <w:snapToGrid w:val="0"/>
        </w:rPr>
      </w:pPr>
      <w:bookmarkStart w:id="1342" w:name="_Toc474633184"/>
      <w:bookmarkStart w:id="1343" w:name="_Toc488740335"/>
      <w:bookmarkStart w:id="1344" w:name="_Toc8623718"/>
      <w:bookmarkStart w:id="1345" w:name="_Toc11229559"/>
      <w:bookmarkStart w:id="1346" w:name="_Toc104276733"/>
      <w:bookmarkStart w:id="1347" w:name="_Toc127338147"/>
      <w:r>
        <w:rPr>
          <w:rStyle w:val="CharSectno"/>
        </w:rPr>
        <w:t>120D</w:t>
      </w:r>
      <w:r>
        <w:rPr>
          <w:snapToGrid w:val="0"/>
        </w:rPr>
        <w:t>.</w:t>
      </w:r>
      <w:r>
        <w:rPr>
          <w:snapToGrid w:val="0"/>
        </w:rPr>
        <w:tab/>
        <w:t>Cost of check surveys and of correction of errors to be met by approved surveyors</w:t>
      </w:r>
      <w:bookmarkEnd w:id="1342"/>
      <w:bookmarkEnd w:id="1343"/>
      <w:bookmarkEnd w:id="1344"/>
      <w:bookmarkEnd w:id="1345"/>
      <w:bookmarkEnd w:id="1346"/>
      <w:bookmarkEnd w:id="1347"/>
      <w:r>
        <w:rPr>
          <w:snapToGrid w:val="0"/>
        </w:rPr>
        <w:t xml:space="preserve"> </w:t>
      </w:r>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 xml:space="preserve">[Regulation 120D inserted in Gazette 30 May 1986 p. 1841.] </w:t>
      </w:r>
    </w:p>
    <w:p>
      <w:pPr>
        <w:pStyle w:val="Heading5"/>
        <w:rPr>
          <w:snapToGrid w:val="0"/>
        </w:rPr>
      </w:pPr>
      <w:bookmarkStart w:id="1348" w:name="_Toc474633185"/>
      <w:bookmarkStart w:id="1349" w:name="_Toc488740336"/>
      <w:bookmarkStart w:id="1350" w:name="_Toc8623719"/>
      <w:bookmarkStart w:id="1351" w:name="_Toc11229560"/>
      <w:bookmarkStart w:id="1352" w:name="_Toc104276734"/>
      <w:bookmarkStart w:id="1353" w:name="_Toc127338148"/>
      <w:r>
        <w:rPr>
          <w:rStyle w:val="CharSectno"/>
        </w:rPr>
        <w:t>120E</w:t>
      </w:r>
      <w:r>
        <w:rPr>
          <w:snapToGrid w:val="0"/>
        </w:rPr>
        <w:t>.</w:t>
      </w:r>
      <w:r>
        <w:rPr>
          <w:snapToGrid w:val="0"/>
        </w:rPr>
        <w:tab/>
        <w:t>Report of surveyed tenements to be prepared</w:t>
      </w:r>
      <w:bookmarkEnd w:id="1348"/>
      <w:bookmarkEnd w:id="1349"/>
      <w:bookmarkEnd w:id="1350"/>
      <w:bookmarkEnd w:id="1351"/>
      <w:bookmarkEnd w:id="1352"/>
      <w:bookmarkEnd w:id="1353"/>
      <w:r>
        <w:rPr>
          <w:snapToGrid w:val="0"/>
        </w:rPr>
        <w:t xml:space="preserve"> </w:t>
      </w:r>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 xml:space="preserve">[Regulation 120E inserted in Gazette 5 Jul 1991 p. 3359.] </w:t>
      </w:r>
    </w:p>
    <w:p>
      <w:pPr>
        <w:pStyle w:val="Heading2"/>
      </w:pPr>
      <w:bookmarkStart w:id="1354" w:name="_Toc74979018"/>
      <w:bookmarkStart w:id="1355" w:name="_Toc74979282"/>
      <w:bookmarkStart w:id="1356" w:name="_Toc79976580"/>
      <w:bookmarkStart w:id="1357" w:name="_Toc80759851"/>
      <w:bookmarkStart w:id="1358" w:name="_Toc80783614"/>
      <w:bookmarkStart w:id="1359" w:name="_Toc94931281"/>
      <w:bookmarkStart w:id="1360" w:name="_Toc104275404"/>
      <w:bookmarkStart w:id="1361" w:name="_Toc104276735"/>
      <w:bookmarkStart w:id="1362" w:name="_Toc107198956"/>
      <w:bookmarkStart w:id="1363" w:name="_Toc107799408"/>
      <w:bookmarkStart w:id="1364" w:name="_Toc127087415"/>
      <w:bookmarkStart w:id="1365" w:name="_Toc127183728"/>
      <w:bookmarkStart w:id="1366" w:name="_Toc127338149"/>
      <w:r>
        <w:rPr>
          <w:rStyle w:val="CharPartNo"/>
        </w:rPr>
        <w:t>Part VIA</w:t>
      </w:r>
      <w:r>
        <w:t> — </w:t>
      </w:r>
      <w:r>
        <w:rPr>
          <w:rStyle w:val="CharPartText"/>
        </w:rPr>
        <w:t>Inspectors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r>
        <w:rPr>
          <w:rStyle w:val="CharPartText"/>
        </w:rPr>
        <w:t xml:space="preserve"> </w:t>
      </w:r>
    </w:p>
    <w:p>
      <w:pPr>
        <w:pStyle w:val="Footnoteheading"/>
        <w:ind w:left="890"/>
        <w:rPr>
          <w:snapToGrid w:val="0"/>
        </w:rPr>
      </w:pPr>
      <w:r>
        <w:rPr>
          <w:snapToGrid w:val="0"/>
        </w:rPr>
        <w:tab/>
        <w:t>[Heading inserted in Gazette 24 Jun 1994 p. 2934.]</w:t>
      </w:r>
    </w:p>
    <w:p>
      <w:pPr>
        <w:pStyle w:val="Heading3"/>
        <w:rPr>
          <w:snapToGrid w:val="0"/>
        </w:rPr>
      </w:pPr>
      <w:bookmarkStart w:id="1367" w:name="_Toc74979019"/>
      <w:bookmarkStart w:id="1368" w:name="_Toc74979283"/>
      <w:bookmarkStart w:id="1369" w:name="_Toc79976581"/>
      <w:bookmarkStart w:id="1370" w:name="_Toc80759852"/>
      <w:bookmarkStart w:id="1371" w:name="_Toc80783615"/>
      <w:bookmarkStart w:id="1372" w:name="_Toc94931282"/>
      <w:bookmarkStart w:id="1373" w:name="_Toc104275405"/>
      <w:bookmarkStart w:id="1374" w:name="_Toc104276736"/>
      <w:bookmarkStart w:id="1375" w:name="_Toc107198957"/>
      <w:bookmarkStart w:id="1376" w:name="_Toc107799409"/>
      <w:bookmarkStart w:id="1377" w:name="_Toc127087416"/>
      <w:bookmarkStart w:id="1378" w:name="_Toc127183729"/>
      <w:bookmarkStart w:id="1379" w:name="_Toc127338150"/>
      <w:r>
        <w:rPr>
          <w:rStyle w:val="CharDivNo"/>
        </w:rPr>
        <w:t>Division 1</w:t>
      </w:r>
      <w:r>
        <w:rPr>
          <w:snapToGrid w:val="0"/>
        </w:rPr>
        <w:t> — </w:t>
      </w:r>
      <w:r>
        <w:rPr>
          <w:rStyle w:val="CharDivText"/>
        </w:rPr>
        <w:t>Inspectors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r>
        <w:rPr>
          <w:rStyle w:val="CharDivText"/>
        </w:rPr>
        <w:t xml:space="preserve"> </w:t>
      </w:r>
    </w:p>
    <w:p>
      <w:pPr>
        <w:pStyle w:val="Footnoteheading"/>
        <w:ind w:left="890"/>
        <w:rPr>
          <w:snapToGrid w:val="0"/>
        </w:rPr>
      </w:pPr>
      <w:r>
        <w:rPr>
          <w:snapToGrid w:val="0"/>
        </w:rPr>
        <w:tab/>
        <w:t>[Heading inserted in Gazette 24 Jun 1994 p. 2934.]</w:t>
      </w:r>
    </w:p>
    <w:p>
      <w:pPr>
        <w:pStyle w:val="Heading5"/>
        <w:rPr>
          <w:snapToGrid w:val="0"/>
        </w:rPr>
      </w:pPr>
      <w:bookmarkStart w:id="1380" w:name="_Toc474633186"/>
      <w:bookmarkStart w:id="1381" w:name="_Toc488740337"/>
      <w:bookmarkStart w:id="1382" w:name="_Toc8623720"/>
      <w:bookmarkStart w:id="1383" w:name="_Toc11229561"/>
      <w:bookmarkStart w:id="1384" w:name="_Toc104276737"/>
      <w:bookmarkStart w:id="1385" w:name="_Toc127338151"/>
      <w:r>
        <w:rPr>
          <w:rStyle w:val="CharSectno"/>
        </w:rPr>
        <w:t>120F</w:t>
      </w:r>
      <w:r>
        <w:rPr>
          <w:snapToGrid w:val="0"/>
        </w:rPr>
        <w:t>.</w:t>
      </w:r>
      <w:r>
        <w:rPr>
          <w:snapToGrid w:val="0"/>
        </w:rPr>
        <w:tab/>
        <w:t>Assignment of inspectors for environmental purpose</w:t>
      </w:r>
      <w:bookmarkEnd w:id="1380"/>
      <w:bookmarkEnd w:id="1381"/>
      <w:bookmarkEnd w:id="1382"/>
      <w:bookmarkEnd w:id="1383"/>
      <w:bookmarkEnd w:id="1384"/>
      <w:bookmarkEnd w:id="1385"/>
      <w:r>
        <w:rPr>
          <w:snapToGrid w:val="0"/>
        </w:rPr>
        <w:t xml:space="preserve"> </w:t>
      </w:r>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b/>
          <w:snapToGrid w:val="0"/>
        </w:rPr>
        <w:t>“</w:t>
      </w:r>
      <w:r>
        <w:rPr>
          <w:rStyle w:val="CharDefText"/>
        </w:rPr>
        <w:t>inspector</w:t>
      </w:r>
      <w:r>
        <w:rPr>
          <w:b/>
          <w:snapToGrid w:val="0"/>
        </w:rPr>
        <w:t xml:space="preserve">” </w:t>
      </w:r>
      <w:r>
        <w:rPr>
          <w:snapToGrid w:val="0"/>
        </w:rPr>
        <w:t xml:space="preserve">or a </w:t>
      </w:r>
      <w:r>
        <w:rPr>
          <w:b/>
          <w:snapToGrid w:val="0"/>
        </w:rPr>
        <w:t>“</w:t>
      </w:r>
      <w:r>
        <w:rPr>
          <w:rStyle w:val="CharDefText"/>
        </w:rPr>
        <w:t>senior inspector</w:t>
      </w:r>
      <w:r>
        <w:rPr>
          <w:b/>
          <w:snapToGrid w:val="0"/>
        </w:rPr>
        <w:t>”</w:t>
      </w:r>
      <w:r>
        <w:rPr>
          <w:snapToGrid w:val="0"/>
        </w:rPr>
        <w:t xml:space="preserve"> is a reference to the holder of a certificate under subregulation (1).</w:t>
      </w:r>
    </w:p>
    <w:p>
      <w:pPr>
        <w:pStyle w:val="Footnotesection"/>
      </w:pPr>
      <w:r>
        <w:tab/>
        <w:t xml:space="preserve">[Regulation 120F inserted in Gazette 24 Jun 1994 p. 2934.] </w:t>
      </w:r>
    </w:p>
    <w:p>
      <w:pPr>
        <w:pStyle w:val="Heading5"/>
        <w:rPr>
          <w:snapToGrid w:val="0"/>
        </w:rPr>
      </w:pPr>
      <w:bookmarkStart w:id="1386" w:name="_Toc474633187"/>
      <w:bookmarkStart w:id="1387" w:name="_Toc488740338"/>
      <w:bookmarkStart w:id="1388" w:name="_Toc8623721"/>
      <w:bookmarkStart w:id="1389" w:name="_Toc11229562"/>
      <w:bookmarkStart w:id="1390" w:name="_Toc104276738"/>
      <w:bookmarkStart w:id="1391" w:name="_Toc127338152"/>
      <w:r>
        <w:rPr>
          <w:rStyle w:val="CharSectno"/>
        </w:rPr>
        <w:t>120G</w:t>
      </w:r>
      <w:r>
        <w:rPr>
          <w:snapToGrid w:val="0"/>
        </w:rPr>
        <w:t>.</w:t>
      </w:r>
      <w:r>
        <w:rPr>
          <w:snapToGrid w:val="0"/>
        </w:rPr>
        <w:tab/>
        <w:t>Inspectors may enter mining tenement or mine</w:t>
      </w:r>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An inspector or a senior inspector may enter, inspect and inquire in respect of any mining tenement or mine —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rPr>
          <w:snapToGrid w:val="0"/>
        </w:rPr>
      </w:pPr>
      <w:bookmarkStart w:id="1392" w:name="_Toc74979022"/>
      <w:bookmarkStart w:id="1393" w:name="_Toc74979286"/>
      <w:bookmarkStart w:id="1394" w:name="_Toc79976584"/>
      <w:bookmarkStart w:id="1395" w:name="_Toc80759855"/>
      <w:bookmarkStart w:id="1396" w:name="_Toc80783618"/>
      <w:bookmarkStart w:id="1397" w:name="_Toc94931285"/>
      <w:bookmarkStart w:id="1398" w:name="_Toc104275408"/>
      <w:bookmarkStart w:id="1399" w:name="_Toc104276739"/>
      <w:bookmarkStart w:id="1400" w:name="_Toc107198960"/>
      <w:bookmarkStart w:id="1401" w:name="_Toc107799412"/>
      <w:bookmarkStart w:id="1402" w:name="_Toc127087419"/>
      <w:bookmarkStart w:id="1403" w:name="_Toc127183732"/>
      <w:bookmarkStart w:id="1404" w:name="_Toc127338153"/>
      <w:r>
        <w:rPr>
          <w:rStyle w:val="CharDivNo"/>
        </w:rPr>
        <w:t>Division 2</w:t>
      </w:r>
      <w:r>
        <w:rPr>
          <w:snapToGrid w:val="0"/>
        </w:rPr>
        <w:t> — </w:t>
      </w:r>
      <w:r>
        <w:rPr>
          <w:rStyle w:val="CharDivText"/>
        </w:rPr>
        <w:t>Directions to modify mining operations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r>
        <w:rPr>
          <w:rStyle w:val="CharDivText"/>
        </w:rPr>
        <w:t xml:space="preserve"> </w:t>
      </w:r>
    </w:p>
    <w:p>
      <w:pPr>
        <w:pStyle w:val="Footnoteheading"/>
        <w:ind w:left="890"/>
        <w:rPr>
          <w:snapToGrid w:val="0"/>
        </w:rPr>
      </w:pPr>
      <w:r>
        <w:rPr>
          <w:snapToGrid w:val="0"/>
        </w:rPr>
        <w:tab/>
        <w:t>[Heading inserted in Gazette 24 Jun 1994 p. 2935.]</w:t>
      </w:r>
    </w:p>
    <w:p>
      <w:pPr>
        <w:pStyle w:val="Heading5"/>
        <w:rPr>
          <w:snapToGrid w:val="0"/>
        </w:rPr>
      </w:pPr>
      <w:bookmarkStart w:id="1405" w:name="_Toc474633188"/>
      <w:bookmarkStart w:id="1406" w:name="_Toc488740339"/>
      <w:bookmarkStart w:id="1407" w:name="_Toc8623722"/>
      <w:bookmarkStart w:id="1408" w:name="_Toc11229563"/>
      <w:bookmarkStart w:id="1409" w:name="_Toc104276740"/>
      <w:bookmarkStart w:id="1410" w:name="_Toc127338154"/>
      <w:r>
        <w:rPr>
          <w:rStyle w:val="CharSectno"/>
        </w:rPr>
        <w:t>120H</w:t>
      </w:r>
      <w:r>
        <w:rPr>
          <w:snapToGrid w:val="0"/>
        </w:rPr>
        <w:t>.</w:t>
      </w:r>
      <w:r>
        <w:rPr>
          <w:snapToGrid w:val="0"/>
        </w:rPr>
        <w:tab/>
        <w:t>Inspectors may issue directions</w:t>
      </w:r>
      <w:bookmarkEnd w:id="1405"/>
      <w:bookmarkEnd w:id="1406"/>
      <w:bookmarkEnd w:id="1407"/>
      <w:bookmarkEnd w:id="1408"/>
      <w:bookmarkEnd w:id="1409"/>
      <w:bookmarkEnd w:id="1410"/>
      <w:r>
        <w:rPr>
          <w:snapToGrid w:val="0"/>
        </w:rPr>
        <w:t xml:space="preserve"> </w:t>
      </w:r>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 xml:space="preserve">[Regulation 120H inserted in Gazette 24 Jun 1994 p. 2935.] </w:t>
      </w:r>
    </w:p>
    <w:p>
      <w:pPr>
        <w:pStyle w:val="Heading5"/>
        <w:rPr>
          <w:snapToGrid w:val="0"/>
        </w:rPr>
      </w:pPr>
      <w:bookmarkStart w:id="1411" w:name="_Toc474633189"/>
      <w:bookmarkStart w:id="1412" w:name="_Toc488740340"/>
      <w:bookmarkStart w:id="1413" w:name="_Toc8623723"/>
      <w:bookmarkStart w:id="1414" w:name="_Toc11229564"/>
      <w:bookmarkStart w:id="1415" w:name="_Toc104276741"/>
      <w:bookmarkStart w:id="1416" w:name="_Toc127338155"/>
      <w:r>
        <w:rPr>
          <w:rStyle w:val="CharSectno"/>
        </w:rPr>
        <w:t>120I</w:t>
      </w:r>
      <w:r>
        <w:rPr>
          <w:snapToGrid w:val="0"/>
        </w:rPr>
        <w:t>.</w:t>
      </w:r>
      <w:r>
        <w:rPr>
          <w:snapToGrid w:val="0"/>
        </w:rPr>
        <w:tab/>
        <w:t>Directions</w:t>
      </w:r>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r>
      <w:r>
        <w:rPr>
          <w:snapToGrid w:val="0"/>
        </w:rPr>
        <w:tab/>
        <w:t>A direction to modify mining operations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 xml:space="preserve">[Regulation 120I inserted in Gazette 24 Jun 1994 p. 2935.] </w:t>
      </w:r>
    </w:p>
    <w:p>
      <w:pPr>
        <w:pStyle w:val="Heading5"/>
        <w:rPr>
          <w:snapToGrid w:val="0"/>
        </w:rPr>
      </w:pPr>
      <w:bookmarkStart w:id="1417" w:name="_Toc474633190"/>
      <w:bookmarkStart w:id="1418" w:name="_Toc488740341"/>
      <w:bookmarkStart w:id="1419" w:name="_Toc8623724"/>
      <w:bookmarkStart w:id="1420" w:name="_Toc11229565"/>
      <w:bookmarkStart w:id="1421" w:name="_Toc104276742"/>
      <w:bookmarkStart w:id="1422" w:name="_Toc127338156"/>
      <w:r>
        <w:rPr>
          <w:rStyle w:val="CharSectno"/>
        </w:rPr>
        <w:t>120J</w:t>
      </w:r>
      <w:r>
        <w:rPr>
          <w:snapToGrid w:val="0"/>
        </w:rPr>
        <w:t>.</w:t>
      </w:r>
      <w:r>
        <w:rPr>
          <w:snapToGrid w:val="0"/>
        </w:rPr>
        <w:tab/>
        <w:t>Review of direction</w:t>
      </w:r>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 xml:space="preserve">6; amended in Gazette 3 Feb 2006 p. 604.] </w:t>
      </w:r>
    </w:p>
    <w:p>
      <w:pPr>
        <w:pStyle w:val="Heading5"/>
        <w:rPr>
          <w:snapToGrid w:val="0"/>
        </w:rPr>
      </w:pPr>
      <w:bookmarkStart w:id="1423" w:name="_Toc474633191"/>
      <w:bookmarkStart w:id="1424" w:name="_Toc488740342"/>
      <w:bookmarkStart w:id="1425" w:name="_Toc8623725"/>
      <w:bookmarkStart w:id="1426" w:name="_Toc11229566"/>
      <w:bookmarkStart w:id="1427" w:name="_Toc104276743"/>
      <w:bookmarkStart w:id="1428" w:name="_Toc127338157"/>
      <w:r>
        <w:rPr>
          <w:rStyle w:val="CharSectno"/>
        </w:rPr>
        <w:t>120K</w:t>
      </w:r>
      <w:r>
        <w:rPr>
          <w:snapToGrid w:val="0"/>
        </w:rPr>
        <w:t>.</w:t>
      </w:r>
      <w:r>
        <w:rPr>
          <w:snapToGrid w:val="0"/>
        </w:rPr>
        <w:tab/>
        <w:t>Compliance with directions</w:t>
      </w:r>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rPr>
          <w:snapToGrid w:val="0"/>
        </w:rPr>
      </w:pPr>
      <w:bookmarkStart w:id="1429" w:name="_Toc74979027"/>
      <w:bookmarkStart w:id="1430" w:name="_Toc74979291"/>
      <w:bookmarkStart w:id="1431" w:name="_Toc79976589"/>
      <w:bookmarkStart w:id="1432" w:name="_Toc80759860"/>
      <w:bookmarkStart w:id="1433" w:name="_Toc80783623"/>
      <w:bookmarkStart w:id="1434" w:name="_Toc94931290"/>
      <w:bookmarkStart w:id="1435" w:name="_Toc104275413"/>
      <w:bookmarkStart w:id="1436" w:name="_Toc104276744"/>
      <w:bookmarkStart w:id="1437" w:name="_Toc107198965"/>
      <w:bookmarkStart w:id="1438" w:name="_Toc107799417"/>
      <w:bookmarkStart w:id="1439" w:name="_Toc127087424"/>
      <w:bookmarkStart w:id="1440" w:name="_Toc127183737"/>
      <w:bookmarkStart w:id="1441" w:name="_Toc127338158"/>
      <w:r>
        <w:rPr>
          <w:rStyle w:val="CharDivNo"/>
        </w:rPr>
        <w:t>Division 3</w:t>
      </w:r>
      <w:r>
        <w:rPr>
          <w:snapToGrid w:val="0"/>
        </w:rPr>
        <w:t> — </w:t>
      </w:r>
      <w:r>
        <w:rPr>
          <w:rStyle w:val="CharDivText"/>
        </w:rPr>
        <w:t>Stop Work Orders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r>
        <w:rPr>
          <w:rStyle w:val="CharDivText"/>
        </w:rPr>
        <w:t xml:space="preserve"> </w:t>
      </w:r>
    </w:p>
    <w:p>
      <w:pPr>
        <w:pStyle w:val="Footnoteheading"/>
        <w:ind w:left="890"/>
        <w:rPr>
          <w:snapToGrid w:val="0"/>
        </w:rPr>
      </w:pPr>
      <w:r>
        <w:rPr>
          <w:snapToGrid w:val="0"/>
        </w:rPr>
        <w:tab/>
        <w:t>[Heading inserted in Gazette 24 Jun 1994 p. 2936.]</w:t>
      </w:r>
    </w:p>
    <w:p>
      <w:pPr>
        <w:pStyle w:val="Heading5"/>
        <w:rPr>
          <w:snapToGrid w:val="0"/>
        </w:rPr>
      </w:pPr>
      <w:bookmarkStart w:id="1442" w:name="_Toc474633192"/>
      <w:bookmarkStart w:id="1443" w:name="_Toc488740343"/>
      <w:bookmarkStart w:id="1444" w:name="_Toc8623726"/>
      <w:bookmarkStart w:id="1445" w:name="_Toc11229567"/>
      <w:bookmarkStart w:id="1446" w:name="_Toc104276745"/>
      <w:bookmarkStart w:id="1447" w:name="_Toc127338159"/>
      <w:r>
        <w:rPr>
          <w:rStyle w:val="CharSectno"/>
        </w:rPr>
        <w:t>120L</w:t>
      </w:r>
      <w:r>
        <w:rPr>
          <w:snapToGrid w:val="0"/>
        </w:rPr>
        <w:t>.</w:t>
      </w:r>
      <w:r>
        <w:rPr>
          <w:snapToGrid w:val="0"/>
        </w:rPr>
        <w:tab/>
        <w:t>Inspectors may issue Stop Work Orders</w:t>
      </w:r>
      <w:bookmarkEnd w:id="1442"/>
      <w:bookmarkEnd w:id="1443"/>
      <w:bookmarkEnd w:id="1444"/>
      <w:bookmarkEnd w:id="1445"/>
      <w:bookmarkEnd w:id="1446"/>
      <w:bookmarkEnd w:id="1447"/>
      <w:r>
        <w:rPr>
          <w:snapToGrid w:val="0"/>
        </w:rPr>
        <w:t xml:space="preserve"> </w:t>
      </w:r>
    </w:p>
    <w:p>
      <w:pPr>
        <w:pStyle w:val="Subsection"/>
        <w:rPr>
          <w:snapToGrid w:val="0"/>
        </w:rPr>
      </w:pPr>
      <w:r>
        <w:rPr>
          <w:snapToGrid w:val="0"/>
        </w:rPr>
        <w:tab/>
        <w:t>(1)</w:t>
      </w:r>
      <w:r>
        <w:rPr>
          <w:snapToGrid w:val="0"/>
        </w:rPr>
        <w:tab/>
        <w:t>If an inspector or a senior inspector is of the opinion that —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1448" w:name="_Toc474633193"/>
      <w:bookmarkStart w:id="1449" w:name="_Toc488740344"/>
      <w:bookmarkStart w:id="1450" w:name="_Toc8623727"/>
      <w:bookmarkStart w:id="1451" w:name="_Toc11229568"/>
      <w:bookmarkStart w:id="1452" w:name="_Toc104276746"/>
      <w:bookmarkStart w:id="1453" w:name="_Toc127338160"/>
      <w:r>
        <w:rPr>
          <w:rStyle w:val="CharSectno"/>
        </w:rPr>
        <w:t>120M</w:t>
      </w:r>
      <w:r>
        <w:rPr>
          <w:snapToGrid w:val="0"/>
        </w:rPr>
        <w:t>.</w:t>
      </w:r>
      <w:r>
        <w:rPr>
          <w:snapToGrid w:val="0"/>
        </w:rPr>
        <w:tab/>
        <w:t>Stop Work Orders</w:t>
      </w:r>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r>
      <w:r>
        <w:rPr>
          <w:snapToGrid w:val="0"/>
        </w:rPr>
        <w:tab/>
        <w:t>A Stop Work Order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 xml:space="preserve">[Regulation 120M inserted in Gazette 24 Jun 1994 p. 2937.] </w:t>
      </w:r>
    </w:p>
    <w:p>
      <w:pPr>
        <w:pStyle w:val="Heading5"/>
        <w:rPr>
          <w:snapToGrid w:val="0"/>
        </w:rPr>
      </w:pPr>
      <w:bookmarkStart w:id="1454" w:name="_Toc474633194"/>
      <w:bookmarkStart w:id="1455" w:name="_Toc488740345"/>
      <w:bookmarkStart w:id="1456" w:name="_Toc8623728"/>
      <w:bookmarkStart w:id="1457" w:name="_Toc11229569"/>
      <w:bookmarkStart w:id="1458" w:name="_Toc104276747"/>
      <w:bookmarkStart w:id="1459" w:name="_Toc127338161"/>
      <w:r>
        <w:rPr>
          <w:rStyle w:val="CharSectno"/>
        </w:rPr>
        <w:t>120N</w:t>
      </w:r>
      <w:r>
        <w:rPr>
          <w:snapToGrid w:val="0"/>
        </w:rPr>
        <w:t>.</w:t>
      </w:r>
      <w:r>
        <w:rPr>
          <w:snapToGrid w:val="0"/>
        </w:rPr>
        <w:tab/>
        <w:t>Review of a Stop Work Order</w:t>
      </w:r>
      <w:bookmarkEnd w:id="1454"/>
      <w:bookmarkEnd w:id="1455"/>
      <w:bookmarkEnd w:id="1456"/>
      <w:bookmarkEnd w:id="1457"/>
      <w:bookmarkEnd w:id="1458"/>
      <w:bookmarkEnd w:id="1459"/>
      <w:r>
        <w:rPr>
          <w:snapToGrid w:val="0"/>
        </w:rPr>
        <w:t xml:space="preserve"> </w:t>
      </w:r>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1460" w:name="_Toc474633195"/>
      <w:bookmarkStart w:id="1461" w:name="_Toc488740346"/>
      <w:bookmarkStart w:id="1462" w:name="_Toc8623729"/>
      <w:bookmarkStart w:id="1463" w:name="_Toc11229570"/>
      <w:bookmarkStart w:id="1464" w:name="_Toc104276748"/>
      <w:bookmarkStart w:id="1465" w:name="_Toc127338162"/>
      <w:r>
        <w:rPr>
          <w:rStyle w:val="CharSectno"/>
        </w:rPr>
        <w:t>120O</w:t>
      </w:r>
      <w:r>
        <w:rPr>
          <w:snapToGrid w:val="0"/>
        </w:rPr>
        <w:t>.</w:t>
      </w:r>
      <w:r>
        <w:rPr>
          <w:snapToGrid w:val="0"/>
        </w:rPr>
        <w:tab/>
        <w:t>Compliance with Stop Work Orders</w:t>
      </w:r>
      <w:bookmarkEnd w:id="1460"/>
      <w:bookmarkEnd w:id="1461"/>
      <w:bookmarkEnd w:id="1462"/>
      <w:bookmarkEnd w:id="1463"/>
      <w:bookmarkEnd w:id="1464"/>
      <w:bookmarkEnd w:id="1465"/>
      <w:r>
        <w:rPr>
          <w:snapToGrid w:val="0"/>
        </w:rPr>
        <w:t xml:space="preserve"> </w:t>
      </w:r>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1466" w:name="_Toc74979032"/>
      <w:bookmarkStart w:id="1467" w:name="_Toc74979296"/>
      <w:bookmarkStart w:id="1468" w:name="_Toc79976594"/>
      <w:bookmarkStart w:id="1469" w:name="_Toc80759865"/>
      <w:bookmarkStart w:id="1470" w:name="_Toc80783628"/>
      <w:bookmarkStart w:id="1471" w:name="_Toc94931295"/>
      <w:bookmarkStart w:id="1472" w:name="_Toc104275418"/>
      <w:bookmarkStart w:id="1473" w:name="_Toc104276749"/>
      <w:bookmarkStart w:id="1474" w:name="_Toc107198970"/>
      <w:bookmarkStart w:id="1475" w:name="_Toc107799422"/>
      <w:bookmarkStart w:id="1476" w:name="_Toc127087429"/>
      <w:bookmarkStart w:id="1477" w:name="_Toc127183742"/>
      <w:bookmarkStart w:id="1478" w:name="_Toc127338163"/>
      <w:r>
        <w:rPr>
          <w:rStyle w:val="CharPartNo"/>
        </w:rPr>
        <w:t>Part VIB</w:t>
      </w:r>
      <w:r>
        <w:rPr>
          <w:rStyle w:val="CharDivNo"/>
        </w:rPr>
        <w:t> </w:t>
      </w:r>
      <w:r>
        <w:t>—</w:t>
      </w:r>
      <w:r>
        <w:rPr>
          <w:rStyle w:val="CharDivText"/>
        </w:rPr>
        <w:t> </w:t>
      </w:r>
      <w:r>
        <w:rPr>
          <w:rStyle w:val="CharPartText"/>
        </w:rPr>
        <w:t>Aerial photography</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r>
        <w:rPr>
          <w:rStyle w:val="CharPartText"/>
        </w:rPr>
        <w:t xml:space="preserve"> </w:t>
      </w:r>
    </w:p>
    <w:p>
      <w:pPr>
        <w:pStyle w:val="Footnoteheading"/>
        <w:ind w:left="890"/>
      </w:pPr>
      <w:r>
        <w:tab/>
        <w:t xml:space="preserve">[Heading inserted in Gazette 13 Oct 1995 p. 4821.] </w:t>
      </w:r>
    </w:p>
    <w:p>
      <w:pPr>
        <w:pStyle w:val="Heading5"/>
        <w:rPr>
          <w:snapToGrid w:val="0"/>
        </w:rPr>
      </w:pPr>
      <w:bookmarkStart w:id="1479" w:name="_Toc474633196"/>
      <w:bookmarkStart w:id="1480" w:name="_Toc488740347"/>
      <w:bookmarkStart w:id="1481" w:name="_Toc8623730"/>
      <w:bookmarkStart w:id="1482" w:name="_Toc11229571"/>
      <w:bookmarkStart w:id="1483" w:name="_Toc104276750"/>
      <w:bookmarkStart w:id="1484" w:name="_Toc127338164"/>
      <w:r>
        <w:rPr>
          <w:rStyle w:val="CharSectno"/>
        </w:rPr>
        <w:t>120P</w:t>
      </w:r>
      <w:r>
        <w:rPr>
          <w:snapToGrid w:val="0"/>
        </w:rPr>
        <w:t>.</w:t>
      </w:r>
      <w:r>
        <w:rPr>
          <w:snapToGrid w:val="0"/>
        </w:rPr>
        <w:tab/>
        <w:t>Interpretation in Part VIB</w:t>
      </w:r>
      <w:bookmarkEnd w:id="1479"/>
      <w:bookmarkEnd w:id="1480"/>
      <w:bookmarkEnd w:id="1481"/>
      <w:bookmarkEnd w:id="1482"/>
      <w:bookmarkEnd w:id="1483"/>
      <w:bookmarkEnd w:id="148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aerial photography</w:t>
      </w:r>
      <w:r>
        <w:rPr>
          <w:b/>
        </w:rPr>
        <w:t>”</w:t>
      </w:r>
      <w:r>
        <w:t xml:space="preserve"> means aerial photography for the purposes of mineral exploration;</w:t>
      </w:r>
    </w:p>
    <w:p>
      <w:pPr>
        <w:pStyle w:val="Defstart"/>
      </w:pPr>
      <w:r>
        <w:rPr>
          <w:b/>
        </w:rPr>
        <w:tab/>
        <w:t>“</w:t>
      </w:r>
      <w:r>
        <w:rPr>
          <w:rStyle w:val="CharDefText"/>
        </w:rPr>
        <w:t>contractor</w:t>
      </w:r>
      <w:r>
        <w:rPr>
          <w:b/>
        </w:rPr>
        <w:t>”</w:t>
      </w:r>
      <w:r>
        <w:t xml:space="preserve"> means a person who undertakes aerial photography;</w:t>
      </w:r>
    </w:p>
    <w:p>
      <w:pPr>
        <w:pStyle w:val="Defstart"/>
      </w:pPr>
      <w:r>
        <w:rPr>
          <w:b/>
        </w:rPr>
        <w:tab/>
        <w:t>“</w:t>
      </w:r>
      <w:r>
        <w:rPr>
          <w:rStyle w:val="CharDefText"/>
        </w:rPr>
        <w:t>Director</w:t>
      </w:r>
      <w:r>
        <w:rPr>
          <w:b/>
        </w:rPr>
        <w:t>”</w:t>
      </w:r>
      <w:r>
        <w:t xml:space="preserve"> means the Director, Geological Survey.</w:t>
      </w:r>
    </w:p>
    <w:p>
      <w:pPr>
        <w:pStyle w:val="Footnotesection"/>
      </w:pPr>
      <w:r>
        <w:tab/>
        <w:t xml:space="preserve">[Regulation 120P inserted in Gazette 13 Oct 1995 p. 4821; amended in Gazette 3 Feb 2006 p. 602.] </w:t>
      </w:r>
    </w:p>
    <w:p>
      <w:pPr>
        <w:pStyle w:val="Heading5"/>
        <w:rPr>
          <w:snapToGrid w:val="0"/>
        </w:rPr>
      </w:pPr>
      <w:bookmarkStart w:id="1485" w:name="_Toc474633197"/>
      <w:bookmarkStart w:id="1486" w:name="_Toc488740348"/>
      <w:bookmarkStart w:id="1487" w:name="_Toc8623731"/>
      <w:bookmarkStart w:id="1488" w:name="_Toc11229572"/>
      <w:bookmarkStart w:id="1489" w:name="_Toc104276751"/>
      <w:bookmarkStart w:id="1490" w:name="_Toc127338165"/>
      <w:r>
        <w:rPr>
          <w:rStyle w:val="CharSectno"/>
        </w:rPr>
        <w:t>120Q</w:t>
      </w:r>
      <w:r>
        <w:rPr>
          <w:snapToGrid w:val="0"/>
        </w:rPr>
        <w:t>.</w:t>
      </w:r>
      <w:r>
        <w:rPr>
          <w:snapToGrid w:val="0"/>
        </w:rPr>
        <w:tab/>
        <w:t>Information to be provided as to aerial photography</w:t>
      </w:r>
      <w:bookmarkEnd w:id="1485"/>
      <w:bookmarkEnd w:id="1486"/>
      <w:bookmarkEnd w:id="1487"/>
      <w:bookmarkEnd w:id="1488"/>
      <w:bookmarkEnd w:id="1489"/>
      <w:bookmarkEnd w:id="1490"/>
      <w:r>
        <w:rPr>
          <w:snapToGrid w:val="0"/>
        </w:rPr>
        <w:t xml:space="preserve"> </w:t>
      </w:r>
    </w:p>
    <w:p>
      <w:pPr>
        <w:pStyle w:val="Subsection"/>
        <w:rPr>
          <w:snapToGrid w:val="0"/>
        </w:rPr>
      </w:pPr>
      <w:r>
        <w:rPr>
          <w:snapToGrid w:val="0"/>
        </w:rPr>
        <w:tab/>
        <w:t>(1)</w:t>
      </w:r>
      <w:r>
        <w:rPr>
          <w:snapToGrid w:val="0"/>
        </w:rPr>
        <w:tab/>
        <w:t>A contractor shall within one year of undertaking aerial photography provide the Director with the following information —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 xml:space="preserve">2.] </w:t>
      </w:r>
    </w:p>
    <w:p>
      <w:pPr>
        <w:pStyle w:val="Heading5"/>
        <w:rPr>
          <w:snapToGrid w:val="0"/>
        </w:rPr>
      </w:pPr>
      <w:bookmarkStart w:id="1491" w:name="_Toc474633198"/>
      <w:bookmarkStart w:id="1492" w:name="_Toc488740349"/>
      <w:bookmarkStart w:id="1493" w:name="_Toc8623732"/>
      <w:bookmarkStart w:id="1494" w:name="_Toc11229573"/>
      <w:bookmarkStart w:id="1495" w:name="_Toc104276752"/>
      <w:bookmarkStart w:id="1496" w:name="_Toc127338166"/>
      <w:r>
        <w:rPr>
          <w:rStyle w:val="CharSectno"/>
        </w:rPr>
        <w:t>120R</w:t>
      </w:r>
      <w:r>
        <w:rPr>
          <w:snapToGrid w:val="0"/>
        </w:rPr>
        <w:t>.</w:t>
      </w:r>
      <w:r>
        <w:rPr>
          <w:snapToGrid w:val="0"/>
        </w:rPr>
        <w:tab/>
        <w:t>Register</w:t>
      </w:r>
      <w:bookmarkEnd w:id="1491"/>
      <w:bookmarkEnd w:id="1492"/>
      <w:bookmarkEnd w:id="1493"/>
      <w:bookmarkEnd w:id="1494"/>
      <w:bookmarkEnd w:id="1495"/>
      <w:bookmarkEnd w:id="1496"/>
      <w:r>
        <w:rPr>
          <w:snapToGrid w:val="0"/>
        </w:rPr>
        <w:t xml:space="preserve"> </w:t>
      </w:r>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 xml:space="preserve">[Regulation 120R inserted in Gazette 13 Oct 1995 p. 4822.] </w:t>
      </w:r>
    </w:p>
    <w:p>
      <w:pPr>
        <w:pStyle w:val="Heading5"/>
        <w:rPr>
          <w:snapToGrid w:val="0"/>
        </w:rPr>
      </w:pPr>
      <w:bookmarkStart w:id="1497" w:name="_Toc474633199"/>
      <w:bookmarkStart w:id="1498" w:name="_Toc488740350"/>
      <w:bookmarkStart w:id="1499" w:name="_Toc8623733"/>
      <w:bookmarkStart w:id="1500" w:name="_Toc11229574"/>
      <w:bookmarkStart w:id="1501" w:name="_Toc104276753"/>
      <w:bookmarkStart w:id="1502" w:name="_Toc127338167"/>
      <w:r>
        <w:rPr>
          <w:rStyle w:val="CharSectno"/>
        </w:rPr>
        <w:t>120S</w:t>
      </w:r>
      <w:r>
        <w:rPr>
          <w:snapToGrid w:val="0"/>
        </w:rPr>
        <w:t>.</w:t>
      </w:r>
      <w:r>
        <w:rPr>
          <w:snapToGrid w:val="0"/>
        </w:rPr>
        <w:tab/>
        <w:t>Confidentiality of information</w:t>
      </w:r>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 xml:space="preserve">[Regulation 120S inserted in Gazette 13 Oct 1995 p. 4822.] </w:t>
      </w:r>
    </w:p>
    <w:p>
      <w:pPr>
        <w:pStyle w:val="Heading2"/>
      </w:pPr>
      <w:bookmarkStart w:id="1503" w:name="_Toc74979037"/>
      <w:bookmarkStart w:id="1504" w:name="_Toc74979301"/>
      <w:bookmarkStart w:id="1505" w:name="_Toc79976599"/>
      <w:bookmarkStart w:id="1506" w:name="_Toc80759870"/>
      <w:bookmarkStart w:id="1507" w:name="_Toc80783633"/>
      <w:bookmarkStart w:id="1508" w:name="_Toc94931300"/>
      <w:bookmarkStart w:id="1509" w:name="_Toc104275423"/>
      <w:bookmarkStart w:id="1510" w:name="_Toc104276754"/>
      <w:bookmarkStart w:id="1511" w:name="_Toc107198975"/>
      <w:bookmarkStart w:id="1512" w:name="_Toc107799427"/>
      <w:bookmarkStart w:id="1513" w:name="_Toc127087434"/>
      <w:bookmarkStart w:id="1514" w:name="_Toc127183747"/>
      <w:bookmarkStart w:id="1515" w:name="_Toc127338168"/>
      <w:r>
        <w:rPr>
          <w:rStyle w:val="CharPartNo"/>
        </w:rPr>
        <w:t>Part VII</w:t>
      </w:r>
      <w:r>
        <w:rPr>
          <w:rStyle w:val="CharDivNo"/>
        </w:rPr>
        <w:t> </w:t>
      </w:r>
      <w:r>
        <w:t>—</w:t>
      </w:r>
      <w:r>
        <w:rPr>
          <w:rStyle w:val="CharDivText"/>
        </w:rPr>
        <w:t> </w:t>
      </w:r>
      <w:r>
        <w:rPr>
          <w:rStyle w:val="CharPartText"/>
        </w:rPr>
        <w:t>Legal proceedings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r>
        <w:rPr>
          <w:rStyle w:val="CharPartText"/>
        </w:rPr>
        <w:t xml:space="preserve"> </w:t>
      </w:r>
    </w:p>
    <w:p>
      <w:pPr>
        <w:pStyle w:val="Heading5"/>
        <w:spacing w:before="120"/>
        <w:rPr>
          <w:snapToGrid w:val="0"/>
        </w:rPr>
      </w:pPr>
      <w:bookmarkStart w:id="1516" w:name="_Toc474633200"/>
      <w:bookmarkStart w:id="1517" w:name="_Toc488740351"/>
      <w:bookmarkStart w:id="1518" w:name="_Toc8623734"/>
      <w:bookmarkStart w:id="1519" w:name="_Toc11229575"/>
      <w:bookmarkStart w:id="1520" w:name="_Toc104276755"/>
      <w:bookmarkStart w:id="1521" w:name="_Toc127338169"/>
      <w:r>
        <w:rPr>
          <w:rStyle w:val="CharSectno"/>
        </w:rPr>
        <w:t>121</w:t>
      </w:r>
      <w:r>
        <w:rPr>
          <w:snapToGrid w:val="0"/>
        </w:rPr>
        <w:t>.</w:t>
      </w:r>
      <w:r>
        <w:rPr>
          <w:snapToGrid w:val="0"/>
        </w:rPr>
        <w:tab/>
        <w:t>Proceedings</w:t>
      </w:r>
      <w:bookmarkEnd w:id="1516"/>
      <w:bookmarkEnd w:id="1517"/>
      <w:bookmarkEnd w:id="1518"/>
      <w:bookmarkEnd w:id="1519"/>
      <w:bookmarkEnd w:id="1520"/>
      <w:bookmarkEnd w:id="1521"/>
      <w:r>
        <w:rPr>
          <w:snapToGrid w:val="0"/>
        </w:rPr>
        <w:t xml:space="preserve"> </w:t>
      </w:r>
    </w:p>
    <w:p>
      <w:pPr>
        <w:pStyle w:val="Subsection"/>
        <w:spacing w:before="10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00"/>
        <w:rPr>
          <w:snapToGrid w:val="0"/>
        </w:rPr>
      </w:pPr>
      <w:r>
        <w:rPr>
          <w:snapToGrid w:val="0"/>
        </w:rPr>
        <w:tab/>
        <w:t>(2)</w:t>
      </w:r>
      <w:r>
        <w:rPr>
          <w:snapToGrid w:val="0"/>
        </w:rPr>
        <w:tab/>
        <w:t>Fees payable in respect of such proceedings are respectively set out in the Second Schedule.</w:t>
      </w:r>
    </w:p>
    <w:p>
      <w:pPr>
        <w:pStyle w:val="Heading5"/>
        <w:spacing w:before="120"/>
        <w:rPr>
          <w:snapToGrid w:val="0"/>
        </w:rPr>
      </w:pPr>
      <w:bookmarkStart w:id="1522" w:name="_Toc474633201"/>
      <w:bookmarkStart w:id="1523" w:name="_Toc488740352"/>
      <w:bookmarkStart w:id="1524" w:name="_Toc8623735"/>
      <w:bookmarkStart w:id="1525" w:name="_Toc11229576"/>
      <w:bookmarkStart w:id="1526" w:name="_Toc104276756"/>
      <w:bookmarkStart w:id="1527" w:name="_Toc127338170"/>
      <w:r>
        <w:rPr>
          <w:rStyle w:val="CharSectno"/>
        </w:rPr>
        <w:t>122</w:t>
      </w:r>
      <w:r>
        <w:rPr>
          <w:snapToGrid w:val="0"/>
        </w:rPr>
        <w:t>.</w:t>
      </w:r>
      <w:r>
        <w:rPr>
          <w:snapToGrid w:val="0"/>
        </w:rPr>
        <w:tab/>
        <w:t>Lodgement, withdrawal of plaint</w:t>
      </w:r>
      <w:bookmarkEnd w:id="1522"/>
      <w:bookmarkEnd w:id="1523"/>
      <w:bookmarkEnd w:id="1524"/>
      <w:bookmarkEnd w:id="1525"/>
      <w:bookmarkEnd w:id="1526"/>
      <w:bookmarkEnd w:id="1527"/>
      <w:r>
        <w:rPr>
          <w:snapToGrid w:val="0"/>
        </w:rPr>
        <w:t xml:space="preserve"> </w:t>
      </w:r>
    </w:p>
    <w:p>
      <w:pPr>
        <w:pStyle w:val="Subsection"/>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rPr>
          <w:snapToGrid w:val="0"/>
        </w:rPr>
      </w:pPr>
      <w:r>
        <w:rPr>
          <w:snapToGrid w:val="0"/>
        </w:rPr>
        <w:tab/>
        <w:t>(2)</w:t>
      </w:r>
      <w:r>
        <w:rPr>
          <w:snapToGrid w:val="0"/>
        </w:rPr>
        <w:tab/>
        <w:t>A plaint shall not be withdrawn or proceedings stayed after a summons has been served without the written consent of the defendant or by leave of the warden.</w:t>
      </w:r>
    </w:p>
    <w:p>
      <w:pPr>
        <w:pStyle w:val="Heading5"/>
        <w:rPr>
          <w:snapToGrid w:val="0"/>
        </w:rPr>
      </w:pPr>
      <w:bookmarkStart w:id="1528" w:name="_Toc474633202"/>
      <w:bookmarkStart w:id="1529" w:name="_Toc488740353"/>
      <w:bookmarkStart w:id="1530" w:name="_Toc8623736"/>
      <w:bookmarkStart w:id="1531" w:name="_Toc11229577"/>
      <w:bookmarkStart w:id="1532" w:name="_Toc104276757"/>
      <w:bookmarkStart w:id="1533" w:name="_Toc127338171"/>
      <w:r>
        <w:rPr>
          <w:rStyle w:val="CharSectno"/>
        </w:rPr>
        <w:t>123</w:t>
      </w:r>
      <w:r>
        <w:rPr>
          <w:snapToGrid w:val="0"/>
        </w:rPr>
        <w:t>.</w:t>
      </w:r>
      <w:r>
        <w:rPr>
          <w:snapToGrid w:val="0"/>
        </w:rPr>
        <w:tab/>
        <w:t>Issue of summons</w:t>
      </w:r>
      <w:bookmarkEnd w:id="1528"/>
      <w:bookmarkEnd w:id="1529"/>
      <w:bookmarkEnd w:id="1530"/>
      <w:bookmarkEnd w:id="1531"/>
      <w:bookmarkEnd w:id="1532"/>
      <w:bookmarkEnd w:id="1533"/>
      <w:r>
        <w:rPr>
          <w:snapToGrid w:val="0"/>
        </w:rPr>
        <w:t xml:space="preserve"> </w:t>
      </w:r>
    </w:p>
    <w:p>
      <w:pPr>
        <w:pStyle w:val="Subsection"/>
        <w:rPr>
          <w:snapToGrid w:val="0"/>
        </w:rPr>
      </w:pPr>
      <w:r>
        <w:rPr>
          <w:snapToGrid w:val="0"/>
        </w:rPr>
        <w:tab/>
      </w:r>
      <w:r>
        <w:rPr>
          <w:snapToGrid w:val="0"/>
        </w:rPr>
        <w:tab/>
        <w:t>On receipt of a plaint, the mining registrar shall — </w:t>
      </w:r>
    </w:p>
    <w:p>
      <w:pPr>
        <w:pStyle w:val="Indenta"/>
        <w:rPr>
          <w:snapToGrid w:val="0"/>
        </w:rPr>
      </w:pPr>
      <w:r>
        <w:rPr>
          <w:snapToGrid w:val="0"/>
        </w:rPr>
        <w:tab/>
        <w:t>(a)</w:t>
      </w:r>
      <w:r>
        <w:rPr>
          <w:snapToGrid w:val="0"/>
        </w:rPr>
        <w:tab/>
        <w:t>fix a date and time for hearing in the warden’s court being not less than </w:t>
      </w:r>
      <w:r>
        <w:t>45</w:t>
      </w:r>
      <w:r>
        <w:rPr>
          <w:snapToGrid w:val="0"/>
        </w:rPr>
        <w:t> days from the date of lodgement, unless all parties to the action consent to an earlier hearing date;</w:t>
      </w:r>
    </w:p>
    <w:p>
      <w:pPr>
        <w:pStyle w:val="Indenta"/>
        <w:rPr>
          <w:snapToGrid w:val="0"/>
        </w:rPr>
      </w:pPr>
      <w:r>
        <w:rPr>
          <w:snapToGrid w:val="0"/>
        </w:rPr>
        <w:tab/>
        <w:t>(b)</w:t>
      </w:r>
      <w:r>
        <w:rPr>
          <w:snapToGrid w:val="0"/>
        </w:rPr>
        <w:tab/>
        <w:t>advise the plaintiff of the hearing date; and</w:t>
      </w:r>
    </w:p>
    <w:p>
      <w:pPr>
        <w:pStyle w:val="Indenta"/>
        <w:rPr>
          <w:snapToGrid w:val="0"/>
        </w:rPr>
      </w:pPr>
      <w:r>
        <w:rPr>
          <w:snapToGrid w:val="0"/>
        </w:rPr>
        <w:tab/>
        <w:t>(c)</w:t>
      </w:r>
      <w:r>
        <w:rPr>
          <w:snapToGrid w:val="0"/>
        </w:rPr>
        <w:tab/>
        <w:t>issue a summons in the form No. 34 in the First Schedule in duplicate addressed to each defendant and forward it for service to — </w:t>
      </w:r>
    </w:p>
    <w:p>
      <w:pPr>
        <w:pStyle w:val="Indenti"/>
        <w:rPr>
          <w:snapToGrid w:val="0"/>
        </w:rPr>
      </w:pPr>
      <w:r>
        <w:rPr>
          <w:snapToGrid w:val="0"/>
        </w:rPr>
        <w:tab/>
        <w:t>(i)</w:t>
      </w:r>
      <w:r>
        <w:rPr>
          <w:snapToGrid w:val="0"/>
        </w:rPr>
        <w:tab/>
        <w:t>the plaintiff;</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Footnotesection"/>
      </w:pPr>
      <w:r>
        <w:tab/>
        <w:t>[Regulation 123 amended in Gazette 17 Jan 2003 p. 114.]</w:t>
      </w:r>
    </w:p>
    <w:p>
      <w:pPr>
        <w:pStyle w:val="Heading5"/>
        <w:rPr>
          <w:snapToGrid w:val="0"/>
        </w:rPr>
      </w:pPr>
      <w:bookmarkStart w:id="1534" w:name="_Toc474633203"/>
      <w:bookmarkStart w:id="1535" w:name="_Toc488740354"/>
      <w:bookmarkStart w:id="1536" w:name="_Toc8623737"/>
      <w:bookmarkStart w:id="1537" w:name="_Toc11229578"/>
      <w:bookmarkStart w:id="1538" w:name="_Toc104276758"/>
      <w:bookmarkStart w:id="1539" w:name="_Toc127338172"/>
      <w:r>
        <w:rPr>
          <w:rStyle w:val="CharSectno"/>
        </w:rPr>
        <w:t>124</w:t>
      </w:r>
      <w:r>
        <w:rPr>
          <w:snapToGrid w:val="0"/>
        </w:rPr>
        <w:t>.</w:t>
      </w:r>
      <w:r>
        <w:rPr>
          <w:snapToGrid w:val="0"/>
        </w:rPr>
        <w:tab/>
        <w:t>Affidavit of service</w:t>
      </w:r>
      <w:bookmarkEnd w:id="1534"/>
      <w:bookmarkEnd w:id="1535"/>
      <w:bookmarkEnd w:id="1536"/>
      <w:bookmarkEnd w:id="1537"/>
      <w:bookmarkEnd w:id="1538"/>
      <w:bookmarkEnd w:id="1539"/>
      <w:r>
        <w:rPr>
          <w:snapToGrid w:val="0"/>
        </w:rPr>
        <w:t xml:space="preserve"> </w:t>
      </w:r>
    </w:p>
    <w:p>
      <w:pPr>
        <w:pStyle w:val="Subsection"/>
        <w:rPr>
          <w:snapToGrid w:val="0"/>
        </w:rPr>
      </w:pPr>
      <w:r>
        <w:rPr>
          <w:snapToGrid w:val="0"/>
        </w:rPr>
        <w:tab/>
      </w:r>
      <w:r>
        <w:rPr>
          <w:snapToGrid w:val="0"/>
        </w:rPr>
        <w:tab/>
        <w:t>The person to whom the summonses are delivered shall serve them without delay, and thereupon shall make an affidavit of service, in the form No. 35 in the First Schedule and deliver it to the mining registrar.</w:t>
      </w:r>
    </w:p>
    <w:p>
      <w:pPr>
        <w:pStyle w:val="Heading5"/>
        <w:rPr>
          <w:snapToGrid w:val="0"/>
        </w:rPr>
      </w:pPr>
      <w:bookmarkStart w:id="1540" w:name="_Toc474633204"/>
      <w:bookmarkStart w:id="1541" w:name="_Toc488740355"/>
      <w:bookmarkStart w:id="1542" w:name="_Toc8623738"/>
      <w:bookmarkStart w:id="1543" w:name="_Toc11229579"/>
      <w:bookmarkStart w:id="1544" w:name="_Toc104276759"/>
      <w:bookmarkStart w:id="1545" w:name="_Toc127338173"/>
      <w:r>
        <w:rPr>
          <w:rStyle w:val="CharSectno"/>
        </w:rPr>
        <w:t>125</w:t>
      </w:r>
      <w:r>
        <w:rPr>
          <w:snapToGrid w:val="0"/>
        </w:rPr>
        <w:t>.</w:t>
      </w:r>
      <w:r>
        <w:rPr>
          <w:snapToGrid w:val="0"/>
        </w:rPr>
        <w:tab/>
        <w:t>Time for service</w:t>
      </w:r>
      <w:bookmarkEnd w:id="1540"/>
      <w:bookmarkEnd w:id="1541"/>
      <w:bookmarkEnd w:id="1542"/>
      <w:bookmarkEnd w:id="1543"/>
      <w:bookmarkEnd w:id="1544"/>
      <w:bookmarkEnd w:id="1545"/>
      <w:r>
        <w:rPr>
          <w:snapToGrid w:val="0"/>
        </w:rPr>
        <w:t xml:space="preserve"> </w:t>
      </w:r>
    </w:p>
    <w:p>
      <w:pPr>
        <w:pStyle w:val="Subsection"/>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rPr>
          <w:snapToGrid w:val="0"/>
        </w:rPr>
      </w:pPr>
      <w:r>
        <w:rPr>
          <w:snapToGrid w:val="0"/>
        </w:rPr>
        <w:tab/>
        <w:t>(2)</w:t>
      </w:r>
      <w:r>
        <w:rPr>
          <w:snapToGrid w:val="0"/>
        </w:rPr>
        <w:tab/>
        <w:t>Where a summons has not been served within the prescribed time, the warden or mining registrar may, on giving notice to the plaintiff, extend the date of hearing and issue an amended summons.</w:t>
      </w:r>
    </w:p>
    <w:p>
      <w:pPr>
        <w:pStyle w:val="Footnotesection"/>
      </w:pPr>
      <w:r>
        <w:tab/>
        <w:t>[Regulation 125 amended in Gazette 17 Jan 2003 p. 114.]</w:t>
      </w:r>
    </w:p>
    <w:p>
      <w:pPr>
        <w:pStyle w:val="Heading5"/>
        <w:spacing w:before="120"/>
        <w:rPr>
          <w:snapToGrid w:val="0"/>
        </w:rPr>
      </w:pPr>
      <w:bookmarkStart w:id="1546" w:name="_Toc474633205"/>
      <w:bookmarkStart w:id="1547" w:name="_Toc488740356"/>
      <w:bookmarkStart w:id="1548" w:name="_Toc8623739"/>
      <w:bookmarkStart w:id="1549" w:name="_Toc11229580"/>
      <w:bookmarkStart w:id="1550" w:name="_Toc104276760"/>
      <w:bookmarkStart w:id="1551" w:name="_Toc127338174"/>
      <w:r>
        <w:rPr>
          <w:rStyle w:val="CharSectno"/>
        </w:rPr>
        <w:t>126</w:t>
      </w:r>
      <w:r>
        <w:rPr>
          <w:snapToGrid w:val="0"/>
        </w:rPr>
        <w:t>.</w:t>
      </w:r>
      <w:r>
        <w:rPr>
          <w:snapToGrid w:val="0"/>
        </w:rPr>
        <w:tab/>
        <w:t>Notice of defence</w:t>
      </w:r>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r>
      <w:r>
        <w:rPr>
          <w:snapToGrid w:val="0"/>
        </w:rPr>
        <w:tab/>
        <w:t xml:space="preserve">When the defendant intends to dispute the claim he shall lodge at the office of the mining registrar not less than </w:t>
      </w:r>
      <w:r>
        <w:t>21</w:t>
      </w:r>
      <w:r>
        <w:rPr>
          <w:snapToGrid w:val="0"/>
        </w:rPr>
        <w:t> days before the date fixed for the hearing or at any subsequent time prior to the hearing as the warden may allow a notice of defence in the form No. 36 in the First Schedule with the prescribed fee, and the mining registrar shall forward a copy of the notice to the plaintiff.</w:t>
      </w:r>
    </w:p>
    <w:p>
      <w:pPr>
        <w:pStyle w:val="Footnotesection"/>
      </w:pPr>
      <w:r>
        <w:tab/>
        <w:t xml:space="preserve">[Regulation 126 amended in Gazette 24 Jun 1994 p. 2938; 11 Jun 1999 p. 2545; 17 Jan 2003 p. 114.] </w:t>
      </w:r>
    </w:p>
    <w:p>
      <w:pPr>
        <w:pStyle w:val="Heading5"/>
        <w:spacing w:before="120"/>
        <w:rPr>
          <w:snapToGrid w:val="0"/>
        </w:rPr>
      </w:pPr>
      <w:bookmarkStart w:id="1552" w:name="_Toc474633206"/>
      <w:bookmarkStart w:id="1553" w:name="_Toc488740357"/>
      <w:bookmarkStart w:id="1554" w:name="_Toc8623740"/>
      <w:bookmarkStart w:id="1555" w:name="_Toc11229581"/>
      <w:bookmarkStart w:id="1556" w:name="_Toc104276761"/>
      <w:bookmarkStart w:id="1557" w:name="_Toc127338175"/>
      <w:r>
        <w:rPr>
          <w:rStyle w:val="CharSectno"/>
        </w:rPr>
        <w:t>127</w:t>
      </w:r>
      <w:r>
        <w:rPr>
          <w:snapToGrid w:val="0"/>
        </w:rPr>
        <w:t>.</w:t>
      </w:r>
      <w:r>
        <w:rPr>
          <w:snapToGrid w:val="0"/>
        </w:rPr>
        <w:tab/>
        <w:t>Subpoena of witness</w:t>
      </w:r>
      <w:bookmarkEnd w:id="1552"/>
      <w:bookmarkEnd w:id="1553"/>
      <w:bookmarkEnd w:id="1554"/>
      <w:bookmarkEnd w:id="1555"/>
      <w:bookmarkEnd w:id="1556"/>
      <w:bookmarkEnd w:id="1557"/>
      <w:r>
        <w:rPr>
          <w:snapToGrid w:val="0"/>
        </w:rPr>
        <w:t xml:space="preserve"> </w:t>
      </w:r>
    </w:p>
    <w:p>
      <w:pPr>
        <w:pStyle w:val="Subsection"/>
        <w:rPr>
          <w:snapToGrid w:val="0"/>
        </w:rPr>
      </w:pPr>
      <w:r>
        <w:rPr>
          <w:snapToGrid w:val="0"/>
        </w:rPr>
        <w:tab/>
        <w:t>(1)</w:t>
      </w:r>
      <w:r>
        <w:rPr>
          <w:snapToGrid w:val="0"/>
        </w:rPr>
        <w:tab/>
        <w:t>Each party may procure the attendance of witnesses by means of a subpoena in the form No. 37 in the First Schedule.</w:t>
      </w:r>
    </w:p>
    <w:p>
      <w:pPr>
        <w:pStyle w:val="Subsection"/>
        <w:rPr>
          <w:snapToGrid w:val="0"/>
        </w:rPr>
      </w:pPr>
      <w:r>
        <w:rPr>
          <w:snapToGrid w:val="0"/>
        </w:rPr>
        <w:tab/>
        <w:t>(2)</w:t>
      </w:r>
      <w:r>
        <w:rPr>
          <w:snapToGrid w:val="0"/>
        </w:rPr>
        <w:tab/>
        <w:t xml:space="preserve">A witness who attends in answer to a subpoena shall be entitled to the allowances prescribed in the </w:t>
      </w:r>
      <w:r>
        <w:rPr>
          <w:i/>
          <w:snapToGrid w:val="0"/>
        </w:rPr>
        <w:t>Local Court Rules 1961</w:t>
      </w:r>
      <w:r>
        <w:rPr>
          <w:snapToGrid w:val="0"/>
        </w:rPr>
        <w:t>.</w:t>
      </w:r>
    </w:p>
    <w:p>
      <w:pPr>
        <w:pStyle w:val="Subsection"/>
        <w:rPr>
          <w:snapToGrid w:val="0"/>
        </w:rPr>
      </w:pPr>
      <w:r>
        <w:rPr>
          <w:snapToGrid w:val="0"/>
        </w:rPr>
        <w:tab/>
        <w:t>(3)</w:t>
      </w:r>
      <w:r>
        <w:rPr>
          <w:snapToGrid w:val="0"/>
        </w:rPr>
        <w:tab/>
        <w:t>A witness is not required to attend unless at the time of the service of the subpoena a reasonable sum as conduct money is tendered to him.</w:t>
      </w:r>
    </w:p>
    <w:p>
      <w:pPr>
        <w:pStyle w:val="Heading5"/>
        <w:rPr>
          <w:snapToGrid w:val="0"/>
        </w:rPr>
      </w:pPr>
      <w:bookmarkStart w:id="1558" w:name="_Toc474633207"/>
      <w:bookmarkStart w:id="1559" w:name="_Toc488740358"/>
      <w:bookmarkStart w:id="1560" w:name="_Toc8623741"/>
      <w:bookmarkStart w:id="1561" w:name="_Toc11229582"/>
      <w:bookmarkStart w:id="1562" w:name="_Toc104276762"/>
      <w:bookmarkStart w:id="1563" w:name="_Toc127338176"/>
      <w:r>
        <w:rPr>
          <w:rStyle w:val="CharSectno"/>
        </w:rPr>
        <w:t>127A</w:t>
      </w:r>
      <w:r>
        <w:rPr>
          <w:snapToGrid w:val="0"/>
        </w:rPr>
        <w:t>.</w:t>
      </w:r>
      <w:r>
        <w:rPr>
          <w:snapToGrid w:val="0"/>
        </w:rPr>
        <w:tab/>
        <w:t>Persons before whom affidavit may be sworn</w:t>
      </w:r>
      <w:bookmarkEnd w:id="1558"/>
      <w:bookmarkEnd w:id="1559"/>
      <w:bookmarkEnd w:id="1560"/>
      <w:bookmarkEnd w:id="1561"/>
      <w:bookmarkEnd w:id="1562"/>
      <w:bookmarkEnd w:id="1563"/>
      <w:r>
        <w:rPr>
          <w:snapToGrid w:val="0"/>
        </w:rPr>
        <w:t xml:space="preserve"> </w:t>
      </w:r>
    </w:p>
    <w:p>
      <w:pPr>
        <w:pStyle w:val="Subsection"/>
        <w:rPr>
          <w:snapToGrid w:val="0"/>
        </w:rPr>
      </w:pPr>
      <w:r>
        <w:rPr>
          <w:snapToGrid w:val="0"/>
        </w:rPr>
        <w:tab/>
      </w:r>
      <w:r>
        <w:rPr>
          <w:snapToGrid w:val="0"/>
        </w:rPr>
        <w:tab/>
        <w:t>For the purposes of section 144(e) of the Act, the offices of — </w:t>
      </w:r>
    </w:p>
    <w:p>
      <w:pPr>
        <w:pStyle w:val="Indenta"/>
      </w:pPr>
      <w:r>
        <w:tab/>
        <w:t>(a)</w:t>
      </w:r>
      <w:r>
        <w:tab/>
        <w:t>Director;</w:t>
      </w:r>
    </w:p>
    <w:p>
      <w:pPr>
        <w:pStyle w:val="Indenta"/>
      </w:pPr>
      <w:r>
        <w:tab/>
        <w:t>(b)</w:t>
      </w:r>
      <w:r>
        <w:tab/>
        <w:t>General Manager;</w:t>
      </w:r>
    </w:p>
    <w:p>
      <w:pPr>
        <w:pStyle w:val="Indenta"/>
      </w:pPr>
      <w:r>
        <w:tab/>
        <w:t>(c)</w:t>
      </w:r>
      <w:r>
        <w:tab/>
        <w:t>Manager; and</w:t>
      </w:r>
    </w:p>
    <w:p>
      <w:pPr>
        <w:pStyle w:val="Indenta"/>
        <w:rPr>
          <w:snapToGrid w:val="0"/>
        </w:rPr>
      </w:pPr>
      <w:r>
        <w:tab/>
        <w:t>(d)</w:t>
      </w:r>
      <w:r>
        <w:tab/>
        <w:t>Co</w:t>
      </w:r>
      <w:r>
        <w:noBreakHyphen/>
        <w:t>ordinator,</w:t>
      </w:r>
    </w:p>
    <w:p>
      <w:pPr>
        <w:pStyle w:val="Subsection"/>
        <w:rPr>
          <w:snapToGrid w:val="0"/>
        </w:rPr>
      </w:pPr>
      <w:r>
        <w:rPr>
          <w:snapToGrid w:val="0"/>
        </w:rPr>
        <w:tab/>
      </w:r>
      <w:r>
        <w:rPr>
          <w:snapToGrid w:val="0"/>
        </w:rP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 xml:space="preserve">[Regulation 127A inserted in Gazette 24 Jun 1994 p. 2938; amended in Gazette 13 Oct 1995 p. 4822; 4 Apr 1997 p. 1779; 21 Jan 2000 p. 345.] </w:t>
      </w:r>
    </w:p>
    <w:p>
      <w:pPr>
        <w:pStyle w:val="Heading5"/>
        <w:rPr>
          <w:snapToGrid w:val="0"/>
        </w:rPr>
      </w:pPr>
      <w:bookmarkStart w:id="1564" w:name="_Toc474633208"/>
      <w:bookmarkStart w:id="1565" w:name="_Toc488740359"/>
      <w:bookmarkStart w:id="1566" w:name="_Toc8623742"/>
      <w:bookmarkStart w:id="1567" w:name="_Toc11229583"/>
      <w:bookmarkStart w:id="1568" w:name="_Toc104276763"/>
      <w:bookmarkStart w:id="1569" w:name="_Toc127338177"/>
      <w:r>
        <w:rPr>
          <w:rStyle w:val="CharSectno"/>
        </w:rPr>
        <w:t>128</w:t>
      </w:r>
      <w:r>
        <w:rPr>
          <w:snapToGrid w:val="0"/>
        </w:rPr>
        <w:t>.</w:t>
      </w:r>
      <w:r>
        <w:rPr>
          <w:snapToGrid w:val="0"/>
        </w:rPr>
        <w:tab/>
        <w:t>Costs</w:t>
      </w:r>
      <w:bookmarkEnd w:id="1564"/>
      <w:bookmarkEnd w:id="1565"/>
      <w:bookmarkEnd w:id="1566"/>
      <w:bookmarkEnd w:id="1567"/>
      <w:bookmarkEnd w:id="1568"/>
      <w:bookmarkEnd w:id="1569"/>
      <w:r>
        <w:rPr>
          <w:snapToGrid w:val="0"/>
        </w:rPr>
        <w:t xml:space="preserve"> </w:t>
      </w:r>
    </w:p>
    <w:p>
      <w:pPr>
        <w:pStyle w:val="Subsection"/>
        <w:rPr>
          <w:snapToGrid w:val="0"/>
        </w:rPr>
      </w:pPr>
      <w:r>
        <w:rPr>
          <w:snapToGrid w:val="0"/>
        </w:rPr>
        <w:tab/>
        <w:t>(1)</w:t>
      </w:r>
      <w:r>
        <w:rPr>
          <w:snapToGrid w:val="0"/>
        </w:rPr>
        <w:tab/>
        <w:t xml:space="preserve">Where the warden’s court orders costs to be paid by any party, those costs shall be in accordance with the costs allowed under the </w:t>
      </w:r>
      <w:r>
        <w:rPr>
          <w:i/>
          <w:snapToGrid w:val="0"/>
        </w:rPr>
        <w:t>Local Court Rules 1961</w:t>
      </w:r>
      <w:r>
        <w:rPr>
          <w:snapToGrid w:val="0"/>
        </w:rPr>
        <w:t>.</w:t>
      </w:r>
    </w:p>
    <w:p>
      <w:pPr>
        <w:pStyle w:val="Subsection"/>
        <w:rPr>
          <w:snapToGrid w:val="0"/>
        </w:rPr>
      </w:pPr>
      <w:r>
        <w:rPr>
          <w:snapToGrid w:val="0"/>
        </w:rPr>
        <w:tab/>
        <w:t>(2)</w:t>
      </w:r>
      <w:r>
        <w:rPr>
          <w:snapToGrid w:val="0"/>
        </w:rPr>
        <w:tab/>
        <w:t>Where there is no money demanded, the warden’s court shall determine under which scale the costs are to be awarded.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allowance under the </w:t>
      </w:r>
      <w:r>
        <w:rPr>
          <w:i/>
          <w:snapToGrid w:val="0"/>
        </w:rPr>
        <w:t>Local Court Rules 1961</w:t>
      </w:r>
      <w:r>
        <w:rPr>
          <w:snapToGrid w:val="0"/>
        </w:rPr>
        <w:t xml:space="preserve"> is inadequate in that regard, the warden may, upon application at the trial (to which the party against whom the order is sought is entitled to be heard in reply) fix —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Heading5"/>
        <w:rPr>
          <w:snapToGrid w:val="0"/>
        </w:rPr>
      </w:pPr>
      <w:bookmarkStart w:id="1570" w:name="_Toc474633209"/>
      <w:bookmarkStart w:id="1571" w:name="_Toc488740360"/>
      <w:bookmarkStart w:id="1572" w:name="_Toc8623743"/>
      <w:bookmarkStart w:id="1573" w:name="_Toc11229584"/>
      <w:bookmarkStart w:id="1574" w:name="_Toc104276764"/>
      <w:bookmarkStart w:id="1575" w:name="_Toc127338178"/>
      <w:r>
        <w:rPr>
          <w:rStyle w:val="CharSectno"/>
        </w:rPr>
        <w:t>129</w:t>
      </w:r>
      <w:r>
        <w:rPr>
          <w:snapToGrid w:val="0"/>
        </w:rPr>
        <w:t>.</w:t>
      </w:r>
      <w:r>
        <w:rPr>
          <w:snapToGrid w:val="0"/>
        </w:rPr>
        <w:tab/>
        <w:t>Copy of judgment</w:t>
      </w:r>
      <w:bookmarkEnd w:id="1570"/>
      <w:bookmarkEnd w:id="1571"/>
      <w:bookmarkEnd w:id="1572"/>
      <w:bookmarkEnd w:id="1573"/>
      <w:bookmarkEnd w:id="1574"/>
      <w:bookmarkEnd w:id="1575"/>
      <w:r>
        <w:rPr>
          <w:snapToGrid w:val="0"/>
        </w:rPr>
        <w:t xml:space="preserve"> </w:t>
      </w:r>
    </w:p>
    <w:p>
      <w:pPr>
        <w:pStyle w:val="Subsection"/>
        <w:rPr>
          <w:snapToGrid w:val="0"/>
        </w:rPr>
      </w:pPr>
      <w:r>
        <w:rPr>
          <w:snapToGrid w:val="0"/>
        </w:rPr>
        <w:tab/>
        <w:t>(1)</w:t>
      </w:r>
      <w:r>
        <w:rPr>
          <w:snapToGrid w:val="0"/>
        </w:rPr>
        <w:tab/>
        <w:t>When the decision of any plaint has been delivered by the warden’s court, a judgment in the form No. 38 in the First Schedule may be signed by the warden or mining registrar and filed 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Heading5"/>
        <w:rPr>
          <w:snapToGrid w:val="0"/>
        </w:rPr>
      </w:pPr>
      <w:bookmarkStart w:id="1576" w:name="_Toc474633210"/>
      <w:bookmarkStart w:id="1577" w:name="_Toc488740361"/>
      <w:bookmarkStart w:id="1578" w:name="_Toc8623744"/>
      <w:bookmarkStart w:id="1579" w:name="_Toc11229585"/>
      <w:bookmarkStart w:id="1580" w:name="_Toc104276765"/>
      <w:bookmarkStart w:id="1581" w:name="_Toc127338179"/>
      <w:r>
        <w:rPr>
          <w:rStyle w:val="CharSectno"/>
        </w:rPr>
        <w:t>130</w:t>
      </w:r>
      <w:r>
        <w:rPr>
          <w:snapToGrid w:val="0"/>
        </w:rPr>
        <w:t>.</w:t>
      </w:r>
      <w:r>
        <w:rPr>
          <w:snapToGrid w:val="0"/>
        </w:rPr>
        <w:tab/>
        <w:t>Warrant of execution</w:t>
      </w:r>
      <w:bookmarkEnd w:id="1576"/>
      <w:bookmarkEnd w:id="1577"/>
      <w:bookmarkEnd w:id="1578"/>
      <w:bookmarkEnd w:id="1579"/>
      <w:bookmarkEnd w:id="1580"/>
      <w:bookmarkEnd w:id="1581"/>
      <w:r>
        <w:rPr>
          <w:snapToGrid w:val="0"/>
        </w:rPr>
        <w:t xml:space="preserve"> </w:t>
      </w:r>
    </w:p>
    <w:p>
      <w:pPr>
        <w:pStyle w:val="Subsection"/>
        <w:rPr>
          <w:snapToGrid w:val="0"/>
        </w:rPr>
      </w:pPr>
      <w:r>
        <w:rPr>
          <w:snapToGrid w:val="0"/>
        </w:rPr>
        <w:tab/>
        <w:t>(1)</w:t>
      </w:r>
      <w:r>
        <w:rPr>
          <w:snapToGrid w:val="0"/>
        </w:rPr>
        <w:tab/>
        <w:t>Where the plaintiff or defendant has made default in the payment of any sum of money ordered by the warden’s court to be paid by him, the party to whom such sum is payable may, on application to the mining registrar, and on payment of the prescribed fee, obtain a warrant of execution against any property of the party making such default.</w:t>
      </w:r>
    </w:p>
    <w:p>
      <w:pPr>
        <w:pStyle w:val="Subsection"/>
        <w:rPr>
          <w:snapToGrid w:val="0"/>
        </w:rPr>
      </w:pPr>
      <w:r>
        <w:rPr>
          <w:snapToGrid w:val="0"/>
        </w:rPr>
        <w:tab/>
        <w:t>(2)</w:t>
      </w:r>
      <w:r>
        <w:rPr>
          <w:snapToGrid w:val="0"/>
        </w:rPr>
        <w:tab/>
        <w:t>The warrant shall be in the form No. 39 in the First Schedule.</w:t>
      </w:r>
    </w:p>
    <w:p>
      <w:pPr>
        <w:pStyle w:val="Subsection"/>
        <w:rPr>
          <w:snapToGrid w:val="0"/>
        </w:rPr>
      </w:pPr>
      <w:r>
        <w:rPr>
          <w:snapToGrid w:val="0"/>
        </w:rPr>
        <w:tab/>
        <w:t>(3)</w:t>
      </w:r>
      <w:r>
        <w:rPr>
          <w:snapToGrid w:val="0"/>
        </w:rPr>
        <w:tab/>
        <w:t>The warrant may remain in force for a period of 12 calendar months.</w:t>
      </w:r>
    </w:p>
    <w:p>
      <w:pPr>
        <w:pStyle w:val="Subsection"/>
        <w:rPr>
          <w:snapToGrid w:val="0"/>
        </w:rPr>
      </w:pPr>
      <w:r>
        <w:rPr>
          <w:snapToGrid w:val="0"/>
        </w:rPr>
        <w:tab/>
        <w:t>(4)</w:t>
      </w:r>
      <w:r>
        <w:rPr>
          <w:snapToGrid w:val="0"/>
        </w:rPr>
        <w:tab/>
        <w:t>Application for renewal of the warrant shall be made to the warden or mining registrar in writing, supported by a statutory declaration as to default having been made in payment of the sum awarded, or any portion thereof.</w:t>
      </w:r>
    </w:p>
    <w:p>
      <w:pPr>
        <w:pStyle w:val="Heading5"/>
        <w:rPr>
          <w:snapToGrid w:val="0"/>
        </w:rPr>
      </w:pPr>
      <w:bookmarkStart w:id="1582" w:name="_Toc474633211"/>
      <w:bookmarkStart w:id="1583" w:name="_Toc488740362"/>
      <w:bookmarkStart w:id="1584" w:name="_Toc8623745"/>
      <w:bookmarkStart w:id="1585" w:name="_Toc11229586"/>
      <w:bookmarkStart w:id="1586" w:name="_Toc104276766"/>
      <w:bookmarkStart w:id="1587" w:name="_Toc127338180"/>
      <w:r>
        <w:rPr>
          <w:rStyle w:val="CharSectno"/>
        </w:rPr>
        <w:t>131</w:t>
      </w:r>
      <w:r>
        <w:rPr>
          <w:snapToGrid w:val="0"/>
        </w:rPr>
        <w:t>.</w:t>
      </w:r>
      <w:r>
        <w:rPr>
          <w:snapToGrid w:val="0"/>
        </w:rPr>
        <w:tab/>
        <w:t>Warrant for recovery of possession</w:t>
      </w:r>
      <w:bookmarkEnd w:id="1582"/>
      <w:bookmarkEnd w:id="1583"/>
      <w:bookmarkEnd w:id="1584"/>
      <w:bookmarkEnd w:id="1585"/>
      <w:bookmarkEnd w:id="1586"/>
      <w:bookmarkEnd w:id="1587"/>
      <w:r>
        <w:rPr>
          <w:snapToGrid w:val="0"/>
        </w:rPr>
        <w:t xml:space="preserve"> </w:t>
      </w:r>
    </w:p>
    <w:p>
      <w:pPr>
        <w:pStyle w:val="Subsection"/>
        <w:rPr>
          <w:snapToGrid w:val="0"/>
        </w:rPr>
      </w:pPr>
      <w:r>
        <w:rPr>
          <w:snapToGrid w:val="0"/>
        </w:rPr>
        <w:tab/>
      </w:r>
      <w:r>
        <w:rPr>
          <w:snapToGrid w:val="0"/>
        </w:rPr>
        <w:tab/>
        <w:t>A warrant for recovery of possession pursuant to section 141 of the Act shall be in the form No. 40 in the First Schedule.</w:t>
      </w:r>
    </w:p>
    <w:p>
      <w:pPr>
        <w:pStyle w:val="Heading5"/>
        <w:rPr>
          <w:snapToGrid w:val="0"/>
        </w:rPr>
      </w:pPr>
      <w:bookmarkStart w:id="1588" w:name="_Toc474633212"/>
      <w:bookmarkStart w:id="1589" w:name="_Toc488740363"/>
      <w:bookmarkStart w:id="1590" w:name="_Toc8623746"/>
      <w:bookmarkStart w:id="1591" w:name="_Toc11229587"/>
      <w:bookmarkStart w:id="1592" w:name="_Toc104276767"/>
      <w:bookmarkStart w:id="1593" w:name="_Toc127338181"/>
      <w:r>
        <w:rPr>
          <w:rStyle w:val="CharSectno"/>
        </w:rPr>
        <w:t>132</w:t>
      </w:r>
      <w:r>
        <w:rPr>
          <w:snapToGrid w:val="0"/>
        </w:rPr>
        <w:t>.</w:t>
      </w:r>
      <w:r>
        <w:rPr>
          <w:snapToGrid w:val="0"/>
        </w:rPr>
        <w:tab/>
        <w:t>Notice of seizure</w:t>
      </w:r>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r>
      <w:r>
        <w:rPr>
          <w:snapToGrid w:val="0"/>
        </w:rPr>
        <w:tab/>
        <w:t>On seizure of any mining tenement or interest therein, under a writ of fi. fa. or a warrant issued out of the warden’s court or any other court, notice thereof in the form No. 41 in the First Schedule shall be given to the mining registrar with the prescribed fee, and a copy of the writ of fi. fa. or warrant shall be attached to the notice.</w:t>
      </w:r>
    </w:p>
    <w:p>
      <w:pPr>
        <w:pStyle w:val="Heading5"/>
        <w:rPr>
          <w:snapToGrid w:val="0"/>
        </w:rPr>
      </w:pPr>
      <w:bookmarkStart w:id="1594" w:name="_Toc474633213"/>
      <w:bookmarkStart w:id="1595" w:name="_Toc488740364"/>
      <w:bookmarkStart w:id="1596" w:name="_Toc8623747"/>
      <w:bookmarkStart w:id="1597" w:name="_Toc11229588"/>
      <w:bookmarkStart w:id="1598" w:name="_Toc104276768"/>
      <w:bookmarkStart w:id="1599" w:name="_Toc127338182"/>
      <w:r>
        <w:rPr>
          <w:rStyle w:val="CharSectno"/>
        </w:rPr>
        <w:t>133</w:t>
      </w:r>
      <w:r>
        <w:rPr>
          <w:snapToGrid w:val="0"/>
        </w:rPr>
        <w:t>.</w:t>
      </w:r>
      <w:r>
        <w:rPr>
          <w:snapToGrid w:val="0"/>
        </w:rPr>
        <w:tab/>
        <w:t>Sale under warrant of execution</w:t>
      </w:r>
      <w:bookmarkEnd w:id="1594"/>
      <w:bookmarkEnd w:id="1595"/>
      <w:bookmarkEnd w:id="1596"/>
      <w:bookmarkEnd w:id="1597"/>
      <w:bookmarkEnd w:id="1598"/>
      <w:bookmarkEnd w:id="1599"/>
      <w:r>
        <w:rPr>
          <w:snapToGrid w:val="0"/>
        </w:rPr>
        <w:t xml:space="preserve"> </w:t>
      </w:r>
    </w:p>
    <w:p>
      <w:pPr>
        <w:pStyle w:val="Subsection"/>
        <w:rPr>
          <w:snapToGrid w:val="0"/>
        </w:rPr>
      </w:pPr>
      <w:r>
        <w:rPr>
          <w:snapToGrid w:val="0"/>
        </w:rPr>
        <w:tab/>
        <w:t>(1)</w:t>
      </w:r>
      <w:r>
        <w:rPr>
          <w:snapToGrid w:val="0"/>
        </w:rPr>
        <w:tab/>
        <w:t>Notice of sale and of the intended place and day of sale under a warrant of execution issued out of the warden’s court shall be given at least 7 days before the day of sale by — </w:t>
      </w:r>
    </w:p>
    <w:p>
      <w:pPr>
        <w:pStyle w:val="Indenta"/>
        <w:rPr>
          <w:snapToGrid w:val="0"/>
        </w:rPr>
      </w:pPr>
      <w:r>
        <w:rPr>
          <w:snapToGrid w:val="0"/>
        </w:rPr>
        <w:tab/>
        <w:t>(a)</w:t>
      </w:r>
      <w:r>
        <w:rPr>
          <w:snapToGrid w:val="0"/>
        </w:rPr>
        <w:tab/>
        <w:t>affixing a notice conspicuously at or near the place where the sale is to take place;</w:t>
      </w:r>
    </w:p>
    <w:p>
      <w:pPr>
        <w:pStyle w:val="Indenta"/>
        <w:rPr>
          <w:snapToGrid w:val="0"/>
        </w:rPr>
      </w:pPr>
      <w:r>
        <w:rPr>
          <w:snapToGrid w:val="0"/>
        </w:rPr>
        <w:tab/>
        <w:t>(b)</w:t>
      </w:r>
      <w:r>
        <w:rPr>
          <w:snapToGrid w:val="0"/>
        </w:rPr>
        <w:tab/>
        <w:t>posting a copy of the notice on the notice board at the office of the mining registrar; and</w:t>
      </w:r>
    </w:p>
    <w:p>
      <w:pPr>
        <w:pStyle w:val="Indenta"/>
        <w:rPr>
          <w:snapToGrid w:val="0"/>
        </w:rPr>
      </w:pPr>
      <w:r>
        <w:rPr>
          <w:snapToGrid w:val="0"/>
        </w:rPr>
        <w:tab/>
        <w:t>(c)</w:t>
      </w:r>
      <w:r>
        <w:rPr>
          <w:snapToGrid w:val="0"/>
        </w:rPr>
        <w:tab/>
        <w:t>advertising particulars of the sale in a newspaper circulating in the district wherein the warden’s court is situated.</w:t>
      </w:r>
    </w:p>
    <w:p>
      <w:pPr>
        <w:pStyle w:val="Subsection"/>
        <w:rPr>
          <w:snapToGrid w:val="0"/>
        </w:rPr>
      </w:pPr>
      <w:r>
        <w:rPr>
          <w:snapToGrid w:val="0"/>
        </w:rPr>
        <w:tab/>
        <w:t>(2)</w:t>
      </w:r>
      <w:r>
        <w:rPr>
          <w:snapToGrid w:val="0"/>
        </w:rPr>
        <w:tab/>
        <w:t>The sale shall be conducted publicly and everything shall be sold for ready money to the highest bidder.</w:t>
      </w:r>
    </w:p>
    <w:p>
      <w:pPr>
        <w:pStyle w:val="Heading5"/>
        <w:rPr>
          <w:snapToGrid w:val="0"/>
        </w:rPr>
      </w:pPr>
      <w:bookmarkStart w:id="1600" w:name="_Toc474633214"/>
      <w:bookmarkStart w:id="1601" w:name="_Toc488740365"/>
      <w:bookmarkStart w:id="1602" w:name="_Toc8623748"/>
      <w:bookmarkStart w:id="1603" w:name="_Toc11229589"/>
      <w:bookmarkStart w:id="1604" w:name="_Toc104276769"/>
      <w:bookmarkStart w:id="1605" w:name="_Toc127338183"/>
      <w:r>
        <w:rPr>
          <w:rStyle w:val="CharSectno"/>
        </w:rPr>
        <w:t>134</w:t>
      </w:r>
      <w:r>
        <w:rPr>
          <w:snapToGrid w:val="0"/>
        </w:rPr>
        <w:t>.</w:t>
      </w:r>
      <w:r>
        <w:rPr>
          <w:snapToGrid w:val="0"/>
        </w:rPr>
        <w:tab/>
        <w:t>Transfer upon sale</w:t>
      </w:r>
      <w:bookmarkEnd w:id="1600"/>
      <w:bookmarkEnd w:id="1601"/>
      <w:bookmarkEnd w:id="1602"/>
      <w:bookmarkEnd w:id="1603"/>
      <w:bookmarkEnd w:id="1604"/>
      <w:bookmarkEnd w:id="1605"/>
      <w:r>
        <w:rPr>
          <w:snapToGrid w:val="0"/>
        </w:rPr>
        <w:t xml:space="preserve"> </w:t>
      </w:r>
    </w:p>
    <w:p>
      <w:pPr>
        <w:pStyle w:val="Subsection"/>
        <w:rPr>
          <w:snapToGrid w:val="0"/>
        </w:rPr>
      </w:pPr>
      <w:r>
        <w:rPr>
          <w:snapToGrid w:val="0"/>
        </w:rPr>
        <w:tab/>
      </w:r>
      <w:r>
        <w:rPr>
          <w:snapToGrid w:val="0"/>
        </w:rPr>
        <w:tab/>
        <w:t>Upon sale under a warrant of execution the officer executing such warrant shall sign a transfer in the form No. 23 in the First Schedule to the purchaser of the mining tenement or interest therein sold under the warrant.</w:t>
      </w:r>
    </w:p>
    <w:p>
      <w:pPr>
        <w:pStyle w:val="Heading5"/>
        <w:rPr>
          <w:snapToGrid w:val="0"/>
        </w:rPr>
      </w:pPr>
      <w:bookmarkStart w:id="1606" w:name="_Toc474633215"/>
      <w:bookmarkStart w:id="1607" w:name="_Toc488740366"/>
      <w:bookmarkStart w:id="1608" w:name="_Toc8623749"/>
      <w:bookmarkStart w:id="1609" w:name="_Toc11229590"/>
      <w:bookmarkStart w:id="1610" w:name="_Toc104276770"/>
      <w:bookmarkStart w:id="1611" w:name="_Toc127338184"/>
      <w:r>
        <w:rPr>
          <w:rStyle w:val="CharSectno"/>
        </w:rPr>
        <w:t>135</w:t>
      </w:r>
      <w:r>
        <w:rPr>
          <w:snapToGrid w:val="0"/>
        </w:rPr>
        <w:t>.</w:t>
      </w:r>
      <w:r>
        <w:rPr>
          <w:snapToGrid w:val="0"/>
        </w:rPr>
        <w:tab/>
        <w:t>Appeal to Supreme Court</w:t>
      </w:r>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1612" w:name="_Toc474633216"/>
      <w:bookmarkStart w:id="1613" w:name="_Toc488740367"/>
      <w:bookmarkStart w:id="1614" w:name="_Toc8623750"/>
      <w:bookmarkStart w:id="1615" w:name="_Toc11229591"/>
      <w:bookmarkStart w:id="1616" w:name="_Toc104276771"/>
      <w:bookmarkStart w:id="1617" w:name="_Toc127338185"/>
      <w:r>
        <w:rPr>
          <w:rStyle w:val="CharSectno"/>
        </w:rPr>
        <w:t>136</w:t>
      </w:r>
      <w:r>
        <w:rPr>
          <w:snapToGrid w:val="0"/>
        </w:rPr>
        <w:t>.</w:t>
      </w:r>
      <w:r>
        <w:rPr>
          <w:snapToGrid w:val="0"/>
        </w:rPr>
        <w:tab/>
        <w:t>Injunction</w:t>
      </w:r>
      <w:bookmarkEnd w:id="1612"/>
      <w:bookmarkEnd w:id="1613"/>
      <w:bookmarkEnd w:id="1614"/>
      <w:bookmarkEnd w:id="1615"/>
      <w:bookmarkEnd w:id="1616"/>
      <w:bookmarkEnd w:id="1617"/>
      <w:r>
        <w:rPr>
          <w:snapToGrid w:val="0"/>
        </w:rPr>
        <w:t xml:space="preserve"> </w:t>
      </w:r>
    </w:p>
    <w:p>
      <w:pPr>
        <w:pStyle w:val="Subsection"/>
        <w:rPr>
          <w:snapToGrid w:val="0"/>
        </w:rPr>
      </w:pPr>
      <w:r>
        <w:rPr>
          <w:snapToGrid w:val="0"/>
        </w:rPr>
        <w:tab/>
      </w:r>
      <w:r>
        <w:rPr>
          <w:snapToGrid w:val="0"/>
        </w:rPr>
        <w:tab/>
        <w:t>An order of the warden’s court for an injunction shall be in the form No. 43 in the First Schedule.</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yScheduleHeading"/>
      </w:pPr>
      <w:bookmarkStart w:id="1618" w:name="_Toc104276772"/>
      <w:bookmarkStart w:id="1619" w:name="_Toc127338186"/>
      <w:r>
        <w:rPr>
          <w:rStyle w:val="CharSchNo"/>
        </w:rPr>
        <w:t>First Schedule</w:t>
      </w:r>
      <w:bookmarkEnd w:id="1618"/>
      <w:bookmarkEnd w:id="1619"/>
    </w:p>
    <w:p>
      <w:pPr>
        <w:pStyle w:val="MiscellaneousHeading"/>
        <w:rPr>
          <w:b/>
          <w:snapToGrid w:val="0"/>
        </w:rPr>
      </w:pPr>
      <w:r>
        <w:rPr>
          <w:b/>
          <w:snapToGrid w:val="0"/>
        </w:rPr>
        <w:t>Schedule of Forms</w:t>
      </w:r>
    </w:p>
    <w:p>
      <w:pPr>
        <w:pStyle w:val="yTable"/>
        <w:ind w:left="567" w:hanging="567"/>
        <w:rPr>
          <w:b/>
          <w:snapToGrid w:val="0"/>
        </w:rPr>
      </w:pPr>
      <w:r>
        <w:rPr>
          <w:b/>
          <w:snapToGrid w:val="0"/>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keepNext/>
        <w:spacing w:after="60"/>
        <w:ind w:left="567" w:hanging="567"/>
        <w:rPr>
          <w:b/>
          <w:snapToGrid w:val="0"/>
        </w:rPr>
      </w:pPr>
      <w:r>
        <w:rPr>
          <w:b/>
          <w:snapToGrid w:val="0"/>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 xml:space="preserve">36. </w:t>
      </w:r>
      <w:r>
        <w:rPr>
          <w:snapToGrid w:val="0"/>
        </w:rPr>
        <w:tab/>
        <w:t>Notice of Defence.</w:t>
      </w:r>
    </w:p>
    <w:p>
      <w:pPr>
        <w:pStyle w:val="yTable"/>
        <w:spacing w:before="0"/>
        <w:ind w:left="709" w:hanging="709"/>
        <w:rPr>
          <w:snapToGrid w:val="0"/>
        </w:rPr>
      </w:pPr>
      <w:r>
        <w:rPr>
          <w:snapToGrid w:val="0"/>
        </w:rPr>
        <w:t xml:space="preserve">37. </w:t>
      </w:r>
      <w:r>
        <w:rPr>
          <w:snapToGrid w:val="0"/>
        </w:rPr>
        <w:tab/>
        <w:t>Subpoena for Witness.</w:t>
      </w:r>
    </w:p>
    <w:p>
      <w:pPr>
        <w:pStyle w:val="yTable"/>
        <w:spacing w:before="0"/>
        <w:ind w:left="709" w:hanging="709"/>
        <w:rPr>
          <w:snapToGrid w:val="0"/>
        </w:rPr>
      </w:pPr>
      <w:r>
        <w:rPr>
          <w:snapToGrid w:val="0"/>
        </w:rPr>
        <w:t xml:space="preserve">38. </w:t>
      </w:r>
      <w:r>
        <w:rPr>
          <w:snapToGrid w:val="0"/>
        </w:rPr>
        <w:tab/>
        <w:t>Judgment/Order of Warden’s Court.</w:t>
      </w:r>
    </w:p>
    <w:p>
      <w:pPr>
        <w:pStyle w:val="yTable"/>
        <w:spacing w:before="0"/>
        <w:ind w:left="709" w:hanging="709"/>
        <w:rPr>
          <w:snapToGrid w:val="0"/>
        </w:rPr>
      </w:pPr>
      <w:r>
        <w:rPr>
          <w:snapToGrid w:val="0"/>
        </w:rPr>
        <w:t xml:space="preserve">39. </w:t>
      </w:r>
      <w:r>
        <w:rPr>
          <w:snapToGrid w:val="0"/>
        </w:rPr>
        <w:tab/>
        <w:t>Warrant of Execution.</w:t>
      </w:r>
    </w:p>
    <w:p>
      <w:pPr>
        <w:pStyle w:val="yTable"/>
        <w:spacing w:before="0"/>
        <w:ind w:left="709" w:hanging="709"/>
        <w:rPr>
          <w:snapToGrid w:val="0"/>
        </w:rPr>
      </w:pPr>
      <w:r>
        <w:rPr>
          <w:snapToGrid w:val="0"/>
        </w:rPr>
        <w:t xml:space="preserve">40. </w:t>
      </w:r>
      <w:r>
        <w:rPr>
          <w:snapToGrid w:val="0"/>
        </w:rPr>
        <w:tab/>
        <w:t>Warrant for Recovery of Possession.</w:t>
      </w:r>
    </w:p>
    <w:p>
      <w:pPr>
        <w:pStyle w:val="yTable"/>
        <w:spacing w:before="0"/>
        <w:ind w:left="709" w:hanging="709"/>
        <w:rPr>
          <w:snapToGrid w:val="0"/>
        </w:rPr>
      </w:pPr>
      <w:r>
        <w:rPr>
          <w:snapToGrid w:val="0"/>
        </w:rPr>
        <w:t xml:space="preserve">41. </w:t>
      </w:r>
      <w:r>
        <w:rPr>
          <w:snapToGrid w:val="0"/>
        </w:rPr>
        <w:tab/>
        <w:t>Notice of Seizure.</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del w:id="1620" w:author="Master Repository Process" w:date="2021-08-29T08:44:00Z">
              <w:r>
                <w:rPr>
                  <w:noProof/>
                  <w:sz w:val="16"/>
                  <w:lang w:eastAsia="en-AU"/>
                </w:rPr>
                <w:drawing>
                  <wp:inline distT="0" distB="0" distL="0" distR="0">
                    <wp:extent cx="352425" cy="409575"/>
                    <wp:effectExtent l="0" t="0" r="9525" b="9525"/>
                    <wp:docPr id="30" name="Picture 30"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P51\GRAPHICS\MISC\Crest2.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del>
            <w:ins w:id="1621" w:author="Master Repository Process" w:date="2021-08-29T08:44:00Z">
              <w:r>
                <w:rPr>
                  <w:noProof/>
                  <w:sz w:val="16"/>
                  <w:lang w:eastAsia="en-AU"/>
                </w:rPr>
                <w:drawing>
                  <wp:inline distT="0" distB="0" distL="0" distR="0">
                    <wp:extent cx="358140" cy="409575"/>
                    <wp:effectExtent l="0" t="0" r="3810" b="9525"/>
                    <wp:docPr id="5" name="Picture 5"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P51\GRAPHICS\MISC\Crest2.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8140" cy="409575"/>
                            </a:xfrm>
                            <a:prstGeom prst="rect">
                              <a:avLst/>
                            </a:prstGeom>
                            <a:noFill/>
                            <a:ln>
                              <a:noFill/>
                            </a:ln>
                          </pic:spPr>
                        </pic:pic>
                      </a:graphicData>
                    </a:graphic>
                  </wp:inline>
                </w:drawing>
              </w:r>
            </w:ins>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xml:space="preserve">. It is your responsibility </w:t>
            </w:r>
          </w:p>
          <w:p>
            <w:pPr>
              <w:tabs>
                <w:tab w:val="left" w:pos="1701"/>
              </w:tabs>
              <w:ind w:left="113" w:right="113"/>
              <w:rPr>
                <w:sz w:val="16"/>
              </w:rPr>
            </w:pPr>
            <w:r>
              <w:rPr>
                <w:sz w:val="16"/>
              </w:rPr>
              <w:tab/>
            </w:r>
            <w:r>
              <w:rPr>
                <w:sz w:val="16"/>
              </w:rPr>
              <w:tab/>
            </w:r>
            <w:r>
              <w:rPr>
                <w:sz w:val="16"/>
              </w:rPr>
              <w:tab/>
              <w:t xml:space="preserve">to ascertain your rights and obligations under that section. Information in respect of those </w:t>
            </w:r>
          </w:p>
          <w:p>
            <w:pPr>
              <w:tabs>
                <w:tab w:val="left" w:pos="1701"/>
              </w:tabs>
              <w:ind w:left="113" w:right="113"/>
              <w:rPr>
                <w:lang w:val="en-US"/>
              </w:rPr>
            </w:pPr>
            <w:r>
              <w:rPr>
                <w:sz w:val="16"/>
              </w:rPr>
              <w:tab/>
            </w:r>
            <w:r>
              <w:rPr>
                <w:sz w:val="16"/>
              </w:rPr>
              <w:tab/>
            </w:r>
            <w:r>
              <w:rPr>
                <w:sz w:val="16"/>
              </w:rPr>
              <w:tab/>
              <w:t>rights and obligations may be obtained from any office of the Department of Mines</w:t>
            </w:r>
            <w:r>
              <w:rPr>
                <w:sz w:val="16"/>
                <w:vertAlign w:val="superscript"/>
              </w:rPr>
              <w:t> 4</w:t>
            </w:r>
            <w:r>
              <w:rPr>
                <w:sz w:val="16"/>
              </w:rPr>
              <w:t>.</w:t>
            </w: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 xml:space="preserve">No.          </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 xml:space="preserve">No.          </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 xml:space="preserve">Mineral Field      </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 xml:space="preserve">Conditions, </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i/>
                <w:spacing w:val="-2"/>
                <w:sz w:val="18"/>
              </w:rPr>
              <w:tab/>
              <w:t>Mining Act 1978</w:t>
            </w:r>
          </w:p>
          <w:p>
            <w:pPr>
              <w:pStyle w:val="yTable"/>
              <w:tabs>
                <w:tab w:val="left" w:pos="1014"/>
              </w:tabs>
              <w:spacing w:before="0" w:line="180" w:lineRule="atLeast"/>
              <w:rPr>
                <w:spacing w:val="-2"/>
                <w:sz w:val="18"/>
              </w:rPr>
            </w:pPr>
            <w:r>
              <w:rPr>
                <w:spacing w:val="-2"/>
                <w:sz w:val="18"/>
              </w:rPr>
              <w:tab/>
              <w:t xml:space="preserve">(Sec. 123(3)(a), </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 xml:space="preserve">State whether pastoral lease, Crown grant or other designation </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 xml:space="preserve">Mineral Field           </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lodgement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rPr>
                <w:rStyle w:val="CharDefText"/>
                <w:b w:val="0"/>
              </w:rP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keepNext/>
        <w:pageBreakBefore/>
        <w:spacing w:before="0"/>
        <w:jc w:val="right"/>
        <w:rPr>
          <w:i/>
          <w:sz w:val="18"/>
        </w:rPr>
      </w:pPr>
      <w:r>
        <w:rPr>
          <w:i/>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 xml:space="preserve">Note: </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spacing w:before="0"/>
        <w:rPr>
          <w:b/>
          <w:sz w:val="13"/>
          <w:u w:val="single"/>
        </w:rPr>
      </w:pPr>
      <w:r>
        <w:rPr>
          <w:b/>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4</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5"/>
        <w:rPr>
          <w:b/>
          <w:sz w:val="13"/>
        </w:rPr>
      </w:pPr>
      <w:r>
        <w:rPr>
          <w:b/>
          <w:sz w:val="13"/>
        </w:rPr>
        <w:t>Feasibility study activities:</w:t>
      </w:r>
    </w:p>
    <w:p>
      <w:pPr>
        <w:pStyle w:val="yTable"/>
        <w:tabs>
          <w:tab w:val="left" w:pos="426"/>
        </w:tabs>
        <w:spacing w:before="36"/>
        <w:ind w:left="425"/>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r>
        <w:rPr>
          <w:sz w:val="13"/>
        </w:rPr>
        <w:t xml:space="preserve"> </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5</w:t>
      </w:r>
      <w:r>
        <w:rPr>
          <w:sz w:val="13"/>
        </w:rPr>
        <w:t xml:space="preserve"> as soon as practicable, where the cost of conducting it is claimed for expenditure purposes. Evidence of lodgement of the survey must be provided to the Department of Minerals and Energy</w:t>
      </w:r>
      <w:r>
        <w:rPr>
          <w:sz w:val="13"/>
          <w:vertAlign w:val="superscript"/>
        </w:rPr>
        <w:t> 4</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ind w:left="425" w:hanging="425"/>
        <w:rPr>
          <w:b/>
          <w:sz w:val="13"/>
        </w:rPr>
      </w:pPr>
      <w:r>
        <w:rPr>
          <w:b/>
          <w:sz w:val="13"/>
        </w:rPr>
        <w:t>NON</w:t>
      </w:r>
      <w:r>
        <w:rPr>
          <w:b/>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 xml:space="preserve">acquisition costs of tenements and associated expenses; </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4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349"/>
        <w:gridCol w:w="218"/>
        <w:gridCol w:w="425"/>
        <w:gridCol w:w="709"/>
        <w:gridCol w:w="141"/>
        <w:gridCol w:w="284"/>
        <w:gridCol w:w="142"/>
        <w:gridCol w:w="141"/>
        <w:gridCol w:w="142"/>
        <w:gridCol w:w="425"/>
        <w:gridCol w:w="142"/>
        <w:gridCol w:w="142"/>
        <w:gridCol w:w="283"/>
        <w:gridCol w:w="284"/>
        <w:gridCol w:w="992"/>
        <w:gridCol w:w="284"/>
        <w:gridCol w:w="283"/>
        <w:gridCol w:w="142"/>
      </w:tblGrid>
      <w:tr>
        <w:trPr>
          <w:gridAfter w:val="1"/>
          <w:wAfter w:w="142" w:type="dxa"/>
          <w:cantSplit/>
          <w:trHeight w:hRule="exact" w:val="80"/>
        </w:trPr>
        <w:tc>
          <w:tcPr>
            <w:tcW w:w="6946" w:type="dxa"/>
            <w:gridSpan w:val="19"/>
            <w:tcBorders>
              <w:bottom w:val="nil"/>
            </w:tcBorders>
          </w:tcPr>
          <w:p>
            <w:pPr>
              <w:pStyle w:val="yTable"/>
              <w:spacing w:before="0"/>
              <w:rPr>
                <w:sz w:val="12"/>
                <w:lang w:val="en-US"/>
              </w:rPr>
            </w:pPr>
          </w:p>
        </w:tc>
      </w:tr>
      <w:tr>
        <w:trPr>
          <w:gridAfter w:val="1"/>
          <w:wAfter w:w="142" w:type="dxa"/>
        </w:trP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8"/>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trPr>
        <w:tc>
          <w:tcPr>
            <w:tcW w:w="2552" w:type="dxa"/>
            <w:gridSpan w:val="5"/>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6946" w:type="dxa"/>
            <w:gridSpan w:val="19"/>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Costeaning/trenching:</w:t>
            </w:r>
          </w:p>
        </w:tc>
      </w:tr>
      <w:tr>
        <w:trPr>
          <w:gridAfter w:val="1"/>
          <w:wAfter w:w="142" w:type="dxa"/>
          <w:cantSplit/>
        </w:trPr>
        <w:tc>
          <w:tcPr>
            <w:tcW w:w="1560" w:type="dxa"/>
            <w:gridSpan w:val="2"/>
            <w:tcBorders>
              <w:top w:val="nil"/>
              <w:bottom w:val="nil"/>
            </w:tcBorders>
          </w:tcPr>
          <w:p>
            <w:pPr>
              <w:pStyle w:val="yTable"/>
              <w:spacing w:before="0"/>
              <w:rPr>
                <w:sz w:val="14"/>
              </w:rPr>
            </w:pPr>
            <w:r>
              <w:rPr>
                <w:sz w:val="14"/>
              </w:rPr>
              <w:t>No. excavated</w:t>
            </w:r>
          </w:p>
        </w:tc>
        <w:tc>
          <w:tcPr>
            <w:tcW w:w="567" w:type="dxa"/>
            <w:gridSpan w:val="2"/>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Other activities (specify):</w:t>
            </w: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b/>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103" w:type="dxa"/>
            <w:gridSpan w:val="15"/>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cantSplit/>
        </w:trPr>
        <w:tc>
          <w:tcPr>
            <w:tcW w:w="6946" w:type="dxa"/>
            <w:gridSpan w:val="19"/>
            <w:tcBorders>
              <w:left w:val="nil"/>
              <w:bottom w:val="nil"/>
              <w:right w:val="nil"/>
            </w:tcBorders>
          </w:tcPr>
          <w:p>
            <w:pPr>
              <w:pStyle w:val="yTable"/>
              <w:spacing w:before="0"/>
              <w:jc w:val="center"/>
              <w:rPr>
                <w:b/>
                <w:sz w:val="14"/>
              </w:rPr>
            </w:pPr>
            <w:r>
              <w:rPr>
                <w:b/>
                <w:sz w:val="14"/>
              </w:rPr>
              <w:t>AND/OR</w:t>
            </w:r>
          </w:p>
        </w:tc>
      </w:tr>
      <w:tr>
        <w:trPr>
          <w:gridAfter w:val="1"/>
          <w:wAfter w:w="142" w:type="dxa"/>
          <w:cantSplit/>
        </w:trPr>
        <w:tc>
          <w:tcPr>
            <w:tcW w:w="6946" w:type="dxa"/>
            <w:gridSpan w:val="19"/>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Development:</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3402" w:type="dxa"/>
            <w:gridSpan w:val="7"/>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103" w:type="dxa"/>
            <w:gridSpan w:val="15"/>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single" w:sz="4" w:space="0" w:color="auto"/>
              <w:bottom w:val="nil"/>
              <w:right w:val="single" w:sz="4" w:space="0" w:color="auto"/>
            </w:tcBorders>
          </w:tcPr>
          <w:p>
            <w:pPr>
              <w:pStyle w:val="yTable"/>
              <w:spacing w:before="0"/>
              <w:rPr>
                <w:sz w:val="14"/>
              </w:rPr>
            </w:pPr>
          </w:p>
        </w:tc>
      </w:tr>
      <w:tr>
        <w:trPr>
          <w:gridAfter w:val="1"/>
          <w:wAfter w:w="142" w:type="dxa"/>
          <w:cantSplit/>
        </w:trPr>
        <w:tc>
          <w:tcPr>
            <w:tcW w:w="3686" w:type="dxa"/>
            <w:gridSpan w:val="8"/>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Pr>
        <w:tc>
          <w:tcPr>
            <w:tcW w:w="3686" w:type="dxa"/>
            <w:gridSpan w:val="8"/>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single" w:sz="4" w:space="0" w:color="auto"/>
              <w:bottom w:val="nil"/>
              <w:right w:val="single" w:sz="4" w:space="0" w:color="auto"/>
            </w:tcBorders>
          </w:tcPr>
          <w:p>
            <w:pPr>
              <w:pStyle w:val="yTable"/>
              <w:spacing w:before="0"/>
              <w:rPr>
                <w:sz w:val="14"/>
              </w:rPr>
            </w:pPr>
          </w:p>
        </w:tc>
      </w:tr>
      <w:tr>
        <w:trPr>
          <w:gridAfter w:val="1"/>
          <w:wAfter w:w="142" w:type="dxa"/>
          <w:cantSplit/>
        </w:trPr>
        <w:tc>
          <w:tcPr>
            <w:tcW w:w="3686" w:type="dxa"/>
            <w:gridSpan w:val="8"/>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gridAfter w:val="1"/>
          <w:wAfter w:w="142" w:type="dxa"/>
          <w:cantSplit/>
          <w:trHeight w:hRule="exact" w:val="120"/>
        </w:trPr>
        <w:tc>
          <w:tcPr>
            <w:tcW w:w="3686" w:type="dxa"/>
            <w:gridSpan w:val="8"/>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bottom w:val="nil"/>
            </w:tcBorders>
          </w:tcPr>
          <w:p>
            <w:pPr>
              <w:pStyle w:val="yTable"/>
              <w:spacing w:before="0"/>
              <w:rPr>
                <w:sz w:val="14"/>
              </w:rPr>
            </w:pPr>
          </w:p>
        </w:tc>
      </w:tr>
      <w:tr>
        <w:trPr>
          <w:gridAfter w:val="1"/>
          <w:wAfter w:w="142" w:type="dxa"/>
          <w:cantSplit/>
        </w:trPr>
        <w:tc>
          <w:tcPr>
            <w:tcW w:w="3686" w:type="dxa"/>
            <w:gridSpan w:val="8"/>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Pr>
        <w:tc>
          <w:tcPr>
            <w:tcW w:w="4536" w:type="dxa"/>
            <w:gridSpan w:val="12"/>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bottom w:val="nil"/>
            </w:tcBorders>
          </w:tcPr>
          <w:p>
            <w:pPr>
              <w:pStyle w:val="yTable"/>
              <w:spacing w:before="0"/>
              <w:rPr>
                <w:sz w:val="12"/>
              </w:rPr>
            </w:pPr>
          </w:p>
        </w:tc>
      </w:tr>
      <w:tr>
        <w:trPr>
          <w:gridAfter w:val="1"/>
          <w:wAfter w:w="142" w:type="dxa"/>
          <w:cantSplit/>
        </w:trPr>
        <w:tc>
          <w:tcPr>
            <w:tcW w:w="4678" w:type="dxa"/>
            <w:gridSpan w:val="13"/>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b/>
                <w:spacing w:val="-4"/>
                <w:sz w:val="14"/>
              </w:rPr>
            </w:pPr>
          </w:p>
        </w:tc>
      </w:tr>
      <w:tr>
        <w:trPr>
          <w:gridAfter w:val="1"/>
          <w:wAfter w:w="142" w:type="dxa"/>
          <w:cantSplit/>
        </w:trPr>
        <w:tc>
          <w:tcPr>
            <w:tcW w:w="6946" w:type="dxa"/>
            <w:gridSpan w:val="19"/>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gridSpan w:val="17"/>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120"/>
              <w:rPr>
                <w:spacing w:val="-2"/>
                <w:sz w:val="18"/>
              </w:rPr>
            </w:pPr>
          </w:p>
        </w:tc>
        <w:tc>
          <w:tcPr>
            <w:tcW w:w="5179" w:type="dxa"/>
            <w:gridSpan w:val="17"/>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gridSpan w:val="17"/>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gridSpan w:val="17"/>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gridSpan w:val="17"/>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gridSpan w:val="17"/>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gridSpan w:val="17"/>
          </w:tcPr>
          <w:p>
            <w:pPr>
              <w:pStyle w:val="yTable"/>
              <w:spacing w:line="180" w:lineRule="atLeast"/>
              <w:rPr>
                <w:spacing w:val="-2"/>
                <w:sz w:val="18"/>
              </w:rPr>
            </w:pPr>
            <w:r>
              <w:rPr>
                <w:spacing w:val="-2"/>
                <w:sz w:val="18"/>
              </w:rPr>
              <w: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gridSpan w:val="17"/>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Table"/>
        <w:pageBreakBefore/>
        <w:tabs>
          <w:tab w:val="left" w:pos="1985"/>
        </w:tabs>
        <w:spacing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r>
        <w:rPr>
          <w:snapToGrid w:val="0"/>
          <w:sz w:val="18"/>
        </w:rPr>
        <w:t xml:space="preserve"> </w:t>
      </w:r>
    </w:p>
    <w:p>
      <w:pPr>
        <w:pStyle w:val="yTable"/>
        <w:tabs>
          <w:tab w:val="left" w:pos="1985"/>
        </w:tabs>
        <w:spacing w:before="0" w:line="180" w:lineRule="atLeast"/>
        <w:rPr>
          <w:snapToGrid w:val="0"/>
          <w:sz w:val="18"/>
        </w:rPr>
      </w:pPr>
      <w:r>
        <w:rPr>
          <w:snapToGrid w:val="0"/>
          <w:sz w:val="18"/>
        </w:rPr>
        <w:tab/>
        <w:t>(Sec. 116 Reg. 26)</w:t>
      </w:r>
    </w:p>
    <w:p>
      <w:pPr>
        <w:pStyle w:val="yTable"/>
        <w:spacing w:line="180" w:lineRule="atLeast"/>
        <w:rPr>
          <w:snapToGrid w:val="0"/>
          <w:sz w:val="18"/>
        </w:rPr>
      </w:pPr>
      <w:r>
        <w:rPr>
          <w:b/>
          <w:snapToGrid w:val="0"/>
          <w:sz w:val="18"/>
        </w:rPr>
        <w:t>MINING LEASE</w:t>
      </w:r>
      <w:r>
        <w:rPr>
          <w:snapToGrid w:val="0"/>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 </w:t>
      </w:r>
    </w:p>
    <w:p>
      <w:pPr>
        <w:pStyle w:val="yTable"/>
        <w:spacing w:before="44"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44"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r>
        <w:rPr>
          <w:snapToGrid w:val="0"/>
          <w:sz w:val="18"/>
        </w:rPr>
        <w:t xml:space="preserve"> </w:t>
      </w:r>
    </w:p>
    <w:p>
      <w:pPr>
        <w:pStyle w:val="yTable"/>
        <w:spacing w:before="44"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44"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44"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44"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44"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44"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44"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r>
        <w:rPr>
          <w:snapToGrid w:val="0"/>
          <w:sz w:val="18"/>
        </w:rPr>
        <w:t xml:space="preserve"> </w:t>
      </w:r>
    </w:p>
    <w:p>
      <w:pPr>
        <w:pStyle w:val="yTable"/>
        <w:spacing w:before="44"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line="180" w:lineRule="atLeast"/>
        <w:jc w:val="center"/>
        <w:rPr>
          <w:b/>
          <w:snapToGrid w:val="0"/>
          <w:sz w:val="18"/>
        </w:rPr>
      </w:pPr>
      <w:r>
        <w:rPr>
          <w:b/>
          <w:snapToGrid w:val="0"/>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line="180" w:lineRule="atLeast"/>
        <w:jc w:val="center"/>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line="180" w:lineRule="atLeast"/>
        <w:jc w:val="center"/>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line="180" w:lineRule="atLeast"/>
        <w:jc w:val="center"/>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line="180" w:lineRule="atLeast"/>
        <w:jc w:val="center"/>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line="180" w:lineRule="atLeast"/>
        <w:jc w:val="center"/>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line="180" w:lineRule="atLeast"/>
        <w:jc w:val="center"/>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rPr>
          <w:spacing w:val="-2"/>
          <w:sz w:val="18"/>
        </w:rPr>
      </w:pPr>
      <w:r>
        <w:rPr>
          <w:spacing w:val="-2"/>
          <w:sz w:val="18"/>
        </w:rPr>
        <w:t>MINISTER      </w:t>
      </w:r>
    </w:p>
    <w:p>
      <w:pPr>
        <w:pStyle w:val="yFootnotesection"/>
      </w:pPr>
      <w:r>
        <w:tab/>
        <w:t>[Form 8 amended in Gazette 3 Feb 2006 p. 524 and 602.]</w:t>
      </w:r>
    </w:p>
    <w:p>
      <w:pPr>
        <w:pStyle w:val="yTable"/>
        <w:spacing w:line="180" w:lineRule="atLeast"/>
        <w:ind w:left="3260"/>
        <w:jc w:val="righ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pageBreakBefore/>
              <w:tabs>
                <w:tab w:val="left" w:pos="1588"/>
              </w:tabs>
              <w:spacing w:line="180" w:lineRule="atLeast"/>
              <w:ind w:left="-119"/>
              <w:rPr>
                <w:spacing w:val="-2"/>
                <w:sz w:val="18"/>
              </w:rPr>
            </w:pPr>
            <w:r>
              <w:rPr>
                <w:spacing w:val="-2"/>
                <w:sz w:val="18"/>
              </w:rPr>
              <w:t>Form 9</w:t>
            </w:r>
            <w:r>
              <w:rPr>
                <w:spacing w:val="-2"/>
                <w:sz w:val="18"/>
              </w:rPr>
              <w:tab/>
              <w:t>WESTERN AUSTRALIA</w:t>
            </w:r>
          </w:p>
          <w:p>
            <w:pPr>
              <w:pStyle w:val="yTable"/>
              <w:tabs>
                <w:tab w:val="left" w:pos="1588"/>
              </w:tabs>
              <w:spacing w:before="0" w:line="180" w:lineRule="atLeast"/>
              <w:rPr>
                <w:spacing w:val="-2"/>
                <w:sz w:val="18"/>
              </w:rPr>
            </w:pPr>
            <w:r>
              <w:rPr>
                <w:i/>
                <w:spacing w:val="-2"/>
                <w:sz w:val="18"/>
              </w:rPr>
              <w:tab/>
              <w:t>Mining Act 1978</w:t>
            </w:r>
          </w:p>
          <w:p>
            <w:pPr>
              <w:pStyle w:val="yTable"/>
              <w:tabs>
                <w:tab w:val="left" w:pos="1588"/>
              </w:tabs>
              <w:spacing w:before="0" w:line="180" w:lineRule="atLeast"/>
              <w:rPr>
                <w:spacing w:val="-2"/>
                <w:sz w:val="18"/>
              </w:rPr>
            </w:pPr>
            <w:r>
              <w:rPr>
                <w:spacing w:val="-2"/>
                <w:sz w:val="18"/>
              </w:rPr>
              <w:tab/>
              <w:t>(Secs. 45, 61, 70E, 78, 88, 91A, 91B)</w:t>
            </w:r>
          </w:p>
          <w:p>
            <w:pPr>
              <w:pStyle w:val="yTable"/>
              <w:tabs>
                <w:tab w:val="left" w:pos="1588"/>
              </w:tabs>
              <w:spacing w:before="0" w:line="180" w:lineRule="atLeast"/>
              <w:rPr>
                <w:spacing w:val="-2"/>
                <w:sz w:val="18"/>
              </w:rPr>
            </w:pPr>
            <w:r>
              <w:rPr>
                <w:spacing w:val="-2"/>
                <w:sz w:val="18"/>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rPr>
            </w:pPr>
            <w:r>
              <w:rPr>
                <w:b/>
                <w:spacing w:val="-3"/>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8"/>
              </w:rPr>
            </w:pPr>
            <w:r>
              <w:rPr>
                <w:spacing w:val="-2"/>
                <w:sz w:val="18"/>
              </w:rPr>
              <w:t>(a)</w:t>
            </w:r>
            <w:r>
              <w:rPr>
                <w:spacing w:val="-2"/>
                <w:sz w:val="18"/>
              </w:rPr>
              <w:tab/>
              <w:t xml:space="preserve">Type of Tenement </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(b)</w:t>
            </w:r>
            <w:r>
              <w:rPr>
                <w:spacing w:val="-2"/>
                <w:sz w:val="18"/>
              </w:rPr>
              <w:tab/>
              <w:t xml:space="preserve">Number </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(c)</w:t>
            </w:r>
            <w:r>
              <w:rPr>
                <w:spacing w:val="-2"/>
                <w:sz w:val="18"/>
              </w:rPr>
              <w:tab/>
              <w:t>Mineral field</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(d)</w:t>
            </w:r>
            <w:r>
              <w:rPr>
                <w:spacing w:val="-2"/>
                <w:sz w:val="18"/>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20" w:line="180" w:lineRule="atLeast"/>
              <w:rPr>
                <w:spacing w:val="-2"/>
                <w:sz w:val="16"/>
              </w:rPr>
            </w:pPr>
          </w:p>
          <w:p>
            <w:pPr>
              <w:pStyle w:val="yTable"/>
              <w:spacing w:before="20" w:line="180" w:lineRule="atLeast"/>
              <w:rPr>
                <w:spacing w:val="-2"/>
                <w:sz w:val="18"/>
              </w:rPr>
            </w:pPr>
            <w:r>
              <w:rPr>
                <w:spacing w:val="-2"/>
                <w:sz w:val="18"/>
              </w:rPr>
              <w:t>(a)</w:t>
            </w:r>
            <w:r>
              <w:rPr>
                <w:spacing w:val="-2"/>
                <w:sz w:val="18"/>
              </w:rPr>
              <w:tab/>
            </w:r>
            <w:r>
              <w:rPr>
                <w:spacing w:val="-2"/>
                <w:sz w:val="18"/>
              </w:rPr>
              <w:tab/>
              <w:t>(b)</w:t>
            </w:r>
          </w:p>
          <w:p>
            <w:pPr>
              <w:pStyle w:val="yTable"/>
              <w:spacing w:before="20" w:line="180" w:lineRule="atLeast"/>
              <w:rPr>
                <w:spacing w:val="-2"/>
                <w:sz w:val="16"/>
              </w:rPr>
            </w:pPr>
          </w:p>
          <w:p>
            <w:pPr>
              <w:pStyle w:val="yTable"/>
              <w:spacing w:before="20" w:line="180" w:lineRule="atLeast"/>
              <w:rPr>
                <w:spacing w:val="-2"/>
                <w:sz w:val="18"/>
              </w:rPr>
            </w:pPr>
            <w:r>
              <w:rPr>
                <w:spacing w:val="-2"/>
                <w:sz w:val="18"/>
              </w:rPr>
              <w:t>(c)</w:t>
            </w:r>
          </w:p>
          <w:p>
            <w:pPr>
              <w:pStyle w:val="yTable"/>
              <w:spacing w:before="0" w:line="180" w:lineRule="atLeast"/>
              <w:rPr>
                <w:spacing w:val="-2"/>
                <w:sz w:val="16"/>
              </w:rPr>
            </w:pPr>
          </w:p>
          <w:p>
            <w:pPr>
              <w:pStyle w:val="yTable"/>
              <w:spacing w:before="0" w:line="180" w:lineRule="atLeast"/>
              <w:rPr>
                <w:spacing w:val="-2"/>
                <w:sz w:val="18"/>
              </w:rPr>
            </w:pPr>
            <w:r>
              <w:rPr>
                <w:spacing w:val="-2"/>
                <w:sz w:val="18"/>
              </w:rPr>
              <w:t>(d)</w:t>
            </w:r>
          </w:p>
        </w:tc>
      </w:tr>
      <w:tr>
        <w:tc>
          <w:tcPr>
            <w:tcW w:w="1560" w:type="dxa"/>
          </w:tcPr>
          <w:p>
            <w:pPr>
              <w:pStyle w:val="yTable"/>
              <w:spacing w:line="180" w:lineRule="atLeast"/>
              <w:ind w:left="306" w:hanging="426"/>
              <w:rPr>
                <w:spacing w:val="-2"/>
                <w:sz w:val="14"/>
              </w:rPr>
            </w:pPr>
          </w:p>
        </w:tc>
        <w:tc>
          <w:tcPr>
            <w:tcW w:w="5528" w:type="dxa"/>
          </w:tcPr>
          <w:p>
            <w:pPr>
              <w:pStyle w:val="yTable"/>
              <w:spacing w:line="180" w:lineRule="atLeast"/>
              <w:rPr>
                <w:spacing w:val="-2"/>
                <w:sz w:val="14"/>
              </w:rPr>
            </w:pPr>
          </w:p>
        </w:tc>
      </w:tr>
      <w:tr>
        <w:tc>
          <w:tcPr>
            <w:tcW w:w="1560" w:type="dxa"/>
          </w:tcPr>
          <w:p>
            <w:pPr>
              <w:pStyle w:val="yTable"/>
              <w:spacing w:line="180" w:lineRule="atLeast"/>
              <w:ind w:left="306" w:hanging="426"/>
              <w:rPr>
                <w:spacing w:val="-2"/>
                <w:sz w:val="18"/>
              </w:rPr>
            </w:pPr>
            <w:r>
              <w:rPr>
                <w:spacing w:val="-2"/>
                <w:sz w:val="18"/>
              </w:rPr>
              <w:t>(e)</w:t>
            </w:r>
            <w:r>
              <w:rPr>
                <w:spacing w:val="-2"/>
                <w:sz w:val="18"/>
              </w:rPr>
              <w:tab/>
              <w:t>Full name and address of holder(s)</w:t>
            </w:r>
          </w:p>
          <w:p>
            <w:pPr>
              <w:pStyle w:val="yTable"/>
              <w:spacing w:line="180" w:lineRule="atLeast"/>
              <w:ind w:left="306" w:hanging="426"/>
              <w:rPr>
                <w:spacing w:val="-2"/>
                <w:sz w:val="12"/>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4"/>
              </w:rPr>
            </w:pPr>
          </w:p>
          <w:p>
            <w:pPr>
              <w:pStyle w:val="yTable"/>
              <w:spacing w:before="0" w:line="180" w:lineRule="atLeast"/>
              <w:rPr>
                <w:spacing w:val="-2"/>
                <w:sz w:val="18"/>
              </w:rPr>
            </w:pPr>
            <w:r>
              <w:rPr>
                <w:spacing w:val="-2"/>
                <w:sz w:val="18"/>
              </w:rPr>
              <w:t>(e)</w:t>
            </w:r>
          </w:p>
          <w:p>
            <w:pPr>
              <w:pStyle w:val="yTable"/>
              <w:spacing w:before="0" w:line="180" w:lineRule="atLeast"/>
              <w:rPr>
                <w:spacing w:val="-2"/>
                <w:sz w:val="12"/>
              </w:rPr>
            </w:pPr>
          </w:p>
        </w:tc>
      </w:tr>
      <w:tr>
        <w:tc>
          <w:tcPr>
            <w:tcW w:w="1560"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80" w:line="180" w:lineRule="atLeast"/>
              <w:ind w:left="317" w:hanging="432"/>
              <w:rPr>
                <w:spacing w:val="-2"/>
                <w:sz w:val="18"/>
              </w:rPr>
            </w:pPr>
            <w:r>
              <w:rPr>
                <w:spacing w:val="-2"/>
                <w:sz w:val="18"/>
              </w:rPr>
              <w:t>(f)</w:t>
            </w:r>
            <w:r>
              <w:rPr>
                <w:spacing w:val="-2"/>
                <w:sz w:val="18"/>
              </w:rPr>
              <w:tab/>
              <w:t>Signature of holder or agent</w:t>
            </w:r>
          </w:p>
        </w:tc>
        <w:tc>
          <w:tcPr>
            <w:tcW w:w="5528" w:type="dxa"/>
          </w:tcPr>
          <w:p>
            <w:pPr>
              <w:pStyle w:val="yTable"/>
              <w:spacing w:line="180" w:lineRule="atLeast"/>
              <w:rPr>
                <w:spacing w:val="-2"/>
                <w:sz w:val="18"/>
              </w:rPr>
            </w:pPr>
            <w:r>
              <w:rPr>
                <w:spacing w:val="-2"/>
                <w:sz w:val="18"/>
              </w:rPr>
              <w:t>THE HOLDER of the abovementioned mining tenement hereby applies for extension/renewal thereof for a further period of      years.</w:t>
            </w:r>
          </w:p>
          <w:p>
            <w:pPr>
              <w:pStyle w:val="yTable"/>
              <w:spacing w:before="40" w:line="180" w:lineRule="atLeast"/>
              <w:rPr>
                <w:spacing w:val="-2"/>
                <w:sz w:val="18"/>
              </w:rPr>
            </w:pPr>
            <w:r>
              <w:rPr>
                <w:spacing w:val="-2"/>
                <w:sz w:val="18"/>
              </w:rPr>
              <w:t>DATED THIS            day of             20</w:t>
            </w:r>
          </w:p>
          <w:p>
            <w:pPr>
              <w:pStyle w:val="yTable"/>
              <w:spacing w:before="40" w:line="180" w:lineRule="atLeast"/>
              <w:rPr>
                <w:spacing w:val="-2"/>
                <w:sz w:val="18"/>
              </w:rPr>
            </w:pPr>
            <w:r>
              <w:rPr>
                <w:spacing w:val="-2"/>
                <w:sz w:val="18"/>
              </w:rPr>
              <w:t>Signed (f)    ....................................................................................................</w:t>
            </w:r>
          </w:p>
        </w:tc>
      </w:tr>
    </w:tbl>
    <w:p>
      <w:pPr>
        <w:pStyle w:val="yTable"/>
        <w:spacing w:before="0" w:line="180" w:lineRule="atLeast"/>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26"/>
        <w:gridCol w:w="1623"/>
        <w:gridCol w:w="4717"/>
        <w:gridCol w:w="284"/>
      </w:tblGrid>
      <w:tr>
        <w:tc>
          <w:tcPr>
            <w:tcW w:w="426" w:type="dxa"/>
            <w:tcBorders>
              <w:top w:val="single" w:sz="7" w:space="0" w:color="auto"/>
              <w:left w:val="single" w:sz="7" w:space="0" w:color="auto"/>
              <w:bottom w:val="single" w:sz="7" w:space="0" w:color="auto"/>
            </w:tcBorders>
          </w:tcPr>
          <w:p>
            <w:pPr>
              <w:pStyle w:val="yTable"/>
              <w:spacing w:line="180" w:lineRule="atLeast"/>
              <w:ind w:left="-284" w:right="-223"/>
              <w:jc w:val="center"/>
              <w:rPr>
                <w:spacing w:val="-2"/>
                <w:sz w:val="18"/>
              </w:rPr>
            </w:pPr>
            <w:r>
              <w:rPr>
                <w:spacing w:val="-2"/>
                <w:sz w:val="18"/>
              </w:rPr>
              <w:t>O</w:t>
            </w:r>
          </w:p>
          <w:p>
            <w:pPr>
              <w:pStyle w:val="yTable"/>
              <w:spacing w:before="0" w:line="180" w:lineRule="atLeast"/>
              <w:ind w:left="-284" w:right="-223"/>
              <w:jc w:val="center"/>
              <w:rPr>
                <w:spacing w:val="-2"/>
                <w:sz w:val="18"/>
              </w:rPr>
            </w:pPr>
            <w:r>
              <w:rPr>
                <w:spacing w:val="-2"/>
                <w:sz w:val="18"/>
              </w:rPr>
              <w:t>F</w:t>
            </w:r>
          </w:p>
          <w:p>
            <w:pPr>
              <w:pStyle w:val="yTable"/>
              <w:spacing w:before="0" w:line="180" w:lineRule="atLeast"/>
              <w:ind w:left="-284" w:right="-223"/>
              <w:jc w:val="center"/>
              <w:rPr>
                <w:spacing w:val="-2"/>
                <w:sz w:val="18"/>
              </w:rPr>
            </w:pPr>
            <w:r>
              <w:rPr>
                <w:spacing w:val="-2"/>
                <w:sz w:val="18"/>
              </w:rPr>
              <w:t>F</w:t>
            </w:r>
          </w:p>
          <w:p>
            <w:pPr>
              <w:pStyle w:val="yTable"/>
              <w:spacing w:before="0" w:line="180" w:lineRule="atLeast"/>
              <w:ind w:left="-284" w:right="-223"/>
              <w:jc w:val="center"/>
              <w:rPr>
                <w:spacing w:val="-2"/>
                <w:sz w:val="18"/>
              </w:rPr>
            </w:pPr>
            <w:r>
              <w:rPr>
                <w:spacing w:val="-2"/>
                <w:sz w:val="18"/>
              </w:rPr>
              <w:t>I</w:t>
            </w:r>
          </w:p>
          <w:p>
            <w:pPr>
              <w:pStyle w:val="yTable"/>
              <w:spacing w:before="0" w:line="180" w:lineRule="atLeast"/>
              <w:ind w:left="-284" w:right="-223"/>
              <w:jc w:val="center"/>
              <w:rPr>
                <w:spacing w:val="-2"/>
                <w:sz w:val="18"/>
              </w:rPr>
            </w:pPr>
            <w:r>
              <w:rPr>
                <w:spacing w:val="-2"/>
                <w:sz w:val="18"/>
              </w:rPr>
              <w:t>C</w:t>
            </w:r>
          </w:p>
          <w:p>
            <w:pPr>
              <w:pStyle w:val="yTable"/>
              <w:spacing w:before="0" w:line="180" w:lineRule="atLeast"/>
              <w:ind w:left="-284" w:right="-223"/>
              <w:jc w:val="center"/>
              <w:rPr>
                <w:spacing w:val="-2"/>
                <w:sz w:val="18"/>
              </w:rPr>
            </w:pPr>
            <w:r>
              <w:rPr>
                <w:spacing w:val="-2"/>
                <w:sz w:val="18"/>
              </w:rPr>
              <w:t>E</w:t>
            </w:r>
          </w:p>
          <w:p>
            <w:pPr>
              <w:pStyle w:val="yTable"/>
              <w:spacing w:before="0" w:line="180" w:lineRule="atLeast"/>
              <w:ind w:left="-284" w:right="-223"/>
              <w:jc w:val="center"/>
              <w:rPr>
                <w:spacing w:val="-2"/>
                <w:sz w:val="18"/>
              </w:rPr>
            </w:pPr>
          </w:p>
          <w:p>
            <w:pPr>
              <w:pStyle w:val="yTable"/>
              <w:spacing w:before="0" w:line="180" w:lineRule="atLeast"/>
              <w:ind w:left="-284" w:right="-223"/>
              <w:jc w:val="center"/>
              <w:rPr>
                <w:spacing w:val="-2"/>
                <w:sz w:val="18"/>
              </w:rPr>
            </w:pPr>
            <w:r>
              <w:rPr>
                <w:spacing w:val="-2"/>
                <w:sz w:val="18"/>
              </w:rPr>
              <w:t>U</w:t>
            </w:r>
          </w:p>
          <w:p>
            <w:pPr>
              <w:pStyle w:val="yTable"/>
              <w:spacing w:before="0" w:line="180" w:lineRule="atLeast"/>
              <w:ind w:left="-284" w:right="-223"/>
              <w:jc w:val="center"/>
              <w:rPr>
                <w:spacing w:val="-2"/>
                <w:sz w:val="18"/>
              </w:rPr>
            </w:pPr>
            <w:r>
              <w:rPr>
                <w:spacing w:val="-2"/>
                <w:sz w:val="18"/>
              </w:rPr>
              <w:t>S</w:t>
            </w:r>
          </w:p>
          <w:p>
            <w:pPr>
              <w:pStyle w:val="yTable"/>
              <w:spacing w:before="0" w:after="60" w:line="180" w:lineRule="atLeast"/>
              <w:ind w:left="-288" w:right="-216"/>
              <w:jc w:val="center"/>
              <w:rPr>
                <w:spacing w:val="-2"/>
                <w:sz w:val="18"/>
              </w:rPr>
            </w:pPr>
            <w:r>
              <w:rPr>
                <w:spacing w:val="-2"/>
                <w:sz w:val="18"/>
              </w:rPr>
              <w:t>E</w:t>
            </w:r>
          </w:p>
        </w:tc>
        <w:tc>
          <w:tcPr>
            <w:tcW w:w="1623"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4717" w:type="dxa"/>
            <w:tcBorders>
              <w:top w:val="single" w:sz="7" w:space="0" w:color="auto"/>
              <w:left w:val="single" w:sz="7" w:space="0" w:color="auto"/>
              <w:bottom w:val="single" w:sz="7" w:space="0" w:color="auto"/>
            </w:tcBorders>
          </w:tcPr>
          <w:p>
            <w:pPr>
              <w:pStyle w:val="yTable"/>
              <w:tabs>
                <w:tab w:val="right" w:leader="dot" w:pos="2613"/>
              </w:tabs>
              <w:spacing w:line="180" w:lineRule="atLeast"/>
              <w:rPr>
                <w:spacing w:val="-2"/>
                <w:sz w:val="18"/>
              </w:rPr>
            </w:pPr>
            <w:r>
              <w:rPr>
                <w:spacing w:val="-2"/>
                <w:sz w:val="18"/>
              </w:rPr>
              <w:t>Received at ....................................m.</w:t>
            </w:r>
          </w:p>
          <w:p>
            <w:pPr>
              <w:pStyle w:val="yTable"/>
              <w:tabs>
                <w:tab w:val="right" w:leader="dot" w:pos="2613"/>
              </w:tabs>
              <w:spacing w:line="180" w:lineRule="atLeast"/>
              <w:rPr>
                <w:spacing w:val="-2"/>
                <w:sz w:val="18"/>
              </w:rPr>
            </w:pPr>
            <w:r>
              <w:rPr>
                <w:spacing w:val="-2"/>
                <w:sz w:val="18"/>
              </w:rPr>
              <w:t>on ........................................................</w:t>
            </w:r>
          </w:p>
          <w:p>
            <w:pPr>
              <w:pStyle w:val="yTable"/>
              <w:tabs>
                <w:tab w:val="right" w:leader="dot" w:pos="2613"/>
              </w:tabs>
              <w:spacing w:before="0" w:line="180" w:lineRule="atLeast"/>
              <w:rPr>
                <w:spacing w:val="-2"/>
                <w:sz w:val="18"/>
              </w:rPr>
            </w:pPr>
            <w:r>
              <w:rPr>
                <w:spacing w:val="-2"/>
                <w:sz w:val="18"/>
              </w:rPr>
              <w:t>together with rent of</w:t>
            </w: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rPr>
                <w:spacing w:val="-2"/>
                <w:sz w:val="18"/>
              </w:rPr>
            </w:pPr>
            <w:r>
              <w:rPr>
                <w:spacing w:val="-2"/>
                <w:sz w:val="18"/>
              </w:rPr>
              <w:t>for the year ending</w:t>
            </w: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rPr>
                <w:spacing w:val="-2"/>
                <w:sz w:val="18"/>
              </w:rPr>
            </w:pP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ind w:right="1864"/>
              <w:jc w:val="center"/>
              <w:rPr>
                <w:spacing w:val="-2"/>
                <w:sz w:val="18"/>
              </w:rPr>
            </w:pPr>
            <w:r>
              <w:rPr>
                <w:spacing w:val="-2"/>
                <w:sz w:val="18"/>
              </w:rPr>
              <w:t>(Mining Registrar)</w:t>
            </w:r>
          </w:p>
        </w:tc>
        <w:tc>
          <w:tcPr>
            <w:tcW w:w="284" w:type="dxa"/>
            <w:tcBorders>
              <w:top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40" w:line="180" w:lineRule="atLeast"/>
        <w:ind w:left="1138" w:hanging="1138"/>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40" w:line="180" w:lineRule="atLeast"/>
        <w:ind w:left="1138" w:hanging="1138"/>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40" w:line="180" w:lineRule="atLeast"/>
        <w:ind w:left="1138" w:hanging="1138"/>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pPr>
      <w:r>
        <w:tab/>
        <w:t>[Form 9 amended in Gazette 3 Feb 2006 p. 602.]</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r>
        <w:rPr>
          <w:snapToGrid w:val="0"/>
          <w:sz w:val="18"/>
        </w:rPr>
        <w:t xml:space="preserve"> </w:t>
      </w:r>
    </w:p>
    <w:p>
      <w:pPr>
        <w:pStyle w:val="yTable"/>
        <w:tabs>
          <w:tab w:val="left" w:pos="2410"/>
        </w:tabs>
        <w:spacing w:before="0" w:line="180" w:lineRule="atLeast"/>
        <w:rPr>
          <w:snapToGrid w:val="0"/>
          <w:sz w:val="18"/>
        </w:rPr>
      </w:pPr>
      <w:r>
        <w:rPr>
          <w:snapToGrid w:val="0"/>
          <w:sz w:val="18"/>
        </w:rPr>
        <w:tab/>
        <w:t>(Sec. 116 Reg. 35)</w:t>
      </w:r>
    </w:p>
    <w:p>
      <w:pPr>
        <w:pStyle w:val="yTable"/>
        <w:tabs>
          <w:tab w:val="left" w:pos="2410"/>
        </w:tabs>
        <w:spacing w:before="180" w:line="180" w:lineRule="atLeast"/>
        <w:rPr>
          <w:snapToGrid w:val="0"/>
          <w:sz w:val="18"/>
        </w:rPr>
      </w:pPr>
      <w:r>
        <w:rPr>
          <w:b/>
          <w:snapToGrid w:val="0"/>
          <w:sz w:val="18"/>
        </w:rPr>
        <w:t>GENERAL PURPOSE LEASE</w:t>
      </w:r>
      <w:r>
        <w:rPr>
          <w:snapToGrid w:val="0"/>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60" w:line="180" w:lineRule="atLeast"/>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60" w:line="180" w:lineRule="atLeast"/>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60" w:line="180" w:lineRule="atLeast"/>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60" w:line="180" w:lineRule="atLeast"/>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60" w:line="180" w:lineRule="atLeast"/>
        <w:jc w:val="center"/>
        <w:rPr>
          <w:b/>
          <w:snapToGrid w:val="0"/>
          <w:sz w:val="18"/>
        </w:rPr>
      </w:pPr>
      <w:r>
        <w:rPr>
          <w:b/>
          <w:snapToGrid w:val="0"/>
          <w:sz w:val="18"/>
        </w:rPr>
        <w:t>FIFTH SCHEDULE</w:t>
      </w:r>
    </w:p>
    <w:p>
      <w:pPr>
        <w:pStyle w:val="yTable"/>
        <w:spacing w:line="180" w:lineRule="atLeast"/>
        <w:rPr>
          <w:snapToGrid w:val="0"/>
          <w:sz w:val="18"/>
        </w:rPr>
      </w:pPr>
      <w:r>
        <w:rPr>
          <w:snapToGrid w:val="0"/>
          <w:sz w:val="18"/>
        </w:rPr>
        <w:t>The term of the lease is</w:t>
      </w:r>
    </w:p>
    <w:p>
      <w:pPr>
        <w:pStyle w:val="yTable"/>
        <w:spacing w:before="160" w:line="180" w:lineRule="atLeast"/>
        <w:jc w:val="center"/>
        <w:rPr>
          <w:b/>
          <w:snapToGrid w:val="0"/>
          <w:sz w:val="18"/>
        </w:rPr>
      </w:pPr>
      <w:r>
        <w:rPr>
          <w:b/>
          <w:snapToGrid w:val="0"/>
          <w:sz w:val="18"/>
        </w:rPr>
        <w:t>SIXTH SCHEDULE</w:t>
      </w:r>
    </w:p>
    <w:p>
      <w:pPr>
        <w:pStyle w:val="yTable"/>
        <w:spacing w:line="180" w:lineRule="atLeast"/>
        <w:rPr>
          <w:snapToGrid w:val="0"/>
          <w:sz w:val="18"/>
        </w:rPr>
      </w:pPr>
      <w:r>
        <w:rPr>
          <w:snapToGrid w:val="0"/>
          <w:sz w:val="18"/>
        </w:rPr>
        <w:t>Date of commencement of the lease.</w:t>
      </w:r>
    </w:p>
    <w:p>
      <w:pPr>
        <w:pStyle w:val="yTable"/>
        <w:spacing w:before="160" w:line="180" w:lineRule="atLeast"/>
        <w:jc w:val="center"/>
        <w:rPr>
          <w:b/>
          <w:snapToGrid w:val="0"/>
          <w:sz w:val="18"/>
        </w:rPr>
      </w:pPr>
      <w:r>
        <w:rPr>
          <w:b/>
          <w:snapToGrid w:val="0"/>
          <w:sz w:val="18"/>
        </w:rPr>
        <w:t>SIXTH SCHEDULE</w:t>
      </w:r>
    </w:p>
    <w:p>
      <w:pPr>
        <w:pStyle w:val="yTable"/>
        <w:spacing w:line="180" w:lineRule="atLeast"/>
        <w:rPr>
          <w:snapToGrid w:val="0"/>
          <w:sz w:val="18"/>
        </w:rPr>
      </w:pPr>
      <w:r>
        <w:rPr>
          <w:snapToGrid w:val="0"/>
          <w:sz w:val="18"/>
        </w:rPr>
        <w:t>Any further endorsements/conditions or stipulations</w:t>
      </w:r>
    </w:p>
    <w:p>
      <w:pPr>
        <w:pStyle w:val="yTable"/>
        <w:spacing w:before="160" w:line="180" w:lineRule="atLeast"/>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rPr>
          <w:spacing w:val="-2"/>
          <w:sz w:val="18"/>
        </w:rPr>
      </w:pPr>
      <w:r>
        <w:tab/>
        <w:t>[Form 10 amended in Gazette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 xml:space="preserve">Mineral Field and     </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5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r>
              <w:rPr>
                <w:spacing w:val="-2"/>
                <w:sz w:val="18"/>
              </w:rPr>
              <w:t> </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r>
            <w:r>
              <w:rPr>
                <w:spacing w:val="-2"/>
                <w:sz w:val="18"/>
              </w:rPr>
              <w:tab/>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Table"/>
        <w:spacing w:line="180" w:lineRule="atLeast"/>
        <w:rPr>
          <w:spacing w:val="-2"/>
          <w:sz w:val="18"/>
        </w:rPr>
      </w:pP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i/>
          <w:snapToGrid w:val="0"/>
          <w:sz w:val="18"/>
        </w:rPr>
        <w:tab/>
        <w:t xml:space="preserve">Mining Act 1978 </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 xml:space="preserve">The date on which I intend to hear an application for forfeiture is </w:t>
      </w:r>
      <w:r>
        <w:rPr>
          <w:snapToGrid w:val="0"/>
          <w:sz w:val="18"/>
        </w:rPr>
        <w:br/>
        <w:t>........../ ........../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r>
        <w:rPr>
          <w:snapToGrid w:val="0"/>
          <w:sz w:val="18"/>
        </w:rPr>
        <w:t xml:space="preserve"> </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651"/>
        <w:gridCol w:w="4471"/>
      </w:tblGrid>
      <w:tr>
        <w:tc>
          <w:tcPr>
            <w:tcW w:w="2651" w:type="dxa"/>
          </w:tcPr>
          <w:p>
            <w:pPr>
              <w:pStyle w:val="yTable"/>
              <w:pageBreakBefore/>
              <w:spacing w:line="180" w:lineRule="atLeast"/>
              <w:ind w:left="-119"/>
              <w:rPr>
                <w:spacing w:val="-2"/>
                <w:sz w:val="18"/>
              </w:rPr>
            </w:pPr>
            <w:r>
              <w:rPr>
                <w:spacing w:val="-2"/>
                <w:sz w:val="18"/>
              </w:rPr>
              <w:t>Form 16</w:t>
            </w:r>
          </w:p>
        </w:tc>
        <w:tc>
          <w:tcPr>
            <w:tcW w:w="447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(Secs. 42, 59, 70D, 75, 97A Regs. 49, 51B, 55, 67, 120A)</w:t>
            </w:r>
          </w:p>
        </w:tc>
      </w:tr>
      <w:tr>
        <w:tc>
          <w:tcPr>
            <w:tcW w:w="2651" w:type="dxa"/>
          </w:tcPr>
          <w:p>
            <w:pPr>
              <w:pStyle w:val="yTable"/>
              <w:spacing w:line="180" w:lineRule="atLeast"/>
              <w:ind w:left="-120"/>
              <w:rPr>
                <w:spacing w:val="-2"/>
                <w:sz w:val="18"/>
              </w:rPr>
            </w:pPr>
          </w:p>
        </w:tc>
        <w:tc>
          <w:tcPr>
            <w:tcW w:w="4471" w:type="dxa"/>
          </w:tcPr>
          <w:p>
            <w:pPr>
              <w:pStyle w:val="yTable"/>
              <w:spacing w:before="120" w:after="60" w:line="180" w:lineRule="atLeast"/>
              <w:rPr>
                <w:spacing w:val="-2"/>
                <w:sz w:val="18"/>
              </w:rPr>
            </w:pPr>
            <w:r>
              <w:rPr>
                <w:b/>
                <w:spacing w:val="-3"/>
              </w:rPr>
              <w:t>OBJECTION</w:t>
            </w:r>
            <w:r>
              <w:rPr>
                <w:spacing w:val="-2"/>
                <w:sz w:val="18"/>
              </w:rPr>
              <w:tab/>
            </w:r>
            <w:r>
              <w:rPr>
                <w:spacing w:val="-2"/>
                <w:sz w:val="18"/>
              </w:rPr>
              <w:tab/>
              <w:t>No.</w:t>
            </w:r>
          </w:p>
          <w:p>
            <w:pPr>
              <w:pStyle w:val="yTable"/>
              <w:spacing w:line="180" w:lineRule="atLeast"/>
              <w:rPr>
                <w:spacing w:val="-2"/>
                <w:sz w:val="18"/>
              </w:rPr>
            </w:pPr>
            <w:r>
              <w:rPr>
                <w:spacing w:val="-2"/>
                <w:sz w:val="18"/>
              </w:rPr>
              <w:t>To:  The Warden</w:t>
            </w:r>
          </w:p>
        </w:tc>
      </w:tr>
      <w:tr>
        <w:tc>
          <w:tcPr>
            <w:tcW w:w="2651" w:type="dxa"/>
          </w:tcPr>
          <w:p>
            <w:pPr>
              <w:pStyle w:val="yTable"/>
              <w:spacing w:line="180" w:lineRule="atLeast"/>
              <w:ind w:left="306" w:hanging="426"/>
              <w:rPr>
                <w:spacing w:val="-2"/>
                <w:sz w:val="18"/>
              </w:rPr>
            </w:pPr>
            <w:r>
              <w:rPr>
                <w:spacing w:val="-2"/>
                <w:sz w:val="18"/>
              </w:rPr>
              <w:t>(a)</w:t>
            </w:r>
            <w:r>
              <w:rPr>
                <w:spacing w:val="-2"/>
                <w:sz w:val="18"/>
              </w:rPr>
              <w:tab/>
              <w:t>Mineral Field</w:t>
            </w:r>
          </w:p>
          <w:p>
            <w:pPr>
              <w:pStyle w:val="yTable"/>
              <w:spacing w:line="180" w:lineRule="atLeast"/>
              <w:ind w:left="306" w:hanging="426"/>
              <w:rPr>
                <w:spacing w:val="-2"/>
                <w:sz w:val="18"/>
              </w:rPr>
            </w:pPr>
          </w:p>
        </w:tc>
        <w:tc>
          <w:tcPr>
            <w:tcW w:w="4471" w:type="dxa"/>
          </w:tcPr>
          <w:p>
            <w:pPr>
              <w:pStyle w:val="yTable"/>
              <w:tabs>
                <w:tab w:val="left" w:pos="2629"/>
              </w:tabs>
              <w:spacing w:line="180" w:lineRule="atLeast"/>
              <w:rPr>
                <w:spacing w:val="-2"/>
                <w:sz w:val="18"/>
              </w:rPr>
            </w:pPr>
            <w:r>
              <w:rPr>
                <w:spacing w:val="-2"/>
                <w:sz w:val="18"/>
              </w:rPr>
              <w:t>(a)</w:t>
            </w:r>
            <w:r>
              <w:rPr>
                <w:spacing w:val="-2"/>
                <w:sz w:val="18"/>
              </w:rPr>
              <w:tab/>
              <w:t xml:space="preserve">Mineral Field        </w:t>
            </w:r>
          </w:p>
          <w:p>
            <w:pPr>
              <w:pStyle w:val="yTable"/>
              <w:spacing w:line="180" w:lineRule="atLeast"/>
              <w:rPr>
                <w:spacing w:val="-2"/>
                <w:sz w:val="18"/>
              </w:rPr>
            </w:pPr>
            <w:r>
              <w:rPr>
                <w:spacing w:val="-2"/>
                <w:sz w:val="18"/>
              </w:rPr>
              <w:t>The undersigned objects to</w:t>
            </w:r>
          </w:p>
        </w:tc>
      </w:tr>
      <w:tr>
        <w:tc>
          <w:tcPr>
            <w:tcW w:w="2651" w:type="dxa"/>
          </w:tcPr>
          <w:p>
            <w:pPr>
              <w:pStyle w:val="yTable"/>
              <w:spacing w:line="180" w:lineRule="atLeast"/>
              <w:ind w:left="306" w:hanging="426"/>
              <w:rPr>
                <w:spacing w:val="-2"/>
                <w:sz w:val="18"/>
              </w:rPr>
            </w:pPr>
            <w:r>
              <w:rPr>
                <w:spacing w:val="-2"/>
                <w:sz w:val="18"/>
              </w:rPr>
              <w:t>(b)</w:t>
            </w:r>
            <w:r>
              <w:rPr>
                <w:spacing w:val="-2"/>
                <w:sz w:val="18"/>
              </w:rPr>
              <w:tab/>
              <w:t>Insert particulars of the matter objected to and mining tenement affected</w:t>
            </w:r>
          </w:p>
        </w:tc>
        <w:tc>
          <w:tcPr>
            <w:tcW w:w="4471" w:type="dxa"/>
          </w:tcPr>
          <w:p>
            <w:pPr>
              <w:pStyle w:val="yTable"/>
              <w:spacing w:line="180" w:lineRule="atLeast"/>
              <w:rPr>
                <w:spacing w:val="-2"/>
                <w:sz w:val="18"/>
              </w:rPr>
            </w:pPr>
            <w:r>
              <w:rPr>
                <w:spacing w:val="-2"/>
                <w:sz w:val="18"/>
              </w:rPr>
              <w:t>(b)</w:t>
            </w:r>
          </w:p>
          <w:p>
            <w:pPr>
              <w:pStyle w:val="yTable"/>
              <w:spacing w:line="180" w:lineRule="atLeast"/>
              <w:rPr>
                <w:spacing w:val="-2"/>
                <w:sz w:val="18"/>
              </w:rPr>
            </w:pPr>
          </w:p>
          <w:p>
            <w:pPr>
              <w:pStyle w:val="yTable"/>
              <w:spacing w:line="180" w:lineRule="atLeast"/>
              <w:rPr>
                <w:spacing w:val="-2"/>
                <w:sz w:val="18"/>
              </w:rPr>
            </w:pPr>
            <w:r>
              <w:rPr>
                <w:spacing w:val="-2"/>
                <w:sz w:val="18"/>
              </w:rPr>
              <w:t>for the following reasons </w:t>
            </w:r>
            <w:r>
              <w:rPr>
                <w:snapToGrid w:val="0"/>
                <w:sz w:val="18"/>
              </w:rPr>
              <w:t>—</w:t>
            </w:r>
            <w:r>
              <w:rPr>
                <w:spacing w:val="-2"/>
                <w:sz w:val="18"/>
              </w:rPr>
              <w:t> </w:t>
            </w:r>
          </w:p>
        </w:tc>
      </w:tr>
      <w:tr>
        <w:tc>
          <w:tcPr>
            <w:tcW w:w="2651" w:type="dxa"/>
          </w:tcPr>
          <w:p>
            <w:pPr>
              <w:pStyle w:val="yTable"/>
              <w:spacing w:line="180" w:lineRule="atLeast"/>
              <w:ind w:left="306" w:hanging="426"/>
              <w:rPr>
                <w:spacing w:val="-2"/>
                <w:sz w:val="18"/>
              </w:rPr>
            </w:pPr>
            <w:r>
              <w:rPr>
                <w:spacing w:val="-2"/>
                <w:sz w:val="18"/>
              </w:rPr>
              <w:t>(c)</w:t>
            </w:r>
            <w:r>
              <w:rPr>
                <w:spacing w:val="-2"/>
                <w:sz w:val="18"/>
              </w:rPr>
              <w:tab/>
              <w:t>Set out grounds for objection</w:t>
            </w:r>
          </w:p>
          <w:p>
            <w:pPr>
              <w:pStyle w:val="yTable"/>
              <w:spacing w:line="180" w:lineRule="atLeast"/>
              <w:ind w:left="306" w:hanging="426"/>
              <w:rPr>
                <w:spacing w:val="-2"/>
                <w:sz w:val="18"/>
              </w:rPr>
            </w:pPr>
          </w:p>
        </w:tc>
        <w:tc>
          <w:tcPr>
            <w:tcW w:w="4471" w:type="dxa"/>
          </w:tcPr>
          <w:p>
            <w:pPr>
              <w:pStyle w:val="yTable"/>
              <w:spacing w:line="180" w:lineRule="atLeast"/>
              <w:rPr>
                <w:spacing w:val="-2"/>
                <w:sz w:val="18"/>
              </w:rPr>
            </w:pPr>
            <w:r>
              <w:rPr>
                <w:spacing w:val="-2"/>
                <w:sz w:val="18"/>
              </w:rPr>
              <w:t>(c)</w:t>
            </w:r>
          </w:p>
          <w:p>
            <w:pPr>
              <w:pStyle w:val="yTable"/>
              <w:spacing w:line="180" w:lineRule="atLeast"/>
              <w:rPr>
                <w:spacing w:val="-2"/>
                <w:sz w:val="18"/>
              </w:rPr>
            </w:pPr>
            <w:r>
              <w:rPr>
                <w:spacing w:val="-2"/>
                <w:sz w:val="18"/>
              </w:rPr>
              <w:t>And pending the hearing of this objection, require you to</w:t>
            </w:r>
          </w:p>
        </w:tc>
      </w:tr>
      <w:tr>
        <w:tc>
          <w:tcPr>
            <w:tcW w:w="2651" w:type="dxa"/>
          </w:tcPr>
          <w:p>
            <w:pPr>
              <w:pStyle w:val="yTable"/>
              <w:spacing w:line="180" w:lineRule="atLeast"/>
              <w:ind w:left="306" w:hanging="426"/>
              <w:rPr>
                <w:spacing w:val="-2"/>
                <w:sz w:val="18"/>
              </w:rPr>
            </w:pPr>
            <w:r>
              <w:rPr>
                <w:spacing w:val="-2"/>
                <w:sz w:val="18"/>
              </w:rPr>
              <w:t>(d)</w:t>
            </w:r>
            <w:r>
              <w:rPr>
                <w:spacing w:val="-2"/>
                <w:sz w:val="18"/>
              </w:rPr>
              <w:tab/>
              <w:t>“Withhold your recommendation” OR as the case may be</w:t>
            </w:r>
          </w:p>
        </w:tc>
        <w:tc>
          <w:tcPr>
            <w:tcW w:w="4471" w:type="dxa"/>
          </w:tcPr>
          <w:p>
            <w:pPr>
              <w:pStyle w:val="yTable"/>
              <w:spacing w:line="180" w:lineRule="atLeast"/>
              <w:rPr>
                <w:spacing w:val="-2"/>
                <w:sz w:val="18"/>
              </w:rPr>
            </w:pPr>
            <w:r>
              <w:rPr>
                <w:spacing w:val="-2"/>
                <w:sz w:val="18"/>
              </w:rPr>
              <w:t>(d)</w:t>
            </w:r>
          </w:p>
        </w:tc>
      </w:tr>
      <w:tr>
        <w:tc>
          <w:tcPr>
            <w:tcW w:w="2651" w:type="dxa"/>
          </w:tcPr>
          <w:p>
            <w:pPr>
              <w:pStyle w:val="yTable"/>
              <w:spacing w:line="180" w:lineRule="atLeast"/>
              <w:ind w:left="306" w:hanging="426"/>
              <w:rPr>
                <w:spacing w:val="-2"/>
                <w:sz w:val="18"/>
              </w:rPr>
            </w:pPr>
            <w:r>
              <w:rPr>
                <w:spacing w:val="-2"/>
                <w:sz w:val="18"/>
              </w:rPr>
              <w:t>(e)</w:t>
            </w:r>
            <w:r>
              <w:rPr>
                <w:spacing w:val="-2"/>
                <w:sz w:val="18"/>
              </w:rPr>
              <w:tab/>
              <w:t>Full name and address of objector</w:t>
            </w:r>
          </w:p>
        </w:tc>
        <w:tc>
          <w:tcPr>
            <w:tcW w:w="4471" w:type="dxa"/>
          </w:tcPr>
          <w:p>
            <w:pPr>
              <w:pStyle w:val="yTable"/>
              <w:spacing w:line="180" w:lineRule="atLeast"/>
              <w:rPr>
                <w:spacing w:val="-2"/>
                <w:sz w:val="18"/>
              </w:rPr>
            </w:pPr>
            <w:r>
              <w:rPr>
                <w:spacing w:val="-2"/>
                <w:sz w:val="18"/>
              </w:rPr>
              <w:t>(e)</w:t>
            </w:r>
          </w:p>
          <w:p>
            <w:pPr>
              <w:pStyle w:val="yTable"/>
              <w:spacing w:line="180" w:lineRule="atLeast"/>
              <w:rPr>
                <w:spacing w:val="-2"/>
                <w:sz w:val="18"/>
              </w:rPr>
            </w:pPr>
          </w:p>
        </w:tc>
      </w:tr>
      <w:tr>
        <w:tc>
          <w:tcPr>
            <w:tcW w:w="2651" w:type="dxa"/>
          </w:tcPr>
          <w:p>
            <w:pPr>
              <w:pStyle w:val="yTable"/>
              <w:spacing w:line="180" w:lineRule="atLeast"/>
              <w:ind w:left="306" w:hanging="426"/>
              <w:rPr>
                <w:spacing w:val="-2"/>
                <w:sz w:val="18"/>
              </w:rPr>
            </w:pPr>
            <w:r>
              <w:rPr>
                <w:sz w:val="18"/>
              </w:rPr>
              <w:t>(f)</w:t>
            </w:r>
            <w:r>
              <w:rPr>
                <w:sz w:val="18"/>
              </w:rPr>
              <w:tab/>
              <w:t>Insert date on which copy of application for mining tenement received (See Note 1)</w:t>
            </w:r>
          </w:p>
        </w:tc>
        <w:tc>
          <w:tcPr>
            <w:tcW w:w="4471" w:type="dxa"/>
          </w:tcPr>
          <w:p>
            <w:pPr>
              <w:pStyle w:val="yTable"/>
              <w:spacing w:line="180" w:lineRule="atLeast"/>
              <w:rPr>
                <w:spacing w:val="-2"/>
                <w:sz w:val="18"/>
              </w:rPr>
            </w:pPr>
            <w:r>
              <w:rPr>
                <w:sz w:val="18"/>
              </w:rPr>
              <w:t>(f)</w:t>
            </w:r>
          </w:p>
        </w:tc>
      </w:tr>
      <w:tr>
        <w:tc>
          <w:tcPr>
            <w:tcW w:w="2651" w:type="dxa"/>
          </w:tcPr>
          <w:p>
            <w:pPr>
              <w:pStyle w:val="yTable"/>
              <w:spacing w:line="180" w:lineRule="atLeast"/>
              <w:ind w:left="306" w:hanging="426"/>
              <w:rPr>
                <w:spacing w:val="-2"/>
                <w:sz w:val="18"/>
              </w:rPr>
            </w:pPr>
            <w:r>
              <w:rPr>
                <w:spacing w:val="-2"/>
                <w:sz w:val="18"/>
              </w:rPr>
              <w:t>(g)</w:t>
            </w:r>
            <w:r>
              <w:rPr>
                <w:spacing w:val="-2"/>
                <w:sz w:val="18"/>
              </w:rPr>
              <w:tab/>
              <w:t>Signature of objector or agent</w:t>
            </w:r>
          </w:p>
        </w:tc>
        <w:tc>
          <w:tcPr>
            <w:tcW w:w="4471" w:type="dxa"/>
          </w:tcPr>
          <w:p>
            <w:pPr>
              <w:pStyle w:val="yTable"/>
              <w:spacing w:line="180" w:lineRule="atLeast"/>
              <w:rPr>
                <w:spacing w:val="-2"/>
                <w:sz w:val="18"/>
              </w:rPr>
            </w:pPr>
            <w:r>
              <w:rPr>
                <w:spacing w:val="-2"/>
                <w:sz w:val="18"/>
              </w:rPr>
              <w:t>DATED this               day of                      20</w:t>
            </w:r>
          </w:p>
          <w:p>
            <w:pPr>
              <w:pStyle w:val="yTable"/>
              <w:tabs>
                <w:tab w:val="left" w:leader="dot" w:pos="2268"/>
              </w:tabs>
              <w:spacing w:line="180" w:lineRule="atLeast"/>
              <w:rPr>
                <w:spacing w:val="-2"/>
                <w:sz w:val="18"/>
              </w:rPr>
            </w:pPr>
            <w:r>
              <w:rPr>
                <w:spacing w:val="-2"/>
                <w:sz w:val="18"/>
              </w:rPr>
              <w:t>(g)     .........................................................................................</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26"/>
        <w:gridCol w:w="2289"/>
        <w:gridCol w:w="2552"/>
        <w:gridCol w:w="1801"/>
      </w:tblGrid>
      <w:tr>
        <w:tc>
          <w:tcPr>
            <w:tcW w:w="426" w:type="dxa"/>
            <w:tcBorders>
              <w:top w:val="double" w:sz="7" w:space="0" w:color="auto"/>
              <w:left w:val="single" w:sz="7" w:space="0" w:color="auto"/>
            </w:tcBorders>
          </w:tcPr>
          <w:p>
            <w:pPr>
              <w:pStyle w:val="yTable"/>
              <w:spacing w:line="180" w:lineRule="atLeast"/>
              <w:jc w:val="center"/>
              <w:rPr>
                <w:spacing w:val="-2"/>
                <w:sz w:val="18"/>
              </w:rPr>
            </w:pPr>
          </w:p>
        </w:tc>
        <w:tc>
          <w:tcPr>
            <w:tcW w:w="6642" w:type="dxa"/>
            <w:gridSpan w:val="3"/>
            <w:tcBorders>
              <w:top w:val="double" w:sz="7" w:space="0" w:color="auto"/>
              <w:left w:val="single" w:sz="7" w:space="0" w:color="auto"/>
              <w:right w:val="single" w:sz="7" w:space="0" w:color="auto"/>
            </w:tcBorders>
          </w:tcPr>
          <w:p>
            <w:pPr>
              <w:pStyle w:val="yTable"/>
              <w:tabs>
                <w:tab w:val="left" w:pos="5691"/>
              </w:tabs>
              <w:spacing w:line="180" w:lineRule="atLeast"/>
              <w:rPr>
                <w:spacing w:val="-2"/>
                <w:sz w:val="18"/>
              </w:rPr>
            </w:pPr>
            <w:r>
              <w:rPr>
                <w:spacing w:val="-2"/>
                <w:sz w:val="18"/>
              </w:rPr>
              <w:t xml:space="preserve">This objection will be heard in the Warden’s Court at </w:t>
            </w:r>
            <w:r>
              <w:rPr>
                <w:spacing w:val="-2"/>
                <w:sz w:val="18"/>
              </w:rPr>
              <w:tab/>
              <w:t xml:space="preserve">at   </w:t>
            </w:r>
          </w:p>
          <w:p>
            <w:pPr>
              <w:pStyle w:val="yTable"/>
              <w:spacing w:before="0" w:line="180" w:lineRule="atLeast"/>
              <w:rPr>
                <w:spacing w:val="-2"/>
                <w:sz w:val="18"/>
              </w:rPr>
            </w:pPr>
            <w:r>
              <w:rPr>
                <w:spacing w:val="-2"/>
                <w:sz w:val="18"/>
              </w:rPr>
              <w:t xml:space="preserve">the hour of                       .m. on the             day of          </w:t>
            </w:r>
            <w:r>
              <w:rPr>
                <w:spacing w:val="-2"/>
                <w:sz w:val="18"/>
              </w:rPr>
              <w:tab/>
              <w:t xml:space="preserve">      20</w:t>
            </w:r>
          </w:p>
        </w:tc>
      </w:tr>
      <w:tr>
        <w:tc>
          <w:tcPr>
            <w:tcW w:w="426" w:type="dxa"/>
            <w:tcBorders>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2289" w:type="dxa"/>
            <w:tcBorders>
              <w:top w:val="double" w:sz="7" w:space="0" w:color="auto"/>
              <w:left w:val="single" w:sz="7" w:space="0" w:color="auto"/>
              <w:bottom w:val="single" w:sz="7" w:space="0" w:color="auto"/>
            </w:tcBorders>
          </w:tcPr>
          <w:p>
            <w:pPr>
              <w:pStyle w:val="yTable"/>
              <w:spacing w:line="180" w:lineRule="atLeast"/>
              <w:rPr>
                <w:spacing w:val="-2"/>
                <w:sz w:val="18"/>
              </w:rPr>
            </w:pPr>
          </w:p>
        </w:tc>
        <w:tc>
          <w:tcPr>
            <w:tcW w:w="2552" w:type="dxa"/>
            <w:tcBorders>
              <w:top w:val="doub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2290"/>
              </w:tabs>
              <w:spacing w:before="0" w:line="180" w:lineRule="atLeast"/>
              <w:rPr>
                <w:spacing w:val="-2"/>
                <w:sz w:val="18"/>
              </w:rPr>
            </w:pPr>
            <w:r>
              <w:rPr>
                <w:spacing w:val="-2"/>
                <w:sz w:val="18"/>
              </w:rPr>
              <w:t>Received at ............................ m.</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on ................................................</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p>
            <w:pPr>
              <w:pStyle w:val="yTable"/>
              <w:spacing w:line="180" w:lineRule="atLeast"/>
              <w:rPr>
                <w:spacing w:val="-2"/>
                <w:sz w:val="18"/>
              </w:rPr>
            </w:pPr>
          </w:p>
        </w:tc>
        <w:tc>
          <w:tcPr>
            <w:tcW w:w="1801" w:type="dxa"/>
            <w:tcBorders>
              <w:top w:val="doub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40" w:line="180" w:lineRule="atLeast"/>
        <w:ind w:left="900" w:hanging="900"/>
      </w:pPr>
      <w:r>
        <w:rPr>
          <w:sz w:val="18"/>
        </w:rPr>
        <w:t>Note 1:</w:t>
      </w:r>
      <w:r>
        <w:rPr>
          <w:sz w:val="18"/>
        </w:rPr>
        <w:tab/>
        <w:t>To be completed if the objection is in respect of an application for a mining tenement that relates to private land.</w:t>
      </w:r>
    </w:p>
    <w:p>
      <w:pPr>
        <w:pStyle w:val="yFootnotesection"/>
      </w:pPr>
      <w:r>
        <w:tab/>
        <w:t>[Form 16 amended in Gazette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r>
              <w:rPr>
                <w:spacing w:val="-2"/>
                <w:sz w:val="18"/>
              </w:rPr>
              <w:t> </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r>
              <w:rPr>
                <w:spacing w:val="-2"/>
                <w:sz w:val="18"/>
              </w:rPr>
              <w:t> </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 xml:space="preserve">DATED this ....................... day of .................................. 20........... </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Table"/>
        <w:spacing w:line="180" w:lineRule="atLeast"/>
        <w:rPr>
          <w:spacing w:val="-2"/>
          <w:sz w:val="18"/>
        </w:rPr>
      </w:pP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            </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iCs/>
          <w:snapToGrid w:val="0"/>
          <w:sz w:val="18"/>
        </w:rPr>
        <w:t>Mining Regulations 1981</w:t>
      </w:r>
      <w:r>
        <w:rPr>
          <w:snapToGrid w:val="0"/>
          <w:sz w:val="18"/>
        </w:rPr>
        <w:t>.)</w:t>
      </w:r>
    </w:p>
    <w:p>
      <w:pPr>
        <w:pStyle w:val="yFootnotesection"/>
      </w:pPr>
      <w:r>
        <w:tab/>
        <w:t>[Form 18 amended in Gazette 3 Feb 2006 p. 603.]</w:t>
      </w:r>
    </w:p>
    <w:tbl>
      <w:tblPr>
        <w:tblW w:w="0" w:type="auto"/>
        <w:tblInd w:w="687" w:type="dxa"/>
        <w:tblLayout w:type="fixed"/>
        <w:tblCellMar>
          <w:left w:w="120" w:type="dxa"/>
          <w:right w:w="120" w:type="dxa"/>
        </w:tblCellMar>
        <w:tblLook w:val="0000" w:firstRow="0" w:lastRow="0" w:firstColumn="0" w:lastColumn="0" w:noHBand="0" w:noVBand="0"/>
      </w:tblPr>
      <w:tblGrid>
        <w:gridCol w:w="709"/>
        <w:gridCol w:w="1701"/>
        <w:gridCol w:w="3969"/>
      </w:tblGrid>
      <w:tr>
        <w:tc>
          <w:tcPr>
            <w:tcW w:w="2410" w:type="dxa"/>
            <w:gridSpan w:val="2"/>
          </w:tcPr>
          <w:p>
            <w:pPr>
              <w:pStyle w:val="yTable"/>
              <w:keepNext/>
              <w:pageBreakBefore/>
              <w:rPr>
                <w:sz w:val="20"/>
              </w:rPr>
            </w:pPr>
            <w:r>
              <w:rPr>
                <w:sz w:val="20"/>
              </w:rPr>
              <w:t>Form 19</w:t>
            </w:r>
          </w:p>
        </w:tc>
        <w:tc>
          <w:tcPr>
            <w:tcW w:w="3969"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10" w:type="dxa"/>
            <w:gridSpan w:val="2"/>
          </w:tcPr>
          <w:p>
            <w:pPr>
              <w:pStyle w:val="yTable"/>
              <w:rPr>
                <w:sz w:val="20"/>
              </w:rPr>
            </w:pPr>
          </w:p>
        </w:tc>
        <w:tc>
          <w:tcPr>
            <w:tcW w:w="3969"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709" w:type="dxa"/>
          </w:tcPr>
          <w:p>
            <w:pPr>
              <w:pStyle w:val="yTable"/>
              <w:rPr>
                <w:sz w:val="20"/>
              </w:rPr>
            </w:pPr>
            <w:r>
              <w:rPr>
                <w:sz w:val="20"/>
              </w:rPr>
              <w:t>(a)</w:t>
            </w:r>
          </w:p>
        </w:tc>
        <w:tc>
          <w:tcPr>
            <w:tcW w:w="1701" w:type="dxa"/>
          </w:tcPr>
          <w:p>
            <w:pPr>
              <w:pStyle w:val="yTable"/>
              <w:rPr>
                <w:sz w:val="20"/>
              </w:rPr>
            </w:pPr>
            <w:r>
              <w:rPr>
                <w:sz w:val="20"/>
              </w:rPr>
              <w:t>Type of tenement/s Number/s and Mineral Field</w:t>
            </w:r>
          </w:p>
        </w:tc>
        <w:tc>
          <w:tcPr>
            <w:tcW w:w="3969"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709" w:type="dxa"/>
          </w:tcPr>
          <w:p>
            <w:pPr>
              <w:pStyle w:val="yTable"/>
              <w:rPr>
                <w:sz w:val="20"/>
              </w:rPr>
            </w:pPr>
            <w:r>
              <w:rPr>
                <w:sz w:val="20"/>
              </w:rPr>
              <w:t>(b)</w:t>
            </w:r>
          </w:p>
        </w:tc>
        <w:tc>
          <w:tcPr>
            <w:tcW w:w="1701"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3969" w:type="dxa"/>
          </w:tcPr>
          <w:p>
            <w:pPr>
              <w:pStyle w:val="yTable"/>
              <w:rPr>
                <w:sz w:val="20"/>
              </w:rPr>
            </w:pPr>
            <w:r>
              <w:rPr>
                <w:sz w:val="20"/>
              </w:rPr>
              <w:t>(b)</w:t>
            </w:r>
            <w:r>
              <w:rPr>
                <w:sz w:val="20"/>
              </w:rPr>
              <w:tab/>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709" w:type="dxa"/>
          </w:tcPr>
          <w:p>
            <w:pPr>
              <w:pStyle w:val="yTable"/>
              <w:rPr>
                <w:sz w:val="20"/>
              </w:rPr>
            </w:pPr>
            <w:r>
              <w:rPr>
                <w:sz w:val="20"/>
              </w:rPr>
              <w:t>(c)</w:t>
            </w:r>
            <w:r>
              <w:rPr>
                <w:sz w:val="20"/>
              </w:rPr>
              <w:tab/>
            </w:r>
          </w:p>
        </w:tc>
        <w:tc>
          <w:tcPr>
            <w:tcW w:w="1701" w:type="dxa"/>
          </w:tcPr>
          <w:p>
            <w:pPr>
              <w:pStyle w:val="yTable"/>
              <w:rPr>
                <w:sz w:val="20"/>
              </w:rPr>
            </w:pPr>
            <w:r>
              <w:rPr>
                <w:sz w:val="20"/>
              </w:rPr>
              <w:t>Amount of expenditure (for each mining tenement affected)</w:t>
            </w:r>
          </w:p>
        </w:tc>
        <w:tc>
          <w:tcPr>
            <w:tcW w:w="3969"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 xml:space="preserve">for the above mining tenement/s during the year/s of the term of the tenement/s ending on — </w:t>
            </w:r>
          </w:p>
          <w:p>
            <w:pPr>
              <w:pStyle w:val="yTable"/>
              <w:rPr>
                <w:sz w:val="20"/>
              </w:rPr>
            </w:pPr>
          </w:p>
        </w:tc>
      </w:tr>
      <w:tr>
        <w:trPr>
          <w:cantSplit/>
        </w:trPr>
        <w:tc>
          <w:tcPr>
            <w:tcW w:w="709" w:type="dxa"/>
          </w:tcPr>
          <w:p>
            <w:pPr>
              <w:pStyle w:val="yTable"/>
              <w:rPr>
                <w:sz w:val="20"/>
              </w:rPr>
            </w:pPr>
            <w:r>
              <w:rPr>
                <w:sz w:val="20"/>
              </w:rPr>
              <w:t>(d)</w:t>
            </w:r>
            <w:r>
              <w:rPr>
                <w:sz w:val="20"/>
              </w:rPr>
              <w:tab/>
            </w:r>
          </w:p>
        </w:tc>
        <w:tc>
          <w:tcPr>
            <w:tcW w:w="1701" w:type="dxa"/>
          </w:tcPr>
          <w:p>
            <w:pPr>
              <w:pStyle w:val="yTable"/>
              <w:rPr>
                <w:sz w:val="20"/>
              </w:rPr>
            </w:pPr>
            <w:r>
              <w:rPr>
                <w:sz w:val="20"/>
              </w:rPr>
              <w:t>Expiry date/s of year/s to which exemption relates</w:t>
            </w:r>
          </w:p>
        </w:tc>
        <w:tc>
          <w:tcPr>
            <w:tcW w:w="3969"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 xml:space="preserve">DATED this             day of                     20    </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 xml:space="preserve">NOTICE IS given that </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r>
              <w:rPr>
                <w:spacing w:val="-2"/>
                <w:sz w:val="18"/>
              </w:rPr>
              <w:t> </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 xml:space="preserve">Full Name </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del w:id="1622" w:author="Master Repository Process" w:date="2021-08-29T08:44:00Z">
              <w:r>
                <w:rPr>
                  <w:noProof/>
                  <w:spacing w:val="-1"/>
                  <w:sz w:val="14"/>
                  <w:lang w:eastAsia="en-AU"/>
                </w:rPr>
                <w:drawing>
                  <wp:inline distT="0" distB="0" distL="0" distR="0">
                    <wp:extent cx="123825" cy="4762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del>
            <w:ins w:id="1623" w:author="Master Repository Process" w:date="2021-08-29T08:44:00Z">
              <w:r>
                <w:rPr>
                  <w:noProof/>
                  <w:spacing w:val="-1"/>
                  <w:sz w:val="14"/>
                  <w:lang w:eastAsia="en-AU"/>
                </w:rPr>
                <w:drawing>
                  <wp:inline distT="0" distB="0" distL="0" distR="0">
                    <wp:extent cx="124460" cy="475615"/>
                    <wp:effectExtent l="0" t="0" r="889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460" cy="475615"/>
                            </a:xfrm>
                            <a:prstGeom prst="rect">
                              <a:avLst/>
                            </a:prstGeom>
                            <a:noFill/>
                            <a:ln>
                              <a:noFill/>
                            </a:ln>
                          </pic:spPr>
                        </pic:pic>
                      </a:graphicData>
                    </a:graphic>
                  </wp:inline>
                </w:drawing>
              </w:r>
            </w:ins>
          </w:p>
        </w:tc>
        <w:tc>
          <w:tcPr>
            <w:tcW w:w="545" w:type="dxa"/>
            <w:vMerge w:val="restart"/>
          </w:tcPr>
          <w:p>
            <w:pPr>
              <w:pStyle w:val="yTable"/>
              <w:spacing w:line="140" w:lineRule="atLeast"/>
              <w:ind w:left="-113"/>
              <w:rPr>
                <w:spacing w:val="-1"/>
                <w:sz w:val="14"/>
              </w:rPr>
            </w:pPr>
            <w:r>
              <w:rPr>
                <w:spacing w:val="-1"/>
                <w:sz w:val="14"/>
              </w:rPr>
              <w:t>for each appli</w:t>
            </w:r>
            <w:r>
              <w:rPr>
                <w:spacing w:val="-1"/>
                <w:sz w:val="14"/>
              </w:rPr>
              <w:noBreakHyphen/>
              <w:t xml:space="preserve">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 xml:space="preserve">on or before the .......................................... day of ......................................................... 20 ................... (see Note 4) </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lodgement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93"/>
        <w:gridCol w:w="31"/>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6"/>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6"/>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6"/>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6"/>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6"/>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8"/>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8"/>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8"/>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6"/>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6"/>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6"/>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10795" t="10795" r="13970" b="762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4"/>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7620" t="12700" r="7620" b="571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381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4"/>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blPrEx>
          <w:tblCellMar>
            <w:left w:w="120" w:type="dxa"/>
            <w:right w:w="120" w:type="dxa"/>
          </w:tblCellMar>
        </w:tblPrEx>
        <w:tc>
          <w:tcPr>
            <w:tcW w:w="2078" w:type="dxa"/>
            <w:gridSpan w:val="10"/>
          </w:tcPr>
          <w:p>
            <w:pPr>
              <w:pStyle w:val="yTable"/>
              <w:pageBreakBefore/>
              <w:spacing w:line="180" w:lineRule="atLeast"/>
              <w:ind w:left="-119"/>
              <w:rPr>
                <w:sz w:val="18"/>
              </w:rPr>
            </w:pPr>
            <w:r>
              <w:rPr>
                <w:sz w:val="18"/>
              </w:rPr>
              <w:t>Form 22</w:t>
            </w:r>
          </w:p>
        </w:tc>
        <w:tc>
          <w:tcPr>
            <w:tcW w:w="5011" w:type="dxa"/>
            <w:gridSpan w:val="46"/>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blPrEx>
          <w:tblCellMar>
            <w:left w:w="120" w:type="dxa"/>
            <w:right w:w="120" w:type="dxa"/>
          </w:tblCellMar>
        </w:tblPrEx>
        <w:tc>
          <w:tcPr>
            <w:tcW w:w="2078" w:type="dxa"/>
            <w:gridSpan w:val="10"/>
          </w:tcPr>
          <w:p>
            <w:pPr>
              <w:pStyle w:val="yTable"/>
              <w:spacing w:line="180" w:lineRule="atLeast"/>
              <w:ind w:left="-120"/>
              <w:rPr>
                <w:sz w:val="18"/>
              </w:rPr>
            </w:pPr>
          </w:p>
        </w:tc>
        <w:tc>
          <w:tcPr>
            <w:tcW w:w="5011" w:type="dxa"/>
            <w:gridSpan w:val="46"/>
          </w:tcPr>
          <w:p>
            <w:pPr>
              <w:pStyle w:val="yTable"/>
              <w:spacing w:before="120" w:after="60" w:line="180" w:lineRule="atLeast"/>
            </w:pPr>
            <w:r>
              <w:rPr>
                <w:b/>
              </w:rPr>
              <w:t>WITHDRAWAL</w:t>
            </w:r>
          </w:p>
        </w:tc>
      </w:tr>
      <w:tr>
        <w:tblPrEx>
          <w:tblCellMar>
            <w:left w:w="120" w:type="dxa"/>
            <w:right w:w="120" w:type="dxa"/>
          </w:tblCellMar>
        </w:tblPrEx>
        <w:tc>
          <w:tcPr>
            <w:tcW w:w="2078" w:type="dxa"/>
            <w:gridSpan w:val="10"/>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blPrEx>
          <w:tblCellMar>
            <w:left w:w="120" w:type="dxa"/>
            <w:right w:w="120" w:type="dxa"/>
          </w:tblCellMar>
        </w:tblPrEx>
        <w:trPr>
          <w:trHeight w:hRule="exact" w:val="198"/>
        </w:trPr>
        <w:tc>
          <w:tcPr>
            <w:tcW w:w="2078" w:type="dxa"/>
            <w:gridSpan w:val="10"/>
          </w:tcPr>
          <w:p>
            <w:pPr>
              <w:pStyle w:val="yTable"/>
              <w:spacing w:line="180" w:lineRule="atLeast"/>
              <w:ind w:left="306" w:hanging="426"/>
              <w:rPr>
                <w:sz w:val="18"/>
              </w:rPr>
            </w:pPr>
          </w:p>
        </w:tc>
        <w:tc>
          <w:tcPr>
            <w:tcW w:w="5011" w:type="dxa"/>
            <w:gridSpan w:val="46"/>
          </w:tcPr>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120"/>
              <w:rPr>
                <w:sz w:val="18"/>
              </w:rPr>
            </w:pPr>
          </w:p>
        </w:tc>
        <w:tc>
          <w:tcPr>
            <w:tcW w:w="5011" w:type="dxa"/>
            <w:gridSpan w:val="46"/>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blPrEx>
          <w:tblCellMar>
            <w:left w:w="120" w:type="dxa"/>
            <w:right w:w="120" w:type="dxa"/>
          </w:tblCellMar>
        </w:tblPrEx>
        <w:tc>
          <w:tcPr>
            <w:tcW w:w="2078" w:type="dxa"/>
            <w:gridSpan w:val="10"/>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blPrEx>
          <w:tblCellMar>
            <w:left w:w="120" w:type="dxa"/>
            <w:right w:w="120" w:type="dxa"/>
          </w:tblCellMar>
        </w:tblPrEx>
        <w:trPr>
          <w:trHeight w:hRule="exact" w:val="198"/>
        </w:trPr>
        <w:tc>
          <w:tcPr>
            <w:tcW w:w="2078" w:type="dxa"/>
            <w:gridSpan w:val="10"/>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46"/>
          </w:tcPr>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5"/>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 &amp; 134)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spacing w:before="0" w:line="140" w:lineRule="atLeast"/>
              <w:rPr>
                <w:sz w:val="14"/>
              </w:rPr>
            </w:pPr>
            <w:r>
              <w:rPr>
                <w:sz w:val="14"/>
              </w:rPr>
              <w:t>(a)</w:t>
            </w:r>
            <w:r>
              <w:rPr>
                <w:sz w:val="14"/>
              </w:rPr>
              <w:tab/>
            </w:r>
            <w:r>
              <w:rPr>
                <w:sz w:val="14"/>
              </w:rPr>
              <w:tab/>
              <w:t>(b)</w:t>
            </w:r>
          </w:p>
          <w:p>
            <w:pPr>
              <w:pStyle w:val="yTable"/>
              <w:spacing w:before="0" w:line="140" w:lineRule="atLeast"/>
              <w:rPr>
                <w:sz w:val="14"/>
              </w:rPr>
            </w:pPr>
          </w:p>
          <w:p>
            <w:pPr>
              <w:pStyle w:val="yTable"/>
              <w:spacing w:before="0" w:line="140" w:lineRule="atLeast"/>
              <w:rPr>
                <w:sz w:val="14"/>
              </w:rPr>
            </w:pPr>
          </w:p>
          <w:p>
            <w:pPr>
              <w:pStyle w:val="yTable"/>
              <w:spacing w:before="0" w:line="140" w:lineRule="atLeast"/>
              <w:rPr>
                <w:sz w:val="14"/>
              </w:rPr>
            </w:pPr>
            <w:r>
              <w:rPr>
                <w:sz w:val="14"/>
              </w:rPr>
              <w:t>(c)</w:t>
            </w:r>
            <w:r>
              <w:rPr>
                <w:sz w:val="14"/>
              </w:rPr>
              <w:tab/>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iCs/>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iCs/>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iCs/>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before="0" w:line="140" w:lineRule="atLeast"/>
              <w:rPr>
                <w:sz w:val="14"/>
              </w:rPr>
            </w:pPr>
          </w:p>
          <w:p>
            <w:pPr>
              <w:pStyle w:val="yTable"/>
              <w:spacing w:before="0"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before="0" w:line="140" w:lineRule="atLeast"/>
              <w:rPr>
                <w:sz w:val="14"/>
              </w:rPr>
            </w:pPr>
          </w:p>
          <w:p>
            <w:pPr>
              <w:pStyle w:val="yTable"/>
              <w:spacing w:before="0"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of Industry and Resources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rPr>
          <w:sz w:val="18"/>
        </w:rPr>
      </w:pPr>
      <w:r>
        <w:tab/>
        <w:t>[Form 23 inserted in Gazette 3 Feb 2006 p. 524-5.]</w:t>
      </w:r>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spacing w:line="180" w:lineRule="atLeast"/>
              <w:ind w:left="-120"/>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bCs/>
                <w:sz w:val="16"/>
              </w:rPr>
            </w:pPr>
            <w:r>
              <w:rPr>
                <w:bCs/>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bCs/>
                <w:sz w:val="16"/>
              </w:rPr>
            </w:pPr>
            <w:r>
              <w:rPr>
                <w:bCs/>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bCs/>
                <w:sz w:val="16"/>
              </w:rPr>
            </w:pPr>
            <w:r>
              <w:rPr>
                <w:bCs/>
                <w:sz w:val="16"/>
              </w:rPr>
              <w:t>Caveator</w:t>
            </w:r>
            <w:r>
              <w:rPr>
                <w:b/>
                <w:sz w:val="16"/>
              </w:rPr>
              <w:br/>
            </w:r>
            <w:r>
              <w:rPr>
                <w:bCs/>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pageBreakBefore/>
              <w:spacing w:line="160" w:lineRule="atLeast"/>
              <w:ind w:left="-120"/>
              <w:rPr>
                <w:sz w:val="16"/>
              </w:rPr>
            </w:pPr>
          </w:p>
          <w:p>
            <w:pPr>
              <w:pStyle w:val="yTable"/>
              <w:pageBreakBefore/>
              <w:spacing w:line="160" w:lineRule="atLeast"/>
              <w:ind w:left="306" w:hanging="425"/>
              <w:rPr>
                <w:sz w:val="16"/>
              </w:rPr>
            </w:pPr>
            <w:r>
              <w:rPr>
                <w:sz w:val="16"/>
              </w:rPr>
              <w:t>(i)</w:t>
            </w:r>
            <w:r>
              <w:rPr>
                <w:sz w:val="16"/>
              </w:rPr>
              <w:tab/>
              <w:t>Signature of caveator</w:t>
            </w:r>
          </w:p>
          <w:p>
            <w:pPr>
              <w:pStyle w:val="yTable"/>
              <w:pageBreakBefore/>
              <w:spacing w:line="160" w:lineRule="atLeast"/>
              <w:ind w:left="306" w:hanging="425"/>
              <w:rPr>
                <w:sz w:val="16"/>
              </w:rPr>
            </w:pPr>
          </w:p>
          <w:p>
            <w:pPr>
              <w:pStyle w:val="yTable"/>
              <w:pageBreakBefore/>
              <w:spacing w:line="160" w:lineRule="atLeast"/>
              <w:ind w:left="306" w:hanging="426"/>
              <w:rPr>
                <w:sz w:val="16"/>
              </w:rPr>
            </w:pPr>
          </w:p>
          <w:p>
            <w:pPr>
              <w:pStyle w:val="yTable"/>
              <w:pageBreakBefor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pageBreakBefore/>
              <w:spacing w:line="160" w:lineRule="atLeast"/>
              <w:rPr>
                <w:bCs/>
                <w:sz w:val="16"/>
              </w:rPr>
            </w:pPr>
            <w:r>
              <w:rPr>
                <w:bCs/>
                <w:sz w:val="16"/>
              </w:rPr>
              <w:t>Caveator or agent signs here</w:t>
            </w:r>
          </w:p>
          <w:p>
            <w:pPr>
              <w:pStyle w:val="yTable"/>
              <w:pageBreakBefore/>
              <w:tabs>
                <w:tab w:val="left" w:leader="dot" w:pos="2055"/>
                <w:tab w:val="right" w:leader="dot" w:pos="4748"/>
              </w:tabs>
              <w:spacing w:line="160" w:lineRule="atLeast"/>
              <w:rPr>
                <w:sz w:val="16"/>
              </w:rPr>
            </w:pPr>
            <w:r>
              <w:rPr>
                <w:sz w:val="16"/>
              </w:rPr>
              <w:t>Signed (i) ……………………………………………………..</w:t>
            </w:r>
          </w:p>
          <w:p>
            <w:pPr>
              <w:pStyle w:val="yTable"/>
              <w:pageBreakBefore/>
              <w:tabs>
                <w:tab w:val="left" w:pos="921"/>
                <w:tab w:val="left" w:leader="dot" w:pos="2055"/>
                <w:tab w:val="right" w:leader="dot" w:pos="4748"/>
              </w:tabs>
              <w:spacing w:before="0" w:line="160" w:lineRule="atLeast"/>
              <w:rPr>
                <w:sz w:val="16"/>
              </w:rPr>
            </w:pPr>
            <w:r>
              <w:rPr>
                <w:sz w:val="16"/>
              </w:rPr>
              <w:tab/>
              <w:t>as agent (delete if not applicable)</w:t>
            </w:r>
          </w:p>
          <w:p>
            <w:pPr>
              <w:pStyle w:val="yTable"/>
              <w:pageBreakBefore/>
              <w:tabs>
                <w:tab w:val="left" w:pos="921"/>
                <w:tab w:val="left" w:leader="dot" w:pos="2055"/>
                <w:tab w:val="right" w:leader="dot" w:pos="4748"/>
              </w:tabs>
              <w:spacing w:line="160" w:lineRule="atLeast"/>
              <w:rPr>
                <w:sz w:val="16"/>
              </w:rPr>
            </w:pPr>
          </w:p>
          <w:p>
            <w:pPr>
              <w:pStyle w:val="yTable"/>
              <w:pageBreakBefore/>
              <w:tabs>
                <w:tab w:val="left" w:leader="dot" w:pos="2055"/>
                <w:tab w:val="right" w:leader="dot" w:pos="4748"/>
              </w:tabs>
              <w:spacing w:line="160" w:lineRule="atLeast"/>
              <w:rPr>
                <w:bCs/>
                <w:sz w:val="16"/>
              </w:rPr>
            </w:pPr>
            <w:r>
              <w:rPr>
                <w:bCs/>
                <w:sz w:val="16"/>
              </w:rPr>
              <w:t>Witness signs here</w:t>
            </w:r>
          </w:p>
          <w:p>
            <w:pPr>
              <w:pStyle w:val="yTable"/>
              <w:pageBreakBefore/>
              <w:tabs>
                <w:tab w:val="left" w:leader="dot" w:pos="2055"/>
                <w:tab w:val="right" w:leader="dot" w:pos="4748"/>
              </w:tabs>
              <w:spacing w:line="160" w:lineRule="atLeast"/>
              <w:rPr>
                <w:sz w:val="16"/>
              </w:rPr>
            </w:pPr>
            <w:r>
              <w:rPr>
                <w:sz w:val="16"/>
              </w:rPr>
              <w:t>in the presence of (j) …………………………………………..</w:t>
            </w:r>
          </w:p>
          <w:p>
            <w:pPr>
              <w:pStyle w:val="yTable"/>
              <w:pageBreakBefor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rPr>
          <w:sz w:val="18"/>
        </w:rPr>
      </w:pPr>
      <w:r>
        <w:tab/>
        <w:t>[Form 24 inserted in Gazette 3 Feb 2006 p. 525-6.]</w:t>
      </w:r>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spacing w:line="180" w:lineRule="atLeast"/>
              <w:ind w:left="-120"/>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 xml:space="preserve">Signed (c) ……………………………………………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24A inserted in Gazette 3 Feb 2006 p. 526-7.]</w:t>
      </w:r>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r>
              <w:rPr>
                <w:sz w:val="14"/>
              </w:rPr>
              <w:t> </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bCs/>
                <w:sz w:val="14"/>
              </w:rPr>
            </w:pPr>
            <w:r>
              <w:rPr>
                <w:bCs/>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rPr>
          <w:sz w:val="18"/>
        </w:rPr>
      </w:pPr>
      <w:r>
        <w:tab/>
        <w:t>[Form 25 amended in Gazette 3 Feb 2006 p. 527.]</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14"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25"/>
        <w:gridCol w:w="1276"/>
        <w:gridCol w:w="992"/>
        <w:gridCol w:w="992"/>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425" w:type="dxa"/>
            <w:vMerge w:val="restart"/>
            <w:tcBorders>
              <w:top w:val="single" w:sz="6" w:space="0" w:color="auto"/>
              <w:left w:val="single" w:sz="6" w:space="0" w:color="auto"/>
              <w:bottom w:val="single" w:sz="6" w:space="0" w:color="auto"/>
              <w:right w:val="single" w:sz="6" w:space="0" w:color="auto"/>
            </w:tcBorders>
            <w:textDirection w:val="btLr"/>
          </w:tcPr>
          <w:p>
            <w:pPr>
              <w:ind w:left="113" w:right="113"/>
              <w:jc w:val="center"/>
              <w:rPr>
                <w:b/>
                <w:sz w:val="18"/>
              </w:rPr>
            </w:pPr>
            <w:r>
              <w:rPr>
                <w:b/>
                <w:sz w:val="18"/>
              </w:rPr>
              <w:t>Mineral Produced/Sold</w:t>
            </w: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(Holder/Applicant)</w:t>
            </w:r>
          </w:p>
        </w:tc>
      </w:tr>
      <w:tr>
        <w:trPr>
          <w:cantSplit/>
          <w:trHeight w:val="1267"/>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pPr>
          </w:p>
        </w:tc>
        <w:tc>
          <w:tcPr>
            <w:tcW w:w="425" w:type="dxa"/>
            <w:vMerge w:val="restart"/>
            <w:tcBorders>
              <w:top w:val="single" w:sz="6" w:space="0" w:color="auto"/>
              <w:left w:val="single" w:sz="6" w:space="0" w:color="auto"/>
              <w:bottom w:val="single" w:sz="6" w:space="0" w:color="auto"/>
              <w:right w:val="single" w:sz="6" w:space="0" w:color="auto"/>
            </w:tcBorders>
            <w:textDirection w:val="btLr"/>
          </w:tcPr>
          <w:p>
            <w:pPr>
              <w:ind w:left="113" w:right="113"/>
              <w:jc w:val="center"/>
              <w:rPr>
                <w:b/>
                <w:sz w:val="18"/>
              </w:rPr>
            </w:pPr>
            <w:r>
              <w:rPr>
                <w:b/>
                <w:sz w:val="18"/>
              </w:rPr>
              <w:t>Material Mined</w:t>
            </w: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i/>
          <w:snapToGrid w:val="0"/>
          <w:sz w:val="18"/>
        </w:rPr>
        <w:tab/>
        <w:t xml:space="preserve">Mining Act 1978 </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4</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 xml:space="preserve">No.          </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 xml:space="preserve">(e)                                 </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 xml:space="preserve">20 ....................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(Regs. 48 &amp;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 xml:space="preserve">No.   </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defendant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r>
              <w:rPr>
                <w:sz w:val="18"/>
              </w:rPr>
              <w:t> </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 xml:space="preserve">S </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 xml:space="preserve">Summons and </w:t>
            </w:r>
          </w:p>
          <w:p>
            <w:pPr>
              <w:pStyle w:val="yTable"/>
              <w:spacing w:before="0" w:line="180" w:lineRule="atLeast"/>
              <w:rPr>
                <w:sz w:val="18"/>
              </w:rPr>
            </w:pPr>
            <w:r>
              <w:rPr>
                <w:sz w:val="18"/>
              </w:rPr>
              <w:t>Subpoena)</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Defendant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 xml:space="preserve">at (c)                .m. on the          day of             20    </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subpoena compelling the attendance of any witnesses, and production of any books, plans, documents, etc.</w:t>
            </w:r>
          </w:p>
          <w:p>
            <w:pPr>
              <w:pStyle w:val="yTable"/>
              <w:spacing w:line="180" w:lineRule="atLeast"/>
              <w:rPr>
                <w:sz w:val="18"/>
              </w:rPr>
            </w:pPr>
            <w:r>
              <w:rPr>
                <w:sz w:val="18"/>
              </w:rPr>
              <w:t>If you intend to dispute the plaintiff</w:t>
            </w:r>
            <w:r>
              <w:rPr>
                <w:sz w:val="18"/>
              </w:rPr>
              <w:fldChar w:fldCharType="begin"/>
            </w:r>
            <w:r>
              <w:rPr>
                <w:sz w:val="18"/>
              </w:rPr>
              <w:instrText>ADVANCE \R 1.40</w:instrText>
            </w:r>
            <w:r>
              <w:rPr>
                <w:sz w:val="18"/>
              </w:rPr>
              <w:fldChar w:fldCharType="end"/>
            </w:r>
            <w:r>
              <w:rPr>
                <w:sz w:val="18"/>
              </w:rPr>
              <w:t>‘s claim you must file a notice of defence in accordance with regulation 126</w:t>
            </w:r>
          </w:p>
          <w:p>
            <w:pPr>
              <w:pStyle w:val="yTable"/>
              <w:spacing w:line="180" w:lineRule="atLeast"/>
              <w:rPr>
                <w:sz w:val="18"/>
              </w:rPr>
            </w:pPr>
            <w:r>
              <w:rPr>
                <w:sz w:val="18"/>
              </w:rPr>
              <w:t xml:space="preserve">DATED at             </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451"/>
        <w:gridCol w:w="141"/>
        <w:gridCol w:w="1418"/>
      </w:tblGrid>
      <w:tr>
        <w:tc>
          <w:tcPr>
            <w:tcW w:w="2078" w:type="dxa"/>
          </w:tcPr>
          <w:p>
            <w:pPr>
              <w:pStyle w:val="yTable"/>
              <w:pageBreakBefore/>
              <w:spacing w:line="180" w:lineRule="atLeast"/>
              <w:ind w:left="-115"/>
              <w:rPr>
                <w:sz w:val="18"/>
              </w:rPr>
            </w:pPr>
            <w:r>
              <w:rPr>
                <w:sz w:val="18"/>
              </w:rPr>
              <w:t>Form 35</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124)</w:t>
            </w:r>
          </w:p>
          <w:p>
            <w:pPr>
              <w:pStyle w:val="yTable"/>
              <w:spacing w:line="180" w:lineRule="atLeast"/>
              <w:rPr>
                <w:sz w:val="18"/>
              </w:rPr>
            </w:pPr>
          </w:p>
          <w:p>
            <w:pPr>
              <w:pStyle w:val="yTable"/>
              <w:spacing w:line="180" w:lineRule="atLeast"/>
            </w:pPr>
            <w:r>
              <w:rPr>
                <w:b/>
              </w:rPr>
              <w:t>AFFIDAVIT OF SERVICE</w:t>
            </w:r>
          </w:p>
          <w:p>
            <w:pPr>
              <w:pStyle w:val="yTable"/>
              <w:spacing w:line="180" w:lineRule="atLeast"/>
              <w:rPr>
                <w:sz w:val="18"/>
              </w:rPr>
            </w:pP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tcPr>
          <w:p>
            <w:pPr>
              <w:pStyle w:val="yTable"/>
              <w:spacing w:line="180" w:lineRule="atLeast"/>
              <w:rPr>
                <w:sz w:val="18"/>
              </w:rPr>
            </w:pP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p>
            <w:pPr>
              <w:pStyle w:val="yTable"/>
              <w:spacing w:before="0" w:line="180" w:lineRule="atLeast"/>
              <w:ind w:left="317" w:hanging="432"/>
              <w:rPr>
                <w:sz w:val="18"/>
              </w:rPr>
            </w:pP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before="0" w:line="180" w:lineRule="atLeast"/>
              <w:rPr>
                <w:sz w:val="18"/>
              </w:rPr>
            </w:pP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Full name and address</w:t>
            </w:r>
          </w:p>
        </w:tc>
        <w:tc>
          <w:tcPr>
            <w:tcW w:w="5010" w:type="dxa"/>
            <w:gridSpan w:val="3"/>
          </w:tcPr>
          <w:p>
            <w:pPr>
              <w:pStyle w:val="yTable"/>
              <w:spacing w:line="180" w:lineRule="atLeast"/>
              <w:rPr>
                <w:sz w:val="18"/>
              </w:rPr>
            </w:pPr>
          </w:p>
          <w:p>
            <w:pPr>
              <w:pStyle w:val="yTable"/>
              <w:spacing w:line="180" w:lineRule="atLeast"/>
              <w:rPr>
                <w:sz w:val="18"/>
              </w:rPr>
            </w:pPr>
            <w:r>
              <w:rPr>
                <w:sz w:val="18"/>
              </w:rPr>
              <w:t xml:space="preserve">(c) 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make oath and say that I did on the              day of                                 20         , duly serve a copy of the summons (which is marked “A” and annexed hereto) as follows </w:t>
            </w:r>
            <w:r>
              <w:rPr>
                <w:snapToGrid w:val="0"/>
                <w:sz w:val="18"/>
              </w:rPr>
              <w:t>—</w:t>
            </w:r>
            <w:r>
              <w:rPr>
                <w:sz w:val="18"/>
              </w:rPr>
              <w:t> </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Full name of person on</w:t>
            </w:r>
          </w:p>
          <w:p>
            <w:pPr>
              <w:pStyle w:val="yTable"/>
              <w:tabs>
                <w:tab w:val="left" w:pos="2338"/>
              </w:tabs>
              <w:spacing w:before="0" w:line="180" w:lineRule="atLeast"/>
              <w:rPr>
                <w:sz w:val="18"/>
              </w:rPr>
            </w:pPr>
            <w:r>
              <w:rPr>
                <w:sz w:val="18"/>
              </w:rPr>
              <w:t xml:space="preserve">    whom service effected</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Manner of service</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Address where service</w:t>
            </w:r>
          </w:p>
          <w:p>
            <w:pPr>
              <w:pStyle w:val="yTable"/>
              <w:tabs>
                <w:tab w:val="left" w:pos="2338"/>
              </w:tabs>
              <w:spacing w:before="0" w:line="180" w:lineRule="atLeast"/>
              <w:rPr>
                <w:sz w:val="18"/>
              </w:rPr>
            </w:pPr>
            <w:r>
              <w:rPr>
                <w:sz w:val="18"/>
              </w:rPr>
              <w:t xml:space="preserve">    effected</w:t>
            </w:r>
            <w:r>
              <w:rPr>
                <w:sz w:val="18"/>
              </w:rPr>
              <w:tab/>
              <w:t>:</w:t>
            </w:r>
          </w:p>
          <w:p>
            <w:pPr>
              <w:pStyle w:val="yTable"/>
              <w:spacing w:before="0" w:line="180" w:lineRule="atLeast"/>
              <w:rPr>
                <w:sz w:val="18"/>
              </w:rPr>
            </w:pP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day of                   20    .</w:t>
            </w:r>
          </w:p>
          <w:p>
            <w:pPr>
              <w:pStyle w:val="yTable"/>
              <w:spacing w:before="0" w:line="180" w:lineRule="atLeast"/>
              <w:rPr>
                <w:sz w:val="14"/>
              </w:rPr>
            </w:pP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(Commissioner for taking affidavits in the Supreme Court/Warden/Mining Registrar/Justice of the Peace).</w:t>
            </w:r>
          </w:p>
        </w:tc>
      </w:tr>
      <w:tr>
        <w:tc>
          <w:tcPr>
            <w:tcW w:w="2078" w:type="dxa"/>
          </w:tcPr>
          <w:p>
            <w:pPr>
              <w:pStyle w:val="yTable"/>
              <w:pageBreakBefore/>
              <w:spacing w:line="180" w:lineRule="atLeast"/>
              <w:ind w:left="-115"/>
              <w:rPr>
                <w:sz w:val="18"/>
              </w:rPr>
            </w:pPr>
            <w:r>
              <w:rPr>
                <w:sz w:val="18"/>
              </w:rPr>
              <w:t>Form 36</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126)</w:t>
            </w:r>
          </w:p>
          <w:p>
            <w:pPr>
              <w:pStyle w:val="yTable"/>
              <w:spacing w:before="120" w:line="180" w:lineRule="atLeast"/>
            </w:pPr>
            <w:r>
              <w:rPr>
                <w:b/>
              </w:rPr>
              <w:t>NOTICE OF DEFENCE</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gridSpan w:val="2"/>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line="180" w:lineRule="atLeast"/>
              <w:ind w:left="306" w:hanging="425"/>
              <w:rPr>
                <w:sz w:val="18"/>
              </w:rPr>
            </w:pPr>
            <w:r>
              <w:rPr>
                <w:sz w:val="18"/>
              </w:rPr>
              <w:t>(c)</w:t>
            </w:r>
            <w:r>
              <w:rPr>
                <w:sz w:val="18"/>
              </w:rPr>
              <w:tab/>
              <w:t>Grounds of defence</w:t>
            </w:r>
          </w:p>
        </w:tc>
        <w:tc>
          <w:tcPr>
            <w:tcW w:w="5010" w:type="dxa"/>
            <w:gridSpan w:val="3"/>
          </w:tcPr>
          <w:p>
            <w:pPr>
              <w:pStyle w:val="yTable"/>
              <w:spacing w:before="120" w:line="180" w:lineRule="atLeast"/>
              <w:rPr>
                <w:sz w:val="18"/>
              </w:rPr>
            </w:pPr>
            <w:r>
              <w:rPr>
                <w:sz w:val="18"/>
              </w:rPr>
              <w:t>TAKE NOTICE that I intend to defend the plaintiff’s claim in this action on the following grounds </w:t>
            </w:r>
            <w:r>
              <w:rPr>
                <w:snapToGrid w:val="0"/>
                <w:sz w:val="18"/>
              </w:rPr>
              <w:t>—</w:t>
            </w:r>
            <w:r>
              <w:rPr>
                <w:sz w:val="18"/>
              </w:rPr>
              <w:t> </w:t>
            </w:r>
          </w:p>
          <w:p>
            <w:pPr>
              <w:pStyle w:val="yTable"/>
              <w:spacing w:line="180" w:lineRule="atLeast"/>
              <w:rPr>
                <w:sz w:val="18"/>
              </w:rPr>
            </w:pPr>
            <w:r>
              <w:rPr>
                <w:sz w:val="18"/>
              </w:rPr>
              <w:t>(c)</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 xml:space="preserve">+Delete if not applicable </w:t>
            </w:r>
          </w:p>
          <w:p>
            <w:pPr>
              <w:pStyle w:val="yTable"/>
              <w:spacing w:before="0" w:line="180" w:lineRule="atLeast"/>
              <w:ind w:left="306" w:hanging="425"/>
              <w:rPr>
                <w:sz w:val="18"/>
              </w:rPr>
            </w:pPr>
            <w:r>
              <w:rPr>
                <w:sz w:val="18"/>
              </w:rPr>
              <w:t>(see Note 1)</w:t>
            </w: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defendant</w:t>
            </w:r>
          </w:p>
        </w:tc>
        <w:tc>
          <w:tcPr>
            <w:tcW w:w="5010" w:type="dxa"/>
            <w:gridSpan w:val="3"/>
          </w:tcPr>
          <w:p>
            <w:pPr>
              <w:pStyle w:val="yTable"/>
              <w:spacing w:line="180" w:lineRule="atLeast"/>
              <w:rPr>
                <w:sz w:val="18"/>
              </w:rPr>
            </w:pPr>
            <w:r>
              <w:rPr>
                <w:sz w:val="18"/>
              </w:rPr>
              <w:t>+and the defendant claims</w:t>
            </w:r>
          </w:p>
          <w:p>
            <w:pPr>
              <w:pStyle w:val="yTable"/>
              <w:spacing w:before="0" w:line="180" w:lineRule="atLeast"/>
              <w:jc w:val="center"/>
              <w:rPr>
                <w:sz w:val="18"/>
              </w:rPr>
            </w:pPr>
            <w:r>
              <w:rPr>
                <w:sz w:val="18"/>
              </w:rPr>
              <w:t>_______________</w:t>
            </w:r>
          </w:p>
          <w:p>
            <w:pPr>
              <w:pStyle w:val="yTable"/>
              <w:spacing w:before="120" w:line="180" w:lineRule="atLeast"/>
              <w:rPr>
                <w:sz w:val="18"/>
              </w:rPr>
            </w:pPr>
            <w:r>
              <w:rPr>
                <w:sz w:val="18"/>
              </w:rPr>
              <w:t>DATED at        this        day of               20   .</w:t>
            </w:r>
          </w:p>
          <w:p>
            <w:pPr>
              <w:pStyle w:val="yTable"/>
              <w:tabs>
                <w:tab w:val="left" w:leader="dot" w:pos="4748"/>
              </w:tabs>
              <w:spacing w:line="180" w:lineRule="atLeast"/>
              <w:rPr>
                <w:sz w:val="18"/>
              </w:rPr>
            </w:pPr>
            <w:r>
              <w:rPr>
                <w:sz w:val="18"/>
              </w:rPr>
              <w:t>(d) ....................................................................................................</w:t>
            </w:r>
          </w:p>
        </w:tc>
      </w:tr>
    </w:tbl>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38"/>
              </w:tabs>
              <w:spacing w:line="180" w:lineRule="atLeast"/>
              <w:rPr>
                <w:sz w:val="18"/>
              </w:rPr>
            </w:pPr>
            <w:r>
              <w:rPr>
                <w:sz w:val="18"/>
              </w:rPr>
              <w:t>Received at ...............................m.</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on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t>
            </w:r>
          </w:p>
          <w:p>
            <w:pPr>
              <w:pStyle w:val="yTable"/>
              <w:tabs>
                <w:tab w:val="right" w:leader="dot" w:pos="2438"/>
              </w:tabs>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r>
        <w:rPr>
          <w:sz w:val="18"/>
        </w:rPr>
        <w:t>NOTE 1: If the defendant claims a set off or asks for cross relief, particulars of the relief sought should be stated.</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3"/>
        <w:gridCol w:w="36"/>
        <w:gridCol w:w="3402"/>
        <w:gridCol w:w="1559"/>
      </w:tblGrid>
      <w:tr>
        <w:trPr>
          <w:cantSplit/>
          <w:trHeight w:val="240"/>
        </w:trPr>
        <w:tc>
          <w:tcPr>
            <w:tcW w:w="2127" w:type="dxa"/>
            <w:gridSpan w:val="3"/>
          </w:tcPr>
          <w:p>
            <w:pPr>
              <w:pStyle w:val="yTable"/>
              <w:pageBreakBefore/>
              <w:spacing w:line="180" w:lineRule="atLeast"/>
              <w:ind w:left="-115"/>
              <w:rPr>
                <w:sz w:val="18"/>
              </w:rPr>
            </w:pPr>
            <w:r>
              <w:rPr>
                <w:sz w:val="18"/>
              </w:rPr>
              <w:t>Form 37</w:t>
            </w:r>
          </w:p>
        </w:tc>
        <w:tc>
          <w:tcPr>
            <w:tcW w:w="496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127)</w:t>
            </w:r>
          </w:p>
          <w:p>
            <w:pPr>
              <w:pStyle w:val="yTable"/>
              <w:spacing w:before="80" w:line="180" w:lineRule="atLeast"/>
            </w:pPr>
            <w:r>
              <w:rPr>
                <w:b/>
              </w:rPr>
              <w:t>SUBPOENA FOR WITNESS</w:t>
            </w:r>
          </w:p>
          <w:p>
            <w:pPr>
              <w:pStyle w:val="yTable"/>
              <w:spacing w:before="40" w:line="180" w:lineRule="atLeast"/>
              <w:rPr>
                <w:sz w:val="18"/>
              </w:rPr>
            </w:pPr>
            <w:r>
              <w:rPr>
                <w:sz w:val="18"/>
              </w:rPr>
              <w:t>In the Warden’s Court at</w:t>
            </w:r>
          </w:p>
        </w:tc>
      </w:tr>
      <w:tr>
        <w:trPr>
          <w:cantSplit/>
          <w:trHeight w:val="240"/>
        </w:trPr>
        <w:tc>
          <w:tcPr>
            <w:tcW w:w="2127" w:type="dxa"/>
            <w:gridSpan w:val="3"/>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02" w:type="dxa"/>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730"/>
                <w:tab w:val="left" w:leader="dot" w:pos="1155"/>
              </w:tabs>
              <w:spacing w:before="0" w:line="180" w:lineRule="atLeast"/>
              <w:jc w:val="center"/>
              <w:rPr>
                <w:sz w:val="18"/>
              </w:rPr>
            </w:pPr>
            <w:r>
              <w:rPr>
                <w:sz w:val="18"/>
              </w:rPr>
              <w:t>No............. / .....</w:t>
            </w:r>
          </w:p>
        </w:tc>
      </w:tr>
      <w:tr>
        <w:trPr>
          <w:cantSplit/>
          <w:trHeight w:val="240"/>
        </w:trPr>
        <w:tc>
          <w:tcPr>
            <w:tcW w:w="2127" w:type="dxa"/>
            <w:gridSpan w:val="3"/>
          </w:tcPr>
          <w:p>
            <w:pPr>
              <w:pStyle w:val="yTable"/>
              <w:spacing w:line="180" w:lineRule="atLeast"/>
              <w:ind w:left="-120"/>
              <w:rPr>
                <w:sz w:val="14"/>
              </w:rPr>
            </w:pPr>
          </w:p>
        </w:tc>
        <w:tc>
          <w:tcPr>
            <w:tcW w:w="4961" w:type="dxa"/>
            <w:gridSpan w:val="2"/>
          </w:tcPr>
          <w:p>
            <w:pPr>
              <w:pStyle w:val="yTable"/>
              <w:spacing w:line="180" w:lineRule="atLeast"/>
              <w:rPr>
                <w:sz w:val="14"/>
              </w:rPr>
            </w:pP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cantSplit/>
          <w:trHeight w:val="240"/>
        </w:trPr>
        <w:tc>
          <w:tcPr>
            <w:tcW w:w="2127" w:type="dxa"/>
            <w:gridSpan w:val="3"/>
          </w:tcPr>
          <w:p>
            <w:pPr>
              <w:pStyle w:val="yTable"/>
              <w:spacing w:before="30" w:line="180" w:lineRule="atLeast"/>
              <w:ind w:left="306" w:hanging="426"/>
              <w:rPr>
                <w:sz w:val="18"/>
              </w:rPr>
            </w:pPr>
          </w:p>
        </w:tc>
        <w:tc>
          <w:tcPr>
            <w:tcW w:w="4961" w:type="dxa"/>
            <w:gridSpan w:val="2"/>
          </w:tcPr>
          <w:p>
            <w:pPr>
              <w:pStyle w:val="yTable"/>
              <w:spacing w:before="3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240"/>
        </w:trPr>
        <w:tc>
          <w:tcPr>
            <w:tcW w:w="2127" w:type="dxa"/>
            <w:gridSpan w:val="3"/>
          </w:tcPr>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17" w:hanging="432"/>
              <w:rPr>
                <w:sz w:val="18"/>
              </w:rPr>
            </w:pPr>
            <w:r>
              <w:rPr>
                <w:sz w:val="18"/>
              </w:rPr>
              <w:t>(c)</w:t>
            </w:r>
            <w:r>
              <w:rPr>
                <w:sz w:val="18"/>
              </w:rPr>
              <w:tab/>
              <w:t>Place of hearing</w:t>
            </w:r>
          </w:p>
          <w:p>
            <w:pPr>
              <w:pStyle w:val="yTable"/>
              <w:spacing w:line="180" w:lineRule="atLeast"/>
              <w:ind w:left="306" w:hanging="425"/>
              <w:rPr>
                <w:sz w:val="18"/>
              </w:rPr>
            </w:pPr>
            <w:r>
              <w:rPr>
                <w:sz w:val="18"/>
              </w:rPr>
              <w:t>(d)</w:t>
            </w:r>
            <w:r>
              <w:rPr>
                <w:sz w:val="18"/>
              </w:rPr>
              <w:tab/>
              <w:t>Time and date of hearing</w:t>
            </w:r>
          </w:p>
          <w:p>
            <w:pPr>
              <w:pStyle w:val="yTable"/>
              <w:spacing w:before="120" w:line="180" w:lineRule="atLeast"/>
              <w:ind w:left="306" w:hanging="425"/>
              <w:rPr>
                <w:sz w:val="18"/>
              </w:rPr>
            </w:pPr>
            <w:r>
              <w:rPr>
                <w:sz w:val="18"/>
              </w:rPr>
              <w:t>(e)</w:t>
            </w:r>
            <w:r>
              <w:rPr>
                <w:sz w:val="18"/>
              </w:rPr>
              <w:tab/>
              <w:t>Plaintiff/</w:t>
            </w:r>
          </w:p>
          <w:p>
            <w:pPr>
              <w:pStyle w:val="yTable"/>
              <w:spacing w:before="0" w:line="180" w:lineRule="atLeast"/>
              <w:ind w:left="317" w:hanging="432"/>
              <w:rPr>
                <w:sz w:val="18"/>
              </w:rPr>
            </w:pPr>
            <w:r>
              <w:rPr>
                <w:sz w:val="18"/>
              </w:rPr>
              <w:tab/>
              <w:t>Defendant</w:t>
            </w:r>
          </w:p>
          <w:p>
            <w:pPr>
              <w:pStyle w:val="yTable"/>
              <w:spacing w:before="120" w:line="180" w:lineRule="atLeast"/>
              <w:ind w:left="306" w:hanging="425"/>
              <w:rPr>
                <w:sz w:val="18"/>
              </w:rPr>
            </w:pPr>
            <w:r>
              <w:rPr>
                <w:sz w:val="18"/>
              </w:rPr>
              <w:t>(f)</w:t>
            </w:r>
            <w:r>
              <w:rPr>
                <w:sz w:val="18"/>
              </w:rPr>
              <w:tab/>
              <w:t>State the particular things required to be produced</w:t>
            </w:r>
          </w:p>
        </w:tc>
        <w:tc>
          <w:tcPr>
            <w:tcW w:w="4961" w:type="dxa"/>
            <w:gridSpan w:val="2"/>
          </w:tcPr>
          <w:p>
            <w:pPr>
              <w:pStyle w:val="yTable"/>
              <w:spacing w:line="180" w:lineRule="atLeast"/>
              <w:rPr>
                <w:sz w:val="18"/>
              </w:rPr>
            </w:pPr>
            <w:r>
              <w:rPr>
                <w:b/>
                <w:sz w:val="18"/>
              </w:rPr>
              <w:t>TO:</w:t>
            </w:r>
          </w:p>
          <w:p>
            <w:pPr>
              <w:pStyle w:val="yTable"/>
              <w:spacing w:line="180" w:lineRule="atLeast"/>
              <w:rPr>
                <w:sz w:val="18"/>
              </w:rPr>
            </w:pPr>
            <w:r>
              <w:rPr>
                <w:sz w:val="18"/>
              </w:rPr>
              <w:t xml:space="preserve">You are hereby required to attend before this Court at   </w:t>
            </w:r>
          </w:p>
          <w:p>
            <w:pPr>
              <w:pStyle w:val="yTable"/>
              <w:tabs>
                <w:tab w:val="left" w:pos="2764"/>
              </w:tabs>
              <w:spacing w:line="180" w:lineRule="atLeast"/>
              <w:rPr>
                <w:sz w:val="18"/>
              </w:rPr>
            </w:pPr>
            <w:r>
              <w:rPr>
                <w:sz w:val="18"/>
              </w:rPr>
              <w:t>(c)</w:t>
            </w:r>
            <w:r>
              <w:rPr>
                <w:sz w:val="18"/>
              </w:rPr>
              <w:tab/>
              <w:t xml:space="preserve">at                  </w:t>
            </w:r>
          </w:p>
          <w:p>
            <w:pPr>
              <w:pStyle w:val="yTable"/>
              <w:spacing w:line="180" w:lineRule="atLeast"/>
              <w:rPr>
                <w:sz w:val="18"/>
              </w:rPr>
            </w:pPr>
            <w:r>
              <w:rPr>
                <w:sz w:val="18"/>
              </w:rPr>
              <w:t>(d)              .m on the            day of             20      .</w:t>
            </w:r>
          </w:p>
          <w:p>
            <w:pPr>
              <w:pStyle w:val="yTable"/>
              <w:spacing w:line="180" w:lineRule="atLeast"/>
              <w:rPr>
                <w:sz w:val="18"/>
              </w:rPr>
            </w:pPr>
            <w:r>
              <w:rPr>
                <w:sz w:val="18"/>
              </w:rPr>
              <w:t xml:space="preserve">and at every adjournment thereof to give evidence on behalf of </w:t>
            </w:r>
          </w:p>
          <w:p>
            <w:pPr>
              <w:pStyle w:val="yTable"/>
              <w:spacing w:line="180" w:lineRule="atLeast"/>
              <w:rPr>
                <w:sz w:val="18"/>
              </w:rPr>
            </w:pPr>
            <w:r>
              <w:rPr>
                <w:sz w:val="18"/>
              </w:rPr>
              <w:t>(e)</w:t>
            </w:r>
          </w:p>
          <w:p>
            <w:pPr>
              <w:pStyle w:val="yTable"/>
              <w:spacing w:line="180" w:lineRule="atLeast"/>
              <w:rPr>
                <w:sz w:val="18"/>
              </w:rPr>
            </w:pPr>
            <w:r>
              <w:rPr>
                <w:sz w:val="18"/>
              </w:rPr>
              <w:t>and to produce to the Court</w:t>
            </w:r>
          </w:p>
          <w:p>
            <w:pPr>
              <w:pStyle w:val="yTable"/>
              <w:spacing w:line="180" w:lineRule="atLeast"/>
              <w:rPr>
                <w:sz w:val="18"/>
              </w:rPr>
            </w:pPr>
            <w:r>
              <w:rPr>
                <w:sz w:val="18"/>
              </w:rPr>
              <w:t>(f)</w:t>
            </w:r>
          </w:p>
        </w:tc>
      </w:tr>
      <w:tr>
        <w:trPr>
          <w:cantSplit/>
          <w:trHeight w:val="240"/>
        </w:trPr>
        <w:tc>
          <w:tcPr>
            <w:tcW w:w="2127" w:type="dxa"/>
            <w:gridSpan w:val="3"/>
          </w:tcPr>
          <w:p>
            <w:pPr>
              <w:pStyle w:val="yTable"/>
              <w:spacing w:before="0" w:line="180" w:lineRule="atLeast"/>
              <w:ind w:left="306" w:hanging="425"/>
              <w:rPr>
                <w:sz w:val="18"/>
              </w:rPr>
            </w:pPr>
          </w:p>
        </w:tc>
        <w:tc>
          <w:tcPr>
            <w:tcW w:w="4961" w:type="dxa"/>
            <w:gridSpan w:val="2"/>
            <w:vMerge w:val="restart"/>
          </w:tcPr>
          <w:p>
            <w:pPr>
              <w:pStyle w:val="yTable"/>
              <w:spacing w:before="0" w:line="180" w:lineRule="atLeast"/>
              <w:rPr>
                <w:sz w:val="18"/>
              </w:rPr>
            </w:pPr>
            <w:r>
              <w:rPr>
                <w:sz w:val="18"/>
              </w:rPr>
              <w:t>If you neglect to comply with this summons you will be liable to a fine not exceeding $100 or to arrest.</w:t>
            </w:r>
          </w:p>
          <w:p>
            <w:pPr>
              <w:pStyle w:val="yTable"/>
              <w:spacing w:before="50" w:line="180" w:lineRule="atLeast"/>
              <w:rPr>
                <w:sz w:val="18"/>
              </w:rPr>
            </w:pPr>
            <w:r>
              <w:rPr>
                <w:sz w:val="18"/>
              </w:rPr>
              <w:t>Dated at                                                   this</w:t>
            </w:r>
          </w:p>
          <w:p>
            <w:pPr>
              <w:pStyle w:val="yTable"/>
              <w:spacing w:before="50" w:line="180" w:lineRule="atLeast"/>
              <w:rPr>
                <w:sz w:val="18"/>
              </w:rPr>
            </w:pPr>
            <w:r>
              <w:rPr>
                <w:sz w:val="18"/>
              </w:rPr>
              <w:t>day of                                      20     .</w:t>
            </w:r>
          </w:p>
          <w:p>
            <w:pPr>
              <w:pStyle w:val="yTable"/>
              <w:spacing w:before="50" w:line="180" w:lineRule="atLeast"/>
              <w:rPr>
                <w:sz w:val="18"/>
              </w:rPr>
            </w:pPr>
            <w:r>
              <w:rPr>
                <w:sz w:val="18"/>
              </w:rPr>
              <w:t>Conduct Money $_______</w:t>
            </w:r>
          </w:p>
          <w:p>
            <w:pPr>
              <w:pStyle w:val="yTable"/>
              <w:spacing w:before="50" w:line="180" w:lineRule="atLeast"/>
              <w:jc w:val="right"/>
              <w:rPr>
                <w:sz w:val="18"/>
              </w:rPr>
            </w:pPr>
            <w:r>
              <w:rPr>
                <w:sz w:val="18"/>
              </w:rPr>
              <w:t>....................................................... Mining Register</w:t>
            </w:r>
          </w:p>
          <w:p>
            <w:pPr>
              <w:pStyle w:val="yTable"/>
              <w:spacing w:before="50" w:line="180" w:lineRule="atLeast"/>
              <w:jc w:val="right"/>
              <w:rPr>
                <w:sz w:val="18"/>
              </w:rPr>
            </w:pPr>
            <w:r>
              <w:rPr>
                <w:sz w:val="18"/>
              </w:rPr>
              <w:t>........................................................... Mineral Field</w:t>
            </w:r>
          </w:p>
        </w:tc>
      </w:tr>
      <w:tr>
        <w:trPr>
          <w:cantSplit/>
          <w:trHeight w:val="240"/>
        </w:trPr>
        <w:tc>
          <w:tcPr>
            <w:tcW w:w="2127"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ind w:left="306" w:hanging="425"/>
              <w:jc w:val="center"/>
              <w:rPr>
                <w:sz w:val="18"/>
              </w:rPr>
            </w:pPr>
            <w:r>
              <w:rPr>
                <w:sz w:val="18"/>
              </w:rPr>
              <w:t>SEAL</w:t>
            </w:r>
          </w:p>
          <w:p>
            <w:pPr>
              <w:pStyle w:val="yTable"/>
              <w:spacing w:line="180" w:lineRule="atLeast"/>
              <w:ind w:left="306" w:hanging="425"/>
              <w:jc w:val="center"/>
              <w:rPr>
                <w:sz w:val="18"/>
              </w:rPr>
            </w:pPr>
            <w:r>
              <w:rPr>
                <w:sz w:val="18"/>
              </w:rPr>
              <w:t>OF</w:t>
            </w:r>
          </w:p>
          <w:p>
            <w:pPr>
              <w:pStyle w:val="yTable"/>
              <w:spacing w:line="180" w:lineRule="atLeast"/>
              <w:ind w:left="306" w:hanging="425"/>
              <w:jc w:val="center"/>
              <w:rPr>
                <w:sz w:val="18"/>
              </w:rPr>
            </w:pPr>
            <w:r>
              <w:rPr>
                <w:sz w:val="18"/>
              </w:rPr>
              <w:t>WARDEN’S</w:t>
            </w:r>
          </w:p>
          <w:p>
            <w:pPr>
              <w:pStyle w:val="yTable"/>
              <w:spacing w:line="180" w:lineRule="atLeast"/>
              <w:ind w:left="306" w:hanging="425"/>
              <w:jc w:val="center"/>
              <w:rPr>
                <w:sz w:val="18"/>
              </w:rPr>
            </w:pPr>
            <w:r>
              <w:rPr>
                <w:sz w:val="18"/>
              </w:rPr>
              <w:t>COURT</w:t>
            </w:r>
          </w:p>
        </w:tc>
        <w:tc>
          <w:tcPr>
            <w:tcW w:w="4961" w:type="dxa"/>
            <w:gridSpan w:val="2"/>
            <w:vMerge/>
            <w:tcBorders>
              <w:left w:val="nil"/>
            </w:tcBorders>
          </w:tcPr>
          <w:p>
            <w:pPr>
              <w:pStyle w:val="yTable"/>
              <w:spacing w:line="180" w:lineRule="atLeast"/>
              <w:rPr>
                <w:b/>
                <w:sz w:val="18"/>
              </w:rPr>
            </w:pPr>
          </w:p>
        </w:tc>
      </w:tr>
      <w:tr>
        <w:trPr>
          <w:cantSplit/>
          <w:trHeight w:val="240"/>
        </w:trPr>
        <w:tc>
          <w:tcPr>
            <w:tcW w:w="2127" w:type="dxa"/>
            <w:gridSpan w:val="3"/>
          </w:tcPr>
          <w:p>
            <w:pPr>
              <w:pStyle w:val="yTable"/>
              <w:spacing w:line="180" w:lineRule="atLeast"/>
              <w:ind w:left="306" w:hanging="425"/>
              <w:rPr>
                <w:sz w:val="18"/>
              </w:rPr>
            </w:pPr>
          </w:p>
        </w:tc>
        <w:tc>
          <w:tcPr>
            <w:tcW w:w="4961" w:type="dxa"/>
            <w:gridSpan w:val="2"/>
            <w:vMerge/>
          </w:tcPr>
          <w:p>
            <w:pPr>
              <w:pStyle w:val="yTable"/>
              <w:spacing w:line="180" w:lineRule="atLeast"/>
              <w:rPr>
                <w:b/>
                <w:sz w:val="18"/>
              </w:rPr>
            </w:pPr>
          </w:p>
        </w:tc>
      </w:tr>
      <w:tr>
        <w:tc>
          <w:tcPr>
            <w:tcW w:w="2091" w:type="dxa"/>
            <w:gridSpan w:val="2"/>
            <w:tcBorders>
              <w:top w:val="single" w:sz="7" w:space="0" w:color="auto"/>
            </w:tcBorders>
          </w:tcPr>
          <w:p>
            <w:pPr>
              <w:pStyle w:val="yTable"/>
              <w:spacing w:line="180" w:lineRule="atLeast"/>
              <w:rPr>
                <w:sz w:val="18"/>
              </w:rPr>
            </w:pPr>
          </w:p>
        </w:tc>
        <w:tc>
          <w:tcPr>
            <w:tcW w:w="4997" w:type="dxa"/>
            <w:gridSpan w:val="3"/>
            <w:tcBorders>
              <w:top w:val="single" w:sz="7" w:space="0" w:color="auto"/>
            </w:tcBorders>
          </w:tcPr>
          <w:p>
            <w:pPr>
              <w:pStyle w:val="yTable"/>
              <w:spacing w:line="180" w:lineRule="atLeast"/>
              <w:rPr>
                <w:sz w:val="18"/>
              </w:rPr>
            </w:pPr>
            <w:r>
              <w:rPr>
                <w:sz w:val="18"/>
              </w:rPr>
              <w:t xml:space="preserve">Received $ </w:t>
            </w:r>
            <w:r>
              <w:rPr>
                <w:sz w:val="18"/>
                <w:u w:val="single"/>
              </w:rPr>
              <w:t xml:space="preserve">          </w:t>
            </w:r>
            <w:r>
              <w:rPr>
                <w:sz w:val="18"/>
              </w:rPr>
              <w:t xml:space="preserve">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paper writing marked “A” referred to in the annexed affidavit of</w:t>
            </w:r>
          </w:p>
          <w:p>
            <w:pPr>
              <w:pStyle w:val="yTable"/>
              <w:spacing w:before="0" w:line="180" w:lineRule="atLeast"/>
              <w:rPr>
                <w:sz w:val="18"/>
              </w:rPr>
            </w:pPr>
            <w:r>
              <w:rPr>
                <w:sz w:val="18"/>
              </w:rPr>
              <w:t xml:space="preserve">sworn before me at                     </w:t>
            </w:r>
          </w:p>
          <w:p>
            <w:pPr>
              <w:pStyle w:val="yTable"/>
              <w:spacing w:before="0" w:line="180" w:lineRule="atLeast"/>
              <w:rPr>
                <w:sz w:val="18"/>
              </w:rPr>
            </w:pPr>
            <w:r>
              <w:rPr>
                <w:sz w:val="18"/>
              </w:rPr>
              <w:t>this          day of                        20     .</w:t>
            </w:r>
          </w:p>
          <w:p>
            <w:pPr>
              <w:pStyle w:val="yTable"/>
              <w:spacing w:before="40" w:line="180" w:lineRule="atLeast"/>
              <w:jc w:val="right"/>
              <w:rPr>
                <w:sz w:val="18"/>
              </w:rPr>
            </w:pPr>
            <w:r>
              <w:rPr>
                <w:sz w:val="18"/>
              </w:rPr>
              <w:t>...............................................................</w:t>
            </w:r>
          </w:p>
        </w:tc>
      </w:tr>
      <w:tr>
        <w:tc>
          <w:tcPr>
            <w:tcW w:w="2078" w:type="dxa"/>
          </w:tcPr>
          <w:p>
            <w:pPr>
              <w:pStyle w:val="yTable"/>
              <w:pageBreakBefore/>
              <w:spacing w:line="180" w:lineRule="atLeast"/>
              <w:ind w:left="-115"/>
              <w:rPr>
                <w:sz w:val="18"/>
              </w:rPr>
            </w:pPr>
            <w:r>
              <w:rPr>
                <w:sz w:val="18"/>
              </w:rPr>
              <w:t>Form 38</w:t>
            </w:r>
          </w:p>
        </w:tc>
        <w:tc>
          <w:tcPr>
            <w:tcW w:w="5010"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129)</w:t>
            </w:r>
          </w:p>
          <w:p>
            <w:pPr>
              <w:pStyle w:val="yTable"/>
              <w:spacing w:before="120" w:line="180" w:lineRule="atLeast"/>
            </w:pPr>
            <w:r>
              <w:rPr>
                <w:b/>
              </w:rPr>
              <w:t>JUDGMENT/ORDER OF WARDEN’S COURT</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gridSpan w:val="3"/>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pos="730"/>
                <w:tab w:val="lef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4"/>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4"/>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Insert decision</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Set forth the order in full</w:t>
            </w:r>
          </w:p>
          <w:p>
            <w:pPr>
              <w:pStyle w:val="yTable"/>
              <w:spacing w:before="0" w:line="180" w:lineRule="atLeast"/>
              <w:ind w:left="306" w:hanging="425"/>
              <w:rPr>
                <w:sz w:val="18"/>
              </w:rPr>
            </w:pPr>
          </w:p>
          <w:p>
            <w:pPr>
              <w:pStyle w:val="yTable"/>
              <w:spacing w:before="0" w:line="180" w:lineRule="atLeast"/>
              <w:rPr>
                <w:sz w:val="18"/>
              </w:rPr>
            </w:pPr>
          </w:p>
        </w:tc>
        <w:tc>
          <w:tcPr>
            <w:tcW w:w="5010" w:type="dxa"/>
            <w:gridSpan w:val="4"/>
          </w:tcPr>
          <w:p>
            <w:pPr>
              <w:pStyle w:val="yTable"/>
              <w:spacing w:line="180" w:lineRule="atLeast"/>
              <w:rPr>
                <w:sz w:val="18"/>
              </w:rPr>
            </w:pPr>
          </w:p>
          <w:p>
            <w:pPr>
              <w:pStyle w:val="yTable"/>
              <w:spacing w:before="0" w:line="180" w:lineRule="atLeast"/>
              <w:rPr>
                <w:sz w:val="18"/>
              </w:rPr>
            </w:pPr>
            <w:r>
              <w:rPr>
                <w:sz w:val="18"/>
              </w:rPr>
              <w:t>THE Court adjudges that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the Court orders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DATED at</w:t>
            </w:r>
          </w:p>
          <w:p>
            <w:pPr>
              <w:pStyle w:val="yTable"/>
              <w:spacing w:before="0" w:line="180" w:lineRule="atLeast"/>
              <w:rPr>
                <w:sz w:val="18"/>
              </w:rPr>
            </w:pPr>
          </w:p>
          <w:p>
            <w:pPr>
              <w:pStyle w:val="yTable"/>
              <w:spacing w:line="180" w:lineRule="atLeast"/>
              <w:rPr>
                <w:sz w:val="18"/>
              </w:rPr>
            </w:pPr>
            <w:r>
              <w:rPr>
                <w:sz w:val="18"/>
              </w:rPr>
              <w:t>this                       day of                          20   .</w:t>
            </w:r>
          </w:p>
          <w:p>
            <w:pPr>
              <w:pStyle w:val="yTable"/>
              <w:spacing w:before="0" w:line="180" w:lineRule="atLeast"/>
              <w:rPr>
                <w:sz w:val="18"/>
              </w:rPr>
            </w:pPr>
          </w:p>
        </w:tc>
      </w:tr>
      <w:tr>
        <w:trPr>
          <w:cantSplit/>
          <w:trHeight w:val="1200"/>
        </w:trPr>
        <w:tc>
          <w:tcPr>
            <w:tcW w:w="2078" w:type="dxa"/>
            <w:tcBorders>
              <w:top w:val="single" w:sz="4" w:space="0" w:color="auto"/>
              <w:left w:val="single" w:sz="4" w:space="0" w:color="auto"/>
              <w:bottom w:val="single" w:sz="4" w:space="0" w:color="auto"/>
              <w:right w:val="single" w:sz="4" w:space="0" w:color="auto"/>
            </w:tcBorders>
          </w:tcPr>
          <w:p>
            <w:pPr>
              <w:pStyle w:val="yTable"/>
              <w:spacing w:before="200" w:line="180" w:lineRule="atLeast"/>
              <w:ind w:left="306" w:hanging="425"/>
              <w:jc w:val="center"/>
              <w:rPr>
                <w:sz w:val="18"/>
              </w:rPr>
            </w:pPr>
            <w:r>
              <w:rPr>
                <w:sz w:val="18"/>
              </w:rPr>
              <w:t>SEAL</w:t>
            </w:r>
          </w:p>
          <w:p>
            <w:pPr>
              <w:pStyle w:val="yTable"/>
              <w:spacing w:before="0" w:line="180" w:lineRule="atLeast"/>
              <w:ind w:left="306" w:hanging="425"/>
              <w:jc w:val="center"/>
              <w:rPr>
                <w:sz w:val="18"/>
              </w:rPr>
            </w:pPr>
            <w:r>
              <w:rPr>
                <w:sz w:val="18"/>
              </w:rPr>
              <w:t>OF</w:t>
            </w:r>
          </w:p>
          <w:p>
            <w:pPr>
              <w:pStyle w:val="yTable"/>
              <w:spacing w:before="0" w:line="180" w:lineRule="atLeast"/>
              <w:ind w:left="306" w:hanging="425"/>
              <w:jc w:val="center"/>
              <w:rPr>
                <w:sz w:val="18"/>
              </w:rPr>
            </w:pPr>
            <w:r>
              <w:rPr>
                <w:sz w:val="18"/>
              </w:rPr>
              <w:t>WARDEN’S</w:t>
            </w:r>
          </w:p>
          <w:p>
            <w:pPr>
              <w:pStyle w:val="yTable"/>
              <w:spacing w:before="0" w:line="180" w:lineRule="atLeast"/>
              <w:ind w:left="306" w:hanging="425"/>
              <w:jc w:val="center"/>
              <w:rPr>
                <w:sz w:val="18"/>
              </w:rPr>
            </w:pPr>
            <w:r>
              <w:rPr>
                <w:sz w:val="18"/>
              </w:rPr>
              <w:t>COURT</w:t>
            </w:r>
          </w:p>
        </w:tc>
        <w:tc>
          <w:tcPr>
            <w:tcW w:w="5010" w:type="dxa"/>
            <w:gridSpan w:val="4"/>
            <w:tcBorders>
              <w:left w:val="nil"/>
            </w:tcBorders>
          </w:tcPr>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309"/>
        <w:gridCol w:w="1701"/>
      </w:tblGrid>
      <w:tr>
        <w:trPr>
          <w:cantSplit/>
          <w:trHeight w:val="720"/>
        </w:trPr>
        <w:tc>
          <w:tcPr>
            <w:tcW w:w="2078" w:type="dxa"/>
          </w:tcPr>
          <w:p>
            <w:pPr>
              <w:pStyle w:val="yTable"/>
              <w:pageBreakBefore/>
              <w:spacing w:line="180" w:lineRule="atLeast"/>
              <w:ind w:left="-119"/>
              <w:rPr>
                <w:sz w:val="18"/>
              </w:rPr>
            </w:pPr>
            <w:r>
              <w:rPr>
                <w:sz w:val="18"/>
              </w:rPr>
              <w:t>Form 39</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130)</w:t>
            </w:r>
          </w:p>
          <w:p>
            <w:pPr>
              <w:pStyle w:val="yTable"/>
              <w:spacing w:line="180" w:lineRule="atLeast"/>
            </w:pPr>
            <w:r>
              <w:rPr>
                <w:b/>
              </w:rPr>
              <w:t>WARRANT OF EXECUTION</w:t>
            </w:r>
          </w:p>
          <w:p>
            <w:pPr>
              <w:pStyle w:val="yTable"/>
              <w:spacing w:before="40" w:line="180" w:lineRule="atLeast"/>
              <w:rPr>
                <w:sz w:val="18"/>
              </w:rPr>
            </w:pPr>
            <w:r>
              <w:rPr>
                <w:sz w:val="18"/>
              </w:rPr>
              <w:t>In the Warden’s Court at</w:t>
            </w:r>
          </w:p>
        </w:tc>
      </w:tr>
      <w:tr>
        <w:trPr>
          <w:cantSplit/>
          <w:trHeight w:val="560"/>
        </w:trP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309"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cantSplit/>
          <w:trHeight w:val="240"/>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cantSplit/>
          <w:trHeight w:val="240"/>
        </w:trPr>
        <w:tc>
          <w:tcPr>
            <w:tcW w:w="2078" w:type="dxa"/>
          </w:tcPr>
          <w:p>
            <w:pPr>
              <w:pStyle w:val="yTable"/>
              <w:spacing w:before="0" w:line="180" w:lineRule="atLeast"/>
              <w:ind w:left="306" w:hanging="425"/>
              <w:rPr>
                <w:sz w:val="18"/>
              </w:rPr>
            </w:pPr>
          </w:p>
        </w:tc>
        <w:tc>
          <w:tcPr>
            <w:tcW w:w="5010" w:type="dxa"/>
            <w:gridSpan w:val="2"/>
          </w:tcPr>
          <w:p>
            <w:pPr>
              <w:pStyle w:val="yTable"/>
              <w:spacing w:before="2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720"/>
        </w:trP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*Delete whichever not applicable</w:t>
            </w: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†Defendant or Plaintiff</w:t>
            </w:r>
          </w:p>
          <w:p>
            <w:pPr>
              <w:pStyle w:val="yTable"/>
              <w:spacing w:line="180" w:lineRule="atLeast"/>
              <w:ind w:left="-120"/>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before="20" w:line="180" w:lineRule="atLeast"/>
              <w:rPr>
                <w:sz w:val="18"/>
              </w:rPr>
            </w:pPr>
            <w:r>
              <w:rPr>
                <w:sz w:val="18"/>
              </w:rPr>
              <w:t xml:space="preserve">WHEREAS on the               DAY of                    20  </w:t>
            </w:r>
          </w:p>
          <w:p>
            <w:pPr>
              <w:pStyle w:val="yTable"/>
              <w:spacing w:before="20" w:line="180" w:lineRule="atLeast"/>
              <w:rPr>
                <w:sz w:val="18"/>
              </w:rPr>
            </w:pPr>
            <w:r>
              <w:rPr>
                <w:sz w:val="18"/>
              </w:rPr>
              <w:t>* the plaintiff obtained a judgment of this Court against the defendant for debt (or damages) and costs in the sum of</w:t>
            </w:r>
          </w:p>
          <w:p>
            <w:pPr>
              <w:pStyle w:val="yTable"/>
              <w:spacing w:before="0" w:line="180" w:lineRule="atLeast"/>
              <w:jc w:val="center"/>
              <w:rPr>
                <w:sz w:val="18"/>
              </w:rPr>
            </w:pPr>
            <w:r>
              <w:rPr>
                <w:sz w:val="18"/>
              </w:rPr>
              <w:t>or</w:t>
            </w:r>
          </w:p>
          <w:p>
            <w:pPr>
              <w:pStyle w:val="yTable"/>
              <w:spacing w:before="0" w:line="180" w:lineRule="atLeast"/>
              <w:rPr>
                <w:sz w:val="18"/>
              </w:rPr>
            </w:pPr>
            <w:r>
              <w:rPr>
                <w:sz w:val="18"/>
              </w:rPr>
              <w:t>*it was ordered by the Court that judgment should be entered for the defendant, or that judgment of nonsuit should be entered and the costs be paid by the plaintiff to the defendant                 in the sum of                 and whereas default has been made in the payment thereof.</w:t>
            </w:r>
          </w:p>
          <w:p>
            <w:pPr>
              <w:pStyle w:val="yTable"/>
              <w:spacing w:before="40" w:line="180" w:lineRule="atLeast"/>
              <w:rPr>
                <w:sz w:val="18"/>
              </w:rPr>
            </w:pPr>
            <w:r>
              <w:rPr>
                <w:sz w:val="18"/>
              </w:rPr>
              <w:t>These are, therefore, to require and order you FORTHWITH TO LEVY BY DISTRESS AND SALE OF THE GOODS against any property of the †                            wheresoever it may be found, the sum of                       in addition to the costs of this execution, and also to seize and take any money, or bank notes or securities for money of the †                               or such part or so much thereof as may be sufficient to satisfy this execution and the costs of making and executing the same and forthwith to return the same to me, to be paid over to the †                         together with this warrant.</w:t>
            </w:r>
          </w:p>
          <w:p>
            <w:pPr>
              <w:pStyle w:val="yTable"/>
              <w:spacing w:before="40" w:line="180" w:lineRule="atLeast"/>
              <w:rPr>
                <w:sz w:val="18"/>
              </w:rPr>
            </w:pPr>
            <w:r>
              <w:rPr>
                <w:sz w:val="18"/>
              </w:rPr>
              <w:t>DATED at          this        day of                   20</w:t>
            </w:r>
          </w:p>
          <w:p>
            <w:pPr>
              <w:pStyle w:val="yTable"/>
              <w:spacing w:before="40" w:line="180" w:lineRule="atLeast"/>
              <w:jc w:val="center"/>
              <w:rPr>
                <w:sz w:val="18"/>
              </w:rPr>
            </w:pPr>
            <w:r>
              <w:rPr>
                <w:sz w:val="18"/>
              </w:rPr>
              <w:t>By the Court</w:t>
            </w:r>
          </w:p>
          <w:p>
            <w:pPr>
              <w:pStyle w:val="yTable"/>
              <w:tabs>
                <w:tab w:val="right" w:leader="dot" w:pos="4748"/>
              </w:tabs>
              <w:spacing w:before="20" w:line="180" w:lineRule="atLeast"/>
              <w:ind w:left="1060"/>
              <w:rPr>
                <w:sz w:val="18"/>
              </w:rPr>
            </w:pPr>
            <w:r>
              <w:rPr>
                <w:sz w:val="18"/>
              </w:rPr>
              <w:t>.......................................................Mining Registrar</w:t>
            </w:r>
          </w:p>
          <w:p>
            <w:pPr>
              <w:pStyle w:val="yTable"/>
              <w:tabs>
                <w:tab w:val="right" w:leader="dot" w:pos="4748"/>
              </w:tabs>
              <w:spacing w:before="0" w:line="180" w:lineRule="atLeast"/>
              <w:ind w:left="1060"/>
              <w:rPr>
                <w:sz w:val="18"/>
              </w:rPr>
            </w:pPr>
            <w:r>
              <w:rPr>
                <w:sz w:val="18"/>
              </w:rPr>
              <w:t>............................................................Mineral Field</w:t>
            </w:r>
          </w:p>
        </w:tc>
      </w:tr>
      <w:tr>
        <w:trPr>
          <w:cantSplit/>
          <w:trHeight w:val="758"/>
        </w:trPr>
        <w:tc>
          <w:tcPr>
            <w:tcW w:w="2078"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5"/>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r>
        <w:trPr>
          <w:cantSplit/>
          <w:trHeight w:val="757"/>
        </w:trPr>
        <w:tc>
          <w:tcPr>
            <w:tcW w:w="2078" w:type="dxa"/>
          </w:tcPr>
          <w:p>
            <w:pPr>
              <w:pStyle w:val="yTable"/>
              <w:spacing w:line="180" w:lineRule="atLeast"/>
              <w:ind w:left="-120"/>
              <w:jc w:val="center"/>
              <w:rPr>
                <w:sz w:val="18"/>
              </w:rPr>
            </w:pPr>
          </w:p>
        </w:tc>
        <w:tc>
          <w:tcPr>
            <w:tcW w:w="5010" w:type="dxa"/>
            <w:gridSpan w:val="2"/>
            <w:vMerge/>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rPr>
                <w:sz w:val="18"/>
              </w:rPr>
            </w:pPr>
          </w:p>
        </w:tc>
        <w:tc>
          <w:tcPr>
            <w:tcW w:w="5010" w:type="dxa"/>
          </w:tcPr>
          <w:p>
            <w:pPr>
              <w:pStyle w:val="yTable"/>
              <w:tabs>
                <w:tab w:val="left" w:pos="496"/>
                <w:tab w:val="left" w:pos="1913"/>
                <w:tab w:val="left" w:pos="2197"/>
                <w:tab w:val="left" w:pos="3614"/>
              </w:tabs>
              <w:spacing w:line="180" w:lineRule="atLeast"/>
              <w:rPr>
                <w:sz w:val="18"/>
              </w:rPr>
            </w:pPr>
            <w:r>
              <w:rPr>
                <w:sz w:val="18"/>
              </w:rPr>
              <w:tab/>
              <w:t>Judgment</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Costs</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Execution</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Other</w:t>
            </w:r>
            <w:r>
              <w:rPr>
                <w:sz w:val="18"/>
              </w:rPr>
              <w:tab/>
            </w:r>
            <w:r>
              <w:rPr>
                <w:sz w:val="18"/>
              </w:rPr>
              <w:tab/>
            </w:r>
            <w:r>
              <w:rPr>
                <w:sz w:val="18"/>
              </w:rPr>
              <w:tab/>
            </w:r>
            <w:r>
              <w:rPr>
                <w:sz w:val="18"/>
                <w:u w:val="single"/>
              </w:rPr>
              <w:t>$             </w:t>
            </w:r>
          </w:p>
          <w:p>
            <w:pPr>
              <w:pStyle w:val="yTable"/>
              <w:tabs>
                <w:tab w:val="left" w:pos="496"/>
                <w:tab w:val="left" w:pos="1913"/>
                <w:tab w:val="left" w:pos="2197"/>
                <w:tab w:val="left" w:pos="3614"/>
              </w:tabs>
              <w:spacing w:line="180" w:lineRule="atLeast"/>
              <w:rPr>
                <w:sz w:val="18"/>
              </w:rPr>
            </w:pPr>
            <w:r>
              <w:rPr>
                <w:sz w:val="18"/>
              </w:rPr>
              <w:tab/>
              <w:t>Total amount to be levied</w:t>
            </w:r>
            <w:r>
              <w:rPr>
                <w:sz w:val="18"/>
              </w:rPr>
              <w:tab/>
            </w:r>
            <w:r>
              <w:rPr>
                <w:sz w:val="18"/>
                <w:u w:val="single"/>
              </w:rPr>
              <w:t>$             </w:t>
            </w:r>
          </w:p>
          <w:p>
            <w:pPr>
              <w:pStyle w:val="yTable"/>
              <w:tabs>
                <w:tab w:val="right" w:leader="dot" w:pos="4181"/>
              </w:tabs>
              <w:spacing w:line="180" w:lineRule="atLeast"/>
              <w:rPr>
                <w:sz w:val="18"/>
              </w:rPr>
            </w:pPr>
            <w:r>
              <w:rPr>
                <w:sz w:val="18"/>
              </w:rPr>
              <w:t>Application was made for this warrant at ...................... m.</w:t>
            </w:r>
          </w:p>
          <w:p>
            <w:pPr>
              <w:pStyle w:val="yTable"/>
              <w:tabs>
                <w:tab w:val="right" w:leader="dot" w:pos="2764"/>
              </w:tabs>
              <w:spacing w:before="0" w:line="180" w:lineRule="atLeast"/>
              <w:rPr>
                <w:sz w:val="18"/>
              </w:rPr>
            </w:pPr>
            <w:r>
              <w:rPr>
                <w:sz w:val="18"/>
              </w:rPr>
              <w:t>on .........................................................</w:t>
            </w:r>
          </w:p>
          <w:p>
            <w:pPr>
              <w:pStyle w:val="yTable"/>
              <w:tabs>
                <w:tab w:val="left" w:pos="4181"/>
                <w:tab w:val="left" w:pos="6096"/>
                <w:tab w:val="left" w:pos="6379"/>
              </w:tabs>
              <w:spacing w:before="0" w:line="180" w:lineRule="atLeast"/>
              <w:rPr>
                <w:sz w:val="18"/>
              </w:rPr>
            </w:pPr>
            <w:r>
              <w:rPr>
                <w:sz w:val="18"/>
              </w:rPr>
              <w:t>Returned this Warrant to the above Warden’s Court on the</w:t>
            </w:r>
          </w:p>
          <w:p>
            <w:pPr>
              <w:pStyle w:val="yTable"/>
              <w:tabs>
                <w:tab w:val="left" w:pos="4181"/>
                <w:tab w:val="left" w:pos="6096"/>
                <w:tab w:val="left" w:pos="6379"/>
              </w:tabs>
              <w:spacing w:before="0" w:line="180" w:lineRule="atLeast"/>
              <w:rPr>
                <w:sz w:val="18"/>
              </w:rPr>
            </w:pPr>
            <w:r>
              <w:rPr>
                <w:sz w:val="18"/>
              </w:rPr>
              <w:t xml:space="preserve">                               day of </w:t>
            </w:r>
            <w:r>
              <w:rPr>
                <w:sz w:val="18"/>
              </w:rPr>
              <w:tab/>
              <w:t xml:space="preserve">20       </w:t>
            </w:r>
          </w:p>
          <w:p>
            <w:pPr>
              <w:pStyle w:val="yTable"/>
              <w:spacing w:before="0" w:line="180" w:lineRule="atLeast"/>
              <w:rPr>
                <w:sz w:val="18"/>
              </w:rPr>
            </w:pPr>
            <w:r>
              <w:rPr>
                <w:sz w:val="18"/>
              </w:rPr>
              <w:t>with the sum of                                             in satisfaction thereof.</w:t>
            </w:r>
          </w:p>
          <w:p>
            <w:pPr>
              <w:pStyle w:val="yTable"/>
              <w:spacing w:line="180" w:lineRule="atLeast"/>
              <w:rPr>
                <w:sz w:val="18"/>
              </w:rPr>
            </w:pPr>
          </w:p>
          <w:p>
            <w:pPr>
              <w:pStyle w:val="yTable"/>
              <w:tabs>
                <w:tab w:val="right" w:leader="dot" w:pos="4748"/>
              </w:tabs>
              <w:spacing w:line="180" w:lineRule="atLeast"/>
              <w:ind w:left="1063"/>
              <w:rPr>
                <w:sz w:val="18"/>
              </w:rPr>
            </w:pPr>
            <w:r>
              <w:rPr>
                <w:sz w:val="18"/>
              </w:rPr>
              <w:tab/>
              <w:t>BAILIFF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592"/>
        <w:gridCol w:w="1418"/>
      </w:tblGrid>
      <w:tr>
        <w:tc>
          <w:tcPr>
            <w:tcW w:w="2078" w:type="dxa"/>
          </w:tcPr>
          <w:p>
            <w:pPr>
              <w:pStyle w:val="yTable"/>
              <w:pageBreakBefore/>
              <w:spacing w:line="180" w:lineRule="atLeast"/>
              <w:ind w:left="-115"/>
              <w:rPr>
                <w:sz w:val="18"/>
              </w:rPr>
            </w:pPr>
            <w:r>
              <w:rPr>
                <w:sz w:val="18"/>
              </w:rPr>
              <w:t>Form 40</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141 Reg. 131)</w:t>
            </w:r>
          </w:p>
          <w:p>
            <w:pPr>
              <w:pStyle w:val="yTable"/>
              <w:spacing w:before="120" w:line="180" w:lineRule="atLeast"/>
            </w:pPr>
            <w:r>
              <w:rPr>
                <w:b/>
              </w:rPr>
              <w:t>WARRANT FOR RECOVERY OF POSSESSION</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rPr>
          <w:cantSplit/>
        </w:trPr>
        <w:tc>
          <w:tcPr>
            <w:tcW w:w="2078" w:type="dxa"/>
          </w:tcPr>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306" w:hanging="425"/>
              <w:rPr>
                <w:sz w:val="18"/>
              </w:rPr>
            </w:pPr>
            <w:r>
              <w:rPr>
                <w:sz w:val="18"/>
              </w:rPr>
              <w:t>(c)</w:t>
            </w:r>
            <w:r>
              <w:rPr>
                <w:sz w:val="18"/>
              </w:rPr>
              <w:tab/>
              <w:t>Here state terms of order</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line="180" w:lineRule="atLeast"/>
              <w:ind w:left="-120"/>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line="180" w:lineRule="atLeast"/>
              <w:rPr>
                <w:sz w:val="18"/>
              </w:rPr>
            </w:pPr>
          </w:p>
          <w:p>
            <w:pPr>
              <w:pStyle w:val="yTable"/>
              <w:spacing w:line="180" w:lineRule="atLeast"/>
              <w:rPr>
                <w:sz w:val="18"/>
              </w:rPr>
            </w:pPr>
            <w:r>
              <w:rPr>
                <w:sz w:val="18"/>
              </w:rPr>
              <w:t>WHEREAS on the               DAY of</w:t>
            </w:r>
            <w:r>
              <w:rPr>
                <w:sz w:val="18"/>
              </w:rPr>
              <w:tab/>
              <w:t xml:space="preserve">          20     </w:t>
            </w:r>
          </w:p>
          <w:p>
            <w:pPr>
              <w:pStyle w:val="yTable"/>
              <w:spacing w:before="0" w:line="180" w:lineRule="atLeast"/>
              <w:rPr>
                <w:sz w:val="18"/>
              </w:rPr>
            </w:pPr>
            <w:r>
              <w:rPr>
                <w:sz w:val="18"/>
              </w:rPr>
              <w:t>an order was made in the above Court that the defendant deliver up possession of</w:t>
            </w:r>
          </w:p>
          <w:p>
            <w:pPr>
              <w:pStyle w:val="yTable"/>
              <w:spacing w:line="180" w:lineRule="atLeast"/>
              <w:rPr>
                <w:sz w:val="18"/>
              </w:rPr>
            </w:pPr>
          </w:p>
          <w:p>
            <w:pPr>
              <w:pStyle w:val="yTable"/>
              <w:spacing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tabs>
                <w:tab w:val="right" w:pos="4748"/>
              </w:tabs>
              <w:spacing w:before="0" w:line="180" w:lineRule="atLeast"/>
              <w:rPr>
                <w:sz w:val="18"/>
              </w:rPr>
            </w:pPr>
            <w:r>
              <w:rPr>
                <w:sz w:val="18"/>
              </w:rPr>
              <w:tab/>
              <w:t>to the plaintiff</w:t>
            </w:r>
          </w:p>
          <w:p>
            <w:pPr>
              <w:pStyle w:val="yTable"/>
              <w:spacing w:before="0" w:line="180" w:lineRule="atLeast"/>
              <w:rPr>
                <w:sz w:val="18"/>
              </w:rPr>
            </w:pPr>
            <w:r>
              <w:rPr>
                <w:sz w:val="18"/>
              </w:rPr>
              <w:t>and whereas the said defendant has refused or neglected so to do.</w:t>
            </w:r>
          </w:p>
          <w:p>
            <w:pPr>
              <w:pStyle w:val="yTable"/>
              <w:spacing w:line="180" w:lineRule="atLeast"/>
              <w:rPr>
                <w:sz w:val="18"/>
              </w:rPr>
            </w:pPr>
            <w:r>
              <w:rPr>
                <w:sz w:val="18"/>
              </w:rPr>
              <w:t>These are therefore to require and order you FORTHWITH TO eject the said defendant from the aforementioned land and/or mining tenement and to seize and take chattels or minerals specified above and deliver the same into your possession.</w:t>
            </w:r>
          </w:p>
          <w:p>
            <w:pPr>
              <w:pStyle w:val="yTable"/>
              <w:spacing w:line="180" w:lineRule="atLeast"/>
              <w:jc w:val="center"/>
              <w:rPr>
                <w:sz w:val="18"/>
              </w:rPr>
            </w:pPr>
            <w:r>
              <w:rPr>
                <w:sz w:val="18"/>
              </w:rPr>
              <w:t>By the Court</w:t>
            </w:r>
          </w:p>
          <w:p>
            <w:pPr>
              <w:pStyle w:val="yTable"/>
              <w:tabs>
                <w:tab w:val="right" w:leader="dot" w:pos="4748"/>
              </w:tabs>
              <w:spacing w:line="180" w:lineRule="atLeast"/>
              <w:ind w:left="1063"/>
              <w:rPr>
                <w:sz w:val="18"/>
              </w:rPr>
            </w:pPr>
            <w:r>
              <w:rPr>
                <w:sz w:val="18"/>
              </w:rPr>
              <w:t>.........................................Warden/Mining Registrar</w:t>
            </w:r>
          </w:p>
          <w:p>
            <w:pPr>
              <w:pStyle w:val="yTable"/>
              <w:tabs>
                <w:tab w:val="right" w:leader="dot" w:pos="4748"/>
              </w:tabs>
              <w:spacing w:before="0" w:line="180" w:lineRule="atLeast"/>
              <w:ind w:left="1060"/>
              <w:rPr>
                <w:sz w:val="18"/>
              </w:rPr>
            </w:pPr>
            <w:r>
              <w:rPr>
                <w:sz w:val="18"/>
              </w:rPr>
              <w:tab/>
              <w:t>Mineral Field</w:t>
            </w:r>
          </w:p>
        </w:tc>
      </w:tr>
      <w:tr>
        <w:trPr>
          <w:cantSplit/>
        </w:trPr>
        <w:tc>
          <w:tcPr>
            <w:tcW w:w="2078" w:type="dxa"/>
            <w:tcBorders>
              <w:top w:val="single" w:sz="4" w:space="0" w:color="auto"/>
              <w:left w:val="single" w:sz="4" w:space="0" w:color="auto"/>
              <w:bottom w:val="single" w:sz="4" w:space="0" w:color="auto"/>
              <w:right w:val="single" w:sz="4" w:space="0" w:color="auto"/>
            </w:tcBorders>
          </w:tcPr>
          <w:p>
            <w:pPr>
              <w:pStyle w:val="yTable"/>
              <w:spacing w:before="120" w:line="180" w:lineRule="atLeast"/>
              <w:ind w:left="-119"/>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9"/>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t>Form 41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132)</w:t>
            </w:r>
          </w:p>
        </w:tc>
      </w:tr>
      <w:tr>
        <w:tc>
          <w:tcPr>
            <w:tcW w:w="2078" w:type="dxa"/>
          </w:tcPr>
          <w:p>
            <w:pPr>
              <w:pStyle w:val="yTable"/>
              <w:spacing w:line="180" w:lineRule="atLeast"/>
              <w:ind w:left="-120"/>
              <w:rPr>
                <w:sz w:val="18"/>
              </w:rPr>
            </w:pPr>
          </w:p>
        </w:tc>
        <w:tc>
          <w:tcPr>
            <w:tcW w:w="5010" w:type="dxa"/>
          </w:tcPr>
          <w:p>
            <w:pPr>
              <w:pStyle w:val="yTable"/>
              <w:spacing w:before="120" w:line="180" w:lineRule="atLeast"/>
            </w:pPr>
            <w:r>
              <w:rPr>
                <w:b/>
              </w:rPr>
              <w:t>NOTICE OF SEIZURE</w:t>
            </w:r>
          </w:p>
        </w:tc>
      </w:tr>
      <w:tr>
        <w:tc>
          <w:tcPr>
            <w:tcW w:w="2078" w:type="dxa"/>
          </w:tcPr>
          <w:p>
            <w:pPr>
              <w:pStyle w:val="yTable"/>
              <w:spacing w:line="180" w:lineRule="atLeast"/>
              <w:ind w:left="-120"/>
              <w:rPr>
                <w:sz w:val="18"/>
              </w:rPr>
            </w:pPr>
          </w:p>
        </w:tc>
        <w:tc>
          <w:tcPr>
            <w:tcW w:w="5010" w:type="dxa"/>
          </w:tcPr>
          <w:p>
            <w:pPr>
              <w:pStyle w:val="yTable"/>
              <w:tabs>
                <w:tab w:val="left" w:pos="2764"/>
              </w:tabs>
              <w:spacing w:line="180" w:lineRule="atLeast"/>
              <w:rPr>
                <w:sz w:val="18"/>
              </w:rPr>
            </w:pPr>
            <w:r>
              <w:rPr>
                <w:sz w:val="18"/>
              </w:rPr>
              <w:t>In the</w:t>
            </w:r>
            <w:r>
              <w:rPr>
                <w:sz w:val="18"/>
              </w:rPr>
              <w:tab/>
              <w:t>Court at</w:t>
            </w:r>
          </w:p>
          <w:p>
            <w:pPr>
              <w:pStyle w:val="yTable"/>
              <w:tabs>
                <w:tab w:val="left" w:pos="3331"/>
              </w:tabs>
              <w:spacing w:line="180" w:lineRule="atLeast"/>
              <w:rPr>
                <w:sz w:val="18"/>
              </w:rPr>
            </w:pPr>
            <w:r>
              <w:rPr>
                <w:sz w:val="18"/>
              </w:rPr>
              <w:t>Plaint No.</w:t>
            </w:r>
            <w:r>
              <w:rPr>
                <w:sz w:val="18"/>
              </w:rPr>
              <w:tab/>
              <w:t xml:space="preserve">Warrant No.              </w:t>
            </w:r>
          </w:p>
          <w:p>
            <w:pPr>
              <w:pStyle w:val="yTable"/>
              <w:spacing w:line="180" w:lineRule="atLeast"/>
              <w:jc w:val="center"/>
              <w:rPr>
                <w:sz w:val="18"/>
              </w:rPr>
            </w:pPr>
            <w:r>
              <w:rPr>
                <w:sz w:val="18"/>
              </w:rPr>
              <w:t>Between</w:t>
            </w:r>
          </w:p>
          <w:p>
            <w:pPr>
              <w:pStyle w:val="yTable"/>
              <w:spacing w:line="180" w:lineRule="atLeast"/>
              <w:jc w:val="right"/>
              <w:rPr>
                <w:sz w:val="18"/>
              </w:rPr>
            </w:pPr>
            <w:r>
              <w:rPr>
                <w:sz w:val="18"/>
              </w:rPr>
              <w:tab/>
              <w:t xml:space="preserve">Plaintiff   </w:t>
            </w:r>
          </w:p>
          <w:p>
            <w:pPr>
              <w:pStyle w:val="yTable"/>
              <w:spacing w:line="180" w:lineRule="atLeast"/>
              <w:jc w:val="center"/>
              <w:rPr>
                <w:sz w:val="18"/>
              </w:rPr>
            </w:pPr>
            <w:r>
              <w:rPr>
                <w:sz w:val="18"/>
              </w:rPr>
              <w:t>and</w:t>
            </w:r>
          </w:p>
          <w:p>
            <w:pPr>
              <w:pStyle w:val="yTable"/>
              <w:spacing w:line="180" w:lineRule="atLeast"/>
              <w:jc w:val="right"/>
              <w:rPr>
                <w:sz w:val="18"/>
              </w:rPr>
            </w:pPr>
            <w:r>
              <w:rPr>
                <w:sz w:val="18"/>
              </w:rPr>
              <w:tab/>
              <w:t xml:space="preserve">Defendant   </w:t>
            </w:r>
          </w:p>
          <w:p>
            <w:pPr>
              <w:pStyle w:val="yTable"/>
              <w:spacing w:line="180" w:lineRule="atLeast"/>
              <w:rPr>
                <w:sz w:val="18"/>
              </w:rPr>
            </w:pPr>
            <w:r>
              <w:rPr>
                <w:b/>
                <w:sz w:val="18"/>
              </w:rPr>
              <w:t>TO:</w:t>
            </w:r>
            <w:r>
              <w:rPr>
                <w:sz w:val="18"/>
              </w:rPr>
              <w:t xml:space="preserve"> The MINING REGISTRAR, at</w:t>
            </w:r>
          </w:p>
          <w:p>
            <w:pPr>
              <w:pStyle w:val="yTable"/>
              <w:spacing w:line="180" w:lineRule="atLeast"/>
              <w:rPr>
                <w:sz w:val="18"/>
              </w:rPr>
            </w:pPr>
            <w:r>
              <w:rPr>
                <w:sz w:val="18"/>
              </w:rPr>
              <w:t>TAKE NOTICE that under and by virtue of</w:t>
            </w:r>
          </w:p>
          <w:p>
            <w:pPr>
              <w:pStyle w:val="yTable"/>
              <w:tabs>
                <w:tab w:val="left" w:pos="1346"/>
                <w:tab w:val="left" w:pos="3189"/>
              </w:tabs>
              <w:spacing w:line="180" w:lineRule="atLeast"/>
              <w:rPr>
                <w:sz w:val="18"/>
              </w:rPr>
            </w:pPr>
            <w:r>
              <w:rPr>
                <w:sz w:val="18"/>
              </w:rPr>
              <w:tab/>
              <w:t>, dated the</w:t>
            </w:r>
            <w:r>
              <w:rPr>
                <w:sz w:val="18"/>
              </w:rPr>
              <w:tab/>
              <w:t xml:space="preserve">day of                   </w:t>
            </w:r>
          </w:p>
          <w:p>
            <w:pPr>
              <w:pStyle w:val="yTable"/>
              <w:tabs>
                <w:tab w:val="left" w:pos="3898"/>
              </w:tabs>
              <w:spacing w:line="180" w:lineRule="atLeast"/>
              <w:rPr>
                <w:sz w:val="18"/>
              </w:rPr>
            </w:pPr>
            <w:r>
              <w:rPr>
                <w:sz w:val="18"/>
              </w:rPr>
              <w:t>20     , issued out of the</w:t>
            </w:r>
            <w:r>
              <w:rPr>
                <w:sz w:val="18"/>
              </w:rPr>
              <w:tab/>
              <w:t>Court</w:t>
            </w:r>
          </w:p>
          <w:p>
            <w:pPr>
              <w:pStyle w:val="yTable"/>
              <w:tabs>
                <w:tab w:val="left" w:pos="2764"/>
              </w:tabs>
              <w:spacing w:line="180" w:lineRule="atLeast"/>
              <w:rPr>
                <w:sz w:val="18"/>
              </w:rPr>
            </w:pPr>
            <w:r>
              <w:rPr>
                <w:sz w:val="18"/>
              </w:rPr>
              <w:t>at</w:t>
            </w:r>
            <w:r>
              <w:rPr>
                <w:sz w:val="18"/>
              </w:rPr>
              <w:tab/>
              <w:t xml:space="preserve">(copy attached)              </w:t>
            </w:r>
          </w:p>
          <w:p>
            <w:pPr>
              <w:pStyle w:val="yTable"/>
              <w:tabs>
                <w:tab w:val="left" w:pos="3898"/>
              </w:tabs>
              <w:spacing w:line="180" w:lineRule="atLeast"/>
              <w:rPr>
                <w:sz w:val="18"/>
              </w:rPr>
            </w:pPr>
            <w:r>
              <w:rPr>
                <w:sz w:val="18"/>
              </w:rPr>
              <w:t>I have this day seized all the</w:t>
            </w:r>
            <w:r>
              <w:rPr>
                <w:sz w:val="18"/>
              </w:rPr>
              <w:tab/>
              <w:t>right,</w:t>
            </w:r>
          </w:p>
          <w:p>
            <w:pPr>
              <w:pStyle w:val="yTable"/>
              <w:spacing w:before="0" w:line="180" w:lineRule="atLeast"/>
              <w:rPr>
                <w:sz w:val="18"/>
              </w:rPr>
            </w:pPr>
            <w:r>
              <w:rPr>
                <w:sz w:val="18"/>
              </w:rPr>
              <w:t>title and interest (if any) in and to the shares specified in the undermentioned mining tenement </w:t>
            </w:r>
            <w:r>
              <w:rPr>
                <w:snapToGrid w:val="0"/>
                <w:sz w:val="18"/>
              </w:rPr>
              <w:t>—</w:t>
            </w:r>
            <w:r>
              <w:rPr>
                <w:sz w:val="18"/>
              </w:rPr>
              <w:t> </w:t>
            </w:r>
          </w:p>
          <w:p>
            <w:pPr>
              <w:pStyle w:val="yTable"/>
              <w:spacing w:line="180" w:lineRule="atLeast"/>
              <w:rPr>
                <w:sz w:val="18"/>
              </w:rPr>
            </w:pP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(a) Type</w:t>
            </w:r>
          </w:p>
          <w:p>
            <w:pPr>
              <w:pStyle w:val="yTable"/>
              <w:spacing w:before="0" w:line="180" w:lineRule="atLeast"/>
              <w:ind w:left="-119"/>
              <w:rPr>
                <w:sz w:val="18"/>
              </w:rPr>
            </w:pPr>
            <w:r>
              <w:rPr>
                <w:sz w:val="18"/>
              </w:rPr>
              <w:t>(b) Number</w:t>
            </w:r>
          </w:p>
          <w:p>
            <w:pPr>
              <w:pStyle w:val="yTable"/>
              <w:spacing w:before="0" w:line="180" w:lineRule="atLeast"/>
              <w:ind w:left="-119"/>
              <w:rPr>
                <w:sz w:val="18"/>
              </w:rPr>
            </w:pPr>
            <w:r>
              <w:rPr>
                <w:sz w:val="18"/>
              </w:rPr>
              <w:t>(c) Mineral Field</w:t>
            </w:r>
          </w:p>
          <w:p>
            <w:pPr>
              <w:pStyle w:val="yTable"/>
              <w:spacing w:before="0" w:line="180" w:lineRule="atLeast"/>
              <w:ind w:left="-119"/>
              <w:rPr>
                <w:sz w:val="18"/>
              </w:rPr>
            </w:pPr>
            <w:r>
              <w:rPr>
                <w:sz w:val="18"/>
              </w:rPr>
              <w:t>(d) 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w:t>
            </w:r>
          </w:p>
          <w:p>
            <w:pPr>
              <w:pStyle w:val="yTable"/>
              <w:tabs>
                <w:tab w:val="left" w:pos="2338"/>
              </w:tabs>
              <w:spacing w:line="180" w:lineRule="atLeast"/>
              <w:rPr>
                <w:sz w:val="18"/>
              </w:rPr>
            </w:pPr>
            <w:r>
              <w:rPr>
                <w:sz w:val="18"/>
              </w:rPr>
              <w:t>(a)</w:t>
            </w:r>
            <w:r>
              <w:rPr>
                <w:sz w:val="18"/>
              </w:rPr>
              <w:tab/>
              <w:t>(b)</w:t>
            </w:r>
          </w:p>
          <w:p>
            <w:pPr>
              <w:pStyle w:val="yTable"/>
              <w:spacing w:line="180" w:lineRule="atLeast"/>
              <w:rPr>
                <w:sz w:val="18"/>
              </w:rPr>
            </w:pPr>
            <w:r>
              <w:rPr>
                <w:sz w:val="18"/>
              </w:rPr>
              <w:t>(c)</w:t>
            </w:r>
          </w:p>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rPr>
                <w:sz w:val="18"/>
              </w:rPr>
            </w:pPr>
            <w:r>
              <w:rPr>
                <w:sz w:val="18"/>
              </w:rPr>
              <w:t>You will therefore communicate with me before registering any transfer, or other dealing with the shares specified while this seizure remains in force.</w:t>
            </w:r>
          </w:p>
          <w:p>
            <w:pPr>
              <w:pStyle w:val="yTable"/>
              <w:spacing w:line="180" w:lineRule="atLeast"/>
              <w:rPr>
                <w:sz w:val="18"/>
              </w:rPr>
            </w:pPr>
            <w:r>
              <w:rPr>
                <w:sz w:val="18"/>
              </w:rPr>
              <w:t>DATED at</w:t>
            </w:r>
          </w:p>
          <w:p>
            <w:pPr>
              <w:pStyle w:val="yTable"/>
              <w:tabs>
                <w:tab w:val="left" w:pos="1913"/>
                <w:tab w:val="left" w:pos="3756"/>
              </w:tabs>
              <w:spacing w:line="180" w:lineRule="atLeast"/>
              <w:rPr>
                <w:sz w:val="18"/>
              </w:rPr>
            </w:pPr>
            <w:r>
              <w:rPr>
                <w:sz w:val="18"/>
              </w:rPr>
              <w:t>this</w:t>
            </w:r>
            <w:r>
              <w:rPr>
                <w:sz w:val="18"/>
              </w:rPr>
              <w:tab/>
              <w:t>day of</w:t>
            </w:r>
            <w:r>
              <w:rPr>
                <w:sz w:val="18"/>
              </w:rPr>
              <w:tab/>
              <w:t xml:space="preserve">20     </w:t>
            </w:r>
          </w:p>
          <w:p>
            <w:pPr>
              <w:pStyle w:val="yTable"/>
              <w:tabs>
                <w:tab w:val="right" w:leader="dot" w:pos="4748"/>
              </w:tabs>
              <w:spacing w:line="180" w:lineRule="atLeast"/>
              <w:ind w:left="921"/>
              <w:rPr>
                <w:sz w:val="18"/>
              </w:rPr>
            </w:pPr>
            <w:r>
              <w:rPr>
                <w:sz w:val="18"/>
              </w:rPr>
              <w:tab/>
              <w:t>Bailiff</w:t>
            </w: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3219"/>
        <w:gridCol w:w="1843"/>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3219"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957"/>
              </w:tabs>
              <w:spacing w:line="180" w:lineRule="atLeast"/>
              <w:rPr>
                <w:sz w:val="18"/>
              </w:rPr>
            </w:pPr>
            <w:r>
              <w:rPr>
                <w:sz w:val="18"/>
              </w:rPr>
              <w:t>Received at ..........................................m.</w:t>
            </w:r>
          </w:p>
          <w:p>
            <w:pPr>
              <w:pStyle w:val="yTable"/>
              <w:tabs>
                <w:tab w:val="right" w:leader="dot" w:pos="2957"/>
              </w:tabs>
              <w:spacing w:line="180" w:lineRule="atLeast"/>
              <w:rPr>
                <w:sz w:val="18"/>
              </w:rPr>
            </w:pPr>
            <w:r>
              <w:rPr>
                <w:sz w:val="18"/>
              </w:rPr>
              <w:t>on  ............................................................</w:t>
            </w:r>
          </w:p>
          <w:p>
            <w:pPr>
              <w:pStyle w:val="yTable"/>
              <w:tabs>
                <w:tab w:val="right" w:leader="dot" w:pos="2957"/>
              </w:tabs>
              <w:spacing w:line="180" w:lineRule="atLeast"/>
              <w:rPr>
                <w:sz w:val="18"/>
              </w:rPr>
            </w:pPr>
            <w:r>
              <w:rPr>
                <w:sz w:val="18"/>
              </w:rPr>
              <w:t xml:space="preserve">with fee of $ ............................................ </w:t>
            </w:r>
          </w:p>
          <w:p>
            <w:pPr>
              <w:pStyle w:val="yTable"/>
              <w:tabs>
                <w:tab w:val="right" w:leader="dot" w:pos="2957"/>
              </w:tabs>
              <w:spacing w:line="180" w:lineRule="atLeast"/>
              <w:rPr>
                <w:sz w:val="18"/>
              </w:rPr>
            </w:pPr>
          </w:p>
          <w:p>
            <w:pPr>
              <w:pStyle w:val="yTable"/>
              <w:tabs>
                <w:tab w:val="right" w:leader="dot" w:pos="2957"/>
              </w:tabs>
              <w:spacing w:line="180" w:lineRule="atLeast"/>
              <w:rPr>
                <w:sz w:val="18"/>
              </w:rPr>
            </w:pPr>
          </w:p>
          <w:p>
            <w:pPr>
              <w:pStyle w:val="yTable"/>
              <w:tabs>
                <w:tab w:val="right" w:leader="dot" w:pos="2957"/>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xml:space="preserve">, 20     </w:t>
            </w:r>
          </w:p>
          <w:p>
            <w:pPr>
              <w:pStyle w:val="yTable"/>
              <w:spacing w:before="40" w:line="180" w:lineRule="atLeast"/>
              <w:rPr>
                <w:sz w:val="18"/>
              </w:rPr>
            </w:pPr>
            <w:r>
              <w:rPr>
                <w:sz w:val="18"/>
              </w:rPr>
              <w:t>in respect to </w:t>
            </w:r>
            <w:r>
              <w:rPr>
                <w:snapToGrid w:val="0"/>
                <w:sz w:val="18"/>
              </w:rPr>
              <w:t>—</w:t>
            </w:r>
            <w:r>
              <w:rPr>
                <w:sz w:val="18"/>
              </w:rPr>
              <w:t> </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r>
              <w:rPr>
                <w:sz w:val="18"/>
              </w:rPr>
              <w:t> </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 xml:space="preserve">20   </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 xml:space="preserve">20   </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rPr>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[First Schedule amended in Gazette 12 Nov 1982 p. 4491 (erratum in Gazette 19 Nov 1982 p. 4578); 30 May 1986 p. 1841; 20 Jun 1986 p. 2084; 2 Oct 1987 p. 3821</w:t>
      </w:r>
      <w:r>
        <w:noBreakHyphen/>
        <w:t>36 (erratum in Gazette 6 Nov 1987 p. 4110); 20 May 1988 p. 1707; 31 May 1991 p. 2700</w:t>
      </w:r>
      <w:r>
        <w:noBreakHyphen/>
        <w:t>7; 5 Jul 1991 p. 3359; 31 Jul 1992 p. 3777</w:t>
      </w:r>
      <w:r>
        <w:noBreakHyphen/>
        <w:t>80; 24 Dec 1993 p. 6829</w:t>
      </w:r>
      <w:r>
        <w:noBreakHyphen/>
        <w:t>30; 24 Jun 1994 p. 2939</w:t>
      </w:r>
      <w:r>
        <w:noBreakHyphen/>
        <w:t>42; 13 Oct 1995 p. 4823; 4 Apr 1997 p. 1780</w:t>
      </w:r>
      <w:r>
        <w:noBreakHyphen/>
        <w:t>1; 3 Oct 1997 p. 5533</w:t>
      </w:r>
      <w:r>
        <w:noBreakHyphen/>
        <w:t>5; 11 Jun 1999 p. 2546</w:t>
      </w:r>
      <w:r>
        <w:noBreakHyphen/>
        <w:t>52; 2 Feb 2001 p. 710</w:t>
      </w:r>
      <w:r>
        <w:noBreakHyphen/>
        <w:t>11; 13 Dec 2002 p. 5805</w:t>
      </w:r>
      <w:r>
        <w:noBreakHyphen/>
        <w:t>6; 17 Jan 2003 p. 107</w:t>
      </w:r>
      <w:r>
        <w:noBreakHyphen/>
        <w:t xml:space="preserve">9 and 114; 3 Feb 2006 p. 524-8 and 602-3.] </w:t>
      </w:r>
    </w:p>
    <w:p>
      <w:pPr>
        <w:pStyle w:val="yScheduleHeading"/>
      </w:pPr>
      <w:bookmarkStart w:id="1624" w:name="_Toc104276773"/>
      <w:bookmarkStart w:id="1625" w:name="_Toc127338187"/>
      <w:r>
        <w:rPr>
          <w:rStyle w:val="CharSchNo"/>
        </w:rPr>
        <w:t>Second Schedule</w:t>
      </w:r>
      <w:bookmarkEnd w:id="1624"/>
      <w:bookmarkEnd w:id="1625"/>
    </w:p>
    <w:p>
      <w:pPr>
        <w:pStyle w:val="yMiscellaneousHeading"/>
        <w:rPr>
          <w:b/>
          <w:snapToGrid w:val="0"/>
          <w:sz w:val="28"/>
        </w:rPr>
      </w:pPr>
      <w:r>
        <w:rPr>
          <w:b/>
          <w:snapToGrid w:val="0"/>
          <w:sz w:val="28"/>
        </w:rPr>
        <w:t>Schedule of fees and rents</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Existing exploration licence per square kilometre or part thereof —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38.72</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pacing w:val="-2"/>
                <w:sz w:val="18"/>
              </w:rPr>
              <w:t>131.12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Graticular exploration licence —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 xml:space="preserve">all other licences, per block —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pacing w:val="-2"/>
                <w:sz w:val="18"/>
              </w:rPr>
              <w:t>244.31</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101.42</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157.74</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214.06</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405.46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11.88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i/>
                <w:spacing w:val="-2"/>
                <w:sz w:val="18"/>
                <w:vertAlign w:val="superscript"/>
              </w:rPr>
              <w:t> 6</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13.42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13.42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r>
              <w:rPr>
                <w:spacing w:val="-2"/>
                <w:sz w:val="18"/>
              </w:rPr>
              <w:t>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0.33</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11.88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$18.70)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1.87</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5.83</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220.00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950.00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215.00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205.00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270.00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310.00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370.00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1 850.00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27.00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Minimum $21.50)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5.40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17.00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165.00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t>Warden’s Court Fees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 xml:space="preserve">For entering a plaint, excluding service fee, but including the issue of summons for each defendant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47.50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Defence, including notice of defence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w:t>
            </w:r>
            <w:r>
              <w:rPr>
                <w:spacing w:val="-2"/>
                <w:sz w:val="18"/>
              </w:rPr>
              <w:tab/>
              <w:t>Issue or renewal of a warrant of execution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filed bill (minimum fee $10.00) </w:t>
            </w:r>
            <w:r>
              <w:rPr>
                <w:snapToGrid w:val="0"/>
                <w:sz w:val="18"/>
              </w:rPr>
              <w:t>—</w:t>
            </w:r>
            <w:r>
              <w:rPr>
                <w:spacing w:val="-2"/>
                <w:sz w:val="18"/>
              </w:rPr>
              <w:t xml:space="preserve"> provided  that where the filed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2769-71; 3 Feb 2006 p. 528 and 603-4.]</w:t>
      </w:r>
    </w:p>
    <w:p>
      <w:pPr>
        <w:pStyle w:val="yScheduleHeading"/>
      </w:pPr>
      <w:bookmarkStart w:id="1626" w:name="_Toc74979322"/>
      <w:bookmarkStart w:id="1627" w:name="_Toc104276774"/>
      <w:bookmarkStart w:id="1628" w:name="_Toc127338188"/>
      <w:r>
        <w:rPr>
          <w:rStyle w:val="CharSchNo"/>
        </w:rPr>
        <w:t>Third Schedule</w:t>
      </w:r>
      <w:r>
        <w:t> — </w:t>
      </w:r>
      <w:r>
        <w:rPr>
          <w:rStyle w:val="CharSchText"/>
        </w:rPr>
        <w:t>Transitional provisions relating to Geocentric Datum of Australia</w:t>
      </w:r>
      <w:bookmarkEnd w:id="1626"/>
      <w:bookmarkEnd w:id="1627"/>
      <w:bookmarkEnd w:id="1628"/>
    </w:p>
    <w:p>
      <w:pPr>
        <w:pStyle w:val="yShoulderClause"/>
      </w:pPr>
      <w:r>
        <w:t>[r. 89A]</w:t>
      </w:r>
    </w:p>
    <w:p>
      <w:pPr>
        <w:pStyle w:val="yFootnoteheading"/>
      </w:pPr>
      <w:r>
        <w:tab/>
        <w:t>[Heading inserted in Gazette 15 Dec 2000 p. 7220.]</w:t>
      </w:r>
    </w:p>
    <w:p>
      <w:pPr>
        <w:pStyle w:val="yHeading5"/>
      </w:pPr>
      <w:bookmarkStart w:id="1629" w:name="_Toc11229592"/>
      <w:bookmarkStart w:id="1630" w:name="_Toc104276775"/>
      <w:bookmarkStart w:id="1631" w:name="_Toc127338189"/>
      <w:r>
        <w:t>1.</w:t>
      </w:r>
      <w:r>
        <w:tab/>
        <w:t>Interpretation</w:t>
      </w:r>
      <w:bookmarkEnd w:id="1629"/>
      <w:bookmarkEnd w:id="1630"/>
      <w:bookmarkEnd w:id="1631"/>
    </w:p>
    <w:p>
      <w:pPr>
        <w:pStyle w:val="ySubsection"/>
      </w:pPr>
      <w:r>
        <w:tab/>
        <w:t>(1)</w:t>
      </w:r>
      <w:r>
        <w:tab/>
        <w:t xml:space="preserve">In this Schedule — </w:t>
      </w:r>
    </w:p>
    <w:p>
      <w:pPr>
        <w:pStyle w:val="yDefstart"/>
      </w:pPr>
      <w:r>
        <w:tab/>
      </w:r>
      <w:r>
        <w:rPr>
          <w:b/>
        </w:rPr>
        <w:t>“</w:t>
      </w:r>
      <w:r>
        <w:rPr>
          <w:rStyle w:val="CharDefText"/>
        </w:rPr>
        <w:t>Australian Geodetic Datum</w:t>
      </w:r>
      <w:r>
        <w:rPr>
          <w:b/>
        </w:rPr>
        <w:t>”</w:t>
      </w:r>
      <w:r>
        <w:t xml:space="preserve"> means the datum described in clause 2;</w:t>
      </w:r>
    </w:p>
    <w:p>
      <w:pPr>
        <w:pStyle w:val="yDefstart"/>
      </w:pPr>
      <w:r>
        <w:tab/>
      </w:r>
      <w:r>
        <w:rPr>
          <w:b/>
        </w:rPr>
        <w:t>“</w:t>
      </w:r>
      <w:r>
        <w:rPr>
          <w:rStyle w:val="CharDefText"/>
        </w:rPr>
        <w:t>block</w:t>
      </w:r>
      <w:r>
        <w:rPr>
          <w:b/>
        </w:rPr>
        <w:t>”</w:t>
      </w:r>
      <w:r>
        <w:t xml:space="preserve"> means a block as described in section 56C;</w:t>
      </w:r>
    </w:p>
    <w:p>
      <w:pPr>
        <w:pStyle w:val="yDefstart"/>
      </w:pPr>
      <w:r>
        <w:tab/>
      </w:r>
      <w:r>
        <w:rPr>
          <w:b/>
        </w:rPr>
        <w:t>“</w:t>
      </w:r>
      <w:r>
        <w:rPr>
          <w:rStyle w:val="CharDefText"/>
        </w:rPr>
        <w:t>commencement day</w:t>
      </w:r>
      <w:r>
        <w:rPr>
          <w:b/>
        </w:rPr>
        <w:t>”</w:t>
      </w:r>
      <w:r>
        <w:t xml:space="preserve"> means the day on which section 5 of the </w:t>
      </w:r>
      <w:r>
        <w:rPr>
          <w:i/>
        </w:rPr>
        <w:t>Acts Amendment (Australian Datum) Act 2000</w:t>
      </w:r>
      <w:r>
        <w:t xml:space="preserve"> comes into operation;</w:t>
      </w:r>
    </w:p>
    <w:p>
      <w:pPr>
        <w:pStyle w:val="yDefstart"/>
      </w:pPr>
      <w:r>
        <w:tab/>
      </w:r>
      <w:r>
        <w:rPr>
          <w:b/>
        </w:rPr>
        <w:t>“</w:t>
      </w:r>
      <w:r>
        <w:rPr>
          <w:rStyle w:val="CharDefText"/>
        </w:rPr>
        <w:t>existing exploration licence</w:t>
      </w:r>
      <w:r>
        <w:rPr>
          <w:b/>
        </w:rPr>
        <w:t>”</w:t>
      </w:r>
      <w:r>
        <w:t xml:space="preserve"> means an exploration licence referred to in clause 3(1) or (3);</w:t>
      </w:r>
    </w:p>
    <w:p>
      <w:pPr>
        <w:pStyle w:val="yDefstart"/>
      </w:pPr>
      <w:r>
        <w:tab/>
      </w:r>
      <w:r>
        <w:rPr>
          <w:b/>
        </w:rPr>
        <w:t>“</w:t>
      </w:r>
      <w:r>
        <w:rPr>
          <w:rStyle w:val="CharDefText"/>
        </w:rPr>
        <w:t>number</w:t>
      </w:r>
      <w:r>
        <w:rPr>
          <w:b/>
        </w:rPr>
        <w:t>”</w:t>
      </w:r>
      <w:r>
        <w:t>, in relation to a block, has the same meaning as it has in section 56C(4);</w:t>
      </w:r>
    </w:p>
    <w:p>
      <w:pPr>
        <w:pStyle w:val="yDefstart"/>
      </w:pPr>
      <w:r>
        <w:tab/>
      </w:r>
      <w:r>
        <w:rPr>
          <w:b/>
        </w:rPr>
        <w:t>“</w:t>
      </w:r>
      <w:r>
        <w:rPr>
          <w:rStyle w:val="CharDefText"/>
        </w:rPr>
        <w:t>prescribed land</w:t>
      </w:r>
      <w:r>
        <w:rPr>
          <w:b/>
        </w:rPr>
        <w:t>”</w:t>
      </w:r>
      <w:r>
        <w:t xml:space="preserve"> means all of an area of land that, as a result of the operation of section 9B in relation to the Geocentric Datum of Australia referred to in regulation 89A —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1632" w:name="_Toc11229593"/>
      <w:bookmarkStart w:id="1633" w:name="_Toc104276776"/>
      <w:r>
        <w:tab/>
        <w:t>[Clause 1 inserted in Gazette 15 Dec 2000 p. 7220-1.]</w:t>
      </w:r>
    </w:p>
    <w:p>
      <w:pPr>
        <w:pStyle w:val="yHeading5"/>
      </w:pPr>
      <w:bookmarkStart w:id="1634" w:name="_Toc127338190"/>
      <w:r>
        <w:t>2.</w:t>
      </w:r>
      <w:r>
        <w:tab/>
        <w:t>Australian Geodetic Datum</w:t>
      </w:r>
      <w:bookmarkEnd w:id="1632"/>
      <w:bookmarkEnd w:id="1633"/>
      <w:bookmarkEnd w:id="1634"/>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 xml:space="preserve">The Johnston Geodetic Station is taken to be situated at —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1635" w:name="_Toc11229594"/>
      <w:bookmarkStart w:id="1636" w:name="_Toc104276777"/>
      <w:r>
        <w:tab/>
        <w:t>[Clause 2 inserted in Gazette 15 Dec 2000 p. 7221.]</w:t>
      </w:r>
    </w:p>
    <w:p>
      <w:pPr>
        <w:pStyle w:val="yHeading5"/>
      </w:pPr>
      <w:bookmarkStart w:id="1637" w:name="_Toc127338191"/>
      <w:r>
        <w:t>3.</w:t>
      </w:r>
      <w:r>
        <w:tab/>
        <w:t>Exploration licences</w:t>
      </w:r>
      <w:bookmarkEnd w:id="1635"/>
      <w:bookmarkEnd w:id="1636"/>
      <w:bookmarkEnd w:id="1637"/>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1638" w:name="_Toc11229595"/>
      <w:bookmarkStart w:id="1639" w:name="_Toc104276778"/>
      <w:r>
        <w:tab/>
        <w:t>[Clause 3 inserted in Gazette 15 Dec 2000 p. 7221.]</w:t>
      </w:r>
    </w:p>
    <w:p>
      <w:pPr>
        <w:pStyle w:val="yHeading5"/>
      </w:pPr>
      <w:bookmarkStart w:id="1640" w:name="_Toc127338192"/>
      <w:r>
        <w:t>4.</w:t>
      </w:r>
      <w:r>
        <w:tab/>
        <w:t>Land surrendered or forfeited etc.</w:t>
      </w:r>
      <w:bookmarkEnd w:id="1638"/>
      <w:bookmarkEnd w:id="1639"/>
      <w:bookmarkEnd w:id="1640"/>
    </w:p>
    <w:p>
      <w:pPr>
        <w:pStyle w:val="ySubsection"/>
      </w:pPr>
      <w:r>
        <w:tab/>
        <w:t>(1)</w:t>
      </w:r>
      <w:r>
        <w:tab/>
        <w:t xml:space="preserve">If after the commencement day —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pPr>
      <w:r>
        <w:tab/>
        <w:t>(2)</w:t>
      </w:r>
      <w:r>
        <w:tab/>
        <w:t xml:space="preserve">If after the commencement day —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 xml:space="preserve">Subclauses (1) and (2) do not apply if  —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 xml:space="preserve">Subclauses (1) and (2) do not apply if —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pPr>
      <w:r>
        <w:tab/>
        <w:t>[Clause 4 inserted in Gazette 15 Dec 2000 p. 7221-2; amended in Gazette 3 Feb 2006 p. 604.]</w:t>
      </w:r>
    </w:p>
    <w:p>
      <w:pPr>
        <w:pStyle w:val="yHeading5"/>
      </w:pPr>
      <w:bookmarkStart w:id="1641" w:name="_Toc11229596"/>
      <w:bookmarkStart w:id="1642" w:name="_Toc104276779"/>
      <w:bookmarkStart w:id="1643" w:name="_Toc127338193"/>
      <w:r>
        <w:t>5.</w:t>
      </w:r>
      <w:r>
        <w:tab/>
        <w:t>Land exempted under section 19</w:t>
      </w:r>
      <w:bookmarkEnd w:id="1641"/>
      <w:bookmarkEnd w:id="1642"/>
      <w:bookmarkEnd w:id="1643"/>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1644" w:name="_Toc11229597"/>
      <w:bookmarkStart w:id="1645" w:name="_Toc104276780"/>
      <w:r>
        <w:tab/>
        <w:t>[Clause 5 inserted in Gazette 15 Dec 2000 p. 7222.]</w:t>
      </w:r>
    </w:p>
    <w:p>
      <w:pPr>
        <w:pStyle w:val="yHeading5"/>
      </w:pPr>
      <w:bookmarkStart w:id="1646" w:name="_Toc127338194"/>
      <w:r>
        <w:t>6.</w:t>
      </w:r>
      <w:r>
        <w:tab/>
        <w:t>Areas declared under section 57(4), and savings</w:t>
      </w:r>
      <w:bookmarkEnd w:id="1644"/>
      <w:bookmarkEnd w:id="1645"/>
      <w:bookmarkEnd w:id="1646"/>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 xml:space="preserve">Subclause (1) does not affect the validity of —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1647" w:name="_Toc11229598"/>
      <w:bookmarkStart w:id="1648" w:name="_Toc104276781"/>
      <w:r>
        <w:tab/>
        <w:t>[Clause 6 inserted in Gazette 15 Dec 2000 p. 7223.]</w:t>
      </w:r>
    </w:p>
    <w:p>
      <w:pPr>
        <w:pStyle w:val="yHeading5"/>
      </w:pPr>
      <w:bookmarkStart w:id="1649" w:name="_Toc127338195"/>
      <w:r>
        <w:t>7.</w:t>
      </w:r>
      <w:r>
        <w:tab/>
        <w:t>Certain prospecting licences and mining leases may be amalgamated with existing exploration licences</w:t>
      </w:r>
      <w:bookmarkEnd w:id="1647"/>
      <w:bookmarkEnd w:id="1648"/>
      <w:bookmarkEnd w:id="1649"/>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 xml:space="preserve">Another tenement, or part of another tenement, cannot be amalgamated with an exploration licence under this clause unless the land that is the subject of the other tenement, or of that part of the other tenement, is —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 xml:space="preserve">Subject to subclause (2), section 67A(4) and (5) apply to an application under subclause (1) as if —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 xml:space="preserve">In this clause — </w:t>
      </w:r>
    </w:p>
    <w:p>
      <w:pPr>
        <w:pStyle w:val="yDefstart"/>
      </w:pPr>
      <w:r>
        <w:tab/>
      </w:r>
      <w:r>
        <w:rPr>
          <w:b/>
        </w:rPr>
        <w:t>“</w:t>
      </w:r>
      <w:r>
        <w:rPr>
          <w:rStyle w:val="CharDefText"/>
        </w:rPr>
        <w:t>another tenement</w:t>
      </w:r>
      <w:r>
        <w:rPr>
          <w:b/>
        </w:rPr>
        <w:t>”</w:t>
      </w:r>
      <w:r>
        <w:t xml:space="preserve"> or </w:t>
      </w:r>
      <w:r>
        <w:rPr>
          <w:b/>
        </w:rPr>
        <w:t>“</w:t>
      </w:r>
      <w:r>
        <w:rPr>
          <w:rStyle w:val="CharDefText"/>
        </w:rPr>
        <w:t>other tenement</w:t>
      </w:r>
      <w:r>
        <w:rPr>
          <w:b/>
        </w:rPr>
        <w:t>”</w:t>
      </w:r>
      <w:r>
        <w:t xml:space="preserve"> means a prospecting licence or mining lease applied for and granted after the commencement day in respect of prescribed land.</w:t>
      </w:r>
    </w:p>
    <w:p>
      <w:pPr>
        <w:pStyle w:val="yFootnotesection"/>
      </w:pPr>
      <w:bookmarkStart w:id="1650" w:name="_Toc11229599"/>
      <w:bookmarkStart w:id="1651" w:name="_Toc104276782"/>
      <w:r>
        <w:tab/>
        <w:t>[Clause 7 inserted in Gazette 15 Dec 2000 p. 7223.]</w:t>
      </w:r>
    </w:p>
    <w:p>
      <w:pPr>
        <w:pStyle w:val="yHeading5"/>
      </w:pPr>
      <w:bookmarkStart w:id="1652" w:name="_Toc127338196"/>
      <w:r>
        <w:t>8.</w:t>
      </w:r>
      <w:r>
        <w:tab/>
        <w:t>Prescribed land does not need to be marked out</w:t>
      </w:r>
      <w:bookmarkEnd w:id="1650"/>
      <w:bookmarkEnd w:id="1651"/>
      <w:bookmarkEnd w:id="1652"/>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rPr>
          <w:del w:id="1653" w:author="Master Repository Process" w:date="2021-08-29T08:44:00Z"/>
        </w:rPr>
      </w:pPr>
      <w:del w:id="1654" w:author="Master Repository Process" w:date="2021-08-29T08:44:00Z">
        <w:r>
          <w:rPr>
            <w:noProof/>
            <w:lang w:eastAsia="en-AU"/>
          </w:rPr>
          <w:drawing>
            <wp:inline distT="0" distB="0" distL="0" distR="0">
              <wp:extent cx="3114675" cy="2724150"/>
              <wp:effectExtent l="0" t="0" r="9525" b="0"/>
              <wp:docPr id="32" name="Picture 32"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b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14675" cy="2724150"/>
                      </a:xfrm>
                      <a:prstGeom prst="rect">
                        <a:avLst/>
                      </a:prstGeom>
                      <a:noFill/>
                      <a:ln>
                        <a:noFill/>
                      </a:ln>
                    </pic:spPr>
                  </pic:pic>
                </a:graphicData>
              </a:graphic>
            </wp:inline>
          </w:drawing>
        </w:r>
      </w:del>
    </w:p>
    <w:p>
      <w:pPr>
        <w:jc w:val="center"/>
        <w:rPr>
          <w:ins w:id="1655" w:author="Master Repository Process" w:date="2021-08-29T08:44:00Z"/>
        </w:rPr>
      </w:pPr>
      <w:ins w:id="1656" w:author="Master Repository Process" w:date="2021-08-29T08:44:00Z">
        <w:r>
          <w:rPr>
            <w:noProof/>
            <w:lang w:eastAsia="en-AU"/>
          </w:rPr>
          <w:drawing>
            <wp:inline distT="0" distB="0" distL="0" distR="0">
              <wp:extent cx="3108960" cy="2728595"/>
              <wp:effectExtent l="0" t="0" r="0" b="0"/>
              <wp:docPr id="7" name="Picture 7"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b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08960" cy="2728595"/>
                      </a:xfrm>
                      <a:prstGeom prst="rect">
                        <a:avLst/>
                      </a:prstGeom>
                      <a:noFill/>
                      <a:ln>
                        <a:noFill/>
                      </a:ln>
                    </pic:spPr>
                  </pic:pic>
                </a:graphicData>
              </a:graphic>
            </wp:inline>
          </w:drawing>
        </w:r>
      </w:ins>
    </w:p>
    <w:p>
      <w:pPr>
        <w:pStyle w:val="yFootnotesection"/>
      </w:pPr>
      <w:r>
        <w:tab/>
        <w:t>[Clause 8 inserted in Gazette 15 Dec 2000 p. 7223-4.]</w:t>
      </w:r>
    </w:p>
    <w:p>
      <w:pPr>
        <w:spacing w:line="180" w:lineRule="atLeast"/>
        <w:ind w:right="127"/>
        <w:jc w:val="right"/>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657" w:name="_Toc74979067"/>
      <w:bookmarkStart w:id="1658" w:name="_Toc74979331"/>
      <w:bookmarkStart w:id="1659" w:name="_Toc79976628"/>
      <w:bookmarkStart w:id="1660" w:name="_Toc80759899"/>
      <w:bookmarkStart w:id="1661" w:name="_Toc80783662"/>
      <w:bookmarkStart w:id="1662" w:name="_Toc94931329"/>
      <w:bookmarkStart w:id="1663" w:name="_Toc104275452"/>
      <w:bookmarkStart w:id="1664" w:name="_Toc104276783"/>
      <w:bookmarkStart w:id="1665" w:name="_Toc107199004"/>
      <w:bookmarkStart w:id="1666" w:name="_Toc107799456"/>
      <w:bookmarkStart w:id="1667" w:name="_Toc127087463"/>
      <w:bookmarkStart w:id="1668" w:name="_Toc127183776"/>
      <w:bookmarkStart w:id="1669" w:name="_Toc127338197"/>
      <w:r>
        <w:t>Notes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70" w:name="_Toc127338198"/>
      <w:r>
        <w:rPr>
          <w:snapToGrid w:val="0"/>
        </w:rPr>
        <w:t>Compilation table</w:t>
      </w:r>
      <w:bookmarkEnd w:id="167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(see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7</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8</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iCs/>
                <w:snapToGrid w:val="0"/>
                <w:sz w:val="19"/>
                <w:lang w:val="en-US"/>
              </w:rPr>
            </w:pPr>
            <w:r>
              <w:rPr>
                <w:i/>
                <w:sz w:val="19"/>
              </w:rPr>
              <w:t>Mining Amendment Regulations (No. 5) 2004</w:t>
            </w:r>
            <w:r>
              <w:rPr>
                <w:iCs/>
                <w:sz w:val="19"/>
                <w:vertAlign w:val="superscript"/>
              </w:rPr>
              <w:t> 9</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iCs/>
                <w:sz w:val="19"/>
              </w:rPr>
            </w:pPr>
            <w:r>
              <w:rPr>
                <w:i/>
                <w:sz w:val="19"/>
              </w:rPr>
              <w:t>Mining Amendment Regulations (No. 2) 2006</w:t>
            </w:r>
            <w:r>
              <w:rPr>
                <w:iCs/>
                <w:sz w:val="19"/>
              </w:rPr>
              <w:t xml:space="preserve"> </w:t>
            </w:r>
            <w:r>
              <w:rPr>
                <w:iCs/>
                <w:sz w:val="19"/>
                <w:vertAlign w:val="superscript"/>
              </w:rPr>
              <w:t>10</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rPr>
          <w:ins w:id="1671" w:author="Master Repository Process" w:date="2021-08-29T08:44:00Z"/>
        </w:trPr>
        <w:tc>
          <w:tcPr>
            <w:tcW w:w="3119" w:type="dxa"/>
            <w:tcBorders>
              <w:top w:val="nil"/>
              <w:left w:val="nil"/>
              <w:bottom w:val="single" w:sz="8" w:space="0" w:color="auto"/>
              <w:right w:val="nil"/>
            </w:tcBorders>
          </w:tcPr>
          <w:p>
            <w:pPr>
              <w:pStyle w:val="nTable"/>
              <w:spacing w:after="40"/>
              <w:rPr>
                <w:ins w:id="1672" w:author="Master Repository Process" w:date="2021-08-29T08:44:00Z"/>
                <w:i/>
                <w:sz w:val="19"/>
              </w:rPr>
            </w:pPr>
            <w:ins w:id="1673" w:author="Master Repository Process" w:date="2021-08-29T08:44:00Z">
              <w:r>
                <w:rPr>
                  <w:i/>
                  <w:sz w:val="19"/>
                </w:rPr>
                <w:t>Mining Amendment Regulations (No. 4) 2006</w:t>
              </w:r>
            </w:ins>
          </w:p>
        </w:tc>
        <w:tc>
          <w:tcPr>
            <w:tcW w:w="1276" w:type="dxa"/>
            <w:tcBorders>
              <w:top w:val="nil"/>
              <w:left w:val="nil"/>
              <w:bottom w:val="single" w:sz="8" w:space="0" w:color="auto"/>
              <w:right w:val="nil"/>
            </w:tcBorders>
          </w:tcPr>
          <w:p>
            <w:pPr>
              <w:pStyle w:val="nTable"/>
              <w:spacing w:after="40"/>
              <w:rPr>
                <w:ins w:id="1674" w:author="Master Repository Process" w:date="2021-08-29T08:44:00Z"/>
                <w:sz w:val="19"/>
              </w:rPr>
            </w:pPr>
            <w:ins w:id="1675" w:author="Master Repository Process" w:date="2021-08-29T08:44:00Z">
              <w:r>
                <w:rPr>
                  <w:sz w:val="19"/>
                </w:rPr>
                <w:t>4 Apr 2006 p. 1409</w:t>
              </w:r>
            </w:ins>
          </w:p>
        </w:tc>
        <w:tc>
          <w:tcPr>
            <w:tcW w:w="2693" w:type="dxa"/>
            <w:tcBorders>
              <w:top w:val="nil"/>
              <w:left w:val="nil"/>
              <w:bottom w:val="single" w:sz="8" w:space="0" w:color="auto"/>
              <w:right w:val="nil"/>
            </w:tcBorders>
          </w:tcPr>
          <w:p>
            <w:pPr>
              <w:pStyle w:val="nTable"/>
              <w:spacing w:after="40"/>
              <w:rPr>
                <w:ins w:id="1676" w:author="Master Repository Process" w:date="2021-08-29T08:44:00Z"/>
                <w:sz w:val="19"/>
              </w:rPr>
            </w:pPr>
            <w:ins w:id="1677" w:author="Master Repository Process" w:date="2021-08-29T08:44:00Z">
              <w:r>
                <w:rPr>
                  <w:sz w:val="19"/>
                </w:rPr>
                <w:t xml:space="preserve">4 Apr 2006 </w:t>
              </w:r>
            </w:ins>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4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4</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5</w:t>
      </w:r>
      <w:r>
        <w:rPr>
          <w:snapToGrid w:val="0"/>
        </w:rPr>
        <w:tab/>
        <w:t xml:space="preserve">Under the </w:t>
      </w:r>
      <w:r>
        <w:rPr>
          <w:i/>
          <w:snapToGrid w:val="0"/>
        </w:rPr>
        <w:t>Alterations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6</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7</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8</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iCs/>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iCs/>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10</w:t>
      </w:r>
      <w:r>
        <w:tab/>
        <w:t xml:space="preserve">The </w:t>
      </w:r>
      <w:r>
        <w:rPr>
          <w:i/>
          <w:iCs/>
        </w:rPr>
        <w:t>Mining Amendment Regulations (No. 2) 2006</w:t>
      </w:r>
      <w:r>
        <w:t xml:space="preserve"> r. 10(7) and (8) reads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iCs/>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 xml:space="preserve">In subregulation (7) — </w:t>
      </w:r>
    </w:p>
    <w:p>
      <w:pPr>
        <w:pStyle w:val="nzDefstart"/>
      </w:pPr>
      <w:r>
        <w:rPr>
          <w:b/>
        </w:rPr>
        <w:tab/>
        <w:t>“</w:t>
      </w:r>
      <w:r>
        <w:rPr>
          <w:rStyle w:val="CharDefText"/>
        </w:rPr>
        <w:t>commencement day</w:t>
      </w:r>
      <w:r>
        <w:rPr>
          <w:b/>
        </w:rPr>
        <w:t>”</w:t>
      </w:r>
      <w:r>
        <w:t xml:space="preserve"> means the day on which these regulations come into operation;</w:t>
      </w:r>
    </w:p>
    <w:p>
      <w:pPr>
        <w:pStyle w:val="nzDefstart"/>
      </w:pPr>
      <w:r>
        <w:rPr>
          <w:b/>
        </w:rPr>
        <w:tab/>
        <w:t>“</w:t>
      </w:r>
      <w:r>
        <w:rPr>
          <w:rStyle w:val="CharDefText"/>
        </w:rPr>
        <w:t>existing licence</w:t>
      </w:r>
      <w:r>
        <w:rPr>
          <w:b/>
        </w:rPr>
        <w:t>”</w:t>
      </w:r>
      <w:r>
        <w:t xml:space="preserve"> means an exploration licence in force under the Act on the day on which these regulations come into operation.</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2057" w:type="dxa"/>
        </w:tcPr>
        <w:p>
          <w:pPr>
            <w:pStyle w:val="HeaderNumberLeft"/>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r>
      <w:trPr>
        <w:cantSplit/>
      </w:trPr>
      <w:tc>
        <w:tcPr>
          <w:tcW w:w="2057" w:type="dxa"/>
        </w:tcPr>
        <w:p>
          <w:pPr>
            <w:pStyle w:val="HeaderSectionRight"/>
            <w:ind w:right="17"/>
            <w:jc w:val="left"/>
          </w:pPr>
          <w:r>
            <w:fldChar w:fldCharType="begin"/>
          </w:r>
          <w:r>
            <w:instrText xml:space="preserve"> STYLEREF CharSchNo \* MERGEFORMAT </w:instrText>
          </w:r>
          <w:r>
            <w:rPr>
              <w:noProof/>
            </w:rPr>
            <w:fldChar w:fldCharType="end"/>
          </w:r>
        </w:p>
      </w:tc>
      <w:tc>
        <w:tcPr>
          <w:tcW w:w="5206"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r>
            <w:fldChar w:fldCharType="begin"/>
          </w:r>
          <w:r>
            <w:instrText xml:space="preserve"> STYLEREF CharSchText \* MERGEFORMAT </w:instrText>
          </w:r>
          <w:r>
            <w:rPr>
              <w:noProof/>
            </w:rPr>
            <w:fldChar w:fldCharType="end"/>
          </w:r>
        </w:p>
      </w:tc>
      <w:tc>
        <w:tcPr>
          <w:tcW w:w="2088"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9409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7695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9EDE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CEB2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DEE0D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181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C091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A201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5C43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8EC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139CC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C2808C0"/>
    <w:multiLevelType w:val="singleLevel"/>
    <w:tmpl w:val="25CECB30"/>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0852"/>
    <w:docVar w:name="WAFER_20151208140852" w:val="RemoveTrackChanges"/>
    <w:docVar w:name="WAFER_20151208140852_GUID" w:val="7bbd659a-6b4d-4d7c-b209-ed65cac41a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B90F521D-C706-40BF-9E2F-A447BADD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3">
    <w:name w:val="toc 3"/>
    <w:basedOn w:val="TOC4"/>
    <w:next w:val="Normal"/>
    <w:semiHidden/>
    <w:pPr>
      <w:spacing w:before="60" w:after="20"/>
      <w:ind w:left="1701" w:hanging="567"/>
    </w:pPr>
    <w:rPr>
      <w:b/>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8.png"/><Relationship Id="rId21" Type="http://schemas.openxmlformats.org/officeDocument/2006/relationships/footer" Target="footer5.xml"/><Relationship Id="rId34"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1.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6.xml"/><Relationship Id="rId27" Type="http://schemas.openxmlformats.org/officeDocument/2006/relationships/image" Target="media/image9.png"/><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54523</Words>
  <Characters>269349</Characters>
  <Application>Microsoft Office Word</Application>
  <DocSecurity>0</DocSecurity>
  <Lines>11710</Lines>
  <Paragraphs>7197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316675</CharactersWithSpaces>
  <SharedDoc>false</SharedDoc>
  <HLinks>
    <vt:vector size="12" baseType="variant">
      <vt:variant>
        <vt:i4>4980752</vt:i4>
      </vt:variant>
      <vt:variant>
        <vt:i4>224367</vt:i4>
      </vt:variant>
      <vt:variant>
        <vt:i4>1025</vt:i4>
      </vt:variant>
      <vt:variant>
        <vt:i4>1</vt:i4>
      </vt:variant>
      <vt:variant>
        <vt:lpwstr>C:\WP51\GRAPHICS\MISC\Crest2.gif</vt:lpwstr>
      </vt:variant>
      <vt:variant>
        <vt:lpwstr/>
      </vt:variant>
      <vt:variant>
        <vt:i4>1835028</vt:i4>
      </vt:variant>
      <vt:variant>
        <vt:i4>333714</vt:i4>
      </vt:variant>
      <vt:variant>
        <vt:i4>1026</vt:i4>
      </vt:variant>
      <vt:variant>
        <vt:i4>1</vt:i4>
      </vt:variant>
      <vt:variant>
        <vt:lpwstr>Datum drawing.bmp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05-g0-04 - 05-h0-04</dc:title>
  <dc:subject/>
  <dc:creator/>
  <cp:keywords/>
  <dc:description/>
  <cp:lastModifiedBy>Master Repository Process</cp:lastModifiedBy>
  <cp:revision>2</cp:revision>
  <dcterms:created xsi:type="dcterms:W3CDTF">2021-08-29T00:44:00Z</dcterms:created>
  <dcterms:modified xsi:type="dcterms:W3CDTF">2021-08-29T00:45:00Z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20060404</vt:lpwstr>
  </property>
  <property fmtid="{D5CDD505-2E9C-101B-9397-08002B2CF9AE}" pid="4" name="DocumentType">
    <vt:lpwstr>Reg</vt:lpwstr>
  </property>
  <property fmtid="{D5CDD505-2E9C-101B-9397-08002B2CF9AE}" pid="5" name="OwlsUID">
    <vt:i4>4643</vt:i4>
  </property>
  <property fmtid="{D5CDD505-2E9C-101B-9397-08002B2CF9AE}" pid="6" name="FromSuffix">
    <vt:lpwstr>05-g0-04</vt:lpwstr>
  </property>
  <property fmtid="{D5CDD505-2E9C-101B-9397-08002B2CF9AE}" pid="7" name="FromAsAtDate">
    <vt:lpwstr>11 Feb 2006</vt:lpwstr>
  </property>
  <property fmtid="{D5CDD505-2E9C-101B-9397-08002B2CF9AE}" pid="8" name="ToSuffix">
    <vt:lpwstr>05-h0-04</vt:lpwstr>
  </property>
  <property fmtid="{D5CDD505-2E9C-101B-9397-08002B2CF9AE}" pid="9" name="ToAsAtDate">
    <vt:lpwstr>04 Apr 2006</vt:lpwstr>
  </property>
</Properties>
</file>