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Products Pricing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2017</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1" w:name="_Toc501632237"/>
      <w:bookmarkStart w:id="2" w:name="_Toc404150646"/>
      <w:bookmarkStart w:id="3" w:name="_Toc419375034"/>
      <w:bookmarkStart w:id="4" w:name="_Toc419375059"/>
      <w:bookmarkStart w:id="5" w:name="_Toc419453343"/>
      <w:bookmarkStart w:id="6" w:name="_Toc464729565"/>
      <w:bookmarkStart w:id="7" w:name="_Toc495998191"/>
      <w:bookmarkStart w:id="8" w:name="_Toc495998499"/>
      <w:bookmarkStart w:id="9" w:name="_Toc496004088"/>
      <w:r>
        <w:rPr>
          <w:rStyle w:val="CharPartNo"/>
        </w:rPr>
        <w:t>P</w:t>
      </w:r>
      <w:bookmarkStart w:id="10" w:name="_GoBack"/>
      <w:bookmarkEnd w:id="10"/>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Footnoteheading"/>
      </w:pPr>
      <w:r>
        <w:tab/>
        <w:t>[Heading inserted in Gazette 11 Jul 2001 p. 3459.]</w:t>
      </w:r>
    </w:p>
    <w:p>
      <w:pPr>
        <w:pStyle w:val="Heading5"/>
      </w:pPr>
      <w:bookmarkStart w:id="11" w:name="_Toc501632238"/>
      <w:bookmarkStart w:id="12" w:name="_Toc404150647"/>
      <w:bookmarkStart w:id="13" w:name="_Toc496004089"/>
      <w:r>
        <w:rPr>
          <w:rStyle w:val="CharSectno"/>
        </w:rPr>
        <w:t>1</w:t>
      </w:r>
      <w:r>
        <w:t>.</w:t>
      </w:r>
      <w:r>
        <w:tab/>
        <w:t>Citation</w:t>
      </w:r>
      <w:bookmarkEnd w:id="11"/>
      <w:bookmarkEnd w:id="12"/>
      <w:bookmarkEnd w:id="13"/>
    </w:p>
    <w:p>
      <w:pPr>
        <w:pStyle w:val="Subsection"/>
        <w:rPr>
          <w:i/>
        </w:rPr>
      </w:pPr>
      <w:r>
        <w:tab/>
      </w:r>
      <w:r>
        <w:tab/>
      </w:r>
      <w:r>
        <w:rPr>
          <w:spacing w:val="-2"/>
        </w:rPr>
        <w:t>These regulations</w:t>
      </w:r>
      <w:r>
        <w:t xml:space="preserve"> may be cited as the </w:t>
      </w:r>
      <w:r>
        <w:rPr>
          <w:i/>
        </w:rPr>
        <w:t>Petroleum Products Pricing Regulations 2000</w:t>
      </w:r>
      <w:r>
        <w:rPr>
          <w:vertAlign w:val="superscript"/>
        </w:rPr>
        <w:t> 1</w:t>
      </w:r>
      <w:r>
        <w:t>.</w:t>
      </w:r>
    </w:p>
    <w:p>
      <w:pPr>
        <w:pStyle w:val="Heading5"/>
        <w:rPr>
          <w:spacing w:val="-2"/>
        </w:rPr>
      </w:pPr>
      <w:bookmarkStart w:id="14" w:name="_Toc501632239"/>
      <w:bookmarkStart w:id="15" w:name="_Toc404150648"/>
      <w:bookmarkStart w:id="16" w:name="_Toc496004090"/>
      <w:r>
        <w:rPr>
          <w:rStyle w:val="CharSectno"/>
        </w:rPr>
        <w:t>2</w:t>
      </w:r>
      <w:r>
        <w:rPr>
          <w:spacing w:val="-2"/>
        </w:rPr>
        <w:t>.</w:t>
      </w:r>
      <w:r>
        <w:rPr>
          <w:spacing w:val="-2"/>
        </w:rPr>
        <w:tab/>
        <w:t>Commencement</w:t>
      </w:r>
      <w:bookmarkEnd w:id="14"/>
      <w:bookmarkEnd w:id="15"/>
      <w:bookmarkEnd w:id="16"/>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vertAlign w:val="superscript"/>
        </w:rPr>
        <w:t> 1</w:t>
      </w:r>
      <w:r>
        <w:rPr>
          <w:spacing w:val="-2"/>
        </w:rPr>
        <w:t>.</w:t>
      </w:r>
    </w:p>
    <w:p>
      <w:pPr>
        <w:pStyle w:val="Heading5"/>
      </w:pPr>
      <w:bookmarkStart w:id="17" w:name="_Toc501632240"/>
      <w:bookmarkStart w:id="18" w:name="_Toc491182242"/>
      <w:bookmarkStart w:id="19" w:name="_Toc491253854"/>
      <w:bookmarkStart w:id="20" w:name="_Toc496004091"/>
      <w:bookmarkStart w:id="21" w:name="_Toc404150649"/>
      <w:bookmarkStart w:id="22" w:name="_Toc419375037"/>
      <w:bookmarkStart w:id="23" w:name="_Toc419375062"/>
      <w:bookmarkStart w:id="24" w:name="_Toc419453346"/>
      <w:bookmarkStart w:id="25" w:name="_Toc464729568"/>
      <w:r>
        <w:rPr>
          <w:rStyle w:val="CharSectno"/>
        </w:rPr>
        <w:t>2AA</w:t>
      </w:r>
      <w:r>
        <w:t>.</w:t>
      </w:r>
      <w:r>
        <w:tab/>
        <w:t>Terms used</w:t>
      </w:r>
      <w:bookmarkEnd w:id="17"/>
      <w:bookmarkEnd w:id="18"/>
      <w:bookmarkEnd w:id="19"/>
      <w:bookmarkEnd w:id="20"/>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in Gazette 17 Oct 2017 p. 5335.]</w:t>
      </w:r>
    </w:p>
    <w:p>
      <w:pPr>
        <w:pStyle w:val="Heading2"/>
      </w:pPr>
      <w:bookmarkStart w:id="26" w:name="_Toc501632241"/>
      <w:bookmarkStart w:id="27" w:name="_Toc495998195"/>
      <w:bookmarkStart w:id="28" w:name="_Toc495998503"/>
      <w:bookmarkStart w:id="29" w:name="_Toc496004092"/>
      <w:r>
        <w:rPr>
          <w:rStyle w:val="CharPartNo"/>
        </w:rPr>
        <w:t>Part 2</w:t>
      </w:r>
      <w:r>
        <w:t> — </w:t>
      </w:r>
      <w:r>
        <w:rPr>
          <w:rStyle w:val="CharPartText"/>
        </w:rPr>
        <w:t>Special provisions about motor fuel</w:t>
      </w:r>
      <w:bookmarkEnd w:id="26"/>
      <w:bookmarkEnd w:id="21"/>
      <w:bookmarkEnd w:id="22"/>
      <w:bookmarkEnd w:id="23"/>
      <w:bookmarkEnd w:id="24"/>
      <w:bookmarkEnd w:id="25"/>
      <w:bookmarkEnd w:id="27"/>
      <w:bookmarkEnd w:id="28"/>
      <w:bookmarkEnd w:id="29"/>
    </w:p>
    <w:p>
      <w:pPr>
        <w:pStyle w:val="Footnoteheading"/>
      </w:pPr>
      <w:r>
        <w:tab/>
        <w:t>[Heading inserted in Gazette 11 Jul 2001 p. 3459.]</w:t>
      </w:r>
    </w:p>
    <w:p>
      <w:pPr>
        <w:pStyle w:val="Heading3"/>
      </w:pPr>
      <w:bookmarkStart w:id="30" w:name="_Toc501632242"/>
      <w:bookmarkStart w:id="31" w:name="_Toc404150650"/>
      <w:bookmarkStart w:id="32" w:name="_Toc419375038"/>
      <w:bookmarkStart w:id="33" w:name="_Toc419375063"/>
      <w:bookmarkStart w:id="34" w:name="_Toc419453347"/>
      <w:bookmarkStart w:id="35" w:name="_Toc464729569"/>
      <w:bookmarkStart w:id="36" w:name="_Toc495998196"/>
      <w:bookmarkStart w:id="37" w:name="_Toc495998504"/>
      <w:bookmarkStart w:id="38" w:name="_Toc496004093"/>
      <w:r>
        <w:rPr>
          <w:rStyle w:val="CharDivNo"/>
        </w:rPr>
        <w:t>Division 1</w:t>
      </w:r>
      <w:r>
        <w:t> — </w:t>
      </w:r>
      <w:r>
        <w:rPr>
          <w:rStyle w:val="CharDivText"/>
        </w:rPr>
        <w:t>Retail sale</w:t>
      </w:r>
      <w:bookmarkEnd w:id="30"/>
      <w:bookmarkEnd w:id="31"/>
      <w:bookmarkEnd w:id="32"/>
      <w:bookmarkEnd w:id="33"/>
      <w:bookmarkEnd w:id="34"/>
      <w:bookmarkEnd w:id="35"/>
      <w:bookmarkEnd w:id="36"/>
      <w:bookmarkEnd w:id="37"/>
      <w:bookmarkEnd w:id="38"/>
    </w:p>
    <w:p>
      <w:pPr>
        <w:pStyle w:val="Footnoteheading"/>
      </w:pPr>
      <w:r>
        <w:tab/>
        <w:t>[Heading inserted in Gazette 11 Jul 2001 p. 3459.]</w:t>
      </w:r>
    </w:p>
    <w:p>
      <w:pPr>
        <w:pStyle w:val="Heading5"/>
      </w:pPr>
      <w:bookmarkStart w:id="39" w:name="_Toc501632243"/>
      <w:bookmarkStart w:id="40" w:name="_Toc404150651"/>
      <w:bookmarkStart w:id="41" w:name="_Toc496004094"/>
      <w:r>
        <w:rPr>
          <w:rStyle w:val="CharSectno"/>
        </w:rPr>
        <w:t>2A</w:t>
      </w:r>
      <w:r>
        <w:t>.</w:t>
      </w:r>
      <w:r>
        <w:tab/>
        <w:t>Terms used</w:t>
      </w:r>
      <w:bookmarkEnd w:id="39"/>
      <w:bookmarkEnd w:id="40"/>
      <w:bookmarkEnd w:id="41"/>
    </w:p>
    <w:p>
      <w:pPr>
        <w:pStyle w:val="Subsection"/>
      </w:pPr>
      <w:r>
        <w:tab/>
      </w:r>
      <w:r>
        <w:tab/>
        <w:t xml:space="preserve">In regulations 3 and 3A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 sale in accordance with an existing agreement or arrangement between the customer and the retailer.</w:t>
      </w:r>
    </w:p>
    <w:p>
      <w:pPr>
        <w:pStyle w:val="Footnotesection"/>
      </w:pPr>
      <w:r>
        <w:tab/>
        <w:t>[Regulation 2A inserted in Gazette 23 Aug 2001 p. 4379.]</w:t>
      </w:r>
    </w:p>
    <w:p>
      <w:pPr>
        <w:pStyle w:val="Heading5"/>
      </w:pPr>
      <w:bookmarkStart w:id="42" w:name="_Toc501632244"/>
      <w:bookmarkStart w:id="43" w:name="_Toc404150652"/>
      <w:bookmarkStart w:id="44" w:name="_Toc496004095"/>
      <w:r>
        <w:rPr>
          <w:rStyle w:val="CharSectno"/>
        </w:rPr>
        <w:t>3</w:t>
      </w:r>
      <w:r>
        <w:t>.</w:t>
      </w:r>
      <w:r>
        <w:tab/>
        <w:t>Standard retail price to be as notified</w:t>
      </w:r>
      <w:bookmarkEnd w:id="42"/>
      <w:bookmarkEnd w:id="43"/>
      <w:bookmarkEnd w:id="44"/>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in Gazette 23 Aug 2001 p. 4379; amended in Gazette 31 Dec 2001 p. 6764.]</w:t>
      </w:r>
    </w:p>
    <w:p>
      <w:pPr>
        <w:pStyle w:val="Heading5"/>
      </w:pPr>
      <w:bookmarkStart w:id="45" w:name="_Toc501632245"/>
      <w:bookmarkStart w:id="46" w:name="_Toc404150653"/>
      <w:bookmarkStart w:id="47" w:name="_Toc496004096"/>
      <w:r>
        <w:rPr>
          <w:rStyle w:val="CharSectno"/>
        </w:rPr>
        <w:t>3A</w:t>
      </w:r>
      <w:r>
        <w:t>.</w:t>
      </w:r>
      <w:r>
        <w:tab/>
        <w:t>Requirements for giving notification</w:t>
      </w:r>
      <w:bookmarkEnd w:id="45"/>
      <w:bookmarkEnd w:id="46"/>
      <w:bookmarkEnd w:id="47"/>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a message sent to fuelwatch@docep.wa.gov.au by email.</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in Gazette 23 Aug 2001 p. 4380; amended in Gazette 12 Aug 2008 p. 3535.]</w:t>
      </w:r>
    </w:p>
    <w:p>
      <w:pPr>
        <w:pStyle w:val="Heading5"/>
      </w:pPr>
      <w:bookmarkStart w:id="48" w:name="_Toc501632246"/>
      <w:bookmarkStart w:id="49" w:name="_Toc491182244"/>
      <w:bookmarkStart w:id="50" w:name="_Toc491253856"/>
      <w:bookmarkStart w:id="51" w:name="_Toc496004097"/>
      <w:bookmarkStart w:id="52" w:name="_Toc404150654"/>
      <w:r>
        <w:rPr>
          <w:rStyle w:val="CharSectno"/>
        </w:rPr>
        <w:t>4</w:t>
      </w:r>
      <w:r>
        <w:t>.</w:t>
      </w:r>
      <w:r>
        <w:tab/>
        <w:t>Price changes in certain places need not be notified</w:t>
      </w:r>
      <w:bookmarkEnd w:id="48"/>
      <w:bookmarkEnd w:id="49"/>
      <w:bookmarkEnd w:id="50"/>
      <w:bookmarkEnd w:id="51"/>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in Gazette 17 Oct 2017 p. 5336.]</w:t>
      </w:r>
    </w:p>
    <w:p>
      <w:pPr>
        <w:pStyle w:val="Heading5"/>
        <w:spacing w:before="180"/>
      </w:pPr>
      <w:bookmarkStart w:id="53" w:name="_Toc501632247"/>
      <w:bookmarkStart w:id="54" w:name="_Toc404150655"/>
      <w:bookmarkStart w:id="55" w:name="_Toc496004098"/>
      <w:bookmarkEnd w:id="52"/>
      <w:r>
        <w:rPr>
          <w:rStyle w:val="CharSectno"/>
        </w:rPr>
        <w:t>5</w:t>
      </w:r>
      <w:r>
        <w:t>.</w:t>
      </w:r>
      <w:r>
        <w:tab/>
        <w:t>Places where regulation 6 applies</w:t>
      </w:r>
      <w:bookmarkEnd w:id="53"/>
      <w:bookmarkEnd w:id="54"/>
      <w:bookmarkEnd w:id="55"/>
    </w:p>
    <w:p>
      <w:pPr>
        <w:pStyle w:val="Subsection"/>
        <w:spacing w:before="120"/>
      </w:pPr>
      <w:r>
        <w:tab/>
      </w:r>
      <w:r>
        <w:tab/>
        <w:t>Regulation 6 applies to a place that is in a local government district, locality or townsite listed in Schedule 1.</w:t>
      </w:r>
    </w:p>
    <w:p>
      <w:pPr>
        <w:pStyle w:val="Footnotesection"/>
      </w:pPr>
      <w:r>
        <w:tab/>
        <w:t>[Regulation 5 inserted in Gazette 16 Nov 2001 p. 5981; amended in Gazette 17 Oct 2017 p. 5336.]</w:t>
      </w:r>
    </w:p>
    <w:p>
      <w:pPr>
        <w:pStyle w:val="Heading5"/>
        <w:spacing w:before="180"/>
      </w:pPr>
      <w:bookmarkStart w:id="56" w:name="_Toc501632248"/>
      <w:bookmarkStart w:id="57" w:name="_Toc404150656"/>
      <w:bookmarkStart w:id="58" w:name="_Toc496004099"/>
      <w:r>
        <w:rPr>
          <w:rStyle w:val="CharSectno"/>
        </w:rPr>
        <w:t>6</w:t>
      </w:r>
      <w:r>
        <w:t>.</w:t>
      </w:r>
      <w:r>
        <w:tab/>
        <w:t>Retailer to display standard retail prices</w:t>
      </w:r>
      <w:bookmarkEnd w:id="56"/>
      <w:bookmarkEnd w:id="57"/>
      <w:bookmarkEnd w:id="58"/>
    </w:p>
    <w:p>
      <w:pPr>
        <w:pStyle w:val="Subsection"/>
        <w:spacing w:before="120"/>
      </w:pPr>
      <w:r>
        <w:tab/>
        <w:t>(1)</w:t>
      </w:r>
      <w:r>
        <w:tab/>
        <w:t>A person who offers motor fuel for standard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standard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standard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standard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Defstart"/>
        <w:keepNext/>
      </w:pPr>
      <w:r>
        <w:tab/>
      </w:r>
      <w:r>
        <w:rPr>
          <w:rStyle w:val="CharDefText"/>
        </w:rPr>
        <w:t>standard retail sale</w:t>
      </w:r>
      <w:r>
        <w:t xml:space="preserve"> means retail sale not subject to an existing agreement or arrangement between the customer and the retailer.</w:t>
      </w:r>
    </w:p>
    <w:p>
      <w:pPr>
        <w:pStyle w:val="Footnotesection"/>
        <w:ind w:left="890" w:hanging="890"/>
      </w:pPr>
      <w:r>
        <w:tab/>
        <w:t>[Regulation 6 inserted in Gazette 11 Jul 2001 p. 3460</w:t>
      </w:r>
      <w:r>
        <w:noBreakHyphen/>
        <w:t>1; amended in Gazette 16 Nov 2001 p. 5981; 31 Dec 2001 p. 6764</w:t>
      </w:r>
      <w:r>
        <w:noBreakHyphen/>
        <w:t>5; 9 Dec 2005 p. 5875</w:t>
      </w:r>
      <w:r>
        <w:noBreakHyphen/>
        <w:t>6.]</w:t>
      </w:r>
    </w:p>
    <w:p>
      <w:pPr>
        <w:pStyle w:val="Heading3"/>
      </w:pPr>
      <w:bookmarkStart w:id="59" w:name="_Toc501632249"/>
      <w:bookmarkStart w:id="60" w:name="_Toc404150657"/>
      <w:bookmarkStart w:id="61" w:name="_Toc419375045"/>
      <w:bookmarkStart w:id="62" w:name="_Toc419375070"/>
      <w:bookmarkStart w:id="63" w:name="_Toc419453354"/>
      <w:bookmarkStart w:id="64" w:name="_Toc464729576"/>
      <w:bookmarkStart w:id="65" w:name="_Toc495998203"/>
      <w:bookmarkStart w:id="66" w:name="_Toc495998511"/>
      <w:bookmarkStart w:id="67" w:name="_Toc496004100"/>
      <w:r>
        <w:rPr>
          <w:rStyle w:val="CharDivNo"/>
        </w:rPr>
        <w:t>Division 2</w:t>
      </w:r>
      <w:r>
        <w:t> — </w:t>
      </w:r>
      <w:r>
        <w:rPr>
          <w:rStyle w:val="CharDivText"/>
        </w:rPr>
        <w:t>Before retail sale</w:t>
      </w:r>
      <w:bookmarkEnd w:id="59"/>
      <w:bookmarkEnd w:id="60"/>
      <w:bookmarkEnd w:id="61"/>
      <w:bookmarkEnd w:id="62"/>
      <w:bookmarkEnd w:id="63"/>
      <w:bookmarkEnd w:id="64"/>
      <w:bookmarkEnd w:id="65"/>
      <w:bookmarkEnd w:id="66"/>
      <w:bookmarkEnd w:id="67"/>
    </w:p>
    <w:p>
      <w:pPr>
        <w:pStyle w:val="Footnoteheading"/>
      </w:pPr>
      <w:r>
        <w:tab/>
        <w:t>[Heading inserted in Gazette 11 Jul 2001 p. 3461.]</w:t>
      </w:r>
    </w:p>
    <w:p>
      <w:pPr>
        <w:pStyle w:val="Heading5"/>
      </w:pPr>
      <w:bookmarkStart w:id="68" w:name="_Toc501632250"/>
      <w:bookmarkStart w:id="69" w:name="_Toc404150658"/>
      <w:bookmarkStart w:id="70" w:name="_Toc496004101"/>
      <w:r>
        <w:rPr>
          <w:rStyle w:val="CharSectno"/>
        </w:rPr>
        <w:t>7</w:t>
      </w:r>
      <w:r>
        <w:t>.</w:t>
      </w:r>
      <w:r>
        <w:tab/>
        <w:t>How to notify Commissioner of price changes</w:t>
      </w:r>
      <w:bookmarkEnd w:id="68"/>
      <w:bookmarkEnd w:id="69"/>
      <w:bookmarkEnd w:id="70"/>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in Gazette 11 Jul 2001 p. 3461; amended in Gazette 18 Nov 2014 p. 4323.]</w:t>
      </w:r>
    </w:p>
    <w:p>
      <w:pPr>
        <w:pStyle w:val="Ednotesection"/>
      </w:pPr>
      <w:r>
        <w:t>[</w:t>
      </w:r>
      <w:r>
        <w:rPr>
          <w:b/>
        </w:rPr>
        <w:t>8.</w:t>
      </w:r>
      <w:r>
        <w:tab/>
        <w:t>Deleted in Gazette 18 Nov 2014 p. 4323.]</w:t>
      </w:r>
    </w:p>
    <w:p>
      <w:pPr>
        <w:pStyle w:val="Heading5"/>
        <w:spacing w:before="240"/>
      </w:pPr>
      <w:bookmarkStart w:id="71" w:name="_Toc501632251"/>
      <w:bookmarkStart w:id="72" w:name="_Toc404150659"/>
      <w:bookmarkStart w:id="73" w:name="_Toc496004102"/>
      <w:r>
        <w:rPr>
          <w:rStyle w:val="CharSectno"/>
        </w:rPr>
        <w:t>9</w:t>
      </w:r>
      <w:r>
        <w:t>.</w:t>
      </w:r>
      <w:r>
        <w:tab/>
        <w:t>Details of price differences</w:t>
      </w:r>
      <w:bookmarkEnd w:id="71"/>
      <w:bookmarkEnd w:id="72"/>
      <w:bookmarkEnd w:id="73"/>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in Gazette 11 Jul 2001 p. 3461</w:t>
      </w:r>
      <w:r>
        <w:noBreakHyphen/>
        <w:t>2; amended in Gazette 18 Nov 2014 p. 4323.]</w:t>
      </w:r>
    </w:p>
    <w:p>
      <w:pPr>
        <w:pStyle w:val="Heading5"/>
        <w:spacing w:before="240"/>
      </w:pPr>
      <w:bookmarkStart w:id="74" w:name="_Toc501632252"/>
      <w:bookmarkStart w:id="75" w:name="_Toc404150660"/>
      <w:bookmarkStart w:id="76" w:name="_Toc496004103"/>
      <w:r>
        <w:rPr>
          <w:rStyle w:val="CharSectno"/>
        </w:rPr>
        <w:t>10</w:t>
      </w:r>
      <w:r>
        <w:t>.</w:t>
      </w:r>
      <w:r>
        <w:tab/>
        <w:t>Notifying Commissioner of price differences</w:t>
      </w:r>
      <w:bookmarkEnd w:id="74"/>
      <w:bookmarkEnd w:id="75"/>
      <w:bookmarkEnd w:id="76"/>
    </w:p>
    <w:p>
      <w:pPr>
        <w:pStyle w:val="Subsection"/>
        <w:spacing w:before="180"/>
      </w:pPr>
      <w:r>
        <w:tab/>
        <w:t>(1)</w:t>
      </w:r>
      <w:r>
        <w:tab/>
        <w:t>Details that section 22E(4) of the Act requires a supplier to give to the Commissioner are to be given by directly uploading those details using the Commissioner’s Fuel Watch website at the address www.fuelwatch.wa.gov.au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in Gazette 11 Jul 2001 p. 3462.]</w:t>
      </w:r>
    </w:p>
    <w:p>
      <w:pPr>
        <w:pStyle w:val="Heading2"/>
      </w:pPr>
      <w:bookmarkStart w:id="77" w:name="_Toc501632253"/>
      <w:bookmarkStart w:id="78" w:name="_Toc404150661"/>
      <w:bookmarkStart w:id="79" w:name="_Toc419375049"/>
      <w:bookmarkStart w:id="80" w:name="_Toc419375074"/>
      <w:bookmarkStart w:id="81" w:name="_Toc419453358"/>
      <w:bookmarkStart w:id="82" w:name="_Toc464729580"/>
      <w:bookmarkStart w:id="83" w:name="_Toc495998207"/>
      <w:bookmarkStart w:id="84" w:name="_Toc495998515"/>
      <w:bookmarkStart w:id="85" w:name="_Toc496004104"/>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77"/>
      <w:bookmarkEnd w:id="78"/>
      <w:bookmarkEnd w:id="79"/>
      <w:bookmarkEnd w:id="80"/>
      <w:bookmarkEnd w:id="81"/>
      <w:bookmarkEnd w:id="82"/>
      <w:bookmarkEnd w:id="83"/>
      <w:bookmarkEnd w:id="84"/>
      <w:bookmarkEnd w:id="85"/>
    </w:p>
    <w:p>
      <w:pPr>
        <w:pStyle w:val="Footnoteheading"/>
      </w:pPr>
      <w:r>
        <w:tab/>
        <w:t>[Heading inserted in Gazette 9 Nov 2001 p. 5925.]</w:t>
      </w:r>
    </w:p>
    <w:p>
      <w:pPr>
        <w:pStyle w:val="Heading5"/>
      </w:pPr>
      <w:bookmarkStart w:id="86" w:name="_Toc501632254"/>
      <w:bookmarkStart w:id="87" w:name="_Toc404150662"/>
      <w:bookmarkStart w:id="88" w:name="_Toc496004105"/>
      <w:r>
        <w:rPr>
          <w:rStyle w:val="CharSectno"/>
        </w:rPr>
        <w:t>11</w:t>
      </w:r>
      <w:r>
        <w:t>.</w:t>
      </w:r>
      <w:r>
        <w:tab/>
        <w:t>Prescribed offences (s. 31B)</w:t>
      </w:r>
      <w:bookmarkEnd w:id="86"/>
      <w:bookmarkEnd w:id="87"/>
      <w:bookmarkEnd w:id="88"/>
    </w:p>
    <w:p>
      <w:pPr>
        <w:pStyle w:val="Subsection"/>
      </w:pPr>
      <w:r>
        <w:tab/>
      </w:r>
      <w:r>
        <w:tab/>
        <w:t>The offences specified in Schedule 2 are the offences for which an infringement notice may be given under section 31B of the Act.</w:t>
      </w:r>
    </w:p>
    <w:p>
      <w:pPr>
        <w:pStyle w:val="Footnotesection"/>
      </w:pPr>
      <w:r>
        <w:tab/>
        <w:t>[Regulation 11 inserted in Gazette 9 Nov 2001 p. 5925.]</w:t>
      </w:r>
    </w:p>
    <w:p>
      <w:pPr>
        <w:pStyle w:val="Heading5"/>
      </w:pPr>
      <w:bookmarkStart w:id="89" w:name="_Toc501632255"/>
      <w:bookmarkStart w:id="90" w:name="_Toc404150663"/>
      <w:bookmarkStart w:id="91" w:name="_Toc496004106"/>
      <w:r>
        <w:rPr>
          <w:rStyle w:val="CharSectno"/>
        </w:rPr>
        <w:t>12</w:t>
      </w:r>
      <w:r>
        <w:t>.</w:t>
      </w:r>
      <w:r>
        <w:tab/>
        <w:t>Prescribed modified penalties (s. 31C)</w:t>
      </w:r>
      <w:bookmarkEnd w:id="89"/>
      <w:bookmarkEnd w:id="90"/>
      <w:bookmarkEnd w:id="91"/>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in Gazette 9 Nov 2001 p. 5925.]</w:t>
      </w:r>
    </w:p>
    <w:p>
      <w:pPr>
        <w:pStyle w:val="Heading5"/>
      </w:pPr>
      <w:bookmarkStart w:id="92" w:name="_Toc501632256"/>
      <w:bookmarkStart w:id="93" w:name="_Toc404150664"/>
      <w:bookmarkStart w:id="94" w:name="_Toc496004107"/>
      <w:r>
        <w:rPr>
          <w:rStyle w:val="CharSectno"/>
        </w:rPr>
        <w:t>13</w:t>
      </w:r>
      <w:r>
        <w:t>.</w:t>
      </w:r>
      <w:r>
        <w:tab/>
        <w:t>Prescribed form of infringement notice (s. 31C)</w:t>
      </w:r>
      <w:bookmarkEnd w:id="92"/>
      <w:bookmarkEnd w:id="93"/>
      <w:bookmarkEnd w:id="94"/>
    </w:p>
    <w:p>
      <w:pPr>
        <w:pStyle w:val="Subsection"/>
      </w:pPr>
      <w:r>
        <w:tab/>
      </w:r>
      <w:r>
        <w:tab/>
        <w:t>The form of an infringement notice is set out in Schedule 3 Form 1 for the purposes of section 31C(1) of the Act.</w:t>
      </w:r>
    </w:p>
    <w:p>
      <w:pPr>
        <w:pStyle w:val="Footnotesection"/>
      </w:pPr>
      <w:r>
        <w:tab/>
        <w:t>[Regulation 13 inserted in Gazette 9 Nov 2001 p. 5926.]</w:t>
      </w:r>
    </w:p>
    <w:p>
      <w:pPr>
        <w:pStyle w:val="Heading5"/>
      </w:pPr>
      <w:bookmarkStart w:id="95" w:name="_Toc501632257"/>
      <w:bookmarkStart w:id="96" w:name="_Toc404150665"/>
      <w:bookmarkStart w:id="97" w:name="_Toc496004108"/>
      <w:r>
        <w:rPr>
          <w:rStyle w:val="CharSectno"/>
        </w:rPr>
        <w:t>14</w:t>
      </w:r>
      <w:r>
        <w:t>.</w:t>
      </w:r>
      <w:r>
        <w:tab/>
        <w:t>Prescribed form of withdrawal of notice (s. 31E)</w:t>
      </w:r>
      <w:bookmarkEnd w:id="95"/>
      <w:bookmarkEnd w:id="96"/>
      <w:bookmarkEnd w:id="97"/>
    </w:p>
    <w:p>
      <w:pPr>
        <w:pStyle w:val="Subsection"/>
      </w:pPr>
      <w:r>
        <w:tab/>
      </w:r>
      <w:r>
        <w:tab/>
        <w:t>The form of a notice to withdraw an infringement notice is set out in Schedule 3 Form 2 for the purposes of section 31E(1) of the Act.</w:t>
      </w:r>
    </w:p>
    <w:p>
      <w:pPr>
        <w:pStyle w:val="Footnotesection"/>
      </w:pPr>
      <w:r>
        <w:tab/>
        <w:t>[Regulation 14 inserted in Gazette 9 Nov 2001 p. 5926.]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98" w:name="_Toc501632258"/>
      <w:bookmarkStart w:id="99" w:name="_Toc404150666"/>
      <w:bookmarkStart w:id="100" w:name="_Toc419375054"/>
      <w:bookmarkStart w:id="101" w:name="_Toc419375079"/>
      <w:bookmarkStart w:id="102" w:name="_Toc419453363"/>
      <w:bookmarkStart w:id="103" w:name="_Toc464729585"/>
      <w:bookmarkStart w:id="104" w:name="_Toc495998212"/>
      <w:bookmarkStart w:id="105" w:name="_Toc495998520"/>
      <w:bookmarkStart w:id="106" w:name="_Toc496004109"/>
      <w:r>
        <w:rPr>
          <w:rStyle w:val="CharSchNo"/>
        </w:rPr>
        <w:t>Schedule 1</w:t>
      </w:r>
      <w:r>
        <w:t> — </w:t>
      </w:r>
      <w:r>
        <w:rPr>
          <w:rStyle w:val="CharSchText"/>
        </w:rPr>
        <w:t>Places where regulations 3(1) and 6 apply</w:t>
      </w:r>
      <w:bookmarkEnd w:id="98"/>
      <w:bookmarkEnd w:id="99"/>
      <w:bookmarkEnd w:id="100"/>
      <w:bookmarkEnd w:id="101"/>
      <w:bookmarkEnd w:id="102"/>
      <w:bookmarkEnd w:id="103"/>
      <w:bookmarkEnd w:id="104"/>
      <w:bookmarkEnd w:id="105"/>
      <w:bookmarkEnd w:id="106"/>
    </w:p>
    <w:p>
      <w:pPr>
        <w:pStyle w:val="yShoulderClause"/>
      </w:pPr>
      <w:r>
        <w:tab/>
      </w:r>
      <w:r>
        <w:tab/>
        <w:t>[r. 4(b), 5]</w:t>
      </w:r>
    </w:p>
    <w:p>
      <w:pPr>
        <w:pStyle w:val="yFootnotesection"/>
      </w:pPr>
      <w:r>
        <w:tab/>
        <w:t>[Heading inserted in Gazette 13 May 2003 p. 1665; amended in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Donnybrook</w:t>
            </w:r>
            <w:r>
              <w:noBreakHyphen/>
              <w:t>Balingup</w:t>
            </w:r>
          </w:p>
        </w:tc>
      </w:tr>
      <w:tr>
        <w:trPr>
          <w:cantSplit/>
          <w:trHeight w:val="276"/>
        </w:trPr>
        <w:tc>
          <w:tcPr>
            <w:tcW w:w="2552" w:type="dxa"/>
          </w:tcPr>
          <w:p>
            <w:pPr>
              <w:pStyle w:val="yTableNAm"/>
            </w:pPr>
            <w:r>
              <w:t>Augusta</w:t>
            </w:r>
            <w:r>
              <w:noBreakHyphen/>
              <w:t>Margaret River</w:t>
            </w:r>
          </w:p>
        </w:tc>
        <w:tc>
          <w:tcPr>
            <w:tcW w:w="2410" w:type="dxa"/>
          </w:tcPr>
          <w:p>
            <w:pPr>
              <w:pStyle w:val="yTableNAm"/>
            </w:pPr>
            <w:r>
              <w:t>Greater Geraldton</w:t>
            </w:r>
          </w:p>
        </w:tc>
      </w:tr>
      <w:tr>
        <w:trPr>
          <w:cantSplit/>
          <w:trHeight w:val="276"/>
        </w:trPr>
        <w:tc>
          <w:tcPr>
            <w:tcW w:w="2552" w:type="dxa"/>
          </w:tcPr>
          <w:p>
            <w:pPr>
              <w:pStyle w:val="yTableNAm"/>
            </w:pPr>
            <w:r>
              <w:t>Bridgetown</w:t>
            </w:r>
            <w:r>
              <w:noBreakHyphen/>
              <w:t>Greenbushes</w:t>
            </w:r>
          </w:p>
        </w:tc>
        <w:tc>
          <w:tcPr>
            <w:tcW w:w="2410" w:type="dxa"/>
          </w:tcPr>
          <w:p>
            <w:pPr>
              <w:pStyle w:val="yTableNAm"/>
            </w:pPr>
            <w:r>
              <w:t>Harvey</w:t>
            </w:r>
          </w:p>
        </w:tc>
      </w:tr>
      <w:tr>
        <w:trPr>
          <w:cantSplit/>
          <w:trHeight w:val="276"/>
        </w:trPr>
        <w:tc>
          <w:tcPr>
            <w:tcW w:w="2552" w:type="dxa"/>
          </w:tcPr>
          <w:p>
            <w:pPr>
              <w:pStyle w:val="yTableNAm"/>
            </w:pPr>
            <w:r>
              <w:t>Bunbury</w:t>
            </w:r>
          </w:p>
        </w:tc>
        <w:tc>
          <w:tcPr>
            <w:tcW w:w="2410" w:type="dxa"/>
          </w:tcPr>
          <w:p>
            <w:pPr>
              <w:pStyle w:val="yTableNAm"/>
            </w:pPr>
            <w:r>
              <w:t>Mandurah</w:t>
            </w:r>
          </w:p>
        </w:tc>
      </w:tr>
      <w:tr>
        <w:trPr>
          <w:cantSplit/>
          <w:trHeight w:val="276"/>
        </w:trPr>
        <w:tc>
          <w:tcPr>
            <w:tcW w:w="2552" w:type="dxa"/>
          </w:tcPr>
          <w:p>
            <w:pPr>
              <w:pStyle w:val="yTableNAm"/>
            </w:pPr>
            <w:r>
              <w:t>Busselton</w:t>
            </w:r>
          </w:p>
        </w:tc>
        <w:tc>
          <w:tcPr>
            <w:tcW w:w="2410" w:type="dxa"/>
          </w:tcPr>
          <w:p>
            <w:pPr>
              <w:pStyle w:val="yTableNAm"/>
            </w:pPr>
            <w:r>
              <w:t>Manjimup</w:t>
            </w:r>
          </w:p>
        </w:tc>
      </w:tr>
      <w:tr>
        <w:trPr>
          <w:cantSplit/>
          <w:trHeight w:val="276"/>
        </w:trPr>
        <w:tc>
          <w:tcPr>
            <w:tcW w:w="2552" w:type="dxa"/>
          </w:tcPr>
          <w:p>
            <w:pPr>
              <w:pStyle w:val="yTableNAm"/>
            </w:pPr>
            <w:r>
              <w:t>Capel</w:t>
            </w:r>
          </w:p>
        </w:tc>
        <w:tc>
          <w:tcPr>
            <w:tcW w:w="2410" w:type="dxa"/>
          </w:tcPr>
          <w:p>
            <w:pPr>
              <w:pStyle w:val="yTableNAm"/>
            </w:pPr>
            <w:r>
              <w:t>Murray</w:t>
            </w:r>
          </w:p>
        </w:tc>
      </w:tr>
      <w:tr>
        <w:trPr>
          <w:cantSplit/>
          <w:trHeight w:val="276"/>
        </w:trPr>
        <w:tc>
          <w:tcPr>
            <w:tcW w:w="2552" w:type="dxa"/>
          </w:tcPr>
          <w:p>
            <w:pPr>
              <w:pStyle w:val="yTableNAm"/>
            </w:pPr>
            <w:r>
              <w:t>Dardanup</w:t>
            </w:r>
          </w:p>
        </w:tc>
        <w:tc>
          <w:tcPr>
            <w:tcW w:w="2410" w:type="dxa"/>
          </w:tcPr>
          <w:p>
            <w:pPr>
              <w:pStyle w:val="yTableNAm"/>
            </w:pPr>
            <w:r>
              <w:t>Waroona</w:t>
            </w: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del w:id="107" w:author="Master Repository Process" w:date="2021-09-11T17:50:00Z">
              <w:r>
                <w:delText>Greys Plain</w:delText>
              </w:r>
            </w:del>
            <w:ins w:id="108" w:author="Master Repository Process" w:date="2021-09-11T17:50:00Z">
              <w:r>
                <w:t>Kambalda East</w:t>
              </w:r>
            </w:ins>
          </w:p>
        </w:tc>
      </w:tr>
      <w:tr>
        <w:trPr>
          <w:cantSplit/>
          <w:trHeight w:val="276"/>
        </w:trPr>
        <w:tc>
          <w:tcPr>
            <w:tcW w:w="2552" w:type="dxa"/>
          </w:tcPr>
          <w:p>
            <w:pPr>
              <w:pStyle w:val="yTableNAm"/>
            </w:pPr>
            <w:r>
              <w:t>Capricorn</w:t>
            </w:r>
          </w:p>
        </w:tc>
        <w:tc>
          <w:tcPr>
            <w:tcW w:w="2410" w:type="dxa"/>
          </w:tcPr>
          <w:p>
            <w:pPr>
              <w:pStyle w:val="yTableNAm"/>
            </w:pPr>
            <w:r>
              <w:t xml:space="preserve">Kambalda </w:t>
            </w:r>
            <w:del w:id="109" w:author="Master Repository Process" w:date="2021-09-11T17:50:00Z">
              <w:r>
                <w:delText>East</w:delText>
              </w:r>
            </w:del>
            <w:ins w:id="110" w:author="Master Repository Process" w:date="2021-09-11T17:50:00Z">
              <w:r>
                <w:t>West</w:t>
              </w:r>
            </w:ins>
          </w:p>
        </w:tc>
      </w:tr>
      <w:tr>
        <w:trPr>
          <w:cantSplit/>
          <w:trHeight w:val="276"/>
        </w:trPr>
        <w:tc>
          <w:tcPr>
            <w:tcW w:w="2552" w:type="dxa"/>
          </w:tcPr>
          <w:p>
            <w:pPr>
              <w:pStyle w:val="yTableNAm"/>
            </w:pPr>
            <w:r>
              <w:t>Cataby</w:t>
            </w:r>
          </w:p>
        </w:tc>
        <w:tc>
          <w:tcPr>
            <w:tcW w:w="2410" w:type="dxa"/>
          </w:tcPr>
          <w:p>
            <w:pPr>
              <w:pStyle w:val="yTableNAm"/>
            </w:pPr>
            <w:del w:id="111" w:author="Master Repository Process" w:date="2021-09-11T17:50:00Z">
              <w:r>
                <w:delText>Kambalda West</w:delText>
              </w:r>
            </w:del>
            <w:ins w:id="112" w:author="Master Repository Process" w:date="2021-09-11T17:50:00Z">
              <w:r>
                <w:t>Kingsford</w:t>
              </w:r>
            </w:ins>
          </w:p>
        </w:tc>
      </w:tr>
      <w:tr>
        <w:trPr>
          <w:cantSplit/>
          <w:trHeight w:val="276"/>
        </w:trPr>
        <w:tc>
          <w:tcPr>
            <w:tcW w:w="2552" w:type="dxa"/>
          </w:tcPr>
          <w:p>
            <w:pPr>
              <w:pStyle w:val="yTableNAm"/>
            </w:pPr>
            <w:r>
              <w:t>Dongara</w:t>
            </w:r>
          </w:p>
        </w:tc>
        <w:tc>
          <w:tcPr>
            <w:tcW w:w="2410" w:type="dxa"/>
          </w:tcPr>
          <w:p>
            <w:pPr>
              <w:pStyle w:val="yTableNAm"/>
            </w:pPr>
            <w:del w:id="113" w:author="Master Repository Process" w:date="2021-09-11T17:50:00Z">
              <w:r>
                <w:delText>Kingsford</w:delText>
              </w:r>
            </w:del>
            <w:ins w:id="114" w:author="Master Repository Process" w:date="2021-09-11T17:50:00Z">
              <w:r>
                <w:t>Port Denison</w:t>
              </w:r>
            </w:ins>
          </w:p>
        </w:tc>
      </w:tr>
      <w:tr>
        <w:trPr>
          <w:cantSplit/>
          <w:trHeight w:val="276"/>
        </w:trPr>
        <w:tc>
          <w:tcPr>
            <w:tcW w:w="2552" w:type="dxa"/>
          </w:tcPr>
          <w:p>
            <w:pPr>
              <w:pStyle w:val="yTableNAm"/>
            </w:pPr>
            <w:r>
              <w:t>Fitzroy Crossing</w:t>
            </w:r>
          </w:p>
        </w:tc>
        <w:tc>
          <w:tcPr>
            <w:tcW w:w="2410" w:type="dxa"/>
          </w:tcPr>
          <w:p>
            <w:pPr>
              <w:pStyle w:val="yTableNAm"/>
              <w:rPr>
                <w:b/>
              </w:rPr>
            </w:pPr>
            <w:del w:id="115" w:author="Master Repository Process" w:date="2021-09-11T17:50:00Z">
              <w:r>
                <w:delText>Port Denison</w:delText>
              </w:r>
            </w:del>
            <w:ins w:id="116" w:author="Master Repository Process" w:date="2021-09-11T17:50:00Z">
              <w:r>
                <w:t>Wundowie</w:t>
              </w:r>
            </w:ins>
          </w:p>
        </w:tc>
      </w:tr>
      <w:tr>
        <w:trPr>
          <w:cantSplit/>
          <w:trHeight w:val="276"/>
        </w:trPr>
        <w:tc>
          <w:tcPr>
            <w:tcW w:w="2552" w:type="dxa"/>
          </w:tcPr>
          <w:p>
            <w:pPr>
              <w:pStyle w:val="yTableNAm"/>
            </w:pPr>
            <w:r>
              <w:t>Gap Ridge</w:t>
            </w:r>
          </w:p>
        </w:tc>
        <w:tc>
          <w:tcPr>
            <w:tcW w:w="2410" w:type="dxa"/>
          </w:tcPr>
          <w:p>
            <w:pPr>
              <w:pStyle w:val="yTableNAm"/>
            </w:pPr>
            <w:r>
              <w:t>Yilkari</w:t>
            </w:r>
          </w:p>
        </w:tc>
      </w:tr>
      <w:tr>
        <w:trPr>
          <w:cantSplit/>
          <w:trHeight w:val="276"/>
          <w:ins w:id="117" w:author="Master Repository Process" w:date="2021-09-11T17:50:00Z"/>
        </w:trPr>
        <w:tc>
          <w:tcPr>
            <w:tcW w:w="2552" w:type="dxa"/>
          </w:tcPr>
          <w:p>
            <w:pPr>
              <w:pStyle w:val="yTableNAm"/>
              <w:rPr>
                <w:ins w:id="118" w:author="Master Repository Process" w:date="2021-09-11T17:50:00Z"/>
              </w:rPr>
            </w:pPr>
            <w:ins w:id="119" w:author="Master Repository Process" w:date="2021-09-11T17:50:00Z">
              <w:r>
                <w:t>Greys Plain</w:t>
              </w:r>
            </w:ins>
          </w:p>
        </w:tc>
        <w:tc>
          <w:tcPr>
            <w:tcW w:w="2410" w:type="dxa"/>
          </w:tcPr>
          <w:p>
            <w:pPr>
              <w:pStyle w:val="yTableNAm"/>
              <w:rPr>
                <w:ins w:id="120" w:author="Master Repository Process" w:date="2021-09-11T17:50:00Z"/>
              </w:rPr>
            </w:pP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Kojonup</w:t>
            </w:r>
          </w:p>
        </w:tc>
      </w:tr>
      <w:tr>
        <w:trPr>
          <w:cantSplit/>
          <w:trHeight w:val="276"/>
        </w:trPr>
        <w:tc>
          <w:tcPr>
            <w:tcW w:w="2552" w:type="dxa"/>
          </w:tcPr>
          <w:p>
            <w:pPr>
              <w:pStyle w:val="yTableNAm"/>
            </w:pPr>
            <w:r>
              <w:t>Broome</w:t>
            </w:r>
          </w:p>
        </w:tc>
        <w:tc>
          <w:tcPr>
            <w:tcW w:w="2410" w:type="dxa"/>
          </w:tcPr>
          <w:p>
            <w:pPr>
              <w:pStyle w:val="yTableNAm"/>
            </w:pPr>
            <w:r>
              <w:t>Kununurra</w:t>
            </w:r>
          </w:p>
        </w:tc>
      </w:tr>
      <w:tr>
        <w:trPr>
          <w:cantSplit/>
          <w:trHeight w:val="276"/>
        </w:trPr>
        <w:tc>
          <w:tcPr>
            <w:tcW w:w="2552" w:type="dxa"/>
          </w:tcPr>
          <w:p>
            <w:pPr>
              <w:pStyle w:val="yTableNAm"/>
            </w:pPr>
            <w:r>
              <w:t>Carnarvon</w:t>
            </w:r>
          </w:p>
        </w:tc>
        <w:tc>
          <w:tcPr>
            <w:tcW w:w="2410" w:type="dxa"/>
          </w:tcPr>
          <w:p>
            <w:pPr>
              <w:pStyle w:val="yTableNAm"/>
            </w:pPr>
            <w:r>
              <w:t>Meckering</w:t>
            </w:r>
          </w:p>
        </w:tc>
      </w:tr>
      <w:tr>
        <w:trPr>
          <w:cantSplit/>
          <w:trHeight w:val="276"/>
        </w:trPr>
        <w:tc>
          <w:tcPr>
            <w:tcW w:w="2552" w:type="dxa"/>
          </w:tcPr>
          <w:p>
            <w:pPr>
              <w:pStyle w:val="yTableNAm"/>
            </w:pPr>
            <w:r>
              <w:t>Collie</w:t>
            </w:r>
          </w:p>
        </w:tc>
        <w:tc>
          <w:tcPr>
            <w:tcW w:w="2410" w:type="dxa"/>
          </w:tcPr>
          <w:p>
            <w:pPr>
              <w:pStyle w:val="yTableNAm"/>
            </w:pPr>
            <w:r>
              <w:t>Meekatharra</w:t>
            </w:r>
          </w:p>
        </w:tc>
      </w:tr>
      <w:tr>
        <w:trPr>
          <w:cantSplit/>
          <w:trHeight w:val="276"/>
        </w:trPr>
        <w:tc>
          <w:tcPr>
            <w:tcW w:w="2552" w:type="dxa"/>
          </w:tcPr>
          <w:p>
            <w:pPr>
              <w:pStyle w:val="yTableNAm"/>
            </w:pPr>
            <w:r>
              <w:t>Coolgardie</w:t>
            </w:r>
          </w:p>
        </w:tc>
        <w:tc>
          <w:tcPr>
            <w:tcW w:w="2410" w:type="dxa"/>
          </w:tcPr>
          <w:p>
            <w:pPr>
              <w:pStyle w:val="yTableNAm"/>
            </w:pPr>
            <w:r>
              <w:t>Moora</w:t>
            </w:r>
          </w:p>
        </w:tc>
      </w:tr>
      <w:tr>
        <w:trPr>
          <w:cantSplit/>
          <w:trHeight w:val="276"/>
        </w:trPr>
        <w:tc>
          <w:tcPr>
            <w:tcW w:w="2552" w:type="dxa"/>
          </w:tcPr>
          <w:p>
            <w:pPr>
              <w:pStyle w:val="yTableNAm"/>
            </w:pPr>
            <w:r>
              <w:t>Cunderdin</w:t>
            </w:r>
          </w:p>
        </w:tc>
        <w:tc>
          <w:tcPr>
            <w:tcW w:w="2410" w:type="dxa"/>
          </w:tcPr>
          <w:p>
            <w:pPr>
              <w:pStyle w:val="yTableNAm"/>
            </w:pPr>
            <w:r>
              <w:t>Mt Barker</w:t>
            </w:r>
          </w:p>
        </w:tc>
      </w:tr>
      <w:tr>
        <w:trPr>
          <w:cantSplit/>
          <w:trHeight w:val="276"/>
        </w:trPr>
        <w:tc>
          <w:tcPr>
            <w:tcW w:w="2552" w:type="dxa"/>
          </w:tcPr>
          <w:p>
            <w:pPr>
              <w:pStyle w:val="yTableNAm"/>
            </w:pPr>
            <w:r>
              <w:t>Dalwallinu</w:t>
            </w:r>
          </w:p>
        </w:tc>
        <w:tc>
          <w:tcPr>
            <w:tcW w:w="2410" w:type="dxa"/>
          </w:tcPr>
          <w:p>
            <w:pPr>
              <w:pStyle w:val="yTableNAm"/>
            </w:pPr>
            <w:r>
              <w:t>Narrogin</w:t>
            </w:r>
          </w:p>
        </w:tc>
      </w:tr>
      <w:tr>
        <w:trPr>
          <w:cantSplit/>
          <w:trHeight w:val="276"/>
        </w:trPr>
        <w:tc>
          <w:tcPr>
            <w:tcW w:w="2552" w:type="dxa"/>
          </w:tcPr>
          <w:p>
            <w:pPr>
              <w:pStyle w:val="yTableNAm"/>
            </w:pPr>
            <w:r>
              <w:t>Dampier</w:t>
            </w:r>
          </w:p>
        </w:tc>
        <w:tc>
          <w:tcPr>
            <w:tcW w:w="2410" w:type="dxa"/>
          </w:tcPr>
          <w:p>
            <w:pPr>
              <w:pStyle w:val="yTableNAm"/>
            </w:pPr>
            <w:r>
              <w:t>Newman</w:t>
            </w:r>
          </w:p>
        </w:tc>
      </w:tr>
      <w:tr>
        <w:trPr>
          <w:cantSplit/>
          <w:trHeight w:val="276"/>
        </w:trPr>
        <w:tc>
          <w:tcPr>
            <w:tcW w:w="2552" w:type="dxa"/>
          </w:tcPr>
          <w:p>
            <w:pPr>
              <w:pStyle w:val="yTableNAm"/>
            </w:pPr>
            <w:r>
              <w:t>Denmark</w:t>
            </w:r>
          </w:p>
        </w:tc>
        <w:tc>
          <w:tcPr>
            <w:tcW w:w="2410" w:type="dxa"/>
          </w:tcPr>
          <w:p>
            <w:pPr>
              <w:pStyle w:val="yTableNAm"/>
            </w:pPr>
            <w:r>
              <w:t>Norseman</w:t>
            </w:r>
          </w:p>
        </w:tc>
      </w:tr>
      <w:tr>
        <w:trPr>
          <w:cantSplit/>
          <w:trHeight w:val="276"/>
        </w:trPr>
        <w:tc>
          <w:tcPr>
            <w:tcW w:w="2552" w:type="dxa"/>
          </w:tcPr>
          <w:p>
            <w:pPr>
              <w:pStyle w:val="yTableNAm"/>
            </w:pPr>
            <w:r>
              <w:t>Derby</w:t>
            </w:r>
          </w:p>
        </w:tc>
        <w:tc>
          <w:tcPr>
            <w:tcW w:w="2410" w:type="dxa"/>
          </w:tcPr>
          <w:p>
            <w:pPr>
              <w:pStyle w:val="yTableNAm"/>
            </w:pPr>
            <w:r>
              <w:t>Northam</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r>
        <w:trPr>
          <w:cantSplit/>
          <w:trHeight w:val="276"/>
        </w:trPr>
        <w:tc>
          <w:tcPr>
            <w:tcW w:w="2552" w:type="dxa"/>
          </w:tcPr>
          <w:p>
            <w:pPr>
              <w:pStyle w:val="yTableNAm"/>
            </w:pPr>
            <w:r>
              <w:t>Kellerberrin</w:t>
            </w:r>
          </w:p>
        </w:tc>
        <w:tc>
          <w:tcPr>
            <w:tcW w:w="2410" w:type="dxa"/>
          </w:tcPr>
          <w:p>
            <w:pPr>
              <w:pStyle w:val="yTableNAm"/>
            </w:pPr>
          </w:p>
        </w:tc>
      </w:tr>
    </w:tbl>
    <w:p>
      <w:pPr>
        <w:pStyle w:val="yFootnotesection"/>
      </w:pPr>
      <w:r>
        <w:tab/>
        <w:t>[Schedule 1 inserted in Gazette 13 May 2003 p. 1665</w:t>
      </w:r>
      <w:r>
        <w:noBreakHyphen/>
        <w:t>6; amended in Gazette 3 Oct 2006 p. 4337; 15 May 2015 p. 1720; 21 Oct 2016 p. 4782; 17 Oct 2017 p. 5336</w:t>
      </w:r>
      <w:r>
        <w:noBreakHyphen/>
        <w:t>7</w:t>
      </w:r>
      <w:ins w:id="121" w:author="Master Repository Process" w:date="2021-09-11T17:50:00Z">
        <w:r>
          <w:t>; 22 Dec 2017 p. 5977</w:t>
        </w:r>
      </w:ins>
      <w:r>
        <w:t>.]</w:t>
      </w:r>
    </w:p>
    <w:p>
      <w:pPr>
        <w:pStyle w:val="yScheduleHeading"/>
      </w:pPr>
      <w:bookmarkStart w:id="122" w:name="_Toc501632259"/>
      <w:bookmarkStart w:id="123" w:name="_Toc404150667"/>
      <w:bookmarkStart w:id="124" w:name="_Toc419375055"/>
      <w:bookmarkStart w:id="125" w:name="_Toc419375080"/>
      <w:bookmarkStart w:id="126" w:name="_Toc419453364"/>
      <w:bookmarkStart w:id="127" w:name="_Toc464729586"/>
      <w:bookmarkStart w:id="128" w:name="_Toc495998213"/>
      <w:bookmarkStart w:id="129" w:name="_Toc495998521"/>
      <w:bookmarkStart w:id="130" w:name="_Toc496004110"/>
      <w:r>
        <w:rPr>
          <w:rStyle w:val="CharSchNo"/>
        </w:rPr>
        <w:t>Schedule 2</w:t>
      </w:r>
      <w:r>
        <w:t> — </w:t>
      </w:r>
      <w:r>
        <w:rPr>
          <w:rStyle w:val="CharSchText"/>
        </w:rPr>
        <w:t>Prescribed offences and modified penalties</w:t>
      </w:r>
      <w:bookmarkEnd w:id="122"/>
      <w:bookmarkEnd w:id="123"/>
      <w:bookmarkEnd w:id="124"/>
      <w:bookmarkEnd w:id="125"/>
      <w:bookmarkEnd w:id="126"/>
      <w:bookmarkEnd w:id="127"/>
      <w:bookmarkEnd w:id="128"/>
      <w:bookmarkEnd w:id="129"/>
      <w:bookmarkEnd w:id="130"/>
    </w:p>
    <w:p>
      <w:pPr>
        <w:pStyle w:val="yShoulderClause"/>
      </w:pPr>
      <w:r>
        <w:t>[r. 11, 12]</w:t>
      </w:r>
    </w:p>
    <w:p>
      <w:pPr>
        <w:pStyle w:val="yFootnoteheading"/>
      </w:pPr>
      <w:r>
        <w:tab/>
        <w:t>[Heading inserted in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r>
        <w:trPr>
          <w:cantSplit/>
          <w:trHeight w:val="28"/>
          <w:tblHeader/>
        </w:trPr>
        <w:tc>
          <w:tcPr>
            <w:tcW w:w="5816" w:type="dxa"/>
            <w:gridSpan w:val="2"/>
            <w:tcBorders>
              <w:top w:val="single" w:sz="4" w:space="0" w:color="auto"/>
            </w:tcBorders>
          </w:tcPr>
          <w:p>
            <w:pPr>
              <w:pStyle w:val="yTable"/>
              <w:rPr>
                <w:sz w:val="16"/>
                <w:szCs w:val="16"/>
              </w:rPr>
            </w:pPr>
          </w:p>
        </w:tc>
        <w:tc>
          <w:tcPr>
            <w:tcW w:w="992" w:type="dxa"/>
            <w:tcBorders>
              <w:top w:val="single" w:sz="4" w:space="0" w:color="auto"/>
            </w:tcBorders>
          </w:tcPr>
          <w:p>
            <w:pPr>
              <w:pStyle w:val="yTable"/>
              <w:rPr>
                <w:sz w:val="16"/>
                <w:szCs w:val="16"/>
              </w:rPr>
            </w:pPr>
          </w:p>
        </w:tc>
      </w:tr>
    </w:tbl>
    <w:p>
      <w:pPr>
        <w:pStyle w:val="yFootnotesection"/>
      </w:pPr>
      <w:r>
        <w:tab/>
        <w:t>[Schedule 2 inserted in Gazette 22 Sep 2006 p. 4125</w:t>
      </w:r>
      <w:r>
        <w:noBreakHyphen/>
        <w:t>6; amended in Gazette 18 Nov 2014 p. 4323.]</w:t>
      </w:r>
    </w:p>
    <w:p>
      <w:pPr>
        <w:pStyle w:val="yScheduleHeading"/>
      </w:pPr>
      <w:bookmarkStart w:id="131" w:name="_Toc501632260"/>
      <w:bookmarkStart w:id="132" w:name="_Toc404150668"/>
      <w:bookmarkStart w:id="133" w:name="_Toc419375056"/>
      <w:bookmarkStart w:id="134" w:name="_Toc419375081"/>
      <w:bookmarkStart w:id="135" w:name="_Toc419453365"/>
      <w:bookmarkStart w:id="136" w:name="_Toc464729587"/>
      <w:bookmarkStart w:id="137" w:name="_Toc495998214"/>
      <w:bookmarkStart w:id="138" w:name="_Toc495998522"/>
      <w:bookmarkStart w:id="139" w:name="_Toc496004111"/>
      <w:r>
        <w:rPr>
          <w:rStyle w:val="CharSchNo"/>
        </w:rPr>
        <w:t>Schedule 3</w:t>
      </w:r>
      <w:r>
        <w:t> — </w:t>
      </w:r>
      <w:r>
        <w:rPr>
          <w:rStyle w:val="CharSchText"/>
        </w:rPr>
        <w:t>Forms</w:t>
      </w:r>
      <w:bookmarkEnd w:id="131"/>
      <w:bookmarkEnd w:id="132"/>
      <w:bookmarkEnd w:id="133"/>
      <w:bookmarkEnd w:id="134"/>
      <w:bookmarkEnd w:id="135"/>
      <w:bookmarkEnd w:id="136"/>
      <w:bookmarkEnd w:id="137"/>
      <w:bookmarkEnd w:id="138"/>
      <w:bookmarkEnd w:id="139"/>
    </w:p>
    <w:p>
      <w:pPr>
        <w:pStyle w:val="yShoulderClause"/>
      </w:pPr>
      <w:r>
        <w:t>[r. 13 and 14]</w:t>
      </w:r>
    </w:p>
    <w:p>
      <w:pPr>
        <w:pStyle w:val="yFootnoteheading"/>
      </w:pPr>
      <w:r>
        <w:tab/>
        <w:t>[Heading inserted in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in Gazette 15 Aug 2014 p. 2934</w:t>
      </w:r>
      <w:r>
        <w:noBreakHyphen/>
        <w:t>6; amended in Gazette 18 Nov 2014 p. 4324.]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in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41" w:name="_Toc501632261"/>
      <w:bookmarkStart w:id="142" w:name="_Toc404150669"/>
      <w:bookmarkStart w:id="143" w:name="_Toc419375057"/>
      <w:bookmarkStart w:id="144" w:name="_Toc419375082"/>
      <w:bookmarkStart w:id="145" w:name="_Toc419453366"/>
      <w:bookmarkStart w:id="146" w:name="_Toc464729588"/>
      <w:bookmarkStart w:id="147" w:name="_Toc495998215"/>
      <w:bookmarkStart w:id="148" w:name="_Toc495998523"/>
      <w:bookmarkStart w:id="149" w:name="_Toc496004112"/>
      <w:r>
        <w:t>Notes</w:t>
      </w:r>
      <w:bookmarkEnd w:id="141"/>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50" w:name="_Toc501632262"/>
      <w:bookmarkStart w:id="151" w:name="_Toc404150670"/>
      <w:bookmarkStart w:id="152" w:name="_Toc496004113"/>
      <w:r>
        <w:t>Compilation table</w:t>
      </w:r>
      <w:bookmarkEnd w:id="150"/>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rPr>
          <w:cantSplit/>
        </w:trPr>
        <w:tc>
          <w:tcPr>
            <w:tcW w:w="3119" w:type="dxa"/>
          </w:tcPr>
          <w:p>
            <w:pPr>
              <w:pStyle w:val="nTable"/>
              <w:spacing w:after="40"/>
              <w:ind w:right="113"/>
              <w:rPr>
                <w:i/>
              </w:rPr>
            </w:pPr>
            <w:r>
              <w:rPr>
                <w:i/>
              </w:rPr>
              <w:t>Petroleum Products Pricing Amendment Regulations 2001</w:t>
            </w:r>
            <w:r>
              <w:rPr>
                <w:vertAlign w:val="superscript"/>
              </w:rPr>
              <w:t> 3</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rPr>
          <w:cantSplit/>
        </w:trPr>
        <w:tc>
          <w:tcPr>
            <w:tcW w:w="3119" w:type="dxa"/>
          </w:tcPr>
          <w:p>
            <w:pPr>
              <w:pStyle w:val="nTable"/>
              <w:spacing w:after="40"/>
              <w:ind w:right="113"/>
              <w:rPr>
                <w:i/>
              </w:rPr>
            </w:pPr>
            <w:r>
              <w:rPr>
                <w:i/>
              </w:rPr>
              <w:t>Petroleum Products Pricing Amendment Regulations (No. 4) 2001</w:t>
            </w:r>
            <w:r>
              <w:rPr>
                <w:vertAlign w:val="superscript"/>
              </w:rPr>
              <w:t> 4</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rPr>
          <w:cantSplit/>
        </w:trPr>
        <w:tc>
          <w:tcPr>
            <w:tcW w:w="3119" w:type="dxa"/>
          </w:tcPr>
          <w:p>
            <w:pPr>
              <w:pStyle w:val="nTable"/>
              <w:spacing w:after="40"/>
              <w:ind w:right="113"/>
            </w:pPr>
            <w:r>
              <w:rPr>
                <w:i/>
              </w:rPr>
              <w:t>Petroleum Products Pricing Amendment Regulations 2003</w:t>
            </w:r>
            <w:r>
              <w:t xml:space="preserve"> </w:t>
            </w:r>
            <w:r>
              <w:rPr>
                <w:vertAlign w:val="superscript"/>
              </w:rPr>
              <w:t>5</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rPr>
          <w:cantSplit/>
          <w:ins w:id="153" w:author="Master Repository Process" w:date="2021-09-11T17:50:00Z"/>
        </w:trPr>
        <w:tc>
          <w:tcPr>
            <w:tcW w:w="3119" w:type="dxa"/>
            <w:tcBorders>
              <w:bottom w:val="single" w:sz="4" w:space="0" w:color="auto"/>
            </w:tcBorders>
          </w:tcPr>
          <w:p>
            <w:pPr>
              <w:pStyle w:val="nTable"/>
              <w:spacing w:after="40"/>
              <w:ind w:right="113"/>
              <w:rPr>
                <w:ins w:id="154" w:author="Master Repository Process" w:date="2021-09-11T17:50:00Z"/>
                <w:i/>
              </w:rPr>
            </w:pPr>
            <w:ins w:id="155" w:author="Master Repository Process" w:date="2021-09-11T17:50:00Z">
              <w:r>
                <w:rPr>
                  <w:i/>
                </w:rPr>
                <w:t>Petroleum Products Pricing Amendment Regulations (No. 2) 2017</w:t>
              </w:r>
            </w:ins>
          </w:p>
        </w:tc>
        <w:tc>
          <w:tcPr>
            <w:tcW w:w="1276" w:type="dxa"/>
            <w:tcBorders>
              <w:bottom w:val="single" w:sz="4" w:space="0" w:color="auto"/>
            </w:tcBorders>
          </w:tcPr>
          <w:p>
            <w:pPr>
              <w:pStyle w:val="nTable"/>
              <w:spacing w:after="40"/>
              <w:rPr>
                <w:ins w:id="156" w:author="Master Repository Process" w:date="2021-09-11T17:50:00Z"/>
              </w:rPr>
            </w:pPr>
            <w:ins w:id="157" w:author="Master Repository Process" w:date="2021-09-11T17:50:00Z">
              <w:r>
                <w:t>22 Dec 2017 p. 5976</w:t>
              </w:r>
              <w:r>
                <w:noBreakHyphen/>
                <w:t>7</w:t>
              </w:r>
            </w:ins>
          </w:p>
        </w:tc>
        <w:tc>
          <w:tcPr>
            <w:tcW w:w="2693" w:type="dxa"/>
            <w:tcBorders>
              <w:bottom w:val="single" w:sz="4" w:space="0" w:color="auto"/>
            </w:tcBorders>
          </w:tcPr>
          <w:p>
            <w:pPr>
              <w:pStyle w:val="nTable"/>
              <w:spacing w:after="40"/>
              <w:rPr>
                <w:ins w:id="158" w:author="Master Repository Process" w:date="2021-09-11T17:50:00Z"/>
              </w:rPr>
            </w:pPr>
            <w:ins w:id="159" w:author="Master Repository Process" w:date="2021-09-11T17:50:00Z">
              <w:r>
                <w:t>r. 1 and 2: 22 Dec 2017 (see r. 2(a));</w:t>
              </w:r>
              <w:r>
                <w:br/>
                <w:t>Regulations other than r. 1 and 2: 23 Dec 2017 (see r. 2(b))</w:t>
              </w:r>
            </w:ins>
          </w:p>
        </w:tc>
      </w:tr>
    </w:tbl>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pStyle w:val="nSubsection"/>
      </w:pPr>
      <w:r>
        <w:rPr>
          <w:vertAlign w:val="superscript"/>
        </w:rPr>
        <w:t>3</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Subsection"/>
        <w:keepNext/>
      </w:pPr>
      <w:r>
        <w:rPr>
          <w:vertAlign w:val="superscript"/>
        </w:rPr>
        <w:t>4</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Subsection"/>
        <w:keepNext/>
      </w:pPr>
      <w:r>
        <w:rPr>
          <w:vertAlign w:val="superscript"/>
        </w:rPr>
        <w:t>5</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Pr>
        <w:pStyle w:val="Footer"/>
        <w:rPr>
          <w:rFonts w:ascii="Times New Roman" w:hAnsi="Times New Roman"/>
          <w:vertAlign w:val="superscript"/>
        </w:r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1" w:name="Coversheet"/>
    <w:bookmarkEnd w:id="1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0" w:name="Schedule"/>
    <w:bookmarkEnd w:id="1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335"/>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371DE7-37C5-4116-A89E-24F2D1E3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3971</Words>
  <Characters>19856</Characters>
  <Application>Microsoft Office Word</Application>
  <DocSecurity>0</DocSecurity>
  <Lines>827</Lines>
  <Paragraphs>467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23360</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02-f0-00 - 02-g0-00</dc:title>
  <dc:subject/>
  <dc:creator/>
  <cp:keywords/>
  <dc:description/>
  <cp:lastModifiedBy>Master Repository Process</cp:lastModifiedBy>
  <cp:revision>2</cp:revision>
  <cp:lastPrinted>2009-08-27T00:49:00Z</cp:lastPrinted>
  <dcterms:created xsi:type="dcterms:W3CDTF">2021-09-11T09:50:00Z</dcterms:created>
  <dcterms:modified xsi:type="dcterms:W3CDTF">2021-09-11T09:50:00Z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CommencementDate">
    <vt:lpwstr>20171223</vt:lpwstr>
  </property>
  <property fmtid="{D5CDD505-2E9C-101B-9397-08002B2CF9AE}" pid="7" name="FromSuffix">
    <vt:lpwstr>02-f0-00</vt:lpwstr>
  </property>
  <property fmtid="{D5CDD505-2E9C-101B-9397-08002B2CF9AE}" pid="8" name="FromAsAtDate">
    <vt:lpwstr>18 Oct 2017</vt:lpwstr>
  </property>
  <property fmtid="{D5CDD505-2E9C-101B-9397-08002B2CF9AE}" pid="9" name="ToSuffix">
    <vt:lpwstr>02-g0-00</vt:lpwstr>
  </property>
  <property fmtid="{D5CDD505-2E9C-101B-9397-08002B2CF9AE}" pid="10" name="ToAsAtDate">
    <vt:lpwstr>23 Dec 2017</vt:lpwstr>
  </property>
</Properties>
</file>