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2017</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21 Feb 2018</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1" w:name="_Toc493168617"/>
      <w:bookmarkStart w:id="2" w:name="_Toc493233767"/>
      <w:bookmarkStart w:id="3" w:name="_Toc506886822"/>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pPr>
      <w:bookmarkStart w:id="5" w:name="_Toc506886823"/>
      <w:bookmarkStart w:id="6" w:name="_Toc493233768"/>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7" w:name="_Toc506886824"/>
      <w:bookmarkStart w:id="8" w:name="_Toc49323376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9" w:name="_Toc506886825"/>
      <w:bookmarkStart w:id="10" w:name="_Toc493233770"/>
      <w:r>
        <w:rPr>
          <w:rStyle w:val="CharSectno"/>
        </w:rPr>
        <w:t>3</w:t>
      </w:r>
      <w:r>
        <w:rPr>
          <w:snapToGrid w:val="0"/>
        </w:rPr>
        <w:t>.</w:t>
      </w:r>
      <w:r>
        <w:rPr>
          <w:snapToGrid w:val="0"/>
        </w:rPr>
        <w:tab/>
        <w:t>Terms used</w:t>
      </w:r>
      <w:bookmarkEnd w:id="9"/>
      <w:bookmarkEnd w:id="10"/>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 see Gazette 27 Nov 2007 p. 5910); 28 Dec 2007 p. 6425 (disallowed, see Gazette 11 Apr 2008 p. 1396); 23 Jun 2009 p. 2495.]</w:t>
      </w:r>
    </w:p>
    <w:p>
      <w:pPr>
        <w:pStyle w:val="Heading2"/>
      </w:pPr>
      <w:bookmarkStart w:id="11" w:name="_Toc493168621"/>
      <w:bookmarkStart w:id="12" w:name="_Toc493233771"/>
      <w:bookmarkStart w:id="13" w:name="_Toc506886826"/>
      <w:r>
        <w:rPr>
          <w:rStyle w:val="CharPartNo"/>
        </w:rPr>
        <w:t>Part 2</w:t>
      </w:r>
      <w:r>
        <w:rPr>
          <w:rStyle w:val="CharDivNo"/>
        </w:rPr>
        <w:t xml:space="preserve"> </w:t>
      </w:r>
      <w:r>
        <w:t>—</w:t>
      </w:r>
      <w:r>
        <w:rPr>
          <w:rStyle w:val="CharDivText"/>
        </w:rPr>
        <w:t xml:space="preserve"> </w:t>
      </w:r>
      <w:r>
        <w:rPr>
          <w:rStyle w:val="CharPartText"/>
        </w:rPr>
        <w:t>Permits</w:t>
      </w:r>
      <w:bookmarkEnd w:id="11"/>
      <w:bookmarkEnd w:id="12"/>
      <w:bookmarkEnd w:id="13"/>
    </w:p>
    <w:p>
      <w:pPr>
        <w:pStyle w:val="Heading5"/>
      </w:pPr>
      <w:bookmarkStart w:id="14" w:name="_Toc506886827"/>
      <w:bookmarkStart w:id="15" w:name="_Toc493233772"/>
      <w:r>
        <w:rPr>
          <w:rStyle w:val="CharSectno"/>
        </w:rPr>
        <w:t>4</w:t>
      </w:r>
      <w:r>
        <w:t>.</w:t>
      </w:r>
      <w:r>
        <w:tab/>
        <w:t>Applications for permits</w:t>
      </w:r>
      <w:bookmarkEnd w:id="14"/>
      <w:bookmarkEnd w:id="15"/>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 see Gazette 27 Nov 2007 p. 5910); 28 Dec 2007 p. 6425 (disallowed, see Gazette 11 Apr 2008 p. 1396); 23 Jun 2009 p. 2495.]</w:t>
      </w:r>
    </w:p>
    <w:p>
      <w:pPr>
        <w:pStyle w:val="Heading5"/>
      </w:pPr>
      <w:bookmarkStart w:id="16" w:name="_Toc506886828"/>
      <w:bookmarkStart w:id="17" w:name="_Toc493233773"/>
      <w:r>
        <w:rPr>
          <w:rStyle w:val="CharSectno"/>
        </w:rPr>
        <w:t>5</w:t>
      </w:r>
      <w:r>
        <w:t>.</w:t>
      </w:r>
      <w:r>
        <w:tab/>
        <w:t>Advertising of applications</w:t>
      </w:r>
      <w:bookmarkEnd w:id="16"/>
      <w:bookmarkEnd w:id="17"/>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8" w:name="_Toc506886829"/>
      <w:bookmarkStart w:id="19" w:name="_Toc493233774"/>
      <w:r>
        <w:rPr>
          <w:rStyle w:val="CharSectno"/>
        </w:rPr>
        <w:t>6</w:t>
      </w:r>
      <w:r>
        <w:t>.</w:t>
      </w:r>
      <w:r>
        <w:tab/>
        <w:t>Applicant may make representations to Minister in some cases</w:t>
      </w:r>
      <w:bookmarkEnd w:id="18"/>
      <w:bookmarkEnd w:id="19"/>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in Gazette 23 Jun 2009 p. 2495 and 2497.]</w:t>
      </w:r>
    </w:p>
    <w:p>
      <w:pPr>
        <w:pStyle w:val="Heading5"/>
      </w:pPr>
      <w:bookmarkStart w:id="20" w:name="_Toc506886830"/>
      <w:bookmarkStart w:id="21" w:name="_Toc493233775"/>
      <w:r>
        <w:rPr>
          <w:rStyle w:val="CharSectno"/>
        </w:rPr>
        <w:t>7</w:t>
      </w:r>
      <w:r>
        <w:t>.</w:t>
      </w:r>
      <w:r>
        <w:tab/>
        <w:t>Deciding applications</w:t>
      </w:r>
      <w:bookmarkEnd w:id="20"/>
      <w:bookmarkEnd w:id="21"/>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in Gazette 23 Jun 2009 p. 2495-6 and 2497.]</w:t>
      </w:r>
    </w:p>
    <w:p>
      <w:pPr>
        <w:pStyle w:val="Heading5"/>
      </w:pPr>
      <w:bookmarkStart w:id="22" w:name="_Toc506886831"/>
      <w:bookmarkStart w:id="23" w:name="_Toc493233776"/>
      <w:r>
        <w:rPr>
          <w:rStyle w:val="CharSectno"/>
        </w:rPr>
        <w:t>8</w:t>
      </w:r>
      <w:r>
        <w:t>.</w:t>
      </w:r>
      <w:r>
        <w:tab/>
        <w:t>When Minister must refuse permit; Minister may undertake to grant permit in some cases</w:t>
      </w:r>
      <w:bookmarkEnd w:id="22"/>
      <w:bookmarkEnd w:id="23"/>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in Gazette 23 Jun 2009 p. 2495</w:t>
      </w:r>
      <w:r>
        <w:noBreakHyphen/>
        <w:t>6 and 2497.]</w:t>
      </w:r>
    </w:p>
    <w:p>
      <w:pPr>
        <w:pStyle w:val="Heading5"/>
      </w:pPr>
      <w:bookmarkStart w:id="24" w:name="_Toc506886832"/>
      <w:bookmarkStart w:id="25" w:name="_Toc493233777"/>
      <w:r>
        <w:rPr>
          <w:rStyle w:val="CharSectno"/>
        </w:rPr>
        <w:t>9</w:t>
      </w:r>
      <w:r>
        <w:t>.</w:t>
      </w:r>
      <w:r>
        <w:tab/>
        <w:t>Minister to notify applicant of decision etc.</w:t>
      </w:r>
      <w:bookmarkEnd w:id="24"/>
      <w:bookmarkEnd w:id="25"/>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26" w:name="_Toc506886833"/>
      <w:bookmarkStart w:id="27" w:name="_Toc493233778"/>
      <w:r>
        <w:rPr>
          <w:rStyle w:val="CharSectno"/>
        </w:rPr>
        <w:t>10</w:t>
      </w:r>
      <w:r>
        <w:t>.</w:t>
      </w:r>
      <w:r>
        <w:tab/>
        <w:t>Duration of permits</w:t>
      </w:r>
      <w:bookmarkEnd w:id="26"/>
      <w:bookmarkEnd w:id="2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28" w:name="_Toc506886834"/>
      <w:bookmarkStart w:id="29" w:name="_Toc493233779"/>
      <w:r>
        <w:rPr>
          <w:rStyle w:val="CharSectno"/>
        </w:rPr>
        <w:t>11</w:t>
      </w:r>
      <w:r>
        <w:t>.</w:t>
      </w:r>
      <w:r>
        <w:tab/>
        <w:t>Applications for amendment of permits</w:t>
      </w:r>
      <w:bookmarkEnd w:id="28"/>
      <w:bookmarkEnd w:id="29"/>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30" w:name="_Toc506886835"/>
      <w:bookmarkStart w:id="31" w:name="_Toc493233780"/>
      <w:r>
        <w:rPr>
          <w:rStyle w:val="CharSectno"/>
        </w:rPr>
        <w:t>12</w:t>
      </w:r>
      <w:r>
        <w:t>.</w:t>
      </w:r>
      <w:r>
        <w:tab/>
        <w:t>Minister may amend permit</w:t>
      </w:r>
      <w:bookmarkEnd w:id="30"/>
      <w:bookmarkEnd w:id="31"/>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32" w:name="_Toc506886836"/>
      <w:bookmarkStart w:id="33" w:name="_Toc493233781"/>
      <w:r>
        <w:rPr>
          <w:rStyle w:val="CharSectno"/>
        </w:rPr>
        <w:t>13</w:t>
      </w:r>
      <w:r>
        <w:t>.</w:t>
      </w:r>
      <w:r>
        <w:tab/>
        <w:t>Minister may suspend or cancel permit</w:t>
      </w:r>
      <w:bookmarkEnd w:id="32"/>
      <w:bookmarkEnd w:id="33"/>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34" w:name="_Toc506886837"/>
      <w:bookmarkStart w:id="35" w:name="_Toc493233782"/>
      <w:r>
        <w:rPr>
          <w:rStyle w:val="CharSectno"/>
        </w:rPr>
        <w:t>14</w:t>
      </w:r>
      <w:r>
        <w:t>.</w:t>
      </w:r>
      <w:r>
        <w:tab/>
        <w:t>Permit holder’s rights before permit amended, suspended or cancelled</w:t>
      </w:r>
      <w:bookmarkEnd w:id="34"/>
      <w:bookmarkEnd w:id="35"/>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36" w:name="_Toc506886838"/>
      <w:bookmarkStart w:id="37" w:name="_Toc493233783"/>
      <w:r>
        <w:rPr>
          <w:rStyle w:val="CharSectno"/>
        </w:rPr>
        <w:t>15</w:t>
      </w:r>
      <w:r>
        <w:t>.</w:t>
      </w:r>
      <w:r>
        <w:tab/>
        <w:t>Surrender of permits</w:t>
      </w:r>
      <w:bookmarkEnd w:id="36"/>
      <w:bookmarkEnd w:id="37"/>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38" w:name="_Toc506886839"/>
      <w:bookmarkStart w:id="39" w:name="_Toc493233784"/>
      <w:r>
        <w:rPr>
          <w:rStyle w:val="CharSectno"/>
        </w:rPr>
        <w:t>16</w:t>
      </w:r>
      <w:r>
        <w:t>.</w:t>
      </w:r>
      <w:r>
        <w:tab/>
        <w:t>Minister to be notified of change of ownership</w:t>
      </w:r>
      <w:bookmarkEnd w:id="38"/>
      <w:bookmarkEnd w:id="39"/>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40" w:name="_Toc506886840"/>
      <w:bookmarkStart w:id="41" w:name="_Toc493233785"/>
      <w:r>
        <w:rPr>
          <w:rStyle w:val="CharSectno"/>
        </w:rPr>
        <w:t>17</w:t>
      </w:r>
      <w:r>
        <w:t>.</w:t>
      </w:r>
      <w:r>
        <w:tab/>
        <w:t>Terms, conditions and restrictions</w:t>
      </w:r>
      <w:bookmarkEnd w:id="40"/>
      <w:bookmarkEnd w:id="41"/>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42" w:name="_Toc506886841"/>
      <w:bookmarkStart w:id="43" w:name="_Toc493233786"/>
      <w:r>
        <w:rPr>
          <w:rStyle w:val="CharSectno"/>
        </w:rPr>
        <w:t>18</w:t>
      </w:r>
      <w:r>
        <w:t>.</w:t>
      </w:r>
      <w:r>
        <w:tab/>
        <w:t>Minister may direct compliance with permit condition</w:t>
      </w:r>
      <w:bookmarkEnd w:id="42"/>
      <w:bookmarkEnd w:id="43"/>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44" w:name="_Toc493168637"/>
      <w:bookmarkStart w:id="45" w:name="_Toc493233787"/>
      <w:bookmarkStart w:id="46" w:name="_Toc506886842"/>
      <w:r>
        <w:rPr>
          <w:rStyle w:val="CharPartNo"/>
        </w:rPr>
        <w:t>Part 3</w:t>
      </w:r>
      <w:r>
        <w:rPr>
          <w:rStyle w:val="CharDivNo"/>
        </w:rPr>
        <w:t xml:space="preserve"> </w:t>
      </w:r>
      <w:r>
        <w:t>—</w:t>
      </w:r>
      <w:r>
        <w:rPr>
          <w:rStyle w:val="CharDivText"/>
        </w:rPr>
        <w:t xml:space="preserve"> </w:t>
      </w:r>
      <w:r>
        <w:rPr>
          <w:rStyle w:val="CharPartText"/>
        </w:rPr>
        <w:t>Licences under section 5C</w:t>
      </w:r>
      <w:bookmarkEnd w:id="44"/>
      <w:bookmarkEnd w:id="45"/>
      <w:bookmarkEnd w:id="46"/>
    </w:p>
    <w:p>
      <w:pPr>
        <w:pStyle w:val="Ednotesection"/>
      </w:pPr>
      <w:r>
        <w:t>[</w:t>
      </w:r>
      <w:r>
        <w:rPr>
          <w:b/>
          <w:bCs/>
        </w:rPr>
        <w:t>19A.</w:t>
      </w:r>
      <w:r>
        <w:tab/>
        <w:t>Inserted in Gazette 28 Dec 2007 p. 6426 (disallowed, see Gazette 11 Apr 2008 p. 1396).]</w:t>
      </w:r>
    </w:p>
    <w:p>
      <w:pPr>
        <w:pStyle w:val="Ednotesection"/>
      </w:pPr>
      <w:r>
        <w:t>[</w:t>
      </w:r>
      <w:r>
        <w:rPr>
          <w:b/>
        </w:rPr>
        <w:t>19, 20.</w:t>
      </w:r>
      <w:r>
        <w:rPr>
          <w:b/>
        </w:rPr>
        <w:tab/>
      </w:r>
      <w:r>
        <w:t>Deleted in Gazette 16 Dec 2014 p. 4766.]</w:t>
      </w:r>
    </w:p>
    <w:p>
      <w:pPr>
        <w:pStyle w:val="Heading5"/>
        <w:spacing w:before="240"/>
      </w:pPr>
      <w:bookmarkStart w:id="47" w:name="_Toc506886843"/>
      <w:bookmarkStart w:id="48" w:name="_Toc493233788"/>
      <w:r>
        <w:rPr>
          <w:rStyle w:val="CharSectno"/>
        </w:rPr>
        <w:t>21</w:t>
      </w:r>
      <w:r>
        <w:t>.</w:t>
      </w:r>
      <w:r>
        <w:tab/>
        <w:t>Renewal of licence</w:t>
      </w:r>
      <w:bookmarkEnd w:id="47"/>
      <w:bookmarkEnd w:id="48"/>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49" w:name="_Toc506886844"/>
      <w:bookmarkStart w:id="50" w:name="_Toc493233789"/>
      <w:r>
        <w:rPr>
          <w:rStyle w:val="CharSectno"/>
        </w:rPr>
        <w:t>22.</w:t>
      </w:r>
      <w:r>
        <w:rPr>
          <w:rStyle w:val="CharSectno"/>
        </w:rPr>
        <w:tab/>
        <w:t>Fee for certified copy of licence</w:t>
      </w:r>
      <w:bookmarkEnd w:id="49"/>
      <w:bookmarkEnd w:id="50"/>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in Gazette 22 Jun 2007 p. 2880 (disallowed, see Gazette 27 Nov 2007 p. 5910); 28 Dec 2007 p. 6428 (disallowed, see Gazette 11 Apr 2008 p. 1396); 23 Jun 2009 p. 2495</w:t>
      </w:r>
      <w:r>
        <w:noBreakHyphen/>
        <w:t>6.]</w:t>
      </w:r>
    </w:p>
    <w:p>
      <w:pPr>
        <w:pStyle w:val="Heading5"/>
        <w:spacing w:before="240"/>
      </w:pPr>
      <w:bookmarkStart w:id="51" w:name="_Toc506886845"/>
      <w:bookmarkStart w:id="52" w:name="_Toc493233790"/>
      <w:r>
        <w:rPr>
          <w:rStyle w:val="CharSectno"/>
        </w:rPr>
        <w:t>23</w:t>
      </w:r>
      <w:r>
        <w:t>.</w:t>
      </w:r>
      <w:r>
        <w:tab/>
        <w:t>Advertising applications (Act Sch. 1 cl. 5)</w:t>
      </w:r>
      <w:bookmarkEnd w:id="51"/>
      <w:bookmarkEnd w:id="52"/>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53" w:name="_Toc506886846"/>
      <w:bookmarkStart w:id="54" w:name="_Toc493233791"/>
      <w:r>
        <w:rPr>
          <w:rStyle w:val="CharSectno"/>
        </w:rPr>
        <w:t>24</w:t>
      </w:r>
      <w:r>
        <w:t>.</w:t>
      </w:r>
      <w:r>
        <w:tab/>
        <w:t>Security interest holders may make submissions on application</w:t>
      </w:r>
      <w:bookmarkEnd w:id="53"/>
      <w:bookmarkEnd w:id="54"/>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55" w:name="_Toc506886847"/>
      <w:bookmarkStart w:id="56" w:name="_Toc493233792"/>
      <w:r>
        <w:rPr>
          <w:rStyle w:val="CharSectno"/>
        </w:rPr>
        <w:t>25</w:t>
      </w:r>
      <w:r>
        <w:t>.</w:t>
      </w:r>
      <w:r>
        <w:tab/>
        <w:t>Licensee no longer eligible to hold licence to inform  Minister</w:t>
      </w:r>
      <w:bookmarkEnd w:id="55"/>
      <w:bookmarkEnd w:id="56"/>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57" w:name="_Toc506886848"/>
      <w:bookmarkStart w:id="58" w:name="_Toc493233793"/>
      <w:r>
        <w:rPr>
          <w:rStyle w:val="CharSectno"/>
        </w:rPr>
        <w:t>26</w:t>
      </w:r>
      <w:r>
        <w:t>.</w:t>
      </w:r>
      <w:r>
        <w:tab/>
        <w:t>Removal of endorsement that licence is subject to Act Sch. 1 cl. 20</w:t>
      </w:r>
      <w:bookmarkEnd w:id="57"/>
      <w:bookmarkEnd w:id="58"/>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59" w:name="_Toc506886849"/>
      <w:bookmarkStart w:id="60" w:name="_Toc493233794"/>
      <w:r>
        <w:rPr>
          <w:rStyle w:val="CharSectno"/>
        </w:rPr>
        <w:t>27</w:t>
      </w:r>
      <w:r>
        <w:t>.</w:t>
      </w:r>
      <w:r>
        <w:tab/>
        <w:t>Prescribed circumstances where Minister may suspend or cancel a licence (Act Sch. 1 cl. 25)</w:t>
      </w:r>
      <w:bookmarkEnd w:id="59"/>
      <w:bookmarkEnd w:id="60"/>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61" w:name="_Toc506886850"/>
      <w:bookmarkStart w:id="62" w:name="_Toc493233795"/>
      <w:r>
        <w:rPr>
          <w:rStyle w:val="CharSectno"/>
        </w:rPr>
        <w:t>28</w:t>
      </w:r>
      <w:r>
        <w:t>.</w:t>
      </w:r>
      <w:r>
        <w:tab/>
        <w:t>Application for approval to transfer licence, water entitlement or agreement, submissions and responses about (Act Sch. 1 cl. 35)</w:t>
      </w:r>
      <w:bookmarkEnd w:id="61"/>
      <w:bookmarkEnd w:id="62"/>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 see Gazette 27 Nov 2007 p. 5910); 28 Dec 2007 p. 6428 (disallowed, see Gazette 11 Apr 2008 p. 1396).]</w:t>
      </w:r>
    </w:p>
    <w:p>
      <w:pPr>
        <w:pStyle w:val="Heading5"/>
      </w:pPr>
      <w:bookmarkStart w:id="63" w:name="_Toc506886851"/>
      <w:bookmarkStart w:id="64" w:name="_Toc493233796"/>
      <w:r>
        <w:rPr>
          <w:rStyle w:val="CharSectno"/>
        </w:rPr>
        <w:t>29</w:t>
      </w:r>
      <w:r>
        <w:t>.</w:t>
      </w:r>
      <w:r>
        <w:tab/>
        <w:t>Licensee to return licence on suspension and cancellation</w:t>
      </w:r>
      <w:bookmarkEnd w:id="63"/>
      <w:bookmarkEnd w:id="64"/>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65" w:name="_Toc506886852"/>
      <w:bookmarkStart w:id="66" w:name="_Toc493233797"/>
      <w:r>
        <w:rPr>
          <w:rStyle w:val="CharSectno"/>
        </w:rPr>
        <w:t>30</w:t>
      </w:r>
      <w:r>
        <w:t>.</w:t>
      </w:r>
      <w:r>
        <w:tab/>
        <w:t>Licence to be provided to Minister in certain cases (Act Sch. 1 cl. 23, 24 and 32)</w:t>
      </w:r>
      <w:bookmarkEnd w:id="65"/>
      <w:bookmarkEnd w:id="66"/>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67" w:name="_Toc506886853"/>
      <w:bookmarkStart w:id="68" w:name="_Toc493233798"/>
      <w:r>
        <w:rPr>
          <w:rStyle w:val="CharSectno"/>
        </w:rPr>
        <w:t>31</w:t>
      </w:r>
      <w:r>
        <w:t>.</w:t>
      </w:r>
      <w:r>
        <w:tab/>
        <w:t>Evidence</w:t>
      </w:r>
      <w:bookmarkEnd w:id="67"/>
      <w:bookmarkEnd w:id="68"/>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69" w:name="_Toc493168649"/>
      <w:bookmarkStart w:id="70" w:name="_Toc493233799"/>
      <w:bookmarkStart w:id="71" w:name="_Toc506886854"/>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69"/>
      <w:bookmarkEnd w:id="70"/>
      <w:bookmarkEnd w:id="71"/>
    </w:p>
    <w:p>
      <w:pPr>
        <w:pStyle w:val="Heading5"/>
      </w:pPr>
      <w:bookmarkStart w:id="72" w:name="_Toc506886855"/>
      <w:bookmarkStart w:id="73" w:name="_Toc493233800"/>
      <w:r>
        <w:rPr>
          <w:rStyle w:val="CharSectno"/>
        </w:rPr>
        <w:t>32</w:t>
      </w:r>
      <w:r>
        <w:t>.</w:t>
      </w:r>
      <w:r>
        <w:tab/>
        <w:t>Terms used</w:t>
      </w:r>
      <w:bookmarkEnd w:id="72"/>
      <w:bookmarkEnd w:id="73"/>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74" w:name="_Toc506886856"/>
      <w:bookmarkStart w:id="75" w:name="_Toc493233801"/>
      <w:r>
        <w:rPr>
          <w:rStyle w:val="CharSectno"/>
        </w:rPr>
        <w:t>33</w:t>
      </w:r>
      <w:r>
        <w:t>.</w:t>
      </w:r>
      <w:r>
        <w:tab/>
        <w:t>Applications for licences</w:t>
      </w:r>
      <w:bookmarkEnd w:id="74"/>
      <w:bookmarkEnd w:id="75"/>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 see Gazette 27 Nov 2007 p. 5910); 28 Dec 2007 p. 6428 (disallowed, see Gazette 11 Apr 2008 p. 1396).]</w:t>
      </w:r>
    </w:p>
    <w:p>
      <w:pPr>
        <w:pStyle w:val="Heading5"/>
      </w:pPr>
      <w:bookmarkStart w:id="76" w:name="_Toc506886857"/>
      <w:bookmarkStart w:id="77" w:name="_Toc493233802"/>
      <w:r>
        <w:rPr>
          <w:rStyle w:val="CharSectno"/>
        </w:rPr>
        <w:t>34</w:t>
      </w:r>
      <w:r>
        <w:t>.</w:t>
      </w:r>
      <w:r>
        <w:tab/>
        <w:t>Applicant may make representations to Minister in some cases</w:t>
      </w:r>
      <w:bookmarkEnd w:id="76"/>
      <w:bookmarkEnd w:id="77"/>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 2497-8.]</w:t>
      </w:r>
    </w:p>
    <w:p>
      <w:pPr>
        <w:pStyle w:val="Heading5"/>
      </w:pPr>
      <w:bookmarkStart w:id="78" w:name="_Toc506886858"/>
      <w:bookmarkStart w:id="79" w:name="_Toc493233803"/>
      <w:r>
        <w:rPr>
          <w:rStyle w:val="CharSectno"/>
        </w:rPr>
        <w:t>35</w:t>
      </w:r>
      <w:r>
        <w:t>.</w:t>
      </w:r>
      <w:r>
        <w:tab/>
        <w:t>Deciding applications</w:t>
      </w:r>
      <w:bookmarkEnd w:id="78"/>
      <w:bookmarkEnd w:id="79"/>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80" w:name="_Toc506886859"/>
      <w:bookmarkStart w:id="81" w:name="_Toc493233804"/>
      <w:r>
        <w:rPr>
          <w:rStyle w:val="CharSectno"/>
        </w:rPr>
        <w:t>36</w:t>
      </w:r>
      <w:r>
        <w:t>.</w:t>
      </w:r>
      <w:r>
        <w:tab/>
        <w:t>When Minister must refuse licence; Minister may undertake to grant licence in some cases</w:t>
      </w:r>
      <w:bookmarkEnd w:id="80"/>
      <w:bookmarkEnd w:id="81"/>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 2497</w:t>
      </w:r>
      <w:r>
        <w:noBreakHyphen/>
        <w:t>8.]</w:t>
      </w:r>
    </w:p>
    <w:p>
      <w:pPr>
        <w:pStyle w:val="Heading5"/>
      </w:pPr>
      <w:bookmarkStart w:id="82" w:name="_Toc506886860"/>
      <w:bookmarkStart w:id="83" w:name="_Toc493233805"/>
      <w:r>
        <w:rPr>
          <w:rStyle w:val="CharSectno"/>
        </w:rPr>
        <w:t>37</w:t>
      </w:r>
      <w:r>
        <w:t>.</w:t>
      </w:r>
      <w:r>
        <w:tab/>
        <w:t>Minister to notify applicant of decision etc.</w:t>
      </w:r>
      <w:bookmarkEnd w:id="82"/>
      <w:bookmarkEnd w:id="8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84" w:name="_Toc506886861"/>
      <w:bookmarkStart w:id="85" w:name="_Toc493233806"/>
      <w:r>
        <w:rPr>
          <w:rStyle w:val="CharSectno"/>
        </w:rPr>
        <w:t>38</w:t>
      </w:r>
      <w:r>
        <w:t>.</w:t>
      </w:r>
      <w:r>
        <w:tab/>
        <w:t>Information on work on artesian wells to be provided at certain times</w:t>
      </w:r>
      <w:bookmarkEnd w:id="84"/>
      <w:bookmarkEnd w:id="85"/>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86" w:name="_Toc506886862"/>
      <w:bookmarkStart w:id="87" w:name="_Toc493233807"/>
      <w:r>
        <w:rPr>
          <w:rStyle w:val="CharSectno"/>
        </w:rPr>
        <w:t>39</w:t>
      </w:r>
      <w:r>
        <w:t>.</w:t>
      </w:r>
      <w:r>
        <w:tab/>
        <w:t>Information on non</w:t>
      </w:r>
      <w:r>
        <w:noBreakHyphen/>
        <w:t>artesian wells prescribed (Act s. 26E)</w:t>
      </w:r>
      <w:bookmarkEnd w:id="86"/>
      <w:bookmarkEnd w:id="87"/>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88" w:name="_Toc506886863"/>
      <w:bookmarkStart w:id="89" w:name="_Toc493233808"/>
      <w:r>
        <w:rPr>
          <w:rStyle w:val="CharSectno"/>
        </w:rPr>
        <w:t>40</w:t>
      </w:r>
      <w:r>
        <w:t>.</w:t>
      </w:r>
      <w:r>
        <w:tab/>
        <w:t>Application for an amended licence (Act s. 26F(3))</w:t>
      </w:r>
      <w:bookmarkEnd w:id="88"/>
      <w:bookmarkEnd w:id="89"/>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in Gazette 22 Jun 2007 p. 2881 (disallowed, see Gazette 27 Nov 2007 p. 5910); 28 Dec 2007 p. 6428-9 (disallowed, see Gazette 11 Apr 2008 p. 1396).]</w:t>
      </w:r>
    </w:p>
    <w:p>
      <w:pPr>
        <w:pStyle w:val="Heading5"/>
        <w:spacing w:before="200"/>
      </w:pPr>
      <w:bookmarkStart w:id="90" w:name="_Toc506886864"/>
      <w:bookmarkStart w:id="91" w:name="_Toc493233809"/>
      <w:r>
        <w:rPr>
          <w:rStyle w:val="CharSectno"/>
        </w:rPr>
        <w:t>41</w:t>
      </w:r>
      <w:r>
        <w:t>.</w:t>
      </w:r>
      <w:r>
        <w:tab/>
        <w:t>Cancelled licence to be given to Minister</w:t>
      </w:r>
      <w:bookmarkEnd w:id="90"/>
      <w:bookmarkEnd w:id="91"/>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92" w:name="_Toc493168660"/>
      <w:bookmarkStart w:id="93" w:name="_Toc493233810"/>
      <w:bookmarkStart w:id="94" w:name="_Toc506886865"/>
      <w:r>
        <w:rPr>
          <w:rStyle w:val="CharPartNo"/>
        </w:rPr>
        <w:t>Part 4A</w:t>
      </w:r>
      <w:r>
        <w:rPr>
          <w:b w:val="0"/>
        </w:rPr>
        <w:t> </w:t>
      </w:r>
      <w:r>
        <w:t>—</w:t>
      </w:r>
      <w:r>
        <w:rPr>
          <w:b w:val="0"/>
        </w:rPr>
        <w:t> </w:t>
      </w:r>
      <w:r>
        <w:rPr>
          <w:rStyle w:val="CharPartText"/>
        </w:rPr>
        <w:t>Meters</w:t>
      </w:r>
      <w:bookmarkEnd w:id="92"/>
      <w:bookmarkEnd w:id="93"/>
      <w:bookmarkEnd w:id="94"/>
    </w:p>
    <w:p>
      <w:pPr>
        <w:pStyle w:val="Footnoteheading"/>
        <w:tabs>
          <w:tab w:val="left" w:pos="851"/>
        </w:tabs>
      </w:pPr>
      <w:r>
        <w:tab/>
        <w:t>[Heading inserted in Gazette 17 Dec 2002 p. 5912.]</w:t>
      </w:r>
    </w:p>
    <w:p>
      <w:pPr>
        <w:pStyle w:val="Heading5"/>
        <w:rPr>
          <w:ins w:id="95" w:author="Master Repository Process" w:date="2021-09-12T14:36:00Z"/>
        </w:rPr>
      </w:pPr>
      <w:bookmarkStart w:id="96" w:name="_Toc500247460"/>
      <w:bookmarkStart w:id="97" w:name="_Toc503513200"/>
      <w:bookmarkStart w:id="98" w:name="_Toc506886866"/>
      <w:ins w:id="99" w:author="Master Repository Process" w:date="2021-09-12T14:36:00Z">
        <w:r>
          <w:rPr>
            <w:rStyle w:val="CharSectno"/>
          </w:rPr>
          <w:t>41A</w:t>
        </w:r>
        <w:r>
          <w:t>.</w:t>
        </w:r>
        <w:r>
          <w:tab/>
          <w:t>Terms used</w:t>
        </w:r>
        <w:bookmarkEnd w:id="96"/>
        <w:bookmarkEnd w:id="97"/>
        <w:bookmarkEnd w:id="98"/>
      </w:ins>
    </w:p>
    <w:p>
      <w:pPr>
        <w:pStyle w:val="Subsection"/>
        <w:rPr>
          <w:ins w:id="100" w:author="Master Repository Process" w:date="2021-09-12T14:36:00Z"/>
        </w:rPr>
      </w:pPr>
      <w:ins w:id="101" w:author="Master Repository Process" w:date="2021-09-12T14:36:00Z">
        <w:r>
          <w:tab/>
        </w:r>
        <w:r>
          <w:tab/>
          <w:t xml:space="preserve">In this Part — </w:t>
        </w:r>
      </w:ins>
    </w:p>
    <w:p>
      <w:pPr>
        <w:pStyle w:val="Defstart"/>
        <w:rPr>
          <w:ins w:id="102" w:author="Master Repository Process" w:date="2021-09-12T14:36:00Z"/>
        </w:rPr>
      </w:pPr>
      <w:ins w:id="103" w:author="Master Repository Process" w:date="2021-09-12T14:36:00Z">
        <w:r>
          <w:tab/>
        </w:r>
        <w:r>
          <w:rPr>
            <w:rStyle w:val="CharDefText"/>
          </w:rPr>
          <w:t>coordinate references</w:t>
        </w:r>
        <w:r>
          <w:t xml:space="preserve"> means Map Grid of Australia 1994 grid coordinates in Zone 50 of the Universal Transverse Mercator Grid System based on the Geocentric Datum of Australia;</w:t>
        </w:r>
      </w:ins>
    </w:p>
    <w:p>
      <w:pPr>
        <w:pStyle w:val="Defstart"/>
        <w:rPr>
          <w:ins w:id="104" w:author="Master Repository Process" w:date="2021-09-12T14:36:00Z"/>
        </w:rPr>
      </w:pPr>
      <w:ins w:id="105" w:author="Master Repository Process" w:date="2021-09-12T14:36:00Z">
        <w:r>
          <w:tab/>
        </w:r>
        <w:r>
          <w:rPr>
            <w:rStyle w:val="CharDefText"/>
          </w:rPr>
          <w:t>Gnangara groundwater plan area</w:t>
        </w:r>
        <w:r>
          <w:t xml:space="preserve"> means the area shown on the map in Schedule 4;</w:t>
        </w:r>
      </w:ins>
    </w:p>
    <w:p>
      <w:pPr>
        <w:pStyle w:val="Defstart"/>
        <w:rPr>
          <w:ins w:id="106" w:author="Master Repository Process" w:date="2021-09-12T14:36:00Z"/>
        </w:rPr>
      </w:pPr>
      <w:ins w:id="107" w:author="Master Repository Process" w:date="2021-09-12T14:36:00Z">
        <w:r>
          <w:tab/>
        </w:r>
        <w:r>
          <w:rPr>
            <w:rStyle w:val="CharDefText"/>
          </w:rPr>
          <w:t>meter</w:t>
        </w:r>
        <w:r>
          <w:t xml:space="preserve"> has the same meaning as in Schedule 1 clause 46(5) to the Act;</w:t>
        </w:r>
      </w:ins>
    </w:p>
    <w:p>
      <w:pPr>
        <w:pStyle w:val="Defstart"/>
        <w:rPr>
          <w:ins w:id="108" w:author="Master Repository Process" w:date="2021-09-12T14:36:00Z"/>
        </w:rPr>
      </w:pPr>
      <w:ins w:id="109" w:author="Master Repository Process" w:date="2021-09-12T14:36:00Z">
        <w:r>
          <w:tab/>
        </w:r>
        <w:r>
          <w:rPr>
            <w:rStyle w:val="CharDefText"/>
          </w:rPr>
          <w:t>water entitlement</w:t>
        </w:r>
        <w:r>
          <w:t xml:space="preserve"> has the same meaning as in Schedule 1 clause 17(4) to the Act;</w:t>
        </w:r>
      </w:ins>
    </w:p>
    <w:p>
      <w:pPr>
        <w:pStyle w:val="Defstart"/>
        <w:rPr>
          <w:ins w:id="110" w:author="Master Repository Process" w:date="2021-09-12T14:36:00Z"/>
        </w:rPr>
      </w:pPr>
      <w:ins w:id="111" w:author="Master Repository Process" w:date="2021-09-12T14:36:00Z">
        <w:r>
          <w:tab/>
        </w:r>
        <w:r>
          <w:rPr>
            <w:rStyle w:val="CharDefText"/>
          </w:rPr>
          <w:t>water year</w:t>
        </w:r>
        <w:r>
          <w:t xml:space="preserve"> means the period stated as the water year on a licence, or if no water year is stated on the licence, the period of 12 months beginning on the date on which the licence was granted.</w:t>
        </w:r>
      </w:ins>
    </w:p>
    <w:p>
      <w:pPr>
        <w:pStyle w:val="Footnotesection"/>
        <w:rPr>
          <w:ins w:id="112" w:author="Master Repository Process" w:date="2021-09-12T14:36:00Z"/>
        </w:rPr>
      </w:pPr>
      <w:bookmarkStart w:id="113" w:name="_Toc500247461"/>
      <w:bookmarkStart w:id="114" w:name="_Toc503513201"/>
      <w:ins w:id="115" w:author="Master Repository Process" w:date="2021-09-12T14:36:00Z">
        <w:r>
          <w:tab/>
          <w:t>[Regulation 41A inserted in Gazette 20 Feb 2018 p. 495</w:t>
        </w:r>
        <w:r>
          <w:noBreakHyphen/>
          <w:t>6.]</w:t>
        </w:r>
      </w:ins>
    </w:p>
    <w:p>
      <w:pPr>
        <w:pStyle w:val="Heading5"/>
        <w:rPr>
          <w:ins w:id="116" w:author="Master Repository Process" w:date="2021-09-12T14:36:00Z"/>
        </w:rPr>
      </w:pPr>
      <w:bookmarkStart w:id="117" w:name="_Toc506886867"/>
      <w:ins w:id="118" w:author="Master Repository Process" w:date="2021-09-12T14:36:00Z">
        <w:r>
          <w:rPr>
            <w:rStyle w:val="CharSectno"/>
          </w:rPr>
          <w:t>41B</w:t>
        </w:r>
        <w:r>
          <w:t>.</w:t>
        </w:r>
        <w:r>
          <w:tab/>
          <w:t>Application of regulation 41C</w:t>
        </w:r>
        <w:bookmarkEnd w:id="113"/>
        <w:bookmarkEnd w:id="114"/>
        <w:bookmarkEnd w:id="117"/>
      </w:ins>
    </w:p>
    <w:p>
      <w:pPr>
        <w:pStyle w:val="Subsection"/>
        <w:rPr>
          <w:ins w:id="119" w:author="Master Repository Process" w:date="2021-09-12T14:36:00Z"/>
        </w:rPr>
      </w:pPr>
      <w:ins w:id="120" w:author="Master Repository Process" w:date="2021-09-12T14:36:00Z">
        <w:r>
          <w:tab/>
          <w:t>(1)</w:t>
        </w:r>
        <w:r>
          <w:tab/>
          <w:t>Regulation 41C applies to a licence referred to in column 1 of the Table on and after the date specified in column 2 of the Table.</w:t>
        </w:r>
      </w:ins>
    </w:p>
    <w:p>
      <w:pPr>
        <w:pStyle w:val="THeadingNAm"/>
        <w:rPr>
          <w:ins w:id="121" w:author="Master Repository Process" w:date="2021-09-12T14:36:00Z"/>
        </w:rPr>
      </w:pPr>
      <w:ins w:id="122" w:author="Master Repository Process" w:date="2021-09-12T14:36: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ins w:id="123" w:author="Master Repository Process" w:date="2021-09-12T14:36:00Z"/>
        </w:trPr>
        <w:tc>
          <w:tcPr>
            <w:tcW w:w="2764" w:type="dxa"/>
          </w:tcPr>
          <w:p>
            <w:pPr>
              <w:pStyle w:val="TableNAm"/>
              <w:rPr>
                <w:ins w:id="124" w:author="Master Repository Process" w:date="2021-09-12T14:36:00Z"/>
              </w:rPr>
            </w:pPr>
            <w:ins w:id="125" w:author="Master Repository Process" w:date="2021-09-12T14:36:00Z">
              <w:r>
                <w:rPr>
                  <w:b/>
                  <w:bCs/>
                </w:rPr>
                <w:t>Licence</w:t>
              </w:r>
            </w:ins>
          </w:p>
        </w:tc>
        <w:tc>
          <w:tcPr>
            <w:tcW w:w="2764" w:type="dxa"/>
          </w:tcPr>
          <w:p>
            <w:pPr>
              <w:pStyle w:val="TableNAm"/>
              <w:rPr>
                <w:ins w:id="126" w:author="Master Repository Process" w:date="2021-09-12T14:36:00Z"/>
              </w:rPr>
            </w:pPr>
            <w:ins w:id="127" w:author="Master Repository Process" w:date="2021-09-12T14:36:00Z">
              <w:r>
                <w:rPr>
                  <w:b/>
                  <w:bCs/>
                </w:rPr>
                <w:t>Date</w:t>
              </w:r>
            </w:ins>
          </w:p>
        </w:tc>
      </w:tr>
      <w:tr>
        <w:trPr>
          <w:cantSplit/>
          <w:ins w:id="128" w:author="Master Repository Process" w:date="2021-09-12T14:36:00Z"/>
        </w:trPr>
        <w:tc>
          <w:tcPr>
            <w:tcW w:w="2764" w:type="dxa"/>
          </w:tcPr>
          <w:p>
            <w:pPr>
              <w:pStyle w:val="TableNAm"/>
              <w:rPr>
                <w:ins w:id="129" w:author="Master Repository Process" w:date="2021-09-12T14:36:00Z"/>
              </w:rPr>
            </w:pPr>
            <w:ins w:id="130" w:author="Master Repository Process" w:date="2021-09-12T14:36:00Z">
              <w:r>
                <w:t>A licence with a water entitlement of 500 000 kilolitres or more per water year</w:t>
              </w:r>
            </w:ins>
          </w:p>
        </w:tc>
        <w:tc>
          <w:tcPr>
            <w:tcW w:w="2764" w:type="dxa"/>
          </w:tcPr>
          <w:p>
            <w:pPr>
              <w:pStyle w:val="TableNAm"/>
              <w:rPr>
                <w:ins w:id="131" w:author="Master Repository Process" w:date="2021-09-12T14:36:00Z"/>
              </w:rPr>
            </w:pPr>
            <w:ins w:id="132" w:author="Master Repository Process" w:date="2021-09-12T14:36:00Z">
              <w:r>
                <w:t>31 March 2018</w:t>
              </w:r>
            </w:ins>
          </w:p>
        </w:tc>
      </w:tr>
      <w:tr>
        <w:trPr>
          <w:cantSplit/>
          <w:ins w:id="133" w:author="Master Repository Process" w:date="2021-09-12T14:36:00Z"/>
        </w:trPr>
        <w:tc>
          <w:tcPr>
            <w:tcW w:w="2764" w:type="dxa"/>
          </w:tcPr>
          <w:p>
            <w:pPr>
              <w:pStyle w:val="TableNAm"/>
              <w:rPr>
                <w:ins w:id="134" w:author="Master Repository Process" w:date="2021-09-12T14:36:00Z"/>
              </w:rPr>
            </w:pPr>
            <w:ins w:id="135" w:author="Master Repository Process" w:date="2021-09-12T14:36:00Z">
              <w:r>
                <w:t>A licence with a water entitlement of 50 000 kilolitres or more but less than 500 000 kilolitres per water year</w:t>
              </w:r>
            </w:ins>
          </w:p>
        </w:tc>
        <w:tc>
          <w:tcPr>
            <w:tcW w:w="2764" w:type="dxa"/>
          </w:tcPr>
          <w:p>
            <w:pPr>
              <w:pStyle w:val="TableNAm"/>
              <w:rPr>
                <w:ins w:id="136" w:author="Master Repository Process" w:date="2021-09-12T14:36:00Z"/>
              </w:rPr>
            </w:pPr>
            <w:ins w:id="137" w:author="Master Repository Process" w:date="2021-09-12T14:36:00Z">
              <w:r>
                <w:t>31 December 2018</w:t>
              </w:r>
            </w:ins>
          </w:p>
        </w:tc>
      </w:tr>
      <w:tr>
        <w:trPr>
          <w:cantSplit/>
          <w:ins w:id="138" w:author="Master Repository Process" w:date="2021-09-12T14:36:00Z"/>
        </w:trPr>
        <w:tc>
          <w:tcPr>
            <w:tcW w:w="2764" w:type="dxa"/>
          </w:tcPr>
          <w:p>
            <w:pPr>
              <w:pStyle w:val="TableNAm"/>
              <w:rPr>
                <w:ins w:id="139" w:author="Master Repository Process" w:date="2021-09-12T14:36:00Z"/>
              </w:rPr>
            </w:pPr>
            <w:ins w:id="140" w:author="Master Repository Process" w:date="2021-09-12T14:36:00Z">
              <w:r>
                <w:t>A licence granted in respect of the Gnangara groundwater plan area with a water entitlement of 10 000 kilolitres or more but less than 50 000 kilolitres per water year</w:t>
              </w:r>
            </w:ins>
          </w:p>
        </w:tc>
        <w:tc>
          <w:tcPr>
            <w:tcW w:w="2764" w:type="dxa"/>
          </w:tcPr>
          <w:p>
            <w:pPr>
              <w:pStyle w:val="TableNAm"/>
              <w:rPr>
                <w:ins w:id="141" w:author="Master Repository Process" w:date="2021-09-12T14:36:00Z"/>
              </w:rPr>
            </w:pPr>
            <w:ins w:id="142" w:author="Master Repository Process" w:date="2021-09-12T14:36:00Z">
              <w:r>
                <w:t>31 December 2019</w:t>
              </w:r>
            </w:ins>
          </w:p>
        </w:tc>
      </w:tr>
      <w:tr>
        <w:trPr>
          <w:cantSplit/>
          <w:ins w:id="143" w:author="Master Repository Process" w:date="2021-09-12T14:36:00Z"/>
        </w:trPr>
        <w:tc>
          <w:tcPr>
            <w:tcW w:w="2764" w:type="dxa"/>
          </w:tcPr>
          <w:p>
            <w:pPr>
              <w:pStyle w:val="TableNAm"/>
              <w:rPr>
                <w:ins w:id="144" w:author="Master Repository Process" w:date="2021-09-12T14:36:00Z"/>
              </w:rPr>
            </w:pPr>
            <w:ins w:id="145" w:author="Master Repository Process" w:date="2021-09-12T14:36:00Z">
              <w:r>
                <w:t>All other licences with a water entitlement of 10 000 kilolitres or more but less than 50 000 kilolitres per water year</w:t>
              </w:r>
            </w:ins>
          </w:p>
        </w:tc>
        <w:tc>
          <w:tcPr>
            <w:tcW w:w="2764" w:type="dxa"/>
          </w:tcPr>
          <w:p>
            <w:pPr>
              <w:pStyle w:val="TableNAm"/>
              <w:rPr>
                <w:ins w:id="146" w:author="Master Repository Process" w:date="2021-09-12T14:36:00Z"/>
              </w:rPr>
            </w:pPr>
            <w:ins w:id="147" w:author="Master Repository Process" w:date="2021-09-12T14:36:00Z">
              <w:r>
                <w:t>31 December 2020</w:t>
              </w:r>
            </w:ins>
          </w:p>
        </w:tc>
      </w:tr>
    </w:tbl>
    <w:p>
      <w:pPr>
        <w:pStyle w:val="Subsection"/>
        <w:rPr>
          <w:ins w:id="148" w:author="Master Repository Process" w:date="2021-09-12T14:36:00Z"/>
        </w:rPr>
      </w:pPr>
      <w:ins w:id="149" w:author="Master Repository Process" w:date="2021-09-12T14:36:00Z">
        <w:r>
          <w:tab/>
          <w:t>(2)</w:t>
        </w:r>
        <w:r>
          <w:tab/>
          <w:t xml:space="preserve">However, regulation 41C does not apply to a licence referred to in column 1 of the Table to subregulation (1) that — </w:t>
        </w:r>
      </w:ins>
    </w:p>
    <w:p>
      <w:pPr>
        <w:pStyle w:val="Indenta"/>
        <w:rPr>
          <w:ins w:id="150" w:author="Master Repository Process" w:date="2021-09-12T14:36:00Z"/>
        </w:rPr>
      </w:pPr>
      <w:ins w:id="151" w:author="Master Repository Process" w:date="2021-09-12T14:36:00Z">
        <w:r>
          <w:tab/>
          <w:t>(a)</w:t>
        </w:r>
        <w:r>
          <w:tab/>
          <w:t>is issued for less than 12 months; or</w:t>
        </w:r>
      </w:ins>
    </w:p>
    <w:p>
      <w:pPr>
        <w:pStyle w:val="Indenta"/>
        <w:rPr>
          <w:ins w:id="152" w:author="Master Repository Process" w:date="2021-09-12T14:36:00Z"/>
        </w:rPr>
      </w:pPr>
      <w:ins w:id="153" w:author="Master Repository Process" w:date="2021-09-12T14:36:00Z">
        <w:r>
          <w:tab/>
          <w:t>(b)</w:t>
        </w:r>
        <w:r>
          <w:tab/>
          <w:t>is issued in respect of a single user dam; or</w:t>
        </w:r>
      </w:ins>
    </w:p>
    <w:p>
      <w:pPr>
        <w:pStyle w:val="Indenta"/>
        <w:rPr>
          <w:ins w:id="154" w:author="Master Repository Process" w:date="2021-09-12T14:36:00Z"/>
        </w:rPr>
      </w:pPr>
      <w:ins w:id="155" w:author="Master Repository Process" w:date="2021-09-12T14:36:00Z">
        <w:r>
          <w:tab/>
          <w:t>(c)</w:t>
        </w:r>
        <w:r>
          <w:tab/>
          <w:t xml:space="preserve">is a licence to which — </w:t>
        </w:r>
      </w:ins>
    </w:p>
    <w:p>
      <w:pPr>
        <w:pStyle w:val="Indenti"/>
        <w:rPr>
          <w:ins w:id="156" w:author="Master Repository Process" w:date="2021-09-12T14:36:00Z"/>
        </w:rPr>
      </w:pPr>
      <w:ins w:id="157" w:author="Master Repository Process" w:date="2021-09-12T14:36:00Z">
        <w:r>
          <w:tab/>
          <w:t>(i)</w:t>
        </w:r>
        <w:r>
          <w:tab/>
          <w:t>an alternative measurement method approved under regulation 41E applies; or</w:t>
        </w:r>
      </w:ins>
    </w:p>
    <w:p>
      <w:pPr>
        <w:pStyle w:val="Indenti"/>
        <w:rPr>
          <w:ins w:id="158" w:author="Master Repository Process" w:date="2021-09-12T14:36:00Z"/>
        </w:rPr>
      </w:pPr>
      <w:ins w:id="159" w:author="Master Repository Process" w:date="2021-09-12T14:36:00Z">
        <w:r>
          <w:tab/>
          <w:t>(ii)</w:t>
        </w:r>
        <w:r>
          <w:tab/>
          <w:t>an exemption granted under regulation 41F applies.</w:t>
        </w:r>
      </w:ins>
    </w:p>
    <w:p>
      <w:pPr>
        <w:pStyle w:val="Footnotesection"/>
        <w:rPr>
          <w:ins w:id="160" w:author="Master Repository Process" w:date="2021-09-12T14:36:00Z"/>
        </w:rPr>
      </w:pPr>
      <w:bookmarkStart w:id="161" w:name="_Toc500247462"/>
      <w:bookmarkStart w:id="162" w:name="_Toc503513202"/>
      <w:ins w:id="163" w:author="Master Repository Process" w:date="2021-09-12T14:36:00Z">
        <w:r>
          <w:tab/>
          <w:t>[Regulation 41B inserted in Gazette 20 Feb 2018 p. 496</w:t>
        </w:r>
        <w:r>
          <w:noBreakHyphen/>
          <w:t>7.]</w:t>
        </w:r>
      </w:ins>
    </w:p>
    <w:p>
      <w:pPr>
        <w:pStyle w:val="Heading5"/>
        <w:pageBreakBefore/>
        <w:spacing w:before="0"/>
        <w:rPr>
          <w:ins w:id="164" w:author="Master Repository Process" w:date="2021-09-12T14:36:00Z"/>
        </w:rPr>
      </w:pPr>
      <w:bookmarkStart w:id="165" w:name="_Toc506886868"/>
      <w:ins w:id="166" w:author="Master Repository Process" w:date="2021-09-12T14:36:00Z">
        <w:r>
          <w:rPr>
            <w:rStyle w:val="CharSectno"/>
          </w:rPr>
          <w:t>41C</w:t>
        </w:r>
        <w:r>
          <w:t>.</w:t>
        </w:r>
        <w:r>
          <w:tab/>
          <w:t>Licence subject to metering conditions</w:t>
        </w:r>
        <w:bookmarkEnd w:id="161"/>
        <w:bookmarkEnd w:id="162"/>
        <w:bookmarkEnd w:id="165"/>
      </w:ins>
    </w:p>
    <w:p>
      <w:pPr>
        <w:pStyle w:val="Subsection"/>
        <w:rPr>
          <w:ins w:id="167" w:author="Master Repository Process" w:date="2021-09-12T14:36:00Z"/>
        </w:rPr>
      </w:pPr>
      <w:ins w:id="168" w:author="Master Repository Process" w:date="2021-09-12T14:36:00Z">
        <w:r>
          <w:tab/>
          <w:t>(1)</w:t>
        </w:r>
        <w:r>
          <w:tab/>
          <w:t xml:space="preserve">Each licence is subject to the conditions that the licensee must — </w:t>
        </w:r>
      </w:ins>
    </w:p>
    <w:p>
      <w:pPr>
        <w:pStyle w:val="Indenta"/>
        <w:rPr>
          <w:ins w:id="169" w:author="Master Repository Process" w:date="2021-09-12T14:36:00Z"/>
        </w:rPr>
      </w:pPr>
      <w:ins w:id="170" w:author="Master Repository Process" w:date="2021-09-12T14:36:00Z">
        <w:r>
          <w:tab/>
          <w:t>(a)</w:t>
        </w:r>
        <w:r>
          <w:tab/>
          <w:t>install a meter on each water draw</w:t>
        </w:r>
        <w:r>
          <w:noBreakHyphen/>
          <w:t>point through which water is taken under the licence; and</w:t>
        </w:r>
      </w:ins>
    </w:p>
    <w:p>
      <w:pPr>
        <w:pStyle w:val="Indenta"/>
        <w:rPr>
          <w:ins w:id="171" w:author="Master Repository Process" w:date="2021-09-12T14:36:00Z"/>
        </w:rPr>
      </w:pPr>
      <w:ins w:id="172" w:author="Master Repository Process" w:date="2021-09-12T14:36:00Z">
        <w:r>
          <w:tab/>
          <w:t>(b)</w:t>
        </w:r>
        <w:r>
          <w:tab/>
          <w:t>for each meter installed under paragraph (a) —</w:t>
        </w:r>
      </w:ins>
    </w:p>
    <w:p>
      <w:pPr>
        <w:pStyle w:val="Indenti"/>
        <w:rPr>
          <w:ins w:id="173" w:author="Master Repository Process" w:date="2021-09-12T14:36:00Z"/>
        </w:rPr>
      </w:pPr>
      <w:ins w:id="174" w:author="Master Repository Process" w:date="2021-09-12T14:36:00Z">
        <w:r>
          <w:tab/>
          <w:t>(i)</w:t>
        </w:r>
        <w:r>
          <w:tab/>
          <w:t>maintain the meter in good condition and ensure that it is operating within a range of plus or minus 5% of the quantity of water that passes through it when tested in field conditions; and</w:t>
        </w:r>
      </w:ins>
    </w:p>
    <w:p>
      <w:pPr>
        <w:pStyle w:val="Indenti"/>
        <w:rPr>
          <w:ins w:id="175" w:author="Master Repository Process" w:date="2021-09-12T14:36:00Z"/>
        </w:rPr>
      </w:pPr>
      <w:ins w:id="176" w:author="Master Repository Process" w:date="2021-09-12T14:36:00Z">
        <w:r>
          <w:tab/>
          <w:t>(ii)</w:t>
        </w:r>
        <w:r>
          <w:tab/>
          <w:t>provide the Minister with the information listed in subregulation (2) within 30 days of the installation; and</w:t>
        </w:r>
      </w:ins>
    </w:p>
    <w:p>
      <w:pPr>
        <w:pStyle w:val="Indenti"/>
        <w:rPr>
          <w:ins w:id="177" w:author="Master Repository Process" w:date="2021-09-12T14:36:00Z"/>
        </w:rPr>
      </w:pPr>
      <w:ins w:id="178" w:author="Master Repository Process" w:date="2021-09-12T14:36:00Z">
        <w:r>
          <w:tab/>
          <w:t>(iii)</w:t>
        </w:r>
        <w:r>
          <w:tab/>
          <w:t>notify the Minister within 7 days of detecting a malfunction of the meter; and</w:t>
        </w:r>
      </w:ins>
    </w:p>
    <w:p>
      <w:pPr>
        <w:pStyle w:val="Indenti"/>
        <w:rPr>
          <w:ins w:id="179" w:author="Master Repository Process" w:date="2021-09-12T14:36:00Z"/>
        </w:rPr>
      </w:pPr>
      <w:ins w:id="180" w:author="Master Repository Process" w:date="2021-09-12T14:36:00Z">
        <w:r>
          <w:tab/>
          <w:t>(iv)</w:t>
        </w:r>
        <w:r>
          <w:tab/>
          <w:t>record the meter reading at the end of each month; and</w:t>
        </w:r>
      </w:ins>
    </w:p>
    <w:p>
      <w:pPr>
        <w:pStyle w:val="Indenti"/>
        <w:rPr>
          <w:ins w:id="181" w:author="Master Repository Process" w:date="2021-09-12T14:36:00Z"/>
        </w:rPr>
      </w:pPr>
      <w:ins w:id="182" w:author="Master Repository Process" w:date="2021-09-12T14:36:00Z">
        <w:r>
          <w:tab/>
          <w:t>(v)</w:t>
        </w:r>
        <w:r>
          <w:tab/>
          <w:t>provide a copy of the meter readings recorded under subparagraph (iv) to the Minster within 30 days after the end of the relevant water year.</w:t>
        </w:r>
      </w:ins>
    </w:p>
    <w:p>
      <w:pPr>
        <w:pStyle w:val="Penstart"/>
        <w:rPr>
          <w:ins w:id="183" w:author="Master Repository Process" w:date="2021-09-12T14:36:00Z"/>
        </w:rPr>
      </w:pPr>
      <w:ins w:id="184" w:author="Master Repository Process" w:date="2021-09-12T14:36:00Z">
        <w:r>
          <w:tab/>
          <w:t>Penalty for this subregulation: A fine of $2 000 and a daily penalty of $200.</w:t>
        </w:r>
      </w:ins>
    </w:p>
    <w:p>
      <w:pPr>
        <w:pStyle w:val="Subsection"/>
        <w:rPr>
          <w:ins w:id="185" w:author="Master Repository Process" w:date="2021-09-12T14:36:00Z"/>
        </w:rPr>
      </w:pPr>
      <w:ins w:id="186" w:author="Master Repository Process" w:date="2021-09-12T14:36:00Z">
        <w:r>
          <w:tab/>
          <w:t>(2)</w:t>
        </w:r>
        <w:r>
          <w:tab/>
          <w:t xml:space="preserve">For the purposes of subregulation (1)(b)(ii), the information is — </w:t>
        </w:r>
      </w:ins>
    </w:p>
    <w:p>
      <w:pPr>
        <w:pStyle w:val="Indenta"/>
        <w:rPr>
          <w:ins w:id="187" w:author="Master Repository Process" w:date="2021-09-12T14:36:00Z"/>
        </w:rPr>
      </w:pPr>
      <w:ins w:id="188" w:author="Master Repository Process" w:date="2021-09-12T14:36:00Z">
        <w:r>
          <w:tab/>
          <w:t>(a)</w:t>
        </w:r>
        <w:r>
          <w:tab/>
          <w:t>the coordinate references relating to the location of the meter or another approved description of its location; and</w:t>
        </w:r>
      </w:ins>
    </w:p>
    <w:p>
      <w:pPr>
        <w:pStyle w:val="Indenta"/>
        <w:rPr>
          <w:ins w:id="189" w:author="Master Repository Process" w:date="2021-09-12T14:36:00Z"/>
        </w:rPr>
      </w:pPr>
      <w:ins w:id="190" w:author="Master Repository Process" w:date="2021-09-12T14:36:00Z">
        <w:r>
          <w:tab/>
          <w:t>(b)</w:t>
        </w:r>
        <w:r>
          <w:tab/>
          <w:t>the date on which the meter was installed; and</w:t>
        </w:r>
      </w:ins>
    </w:p>
    <w:p>
      <w:pPr>
        <w:pStyle w:val="Indenta"/>
        <w:rPr>
          <w:ins w:id="191" w:author="Master Repository Process" w:date="2021-09-12T14:36:00Z"/>
        </w:rPr>
      </w:pPr>
      <w:ins w:id="192" w:author="Master Repository Process" w:date="2021-09-12T14:36:00Z">
        <w:r>
          <w:tab/>
          <w:t>(c)</w:t>
        </w:r>
        <w:r>
          <w:tab/>
          <w:t>the meter reading at the time of installation; and</w:t>
        </w:r>
      </w:ins>
    </w:p>
    <w:p>
      <w:pPr>
        <w:pStyle w:val="Indenta"/>
        <w:rPr>
          <w:ins w:id="193" w:author="Master Repository Process" w:date="2021-09-12T14:36:00Z"/>
        </w:rPr>
      </w:pPr>
      <w:ins w:id="194" w:author="Master Repository Process" w:date="2021-09-12T14:36:00Z">
        <w:r>
          <w:tab/>
          <w:t>(d)</w:t>
        </w:r>
        <w:r>
          <w:tab/>
          <w:t>the make, size, type and serial number of the meter; and</w:t>
        </w:r>
      </w:ins>
    </w:p>
    <w:p>
      <w:pPr>
        <w:pStyle w:val="Indenta"/>
        <w:rPr>
          <w:ins w:id="195" w:author="Master Repository Process" w:date="2021-09-12T14:36:00Z"/>
        </w:rPr>
      </w:pPr>
      <w:ins w:id="196" w:author="Master Repository Process" w:date="2021-09-12T14:36:00Z">
        <w:r>
          <w:tab/>
          <w:t>(e)</w:t>
        </w:r>
        <w:r>
          <w:tab/>
          <w:t xml:space="preserve">drawings or annotated photographs of the meter after its installation that show — </w:t>
        </w:r>
      </w:ins>
    </w:p>
    <w:p>
      <w:pPr>
        <w:pStyle w:val="Indenti"/>
        <w:rPr>
          <w:ins w:id="197" w:author="Master Repository Process" w:date="2021-09-12T14:36:00Z"/>
        </w:rPr>
      </w:pPr>
      <w:ins w:id="198" w:author="Master Repository Process" w:date="2021-09-12T14:36:00Z">
        <w:r>
          <w:tab/>
          <w:t>(i)</w:t>
        </w:r>
        <w:r>
          <w:tab/>
          <w:t>the length of pipe connecting the draw</w:t>
        </w:r>
        <w:r>
          <w:noBreakHyphen/>
          <w:t>point to the upstream flange of the meter; and</w:t>
        </w:r>
      </w:ins>
    </w:p>
    <w:p>
      <w:pPr>
        <w:pStyle w:val="Indenti"/>
        <w:rPr>
          <w:ins w:id="199" w:author="Master Repository Process" w:date="2021-09-12T14:36:00Z"/>
        </w:rPr>
      </w:pPr>
      <w:ins w:id="200" w:author="Master Repository Process" w:date="2021-09-12T14:36:00Z">
        <w:r>
          <w:tab/>
          <w:t>(ii)</w:t>
        </w:r>
        <w:r>
          <w:tab/>
          <w:t>the length of pipe between the downstream flange of the meter and the first</w:t>
        </w:r>
        <w:r>
          <w:noBreakHyphen/>
          <w:t>bend or take</w:t>
        </w:r>
        <w:r>
          <w:noBreakHyphen/>
          <w:t>off; and</w:t>
        </w:r>
      </w:ins>
    </w:p>
    <w:p>
      <w:pPr>
        <w:pStyle w:val="Indenti"/>
        <w:rPr>
          <w:ins w:id="201" w:author="Master Repository Process" w:date="2021-09-12T14:36:00Z"/>
        </w:rPr>
      </w:pPr>
      <w:ins w:id="202" w:author="Master Repository Process" w:date="2021-09-12T14:36:00Z">
        <w:r>
          <w:tab/>
          <w:t>(iii)</w:t>
        </w:r>
        <w:r>
          <w:tab/>
          <w:t>the direction of the water flow through the meter;</w:t>
        </w:r>
      </w:ins>
    </w:p>
    <w:p>
      <w:pPr>
        <w:pStyle w:val="Indenta"/>
        <w:rPr>
          <w:ins w:id="203" w:author="Master Repository Process" w:date="2021-09-12T14:36:00Z"/>
        </w:rPr>
      </w:pPr>
      <w:ins w:id="204" w:author="Master Repository Process" w:date="2021-09-12T14:36:00Z">
        <w:r>
          <w:tab/>
        </w:r>
        <w:r>
          <w:tab/>
          <w:t>and</w:t>
        </w:r>
      </w:ins>
    </w:p>
    <w:p>
      <w:pPr>
        <w:pStyle w:val="Indenta"/>
        <w:rPr>
          <w:ins w:id="205" w:author="Master Repository Process" w:date="2021-09-12T14:36:00Z"/>
        </w:rPr>
      </w:pPr>
      <w:ins w:id="206" w:author="Master Repository Process" w:date="2021-09-12T14:36:00Z">
        <w:r>
          <w:tab/>
          <w:t>(f)</w:t>
        </w:r>
        <w:r>
          <w:tab/>
          <w:t>a copy of the manufacturer’s specifications for installation of the meter or written advice from the person who installed the meter that it complies with the manufacturer’s specifications for installation.</w:t>
        </w:r>
      </w:ins>
    </w:p>
    <w:p>
      <w:pPr>
        <w:pStyle w:val="Subsection"/>
        <w:rPr>
          <w:ins w:id="207" w:author="Master Repository Process" w:date="2021-09-12T14:36:00Z"/>
        </w:rPr>
      </w:pPr>
      <w:ins w:id="208" w:author="Master Repository Process" w:date="2021-09-12T14:36:00Z">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ins>
    </w:p>
    <w:p>
      <w:pPr>
        <w:pStyle w:val="Subsection"/>
        <w:rPr>
          <w:ins w:id="209" w:author="Master Repository Process" w:date="2021-09-12T14:36:00Z"/>
        </w:rPr>
      </w:pPr>
      <w:ins w:id="210" w:author="Master Repository Process" w:date="2021-09-12T14:36:00Z">
        <w:r>
          <w:tab/>
          <w:t>(4)</w:t>
        </w:r>
        <w:r>
          <w:tab/>
          <w:t>The meter readings required under subregulation (1)(b)(v) must be provided using the Department’s electronic online system provided for that purpose unless the Minister approves another method for providing the readings in any particular case.</w:t>
        </w:r>
      </w:ins>
    </w:p>
    <w:p>
      <w:pPr>
        <w:pStyle w:val="Footnotesection"/>
        <w:rPr>
          <w:ins w:id="211" w:author="Master Repository Process" w:date="2021-09-12T14:36:00Z"/>
        </w:rPr>
      </w:pPr>
      <w:bookmarkStart w:id="212" w:name="_Toc500247463"/>
      <w:bookmarkStart w:id="213" w:name="_Toc503513203"/>
      <w:ins w:id="214" w:author="Master Repository Process" w:date="2021-09-12T14:36:00Z">
        <w:r>
          <w:tab/>
          <w:t>[Regulation 41C inserted in Gazette 20 Feb 2018 p. 497</w:t>
        </w:r>
        <w:r>
          <w:noBreakHyphen/>
          <w:t>8.]</w:t>
        </w:r>
      </w:ins>
    </w:p>
    <w:p>
      <w:pPr>
        <w:pStyle w:val="Heading5"/>
        <w:rPr>
          <w:ins w:id="215" w:author="Master Repository Process" w:date="2021-09-12T14:36:00Z"/>
        </w:rPr>
      </w:pPr>
      <w:bookmarkStart w:id="216" w:name="_Toc506886869"/>
      <w:ins w:id="217" w:author="Master Repository Process" w:date="2021-09-12T14:36:00Z">
        <w:r>
          <w:rPr>
            <w:rStyle w:val="CharSectno"/>
          </w:rPr>
          <w:t>41D</w:t>
        </w:r>
        <w:r>
          <w:t>.</w:t>
        </w:r>
        <w:r>
          <w:tab/>
          <w:t>Minister may direct compliance with metering conditions</w:t>
        </w:r>
        <w:bookmarkEnd w:id="212"/>
        <w:bookmarkEnd w:id="213"/>
        <w:bookmarkEnd w:id="216"/>
      </w:ins>
    </w:p>
    <w:p>
      <w:pPr>
        <w:pStyle w:val="Subsection"/>
        <w:rPr>
          <w:ins w:id="218" w:author="Master Repository Process" w:date="2021-09-12T14:36:00Z"/>
        </w:rPr>
      </w:pPr>
      <w:ins w:id="219" w:author="Master Repository Process" w:date="2021-09-12T14:36:00Z">
        <w:r>
          <w:tab/>
          <w:t>(1)</w:t>
        </w:r>
        <w:r>
          <w:tab/>
          <w:t>If a licensee fails to comply with any of the metering conditions specified in regulation 41C(1), the Minister may direct the licensee to comply with those conditions.</w:t>
        </w:r>
      </w:ins>
    </w:p>
    <w:p>
      <w:pPr>
        <w:pStyle w:val="Subsection"/>
        <w:rPr>
          <w:ins w:id="220" w:author="Master Repository Process" w:date="2021-09-12T14:36:00Z"/>
        </w:rPr>
      </w:pPr>
      <w:ins w:id="221" w:author="Master Repository Process" w:date="2021-09-12T14:36:00Z">
        <w:r>
          <w:tab/>
          <w:t>(2)</w:t>
        </w:r>
        <w:r>
          <w:tab/>
          <w:t xml:space="preserve">A direction under subregulation (1) must — </w:t>
        </w:r>
      </w:ins>
    </w:p>
    <w:p>
      <w:pPr>
        <w:pStyle w:val="Indenta"/>
        <w:rPr>
          <w:ins w:id="222" w:author="Master Repository Process" w:date="2021-09-12T14:36:00Z"/>
        </w:rPr>
      </w:pPr>
      <w:ins w:id="223" w:author="Master Repository Process" w:date="2021-09-12T14:36:00Z">
        <w:r>
          <w:tab/>
          <w:t>(a)</w:t>
        </w:r>
        <w:r>
          <w:tab/>
          <w:t>be given by written notice served on the licensee; and</w:t>
        </w:r>
      </w:ins>
    </w:p>
    <w:p>
      <w:pPr>
        <w:pStyle w:val="Indenta"/>
        <w:rPr>
          <w:ins w:id="224" w:author="Master Repository Process" w:date="2021-09-12T14:36:00Z"/>
        </w:rPr>
      </w:pPr>
      <w:ins w:id="225" w:author="Master Repository Process" w:date="2021-09-12T14:36:00Z">
        <w:r>
          <w:tab/>
          <w:t>(b)</w:t>
        </w:r>
        <w:r>
          <w:tab/>
          <w:t>specify the time within which the direction is to be complied with.</w:t>
        </w:r>
      </w:ins>
    </w:p>
    <w:p>
      <w:pPr>
        <w:pStyle w:val="Subsection"/>
        <w:rPr>
          <w:ins w:id="226" w:author="Master Repository Process" w:date="2021-09-12T14:36:00Z"/>
        </w:rPr>
      </w:pPr>
      <w:ins w:id="227" w:author="Master Repository Process" w:date="2021-09-12T14:36:00Z">
        <w:r>
          <w:tab/>
          <w:t>(3)</w:t>
        </w:r>
        <w:r>
          <w:tab/>
          <w:t xml:space="preserve">If the licensee to whom a direction has been given does not comply with the direction within the specified time, or any additional time allowed by the Minister — </w:t>
        </w:r>
      </w:ins>
    </w:p>
    <w:p>
      <w:pPr>
        <w:pStyle w:val="Indenta"/>
        <w:rPr>
          <w:ins w:id="228" w:author="Master Repository Process" w:date="2021-09-12T14:36:00Z"/>
        </w:rPr>
      </w:pPr>
      <w:ins w:id="229" w:author="Master Repository Process" w:date="2021-09-12T14:36:00Z">
        <w:r>
          <w:tab/>
          <w:t>(a)</w:t>
        </w:r>
        <w:r>
          <w:tab/>
          <w:t>the licensee commits an offence; and</w:t>
        </w:r>
      </w:ins>
    </w:p>
    <w:p>
      <w:pPr>
        <w:pStyle w:val="Indenta"/>
        <w:rPr>
          <w:ins w:id="230" w:author="Master Repository Process" w:date="2021-09-12T14:36:00Z"/>
        </w:rPr>
      </w:pPr>
      <w:ins w:id="231" w:author="Master Repository Process" w:date="2021-09-12T14:36:00Z">
        <w:r>
          <w:tab/>
          <w:t>(b)</w:t>
        </w:r>
        <w:r>
          <w:tab/>
          <w:t xml:space="preserve">the Minister may — </w:t>
        </w:r>
      </w:ins>
    </w:p>
    <w:p>
      <w:pPr>
        <w:pStyle w:val="Indenti"/>
        <w:rPr>
          <w:ins w:id="232" w:author="Master Repository Process" w:date="2021-09-12T14:36:00Z"/>
        </w:rPr>
      </w:pPr>
      <w:ins w:id="233" w:author="Master Repository Process" w:date="2021-09-12T14:36:00Z">
        <w:r>
          <w:tab/>
          <w:t>(i)</w:t>
        </w:r>
        <w:r>
          <w:tab/>
          <w:t>do all or part of whatever the direction requires to be done; and</w:t>
        </w:r>
      </w:ins>
    </w:p>
    <w:p>
      <w:pPr>
        <w:pStyle w:val="Indenti"/>
        <w:rPr>
          <w:ins w:id="234" w:author="Master Repository Process" w:date="2021-09-12T14:36:00Z"/>
        </w:rPr>
      </w:pPr>
      <w:ins w:id="235" w:author="Master Repository Process" w:date="2021-09-12T14:36:00Z">
        <w:r>
          <w:tab/>
          <w:t>(ii)</w:t>
        </w:r>
        <w:r>
          <w:tab/>
          <w:t>recover the costs from the licensee as a debt due to the State in a court of competent jurisdiction.</w:t>
        </w:r>
      </w:ins>
    </w:p>
    <w:p>
      <w:pPr>
        <w:pStyle w:val="Penstart"/>
        <w:rPr>
          <w:ins w:id="236" w:author="Master Repository Process" w:date="2021-09-12T14:36:00Z"/>
        </w:rPr>
      </w:pPr>
      <w:ins w:id="237" w:author="Master Repository Process" w:date="2021-09-12T14:36:00Z">
        <w:r>
          <w:tab/>
          <w:t>Penalty for this subregulation: A fine of $2 000 and a daily penalty of $200.</w:t>
        </w:r>
      </w:ins>
    </w:p>
    <w:p>
      <w:pPr>
        <w:pStyle w:val="Footnotesection"/>
        <w:rPr>
          <w:ins w:id="238" w:author="Master Repository Process" w:date="2021-09-12T14:36:00Z"/>
        </w:rPr>
      </w:pPr>
      <w:bookmarkStart w:id="239" w:name="_Toc500247464"/>
      <w:bookmarkStart w:id="240" w:name="_Toc503513204"/>
      <w:ins w:id="241" w:author="Master Repository Process" w:date="2021-09-12T14:36:00Z">
        <w:r>
          <w:tab/>
          <w:t>[Regulation 41D inserted in Gazette 20 Feb 2018 p. 498</w:t>
        </w:r>
        <w:r>
          <w:noBreakHyphen/>
          <w:t>9.]</w:t>
        </w:r>
      </w:ins>
    </w:p>
    <w:p>
      <w:pPr>
        <w:pStyle w:val="Heading5"/>
        <w:rPr>
          <w:ins w:id="242" w:author="Master Repository Process" w:date="2021-09-12T14:36:00Z"/>
        </w:rPr>
      </w:pPr>
      <w:bookmarkStart w:id="243" w:name="_Toc506886870"/>
      <w:ins w:id="244" w:author="Master Repository Process" w:date="2021-09-12T14:36:00Z">
        <w:r>
          <w:rPr>
            <w:rStyle w:val="CharSectno"/>
          </w:rPr>
          <w:t>41E</w:t>
        </w:r>
        <w:r>
          <w:t>.</w:t>
        </w:r>
        <w:r>
          <w:tab/>
          <w:t>Minister may approve alternative measurement method</w:t>
        </w:r>
        <w:bookmarkEnd w:id="239"/>
        <w:bookmarkEnd w:id="240"/>
        <w:bookmarkEnd w:id="243"/>
      </w:ins>
    </w:p>
    <w:p>
      <w:pPr>
        <w:pStyle w:val="Subsection"/>
        <w:rPr>
          <w:ins w:id="245" w:author="Master Repository Process" w:date="2021-09-12T14:36:00Z"/>
        </w:rPr>
      </w:pPr>
      <w:ins w:id="246" w:author="Master Repository Process" w:date="2021-09-12T14:36:00Z">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ins>
    </w:p>
    <w:p>
      <w:pPr>
        <w:pStyle w:val="Subsection"/>
        <w:rPr>
          <w:ins w:id="247" w:author="Master Repository Process" w:date="2021-09-12T14:36:00Z"/>
          <w:sz w:val="20"/>
        </w:rPr>
      </w:pPr>
      <w:ins w:id="248" w:author="Master Repository Process" w:date="2021-09-12T14:36:00Z">
        <w:r>
          <w:tab/>
          <w:t>(2)</w:t>
        </w:r>
        <w:r>
          <w:tab/>
          <w:t>If the Minister approves an alternative measurement method under subregulation (1), the licensee must comply with that method to measure the quantity of water taken under the licence.</w:t>
        </w:r>
      </w:ins>
    </w:p>
    <w:p>
      <w:pPr>
        <w:pStyle w:val="Footnotesection"/>
        <w:rPr>
          <w:ins w:id="249" w:author="Master Repository Process" w:date="2021-09-12T14:36:00Z"/>
        </w:rPr>
      </w:pPr>
      <w:bookmarkStart w:id="250" w:name="_Toc500247465"/>
      <w:bookmarkStart w:id="251" w:name="_Toc503513205"/>
      <w:ins w:id="252" w:author="Master Repository Process" w:date="2021-09-12T14:36:00Z">
        <w:r>
          <w:tab/>
          <w:t>[Regulation 41E inserted in Gazette 20 Feb 2018 p. 499.]</w:t>
        </w:r>
      </w:ins>
    </w:p>
    <w:p>
      <w:pPr>
        <w:pStyle w:val="Heading5"/>
        <w:rPr>
          <w:ins w:id="253" w:author="Master Repository Process" w:date="2021-09-12T14:36:00Z"/>
        </w:rPr>
      </w:pPr>
      <w:bookmarkStart w:id="254" w:name="_Toc506886871"/>
      <w:ins w:id="255" w:author="Master Repository Process" w:date="2021-09-12T14:36:00Z">
        <w:r>
          <w:rPr>
            <w:rStyle w:val="CharSectno"/>
          </w:rPr>
          <w:t>41F</w:t>
        </w:r>
        <w:r>
          <w:t>.</w:t>
        </w:r>
        <w:r>
          <w:tab/>
          <w:t>Exemption from requirement to measure quantity of water taken under licence</w:t>
        </w:r>
        <w:bookmarkEnd w:id="250"/>
        <w:bookmarkEnd w:id="251"/>
        <w:bookmarkEnd w:id="254"/>
      </w:ins>
    </w:p>
    <w:p>
      <w:pPr>
        <w:pStyle w:val="Subsection"/>
        <w:rPr>
          <w:ins w:id="256" w:author="Master Repository Process" w:date="2021-09-12T14:36:00Z"/>
        </w:rPr>
      </w:pPr>
      <w:ins w:id="257" w:author="Master Repository Process" w:date="2021-09-12T14:36:00Z">
        <w:r>
          <w:tab/>
          <w:t>(1)</w:t>
        </w:r>
        <w:r>
          <w:tab/>
          <w:t>The Minister may, in any particular case, grant an exemption from the requirement to measure the quantity of water taken under a licence if satisfied on reasonable grounds that —</w:t>
        </w:r>
      </w:ins>
    </w:p>
    <w:p>
      <w:pPr>
        <w:pStyle w:val="Indenta"/>
        <w:rPr>
          <w:ins w:id="258" w:author="Master Repository Process" w:date="2021-09-12T14:36:00Z"/>
        </w:rPr>
      </w:pPr>
      <w:ins w:id="259" w:author="Master Repository Process" w:date="2021-09-12T14:36:00Z">
        <w:r>
          <w:tab/>
          <w:t>(a)</w:t>
        </w:r>
        <w:r>
          <w:tab/>
          <w:t>it is impracticable to install a meter under regulation 41C to measure the quantity of water taken under the licence; and</w:t>
        </w:r>
      </w:ins>
    </w:p>
    <w:p>
      <w:pPr>
        <w:pStyle w:val="Indenta"/>
        <w:rPr>
          <w:ins w:id="260" w:author="Master Repository Process" w:date="2021-09-12T14:36:00Z"/>
        </w:rPr>
      </w:pPr>
      <w:ins w:id="261" w:author="Master Repository Process" w:date="2021-09-12T14:36:00Z">
        <w:r>
          <w:tab/>
          <w:t>(b)</w:t>
        </w:r>
        <w:r>
          <w:tab/>
          <w:t>it is inappropriate to use an alternative measurement method for measuring the quantity of water taken under the licence.</w:t>
        </w:r>
      </w:ins>
    </w:p>
    <w:p>
      <w:pPr>
        <w:pStyle w:val="Subsection"/>
        <w:rPr>
          <w:ins w:id="262" w:author="Master Repository Process" w:date="2021-09-12T14:36:00Z"/>
        </w:rPr>
      </w:pPr>
      <w:ins w:id="263" w:author="Master Repository Process" w:date="2021-09-12T14:36:00Z">
        <w:r>
          <w:tab/>
          <w:t>(2)</w:t>
        </w:r>
        <w:r>
          <w:tab/>
          <w:t>The Minister may revoke an exemption granted under subregulation (1) if the licensee fails to comply with any terms, conditions or restrictions included in the licence.</w:t>
        </w:r>
      </w:ins>
    </w:p>
    <w:p>
      <w:pPr>
        <w:pStyle w:val="Footnotesection"/>
        <w:rPr>
          <w:ins w:id="264" w:author="Master Repository Process" w:date="2021-09-12T14:36:00Z"/>
        </w:rPr>
      </w:pPr>
      <w:ins w:id="265" w:author="Master Repository Process" w:date="2021-09-12T14:36:00Z">
        <w:r>
          <w:tab/>
          <w:t>[Regulation 41F inserted in Gazette 20 Feb 2018 p. 499.]</w:t>
        </w:r>
      </w:ins>
    </w:p>
    <w:p>
      <w:pPr>
        <w:pStyle w:val="Ednotesection"/>
      </w:pPr>
      <w:r>
        <w:t>[</w:t>
      </w:r>
      <w:r>
        <w:rPr>
          <w:b/>
          <w:bCs/>
        </w:rPr>
        <w:t>42A.</w:t>
      </w:r>
      <w:r>
        <w:tab/>
        <w:t>Inserted in Gazette 28 Dec 2007 p. 6429 (disallowed, see Gazette 11 Apr 2008 p. 1396).]</w:t>
      </w:r>
    </w:p>
    <w:p>
      <w:pPr>
        <w:pStyle w:val="Heading5"/>
      </w:pPr>
      <w:bookmarkStart w:id="266" w:name="_Toc506886872"/>
      <w:bookmarkStart w:id="267" w:name="_Toc493233811"/>
      <w:r>
        <w:rPr>
          <w:rStyle w:val="CharSectno"/>
        </w:rPr>
        <w:t>42</w:t>
      </w:r>
      <w:r>
        <w:t>.</w:t>
      </w:r>
      <w:r>
        <w:tab/>
        <w:t>Damage to meters</w:t>
      </w:r>
      <w:bookmarkEnd w:id="266"/>
      <w:bookmarkEnd w:id="267"/>
    </w:p>
    <w:p>
      <w:pPr>
        <w:pStyle w:val="Subsection"/>
        <w:spacing w:before="120"/>
      </w:pPr>
      <w:r>
        <w:tab/>
        <w:t>(1)</w:t>
      </w:r>
      <w:r>
        <w:tab/>
        <w:t xml:space="preserve">Any repairs required to a meter provided by the State are to be carried out, or to be caused to be carried out, by the Minister and the cost of those repairs is to be paid by the </w:t>
      </w:r>
      <w:del w:id="268" w:author="Master Repository Process" w:date="2021-09-12T14:36:00Z">
        <w:r>
          <w:delText>licence holder</w:delText>
        </w:r>
      </w:del>
      <w:ins w:id="269" w:author="Master Repository Process" w:date="2021-09-12T14:36:00Z">
        <w:r>
          <w:t>licensee</w:t>
        </w:r>
      </w:ins>
      <w:r>
        <w:t>.</w:t>
      </w:r>
    </w:p>
    <w:p>
      <w:pPr>
        <w:pStyle w:val="Subsection"/>
        <w:spacing w:before="120"/>
      </w:pPr>
      <w:r>
        <w:tab/>
        <w:t>(2)</w:t>
      </w:r>
      <w:r>
        <w:tab/>
        <w:t xml:space="preserve">The State may recover the costs due under subregulation (1) as a debt due to the State from the </w:t>
      </w:r>
      <w:del w:id="270" w:author="Master Repository Process" w:date="2021-09-12T14:36:00Z">
        <w:r>
          <w:delText>licence holder</w:delText>
        </w:r>
      </w:del>
      <w:ins w:id="271" w:author="Master Repository Process" w:date="2021-09-12T14:36:00Z">
        <w:r>
          <w:t>licensee</w:t>
        </w:r>
      </w:ins>
      <w:r>
        <w:t xml:space="preserve"> in a court of competent jurisdiction.</w:t>
      </w:r>
    </w:p>
    <w:p>
      <w:pPr>
        <w:pStyle w:val="Footnotesection"/>
      </w:pPr>
      <w:r>
        <w:tab/>
        <w:t>[Regulation 42 inserted in Gazette 23 Jun 2009 p. </w:t>
      </w:r>
      <w:del w:id="272" w:author="Master Repository Process" w:date="2021-09-12T14:36:00Z">
        <w:r>
          <w:delText>2498</w:delText>
        </w:r>
      </w:del>
      <w:ins w:id="273" w:author="Master Repository Process" w:date="2021-09-12T14:36:00Z">
        <w:r>
          <w:t>2498; amended in Gazette 20 Feb 2018 p. 500</w:t>
        </w:r>
        <w:r>
          <w:noBreakHyphen/>
          <w:t>1</w:t>
        </w:r>
      </w:ins>
      <w:r>
        <w:t>.]</w:t>
      </w:r>
    </w:p>
    <w:p>
      <w:pPr>
        <w:pStyle w:val="Heading5"/>
      </w:pPr>
      <w:bookmarkStart w:id="274" w:name="_Toc506886873"/>
      <w:bookmarkStart w:id="275" w:name="_Toc493233812"/>
      <w:r>
        <w:rPr>
          <w:rStyle w:val="CharSectno"/>
        </w:rPr>
        <w:t>43</w:t>
      </w:r>
      <w:r>
        <w:t>.</w:t>
      </w:r>
      <w:r>
        <w:tab/>
        <w:t>Interfering with meters</w:t>
      </w:r>
      <w:bookmarkEnd w:id="274"/>
      <w:bookmarkEnd w:id="275"/>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276" w:name="_Toc506886874"/>
      <w:bookmarkStart w:id="277" w:name="_Toc493233813"/>
      <w:r>
        <w:rPr>
          <w:rStyle w:val="CharSectno"/>
        </w:rPr>
        <w:t>44</w:t>
      </w:r>
      <w:r>
        <w:t>.</w:t>
      </w:r>
      <w:r>
        <w:tab/>
        <w:t>Testing meters</w:t>
      </w:r>
      <w:bookmarkEnd w:id="276"/>
      <w:bookmarkEnd w:id="277"/>
    </w:p>
    <w:p>
      <w:pPr>
        <w:pStyle w:val="Subsection"/>
      </w:pPr>
      <w:r>
        <w:tab/>
        <w:t>(1)</w:t>
      </w:r>
      <w:r>
        <w:tab/>
        <w:t>The Minister may at any time cause a test of a meter to be made.</w:t>
      </w:r>
    </w:p>
    <w:p>
      <w:pPr>
        <w:pStyle w:val="Subsection"/>
      </w:pPr>
      <w:r>
        <w:tab/>
        <w:t>(2)</w:t>
      </w:r>
      <w:r>
        <w:tab/>
        <w:t xml:space="preserve">The Minister is to cause a test of a meter to be made within 7 days of receiving a written request from a </w:t>
      </w:r>
      <w:del w:id="278" w:author="Master Repository Process" w:date="2021-09-12T14:36:00Z">
        <w:r>
          <w:delText>licence holder</w:delText>
        </w:r>
      </w:del>
      <w:ins w:id="279" w:author="Master Repository Process" w:date="2021-09-12T14:36:00Z">
        <w:r>
          <w:t>licensee</w:t>
        </w:r>
      </w:ins>
      <w:r>
        <w:t xml:space="preserve"> that that meter be tested because the </w:t>
      </w:r>
      <w:del w:id="280" w:author="Master Repository Process" w:date="2021-09-12T14:36:00Z">
        <w:r>
          <w:delText>licence holder</w:delText>
        </w:r>
      </w:del>
      <w:ins w:id="281" w:author="Master Repository Process" w:date="2021-09-12T14:36:00Z">
        <w:r>
          <w:t>licensee</w:t>
        </w:r>
      </w:ins>
      <w:r>
        <w:t xml:space="preserv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 xml:space="preserve">the meter registers less than 5% in excess of the quantity that actually passes through it when tested, the </w:t>
      </w:r>
      <w:del w:id="282" w:author="Master Repository Process" w:date="2021-09-12T14:36:00Z">
        <w:r>
          <w:delText>licence holder</w:delText>
        </w:r>
      </w:del>
      <w:ins w:id="283" w:author="Master Repository Process" w:date="2021-09-12T14:36:00Z">
        <w:r>
          <w:t>licensee</w:t>
        </w:r>
      </w:ins>
      <w:r>
        <w:t xml:space="preserve"> is to pay the cost of the test.</w:t>
      </w:r>
    </w:p>
    <w:p>
      <w:pPr>
        <w:pStyle w:val="Subsection"/>
        <w:spacing w:before="120"/>
      </w:pPr>
      <w:r>
        <w:tab/>
        <w:t>(4)</w:t>
      </w:r>
      <w:r>
        <w:tab/>
        <w:t xml:space="preserve">The cost paid by the </w:t>
      </w:r>
      <w:del w:id="284" w:author="Master Repository Process" w:date="2021-09-12T14:36:00Z">
        <w:r>
          <w:delText>licence holder</w:delText>
        </w:r>
      </w:del>
      <w:ins w:id="285" w:author="Master Repository Process" w:date="2021-09-12T14:36:00Z">
        <w:r>
          <w:t>licensee</w:t>
        </w:r>
      </w:ins>
      <w:r>
        <w:t xml:space="preserve"> under subregulation (3)(b) is not to exceed the fee set out in Schedule 1 Part 1.</w:t>
      </w:r>
    </w:p>
    <w:p>
      <w:pPr>
        <w:pStyle w:val="Footnotesection"/>
      </w:pPr>
      <w:r>
        <w:tab/>
        <w:t>[Regulation 44 amended in Gazette 22 Jun 2007 p. 2881 (disallowed, see Gazette 27 Nov 2007 p. 5910); 28 Dec 2007 p. 6429 (disallowed, see Gazette 11 Apr 2008 p. 1396); 23 Jun 2009 p. 2495</w:t>
      </w:r>
      <w:r>
        <w:noBreakHyphen/>
        <w:t>7</w:t>
      </w:r>
      <w:ins w:id="286" w:author="Master Repository Process" w:date="2021-09-12T14:36:00Z">
        <w:r>
          <w:t>; 20 Feb 2018 p. 500</w:t>
        </w:r>
        <w:r>
          <w:noBreakHyphen/>
          <w:t>1</w:t>
        </w:r>
      </w:ins>
      <w:r>
        <w:t>.]</w:t>
      </w:r>
    </w:p>
    <w:p>
      <w:pPr>
        <w:pStyle w:val="Heading5"/>
        <w:spacing w:before="180"/>
      </w:pPr>
      <w:bookmarkStart w:id="287" w:name="_Toc506886875"/>
      <w:bookmarkStart w:id="288" w:name="_Toc493233814"/>
      <w:r>
        <w:rPr>
          <w:rStyle w:val="CharSectno"/>
        </w:rPr>
        <w:t>45</w:t>
      </w:r>
      <w:r>
        <w:t>.</w:t>
      </w:r>
      <w:r>
        <w:tab/>
        <w:t>Estimating water used where meter out of order or inaccurate</w:t>
      </w:r>
      <w:bookmarkEnd w:id="287"/>
      <w:bookmarkEnd w:id="28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 xml:space="preserve">Notice stating the estimated quantity of water taken from a well during any particular period is to be given by the Minister to the </w:t>
      </w:r>
      <w:del w:id="289" w:author="Master Repository Process" w:date="2021-09-12T14:36:00Z">
        <w:r>
          <w:delText>licence holder</w:delText>
        </w:r>
      </w:del>
      <w:ins w:id="290" w:author="Master Repository Process" w:date="2021-09-12T14:36:00Z">
        <w:r>
          <w:t>licensee</w:t>
        </w:r>
      </w:ins>
      <w:r>
        <w:t>.</w:t>
      </w:r>
    </w:p>
    <w:p>
      <w:pPr>
        <w:pStyle w:val="Footnotesection"/>
      </w:pPr>
      <w:r>
        <w:tab/>
        <w:t>[Regulation 45 amended in Gazette 23 Jun 2009 p. 2495</w:t>
      </w:r>
      <w:r>
        <w:noBreakHyphen/>
        <w:t>7</w:t>
      </w:r>
      <w:ins w:id="291" w:author="Master Repository Process" w:date="2021-09-12T14:36:00Z">
        <w:r>
          <w:t>; 20 Feb 2018 p. 500</w:t>
        </w:r>
        <w:r>
          <w:noBreakHyphen/>
          <w:t>1</w:t>
        </w:r>
      </w:ins>
      <w:r>
        <w:t>.]</w:t>
      </w:r>
    </w:p>
    <w:p>
      <w:pPr>
        <w:pStyle w:val="Heading5"/>
        <w:spacing w:before="180"/>
      </w:pPr>
      <w:bookmarkStart w:id="292" w:name="_Toc506886876"/>
      <w:bookmarkStart w:id="293" w:name="_Toc493233815"/>
      <w:r>
        <w:rPr>
          <w:rStyle w:val="CharSectno"/>
        </w:rPr>
        <w:t>46</w:t>
      </w:r>
      <w:r>
        <w:t>.</w:t>
      </w:r>
      <w:r>
        <w:tab/>
        <w:t>Evidence of water taken from well</w:t>
      </w:r>
      <w:bookmarkEnd w:id="292"/>
      <w:bookmarkEnd w:id="293"/>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 xml:space="preserve">given to a </w:t>
      </w:r>
      <w:del w:id="294" w:author="Master Repository Process" w:date="2021-09-12T14:36:00Z">
        <w:r>
          <w:delText>licence holder</w:delText>
        </w:r>
      </w:del>
      <w:ins w:id="295" w:author="Master Repository Process" w:date="2021-09-12T14:36:00Z">
        <w:r>
          <w:t>licensee</w:t>
        </w:r>
      </w:ins>
      <w:r>
        <w:t xml:space="preserv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ins w:id="296" w:author="Master Repository Process" w:date="2021-09-12T14:36:00Z">
        <w:r>
          <w:t>; 20 Feb 2018 p. 500</w:t>
        </w:r>
        <w:r>
          <w:noBreakHyphen/>
          <w:t>1</w:t>
        </w:r>
      </w:ins>
      <w:r>
        <w:t>.]</w:t>
      </w:r>
    </w:p>
    <w:p>
      <w:pPr>
        <w:pStyle w:val="Heading2"/>
      </w:pPr>
      <w:bookmarkStart w:id="297" w:name="_Toc493168666"/>
      <w:bookmarkStart w:id="298" w:name="_Toc493233816"/>
      <w:bookmarkStart w:id="299" w:name="_Toc506886877"/>
      <w:r>
        <w:rPr>
          <w:rStyle w:val="CharPartNo"/>
        </w:rPr>
        <w:t>Part 5</w:t>
      </w:r>
      <w:r>
        <w:rPr>
          <w:rStyle w:val="CharDivNo"/>
        </w:rPr>
        <w:t> </w:t>
      </w:r>
      <w:r>
        <w:t>—</w:t>
      </w:r>
      <w:r>
        <w:rPr>
          <w:rStyle w:val="CharDivText"/>
        </w:rPr>
        <w:t> </w:t>
      </w:r>
      <w:r>
        <w:rPr>
          <w:rStyle w:val="CharPartText"/>
        </w:rPr>
        <w:t>Registration of instruments</w:t>
      </w:r>
      <w:bookmarkEnd w:id="297"/>
      <w:bookmarkEnd w:id="298"/>
      <w:bookmarkEnd w:id="299"/>
    </w:p>
    <w:p>
      <w:pPr>
        <w:pStyle w:val="Heading5"/>
      </w:pPr>
      <w:bookmarkStart w:id="300" w:name="_Toc506886878"/>
      <w:bookmarkStart w:id="301" w:name="_Toc493233817"/>
      <w:r>
        <w:rPr>
          <w:rStyle w:val="CharSectno"/>
        </w:rPr>
        <w:t>47</w:t>
      </w:r>
      <w:r>
        <w:t>.</w:t>
      </w:r>
      <w:r>
        <w:tab/>
        <w:t>Terms used</w:t>
      </w:r>
      <w:bookmarkEnd w:id="300"/>
      <w:bookmarkEnd w:id="301"/>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302" w:name="_Toc506886879"/>
      <w:bookmarkStart w:id="303" w:name="_Toc493233818"/>
      <w:r>
        <w:rPr>
          <w:rStyle w:val="CharSectno"/>
        </w:rPr>
        <w:t>48</w:t>
      </w:r>
      <w:r>
        <w:t>.</w:t>
      </w:r>
      <w:r>
        <w:tab/>
        <w:t>Prescribed details for register (Act s. 26GZJ)</w:t>
      </w:r>
      <w:bookmarkEnd w:id="302"/>
      <w:bookmarkEnd w:id="303"/>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 xml:space="preserve">the name and business address of the person who entered into the agreement with the </w:t>
      </w:r>
      <w:del w:id="304" w:author="Master Repository Process" w:date="2021-09-12T14:36:00Z">
        <w:r>
          <w:delText>licence holder</w:delText>
        </w:r>
      </w:del>
      <w:ins w:id="305" w:author="Master Repository Process" w:date="2021-09-12T14:36:00Z">
        <w:r>
          <w:t>licensee</w:t>
        </w:r>
      </w:ins>
      <w:r>
        <w:t>;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ins w:id="306" w:author="Master Repository Process" w:date="2021-09-12T14:36:00Z">
        <w:r>
          <w:t>; 20 Feb 2018 p. 500</w:t>
        </w:r>
        <w:r>
          <w:noBreakHyphen/>
          <w:t>1</w:t>
        </w:r>
      </w:ins>
      <w:r>
        <w:t>.]</w:t>
      </w:r>
    </w:p>
    <w:p>
      <w:pPr>
        <w:pStyle w:val="Heading5"/>
      </w:pPr>
      <w:bookmarkStart w:id="307" w:name="_Toc506886880"/>
      <w:bookmarkStart w:id="308" w:name="_Toc493233819"/>
      <w:r>
        <w:rPr>
          <w:rStyle w:val="CharSectno"/>
        </w:rPr>
        <w:t>49</w:t>
      </w:r>
      <w:r>
        <w:t>.</w:t>
      </w:r>
      <w:r>
        <w:tab/>
        <w:t>Fees in relation to the register (Sch. 1 Part 2)</w:t>
      </w:r>
      <w:bookmarkEnd w:id="307"/>
      <w:bookmarkEnd w:id="308"/>
    </w:p>
    <w:p>
      <w:pPr>
        <w:pStyle w:val="Subsection"/>
      </w:pPr>
      <w:r>
        <w:tab/>
      </w:r>
      <w:r>
        <w:tab/>
        <w:t>A fee set out in Schedule 1 Part 2 is the fee to be paid in respect of the matter described opposite the fee.</w:t>
      </w:r>
    </w:p>
    <w:p>
      <w:pPr>
        <w:pStyle w:val="Footnotesection"/>
      </w:pPr>
      <w:r>
        <w:tab/>
        <w:t>[Regulation 49 amended in Gazette 22 Jun 2007 p. 2881 (disallowed, see Gazette 27 Nov 2007 p. 5910); 28 Dec 2007 p. 6429 (disallowed, see Gazette 11 Apr 2008 p. 1396).]</w:t>
      </w:r>
    </w:p>
    <w:p>
      <w:pPr>
        <w:pStyle w:val="Ednotepart"/>
      </w:pPr>
      <w:r>
        <w:t>[Part 5A (r. 49A</w:t>
      </w:r>
      <w:r>
        <w:noBreakHyphen/>
        <w:t>49O) deleted in Gazette 30 Dec 2004 p. 7000.]</w:t>
      </w:r>
    </w:p>
    <w:p>
      <w:pPr>
        <w:pStyle w:val="Heading2"/>
      </w:pPr>
      <w:bookmarkStart w:id="309" w:name="_Toc493168670"/>
      <w:bookmarkStart w:id="310" w:name="_Toc493233820"/>
      <w:bookmarkStart w:id="311" w:name="_Toc506886881"/>
      <w:r>
        <w:rPr>
          <w:rStyle w:val="CharPartNo"/>
        </w:rPr>
        <w:t>Part 6</w:t>
      </w:r>
      <w:r>
        <w:rPr>
          <w:rStyle w:val="CharDivNo"/>
        </w:rPr>
        <w:t xml:space="preserve"> </w:t>
      </w:r>
      <w:r>
        <w:t>—</w:t>
      </w:r>
      <w:r>
        <w:rPr>
          <w:rStyle w:val="CharDivText"/>
        </w:rPr>
        <w:t xml:space="preserve"> </w:t>
      </w:r>
      <w:r>
        <w:rPr>
          <w:rStyle w:val="CharPartText"/>
        </w:rPr>
        <w:t>Miscellaneous</w:t>
      </w:r>
      <w:bookmarkEnd w:id="309"/>
      <w:bookmarkEnd w:id="310"/>
      <w:bookmarkEnd w:id="311"/>
    </w:p>
    <w:p>
      <w:pPr>
        <w:pStyle w:val="Heading5"/>
      </w:pPr>
      <w:bookmarkStart w:id="312" w:name="_Toc506886882"/>
      <w:bookmarkStart w:id="313" w:name="_Toc493233821"/>
      <w:r>
        <w:rPr>
          <w:rStyle w:val="CharSectno"/>
        </w:rPr>
        <w:t>50</w:t>
      </w:r>
      <w:r>
        <w:t>.</w:t>
      </w:r>
      <w:r>
        <w:tab/>
        <w:t>Prescribed offences</w:t>
      </w:r>
      <w:bookmarkEnd w:id="312"/>
      <w:bookmarkEnd w:id="313"/>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314" w:name="_Toc506886883"/>
      <w:bookmarkStart w:id="315" w:name="_Toc493233822"/>
      <w:r>
        <w:rPr>
          <w:rStyle w:val="CharSectno"/>
        </w:rPr>
        <w:t>51</w:t>
      </w:r>
      <w:r>
        <w:t>.</w:t>
      </w:r>
      <w:r>
        <w:tab/>
        <w:t>Modified penalties</w:t>
      </w:r>
      <w:bookmarkEnd w:id="314"/>
      <w:bookmarkEnd w:id="315"/>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316" w:name="_Toc506886884"/>
      <w:bookmarkStart w:id="317" w:name="_Toc493233823"/>
      <w:r>
        <w:rPr>
          <w:rStyle w:val="CharSectno"/>
        </w:rPr>
        <w:t>52A</w:t>
      </w:r>
      <w:r>
        <w:t>.</w:t>
      </w:r>
      <w:r>
        <w:tab/>
        <w:t>Persons authorised to give infringement notices</w:t>
      </w:r>
      <w:bookmarkEnd w:id="316"/>
      <w:bookmarkEnd w:id="317"/>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in Gazette 16 Mar 2010 p. 985; amended in Gazette 20 Dec 2011 p. 5411.]</w:t>
      </w:r>
    </w:p>
    <w:p>
      <w:pPr>
        <w:pStyle w:val="Heading5"/>
      </w:pPr>
      <w:bookmarkStart w:id="318" w:name="_Toc506886885"/>
      <w:bookmarkStart w:id="319" w:name="_Toc493233824"/>
      <w:r>
        <w:rPr>
          <w:rStyle w:val="CharSectno"/>
        </w:rPr>
        <w:t>52B</w:t>
      </w:r>
      <w:r>
        <w:t>.</w:t>
      </w:r>
      <w:r>
        <w:tab/>
        <w:t>Prescribed persons for infringement notices</w:t>
      </w:r>
      <w:bookmarkEnd w:id="318"/>
      <w:bookmarkEnd w:id="319"/>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in Gazette 23 Jun 2009 p. 2499; amended in Gazette 20 Dec 2011 p. 5411.]</w:t>
      </w:r>
    </w:p>
    <w:p>
      <w:pPr>
        <w:pStyle w:val="Heading5"/>
      </w:pPr>
      <w:bookmarkStart w:id="320" w:name="_Toc506886886"/>
      <w:bookmarkStart w:id="321" w:name="_Toc493233825"/>
      <w:r>
        <w:rPr>
          <w:rStyle w:val="CharSectno"/>
        </w:rPr>
        <w:t>52</w:t>
      </w:r>
      <w:r>
        <w:t>.</w:t>
      </w:r>
      <w:r>
        <w:tab/>
        <w:t>Designated person for infringement notices</w:t>
      </w:r>
      <w:bookmarkEnd w:id="320"/>
      <w:bookmarkEnd w:id="321"/>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322" w:name="_Toc506886887"/>
      <w:bookmarkStart w:id="323" w:name="_Toc493233826"/>
      <w:r>
        <w:rPr>
          <w:rStyle w:val="CharSectno"/>
        </w:rPr>
        <w:t>53</w:t>
      </w:r>
      <w:r>
        <w:t>.</w:t>
      </w:r>
      <w:r>
        <w:tab/>
        <w:t>Form of infringement notice</w:t>
      </w:r>
      <w:bookmarkEnd w:id="322"/>
      <w:bookmarkEnd w:id="323"/>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324" w:name="_Toc506886888"/>
      <w:bookmarkStart w:id="325" w:name="_Toc493233827"/>
      <w:r>
        <w:rPr>
          <w:rStyle w:val="CharSectno"/>
        </w:rPr>
        <w:t>54</w:t>
      </w:r>
      <w:r>
        <w:t>.</w:t>
      </w:r>
      <w:r>
        <w:tab/>
        <w:t>Form of notice of withdrawal of infringement notice</w:t>
      </w:r>
      <w:bookmarkEnd w:id="324"/>
      <w:bookmarkEnd w:id="325"/>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326" w:name="_Toc506886889"/>
      <w:bookmarkStart w:id="327" w:name="_Toc493233828"/>
      <w:r>
        <w:rPr>
          <w:rStyle w:val="CharSectno"/>
        </w:rPr>
        <w:t>55A</w:t>
      </w:r>
      <w:r>
        <w:t>.</w:t>
      </w:r>
      <w:r>
        <w:tab/>
        <w:t>Form of certificate for authorised person</w:t>
      </w:r>
      <w:bookmarkEnd w:id="326"/>
      <w:bookmarkEnd w:id="327"/>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328" w:name="_Toc506886890"/>
      <w:bookmarkStart w:id="329" w:name="_Toc493233829"/>
      <w:r>
        <w:rPr>
          <w:rStyle w:val="CharSectno"/>
        </w:rPr>
        <w:t>55</w:t>
      </w:r>
      <w:r>
        <w:t>.</w:t>
      </w:r>
      <w:r>
        <w:tab/>
        <w:t>Unauthorised alteration of infringement notices</w:t>
      </w:r>
      <w:bookmarkEnd w:id="328"/>
      <w:bookmarkEnd w:id="329"/>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in Gazette 16 Dec 2014 p. 4766.]</w:t>
      </w:r>
    </w:p>
    <w:p>
      <w:pPr>
        <w:pStyle w:val="Ednotesection"/>
      </w:pPr>
      <w:r>
        <w:t>[</w:t>
      </w:r>
      <w:r>
        <w:rPr>
          <w:b/>
          <w:bCs/>
        </w:rPr>
        <w:t>56A.</w:t>
      </w:r>
      <w:r>
        <w:tab/>
        <w:t>Inserted in Gazette 28 Dec 2007 p. 6429-30 (disallowed, see Gazette 11 Apr 2008 p. 1396).]</w:t>
      </w:r>
    </w:p>
    <w:p>
      <w:pPr>
        <w:pStyle w:val="Heading5"/>
      </w:pPr>
      <w:bookmarkStart w:id="330" w:name="_Toc506886891"/>
      <w:bookmarkStart w:id="331" w:name="_Toc493233830"/>
      <w:r>
        <w:rPr>
          <w:rStyle w:val="CharSectno"/>
        </w:rPr>
        <w:t>57</w:t>
      </w:r>
      <w:r>
        <w:t>.</w:t>
      </w:r>
      <w:r>
        <w:tab/>
        <w:t>False or misleading information in respect of applications</w:t>
      </w:r>
      <w:bookmarkEnd w:id="330"/>
      <w:bookmarkEnd w:id="331"/>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2" w:name="_Toc493168681"/>
      <w:bookmarkStart w:id="333" w:name="_Toc493233831"/>
      <w:bookmarkStart w:id="334" w:name="_Toc506886892"/>
      <w:r>
        <w:rPr>
          <w:rStyle w:val="CharSchNo"/>
        </w:rPr>
        <w:t>Schedule 1</w:t>
      </w:r>
      <w:r>
        <w:t xml:space="preserve"> — </w:t>
      </w:r>
      <w:r>
        <w:rPr>
          <w:rStyle w:val="CharSchText"/>
        </w:rPr>
        <w:t>Fees</w:t>
      </w:r>
      <w:bookmarkEnd w:id="332"/>
      <w:bookmarkEnd w:id="333"/>
      <w:bookmarkEnd w:id="334"/>
    </w:p>
    <w:p>
      <w:pPr>
        <w:pStyle w:val="yHeading2"/>
        <w:spacing w:after="120"/>
      </w:pPr>
      <w:bookmarkStart w:id="335" w:name="_Toc493168682"/>
      <w:bookmarkStart w:id="336" w:name="_Toc493233832"/>
      <w:bookmarkStart w:id="337" w:name="_Toc506886893"/>
      <w:r>
        <w:rPr>
          <w:rStyle w:val="CharSDivNo"/>
        </w:rPr>
        <w:t>Part 1</w:t>
      </w:r>
      <w:r>
        <w:t xml:space="preserve"> — </w:t>
      </w:r>
      <w:r>
        <w:rPr>
          <w:rStyle w:val="CharSDivText"/>
        </w:rPr>
        <w:t>Fees relating to licences and permits</w:t>
      </w:r>
      <w:bookmarkEnd w:id="335"/>
      <w:bookmarkEnd w:id="336"/>
      <w:bookmarkEnd w:id="337"/>
    </w:p>
    <w:p>
      <w:pPr>
        <w:pStyle w:val="yFootnotesection"/>
      </w:pPr>
      <w:r>
        <w:tab/>
        <w:t>[Heading inserted as Division 1 in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 see Gazette 27 Nov 2007 p. 5910); Part 1 inserted as Division 1 in Gazette 28 Dec 2007 p. 6430-1 (disallowed, see Gazette 11 Apr 2008 p. 1396); 16 Dec 2014 p. 4766.]</w:t>
      </w:r>
    </w:p>
    <w:p>
      <w:pPr>
        <w:pStyle w:val="yHeading2"/>
        <w:pageBreakBefore/>
        <w:spacing w:before="480" w:after="120"/>
      </w:pPr>
      <w:bookmarkStart w:id="338" w:name="_Toc493168683"/>
      <w:bookmarkStart w:id="339" w:name="_Toc493233833"/>
      <w:bookmarkStart w:id="340" w:name="_Toc506886894"/>
      <w:r>
        <w:rPr>
          <w:rStyle w:val="CharSDivNo"/>
        </w:rPr>
        <w:t>Part 2</w:t>
      </w:r>
      <w:r>
        <w:t xml:space="preserve"> — </w:t>
      </w:r>
      <w:r>
        <w:rPr>
          <w:rStyle w:val="CharSDivText"/>
        </w:rPr>
        <w:t>Registration of instruments in the register and access to the register</w:t>
      </w:r>
      <w:bookmarkEnd w:id="338"/>
      <w:bookmarkEnd w:id="339"/>
      <w:bookmarkEnd w:id="340"/>
    </w:p>
    <w:p>
      <w:pPr>
        <w:pStyle w:val="yFootnotesection"/>
      </w:pPr>
      <w:r>
        <w:tab/>
        <w:t>[Heading amended in Gazette 22 Jun 2007 p. 2883 (disallowed, see Gazette 27 Nov 2007 p. 5910); Part 2 heading inserted as Division 2 in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341" w:name="_Toc493168684"/>
      <w:bookmarkStart w:id="342" w:name="_Toc493233834"/>
      <w:bookmarkStart w:id="343" w:name="_Toc506886895"/>
      <w:r>
        <w:rPr>
          <w:rStyle w:val="CharSchNo"/>
        </w:rPr>
        <w:t>Schedule 2</w:t>
      </w:r>
      <w:r>
        <w:rPr>
          <w:rStyle w:val="CharSDivNo"/>
        </w:rPr>
        <w:t> </w:t>
      </w:r>
      <w:r>
        <w:t>—</w:t>
      </w:r>
      <w:r>
        <w:rPr>
          <w:rStyle w:val="CharSDivText"/>
        </w:rPr>
        <w:t> </w:t>
      </w:r>
      <w:r>
        <w:rPr>
          <w:rStyle w:val="CharSchText"/>
        </w:rPr>
        <w:t>Prescribed offences and modified penalties</w:t>
      </w:r>
      <w:bookmarkEnd w:id="341"/>
      <w:bookmarkEnd w:id="342"/>
      <w:bookmarkEnd w:id="343"/>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ins w:id="344" w:author="Master Repository Process" w:date="2021-09-12T14:36:00Z"/>
        </w:trPr>
        <w:tc>
          <w:tcPr>
            <w:tcW w:w="720" w:type="dxa"/>
          </w:tcPr>
          <w:p>
            <w:pPr>
              <w:pStyle w:val="yTableNAm"/>
              <w:rPr>
                <w:ins w:id="345" w:author="Master Repository Process" w:date="2021-09-12T14:36:00Z"/>
              </w:rPr>
            </w:pPr>
            <w:ins w:id="346" w:author="Master Repository Process" w:date="2021-09-12T14:36:00Z">
              <w:r>
                <w:t>5A.</w:t>
              </w:r>
            </w:ins>
          </w:p>
        </w:tc>
        <w:tc>
          <w:tcPr>
            <w:tcW w:w="5160" w:type="dxa"/>
          </w:tcPr>
          <w:p>
            <w:pPr>
              <w:pStyle w:val="yTableNAm"/>
              <w:tabs>
                <w:tab w:val="clear" w:pos="567"/>
                <w:tab w:val="left" w:leader="dot" w:pos="4932"/>
              </w:tabs>
              <w:rPr>
                <w:ins w:id="347" w:author="Master Repository Process" w:date="2021-09-12T14:36:00Z"/>
              </w:rPr>
            </w:pPr>
            <w:ins w:id="348" w:author="Master Repository Process" w:date="2021-09-12T14:36:00Z">
              <w:r>
                <w:t>An offence against regulation 41C(1)</w:t>
              </w:r>
            </w:ins>
          </w:p>
        </w:tc>
        <w:tc>
          <w:tcPr>
            <w:tcW w:w="1200" w:type="dxa"/>
          </w:tcPr>
          <w:p>
            <w:pPr>
              <w:pStyle w:val="yTableNAm"/>
              <w:rPr>
                <w:ins w:id="349" w:author="Master Repository Process" w:date="2021-09-12T14:36:00Z"/>
              </w:rPr>
            </w:pPr>
            <w:ins w:id="350" w:author="Master Repository Process" w:date="2021-09-12T14:36:00Z">
              <w:r>
                <w:t>$400</w:t>
              </w:r>
            </w:ins>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ins w:id="351" w:author="Master Repository Process" w:date="2021-09-12T14:36:00Z">
        <w:r>
          <w:t>; amended in Gazette 20 Feb 2018 p. 499</w:t>
        </w:r>
      </w:ins>
      <w:r>
        <w:t>.]</w:t>
      </w:r>
    </w:p>
    <w:p>
      <w:pPr>
        <w:pStyle w:val="yScheduleHeading"/>
      </w:pPr>
      <w:bookmarkStart w:id="352" w:name="_Toc493168685"/>
      <w:bookmarkStart w:id="353" w:name="_Toc493233835"/>
      <w:bookmarkStart w:id="354" w:name="_Toc506886896"/>
      <w:r>
        <w:rPr>
          <w:rStyle w:val="CharSchNo"/>
        </w:rPr>
        <w:t>Schedule 3</w:t>
      </w:r>
      <w:r>
        <w:t xml:space="preserve"> — </w:t>
      </w:r>
      <w:r>
        <w:rPr>
          <w:rStyle w:val="CharSchText"/>
        </w:rPr>
        <w:t>Forms</w:t>
      </w:r>
      <w:bookmarkEnd w:id="352"/>
      <w:bookmarkEnd w:id="353"/>
      <w:bookmarkEnd w:id="354"/>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in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in Gazette 14 Jun 2002 p. 2837; 23 Jun 2009 p. 2501; 15 Sep 2017 p. 4795.]</w:t>
      </w:r>
    </w:p>
    <w:p>
      <w:pPr>
        <w:pStyle w:val="yScheduleHeading"/>
        <w:rPr>
          <w:ins w:id="355" w:author="Master Repository Process" w:date="2021-09-12T14:36:00Z"/>
        </w:rPr>
      </w:pPr>
      <w:bookmarkStart w:id="356" w:name="_Toc500246102"/>
      <w:bookmarkStart w:id="357" w:name="_Toc500246116"/>
      <w:bookmarkStart w:id="358" w:name="_Toc500246420"/>
      <w:bookmarkStart w:id="359" w:name="_Toc500247468"/>
      <w:bookmarkStart w:id="360" w:name="_Toc500247569"/>
      <w:bookmarkStart w:id="361" w:name="_Toc500314868"/>
      <w:bookmarkStart w:id="362" w:name="_Toc500315225"/>
      <w:bookmarkStart w:id="363" w:name="_Toc503513208"/>
      <w:bookmarkStart w:id="364" w:name="_Toc506886897"/>
      <w:ins w:id="365" w:author="Master Repository Process" w:date="2021-09-12T14:36:00Z">
        <w:r>
          <w:rPr>
            <w:rStyle w:val="CharSchNo"/>
          </w:rPr>
          <w:t>Schedule 4</w:t>
        </w:r>
        <w:r>
          <w:t> —</w:t>
        </w:r>
        <w:r>
          <w:rPr>
            <w:sz w:val="24"/>
          </w:rPr>
          <w:t> </w:t>
        </w:r>
        <w:r>
          <w:rPr>
            <w:rStyle w:val="CharSchText"/>
          </w:rPr>
          <w:t>Gnangara groundwater plan area</w:t>
        </w:r>
        <w:bookmarkEnd w:id="356"/>
        <w:bookmarkEnd w:id="357"/>
        <w:bookmarkEnd w:id="358"/>
        <w:bookmarkEnd w:id="359"/>
        <w:bookmarkEnd w:id="360"/>
        <w:bookmarkEnd w:id="361"/>
        <w:bookmarkEnd w:id="362"/>
        <w:bookmarkEnd w:id="363"/>
        <w:bookmarkEnd w:id="364"/>
      </w:ins>
    </w:p>
    <w:p>
      <w:pPr>
        <w:pStyle w:val="yShoulderClause"/>
        <w:rPr>
          <w:ins w:id="366" w:author="Master Repository Process" w:date="2021-09-12T14:36:00Z"/>
        </w:rPr>
      </w:pPr>
      <w:ins w:id="367" w:author="Master Repository Process" w:date="2021-09-12T14:36:00Z">
        <w:r>
          <w:t>[r. 41A]</w:t>
        </w:r>
      </w:ins>
    </w:p>
    <w:p>
      <w:pPr>
        <w:pStyle w:val="yFootnoteheading"/>
        <w:spacing w:after="80"/>
        <w:rPr>
          <w:ins w:id="368" w:author="Master Repository Process" w:date="2021-09-12T14:36:00Z"/>
        </w:rPr>
      </w:pPr>
      <w:ins w:id="369" w:author="Master Repository Process" w:date="2021-09-12T14:36:00Z">
        <w:r>
          <w:tab/>
          <w:t>[Heading inserted in Gazette 20 Feb 2018 p. 500.]</w:t>
        </w:r>
      </w:ins>
    </w:p>
    <w:p>
      <w:pPr>
        <w:pStyle w:val="yMiscellaneousBody"/>
        <w:jc w:val="center"/>
        <w:rPr>
          <w:ins w:id="370" w:author="Master Repository Process" w:date="2021-09-12T14:36:00Z"/>
        </w:rPr>
      </w:pPr>
      <w:ins w:id="371" w:author="Master Repository Process" w:date="2021-09-12T14:36:00Z">
        <w:r>
          <w:rPr>
            <w:noProof/>
          </w:rPr>
          <w:drawing>
            <wp:inline distT="0" distB="0" distL="0" distR="0">
              <wp:extent cx="3852765" cy="53872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69884" cy="5411186"/>
                      </a:xfrm>
                      <a:prstGeom prst="rect">
                        <a:avLst/>
                      </a:prstGeom>
                    </pic:spPr>
                  </pic:pic>
                </a:graphicData>
              </a:graphic>
            </wp:inline>
          </w:drawing>
        </w:r>
      </w:ins>
    </w:p>
    <w:p>
      <w:pPr>
        <w:pStyle w:val="yFootnotesection"/>
        <w:rPr>
          <w:ins w:id="372" w:author="Master Repository Process" w:date="2021-09-12T14:36:00Z"/>
        </w:rPr>
      </w:pPr>
      <w:ins w:id="373" w:author="Master Repository Process" w:date="2021-09-12T14:36:00Z">
        <w:r>
          <w:tab/>
          <w:t>[Schedule 4 inserted in Gazette 20 Feb 2018 p. 500.]</w:t>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75" w:name="_Toc493168686"/>
      <w:bookmarkStart w:id="376" w:name="_Toc493233836"/>
      <w:bookmarkStart w:id="377" w:name="_Toc506886898"/>
      <w:r>
        <w:t>Notes</w:t>
      </w:r>
      <w:bookmarkEnd w:id="375"/>
      <w:bookmarkEnd w:id="376"/>
      <w:bookmarkEnd w:id="377"/>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78" w:name="_Toc506886899"/>
      <w:bookmarkStart w:id="379" w:name="_Toc493233837"/>
      <w: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w:t>
            </w:r>
            <w:del w:id="380" w:author="Master Repository Process" w:date="2021-09-12T14:36:00Z">
              <w:r>
                <w:rPr>
                  <w:rFonts w:ascii="Times" w:hAnsi="Times"/>
                  <w:bCs/>
                  <w:snapToGrid w:val="0"/>
                  <w:spacing w:val="-2"/>
                </w:rPr>
                <w:delText xml:space="preserve"> </w:delText>
              </w:r>
            </w:del>
            <w:ins w:id="381" w:author="Master Repository Process" w:date="2021-09-12T14:36:00Z">
              <w:r>
                <w:rPr>
                  <w:bCs/>
                  <w:snapToGrid w:val="0"/>
                  <w:spacing w:val="-2"/>
                </w:rPr>
                <w:t> </w:t>
              </w:r>
            </w:ins>
            <w:r>
              <w:rPr>
                <w:bCs/>
                <w:snapToGrid w:val="0"/>
                <w:spacing w:val="-2"/>
              </w:rPr>
              <w:t>1 and 2: 16 Dec 2014 (see r. 2(a));</w:t>
            </w:r>
            <w:r>
              <w:rPr>
                <w:bCs/>
                <w:snapToGrid w:val="0"/>
                <w:spacing w:val="-2"/>
              </w:rPr>
              <w:br/>
              <w:t>Regulations other than r.</w:t>
            </w:r>
            <w:del w:id="382" w:author="Master Repository Process" w:date="2021-09-12T14:36:00Z">
              <w:r>
                <w:rPr>
                  <w:rFonts w:ascii="Times" w:hAnsi="Times"/>
                  <w:bCs/>
                  <w:snapToGrid w:val="0"/>
                  <w:spacing w:val="-2"/>
                </w:rPr>
                <w:delText xml:space="preserve"> </w:delText>
              </w:r>
            </w:del>
            <w:ins w:id="383" w:author="Master Repository Process" w:date="2021-09-12T14:36:00Z">
              <w:r>
                <w:rPr>
                  <w:bCs/>
                  <w:snapToGrid w:val="0"/>
                  <w:spacing w:val="-2"/>
                </w:rPr>
                <w:t> </w:t>
              </w:r>
            </w:ins>
            <w:r>
              <w:rPr>
                <w:bCs/>
                <w:snapToGrid w:val="0"/>
                <w:spacing w:val="-2"/>
              </w:rPr>
              <w:t>1 and 2: 17 Dec 2014 (see r.</w:t>
            </w:r>
            <w:del w:id="384" w:author="Master Repository Process" w:date="2021-09-12T14:36:00Z">
              <w:r>
                <w:rPr>
                  <w:rFonts w:ascii="Times" w:hAnsi="Times"/>
                  <w:bCs/>
                  <w:snapToGrid w:val="0"/>
                  <w:spacing w:val="-2"/>
                </w:rPr>
                <w:delText xml:space="preserve"> </w:delText>
              </w:r>
            </w:del>
            <w:ins w:id="385" w:author="Master Repository Process" w:date="2021-09-12T14:36:00Z">
              <w:r>
                <w:rPr>
                  <w:bCs/>
                  <w:snapToGrid w:val="0"/>
                  <w:spacing w:val="-2"/>
                </w:rPr>
                <w:t> </w:t>
              </w:r>
            </w:ins>
            <w:r>
              <w:rPr>
                <w:bCs/>
                <w:snapToGrid w:val="0"/>
                <w:spacing w:val="-2"/>
              </w:rPr>
              <w:t>2(b))</w:t>
            </w:r>
          </w:p>
        </w:tc>
      </w:tr>
      <w:tr>
        <w:trPr>
          <w:cantSplit/>
        </w:trPr>
        <w:tc>
          <w:tcPr>
            <w:tcW w:w="3118"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ins w:id="386" w:author="Master Repository Process" w:date="2021-09-12T14:36:00Z"/>
        </w:trPr>
        <w:tc>
          <w:tcPr>
            <w:tcW w:w="3118" w:type="dxa"/>
            <w:tcBorders>
              <w:bottom w:val="single" w:sz="4" w:space="0" w:color="auto"/>
            </w:tcBorders>
            <w:shd w:val="clear" w:color="auto" w:fill="auto"/>
          </w:tcPr>
          <w:p>
            <w:pPr>
              <w:pStyle w:val="nTable"/>
              <w:spacing w:after="40"/>
              <w:ind w:right="113"/>
              <w:rPr>
                <w:ins w:id="387" w:author="Master Repository Process" w:date="2021-09-12T14:36:00Z"/>
                <w:i/>
              </w:rPr>
            </w:pPr>
            <w:ins w:id="388" w:author="Master Repository Process" w:date="2021-09-12T14:36:00Z">
              <w:r>
                <w:rPr>
                  <w:i/>
                </w:rPr>
                <w:t>Rights in Water and Irrigation Amendment Regulations 2018</w:t>
              </w:r>
            </w:ins>
          </w:p>
        </w:tc>
        <w:tc>
          <w:tcPr>
            <w:tcW w:w="1276" w:type="dxa"/>
            <w:tcBorders>
              <w:bottom w:val="single" w:sz="4" w:space="0" w:color="auto"/>
            </w:tcBorders>
            <w:shd w:val="clear" w:color="auto" w:fill="auto"/>
          </w:tcPr>
          <w:p>
            <w:pPr>
              <w:pStyle w:val="nTable"/>
              <w:spacing w:after="40"/>
              <w:rPr>
                <w:ins w:id="389" w:author="Master Repository Process" w:date="2021-09-12T14:36:00Z"/>
              </w:rPr>
            </w:pPr>
            <w:ins w:id="390" w:author="Master Repository Process" w:date="2021-09-12T14:36:00Z">
              <w:r>
                <w:t>20 Feb 2018 p. 495</w:t>
              </w:r>
              <w:r>
                <w:noBreakHyphen/>
                <w:t>501</w:t>
              </w:r>
            </w:ins>
          </w:p>
        </w:tc>
        <w:tc>
          <w:tcPr>
            <w:tcW w:w="2693" w:type="dxa"/>
            <w:tcBorders>
              <w:bottom w:val="single" w:sz="4" w:space="0" w:color="auto"/>
            </w:tcBorders>
            <w:shd w:val="clear" w:color="auto" w:fill="auto"/>
          </w:tcPr>
          <w:p>
            <w:pPr>
              <w:pStyle w:val="nTable"/>
              <w:spacing w:after="40"/>
              <w:rPr>
                <w:ins w:id="391" w:author="Master Repository Process" w:date="2021-09-12T14:36:00Z"/>
                <w:bCs/>
                <w:snapToGrid w:val="0"/>
                <w:spacing w:val="-2"/>
              </w:rPr>
            </w:pPr>
            <w:ins w:id="392" w:author="Master Repository Process" w:date="2021-09-12T14:36:00Z">
              <w:r>
                <w:rPr>
                  <w:bCs/>
                  <w:snapToGrid w:val="0"/>
                  <w:spacing w:val="-2"/>
                </w:rPr>
                <w:t>r. 1 and 2: 20 Feb 2018 (see r. 2(a));</w:t>
              </w:r>
              <w:r>
                <w:rPr>
                  <w:bCs/>
                  <w:snapToGrid w:val="0"/>
                  <w:spacing w:val="-2"/>
                </w:rPr>
                <w:br/>
                <w:t>Regulations other than r. 1 and 2: 21 Feb 2018 (see r. 2(b))</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4" w:name="Coversheet"/>
    <w:bookmarkEnd w:id="3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4" w:name="Schedule"/>
    <w:bookmarkEnd w:id="3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C71299-09E2-46A2-95B6-636C3CB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1FC5-89B4-4026-955B-CEB51C2D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11266</Words>
  <Characters>57911</Characters>
  <Application>Microsoft Office Word</Application>
  <DocSecurity>0</DocSecurity>
  <Lines>1996</Lines>
  <Paragraphs>1098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02-h0-00 - 02-i0-01</dc:title>
  <dc:subject/>
  <dc:creator/>
  <cp:keywords/>
  <dc:description/>
  <cp:lastModifiedBy>Master Repository Process</cp:lastModifiedBy>
  <cp:revision>2</cp:revision>
  <cp:lastPrinted>2009-08-21T06:53:00Z</cp:lastPrinted>
  <dcterms:created xsi:type="dcterms:W3CDTF">2021-09-12T06:36:00Z</dcterms:created>
  <dcterms:modified xsi:type="dcterms:W3CDTF">2021-09-12T06:36:00Z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CommencementDate">
    <vt:lpwstr>20180221</vt:lpwstr>
  </property>
  <property fmtid="{D5CDD505-2E9C-101B-9397-08002B2CF9AE}" pid="7" name="FromSuffix">
    <vt:lpwstr>02-h0-00</vt:lpwstr>
  </property>
  <property fmtid="{D5CDD505-2E9C-101B-9397-08002B2CF9AE}" pid="8" name="FromAsAtDate">
    <vt:lpwstr>16 Sep 2017</vt:lpwstr>
  </property>
  <property fmtid="{D5CDD505-2E9C-101B-9397-08002B2CF9AE}" pid="9" name="ToSuffix">
    <vt:lpwstr>02-i0-01</vt:lpwstr>
  </property>
  <property fmtid="{D5CDD505-2E9C-101B-9397-08002B2CF9AE}" pid="10" name="ToAsAtDate">
    <vt:lpwstr>21 Feb 2018</vt:lpwstr>
  </property>
</Properties>
</file>