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Jan 2018</w:t>
      </w:r>
      <w:r>
        <w:fldChar w:fldCharType="end"/>
      </w:r>
      <w:r>
        <w:t xml:space="preserve">, </w:t>
      </w:r>
      <w:r>
        <w:fldChar w:fldCharType="begin"/>
      </w:r>
      <w:r>
        <w:instrText xml:space="preserve"> DocProperty FromSuffix </w:instrText>
      </w:r>
      <w:r>
        <w:fldChar w:fldCharType="separate"/>
      </w:r>
      <w:r>
        <w:t>12-a0-00</w:t>
      </w:r>
      <w:r>
        <w:fldChar w:fldCharType="end"/>
      </w:r>
      <w:r>
        <w:t>] and [</w:t>
      </w:r>
      <w:r>
        <w:fldChar w:fldCharType="begin"/>
      </w:r>
      <w:r>
        <w:instrText xml:space="preserve"> DocProperty ToAsAtDate</w:instrText>
      </w:r>
      <w:r>
        <w:fldChar w:fldCharType="separate"/>
      </w:r>
      <w:r>
        <w:t>29 May 2018</w:t>
      </w:r>
      <w:r>
        <w:fldChar w:fldCharType="end"/>
      </w:r>
      <w:r>
        <w:t xml:space="preserve">, </w:t>
      </w:r>
      <w:r>
        <w:fldChar w:fldCharType="begin"/>
      </w:r>
      <w:r>
        <w:instrText xml:space="preserve"> DocProperty ToSuffix</w:instrText>
      </w:r>
      <w:r>
        <w:fldChar w:fldCharType="separate"/>
      </w:r>
      <w:r>
        <w:t>12-b0-04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9-05-20T15:05:00Z"/>
        </w:trPr>
        <w:tc>
          <w:tcPr>
            <w:tcW w:w="2434" w:type="dxa"/>
            <w:vMerge w:val="restart"/>
          </w:tcPr>
          <w:p>
            <w:pPr>
              <w:rPr>
                <w:del w:id="2" w:author="svcMRProcess" w:date="2019-05-20T15:05:00Z"/>
              </w:rPr>
            </w:pPr>
          </w:p>
        </w:tc>
        <w:tc>
          <w:tcPr>
            <w:tcW w:w="2434" w:type="dxa"/>
            <w:vMerge w:val="restart"/>
          </w:tcPr>
          <w:p>
            <w:pPr>
              <w:jc w:val="center"/>
              <w:rPr>
                <w:del w:id="3" w:author="svcMRProcess" w:date="2019-05-20T15:05:00Z"/>
              </w:rPr>
            </w:pPr>
            <w:del w:id="4" w:author="svcMRProcess" w:date="2019-05-20T15:0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9-05-20T15:05:00Z"/>
              </w:rPr>
            </w:pPr>
            <w:del w:id="6" w:author="svcMRProcess" w:date="2019-05-20T15:05: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9-05-20T15:05:00Z"/>
        </w:trPr>
        <w:tc>
          <w:tcPr>
            <w:tcW w:w="2434" w:type="dxa"/>
            <w:vMerge/>
          </w:tcPr>
          <w:p>
            <w:pPr>
              <w:rPr>
                <w:del w:id="8" w:author="svcMRProcess" w:date="2019-05-20T15:05:00Z"/>
              </w:rPr>
            </w:pPr>
          </w:p>
        </w:tc>
        <w:tc>
          <w:tcPr>
            <w:tcW w:w="2434" w:type="dxa"/>
            <w:vMerge/>
          </w:tcPr>
          <w:p>
            <w:pPr>
              <w:jc w:val="center"/>
              <w:rPr>
                <w:del w:id="9" w:author="svcMRProcess" w:date="2019-05-20T15:05:00Z"/>
              </w:rPr>
            </w:pPr>
          </w:p>
        </w:tc>
        <w:tc>
          <w:tcPr>
            <w:tcW w:w="2434" w:type="dxa"/>
          </w:tcPr>
          <w:p>
            <w:pPr>
              <w:keepNext/>
              <w:rPr>
                <w:del w:id="10" w:author="svcMRProcess" w:date="2019-05-20T15:05:00Z"/>
                <w:b/>
                <w:sz w:val="22"/>
              </w:rPr>
            </w:pPr>
            <w:del w:id="11" w:author="svcMRProcess" w:date="2019-05-20T15:05:00Z">
              <w:r>
                <w:rPr>
                  <w:b/>
                  <w:sz w:val="22"/>
                </w:rPr>
                <w:delText>at 12 January 2018</w:delText>
              </w:r>
            </w:del>
          </w:p>
        </w:tc>
      </w:tr>
    </w:tbl>
    <w:p>
      <w:pPr>
        <w:pStyle w:val="WA"/>
        <w:spacing w:before="12"/>
      </w:pPr>
      <w:r>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12" w:name="_GoBack"/>
      <w:bookmarkEnd w:id="12"/>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3" w:name="_Toc500422853"/>
      <w:bookmarkStart w:id="14" w:name="_Toc503259237"/>
      <w:bookmarkStart w:id="15" w:name="_Toc503265173"/>
      <w:bookmarkStart w:id="16" w:name="_Toc503880640"/>
      <w:bookmarkStart w:id="17" w:name="_Toc515436166"/>
      <w:bookmarkStart w:id="18" w:name="_Toc515436995"/>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r>
        <w:rPr>
          <w:rStyle w:val="CharPartText"/>
        </w:rPr>
        <w:t xml:space="preserve"> </w:t>
      </w:r>
    </w:p>
    <w:p>
      <w:pPr>
        <w:pStyle w:val="Heading5"/>
        <w:rPr>
          <w:snapToGrid w:val="0"/>
        </w:rPr>
      </w:pPr>
      <w:bookmarkStart w:id="19" w:name="_Toc515436996"/>
      <w:bookmarkStart w:id="20" w:name="_Toc503880641"/>
      <w:r>
        <w:rPr>
          <w:rStyle w:val="CharSectno"/>
        </w:rPr>
        <w:t>1</w:t>
      </w:r>
      <w:r>
        <w:rPr>
          <w:snapToGrid w:val="0"/>
        </w:rPr>
        <w:t>.</w:t>
      </w:r>
      <w:r>
        <w:rPr>
          <w:snapToGrid w:val="0"/>
        </w:rPr>
        <w:tab/>
        <w:t>Short title</w:t>
      </w:r>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21" w:name="_Toc515436997"/>
      <w:bookmarkStart w:id="22" w:name="_Toc503880642"/>
      <w:r>
        <w:rPr>
          <w:rStyle w:val="CharSectno"/>
        </w:rPr>
        <w:t>2</w:t>
      </w:r>
      <w:r>
        <w:rPr>
          <w:snapToGrid w:val="0"/>
        </w:rPr>
        <w:t>.</w:t>
      </w:r>
      <w:r>
        <w:rPr>
          <w:snapToGrid w:val="0"/>
        </w:rPr>
        <w:tab/>
        <w:t>Commencement</w:t>
      </w:r>
      <w:bookmarkEnd w:id="21"/>
      <w:bookmarkEnd w:id="22"/>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23" w:name="_Toc515436998"/>
      <w:bookmarkStart w:id="24" w:name="_Toc503880643"/>
      <w:r>
        <w:rPr>
          <w:rStyle w:val="CharSectno"/>
        </w:rPr>
        <w:t>3</w:t>
      </w:r>
      <w:r>
        <w:rPr>
          <w:snapToGrid w:val="0"/>
        </w:rPr>
        <w:t>.</w:t>
      </w:r>
      <w:r>
        <w:rPr>
          <w:snapToGrid w:val="0"/>
        </w:rPr>
        <w:tab/>
        <w:t>Terms used</w:t>
      </w:r>
      <w:bookmarkEnd w:id="23"/>
      <w:bookmarkEnd w:id="2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pPr>
      <w:r>
        <w:tab/>
        <w:t>(i)</w:t>
      </w:r>
      <w:r>
        <w:tab/>
        <w:t>established or continued for a public purpose under a written law; and</w:t>
      </w:r>
    </w:p>
    <w:p>
      <w:pPr>
        <w:pStyle w:val="Defsubpara"/>
      </w:pPr>
      <w:r>
        <w:tab/>
        <w:t>(ii)</w:t>
      </w:r>
      <w: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w:t>
      </w:r>
      <w:del w:id="25" w:author="svcMRProcess" w:date="2019-05-20T15:05:00Z">
        <w:r>
          <w:delText xml:space="preserve"> by</w:delText>
        </w:r>
      </w:del>
      <w:ins w:id="26" w:author="svcMRProcess" w:date="2019-05-20T15:05:00Z">
        <w:r>
          <w:t>:</w:t>
        </w:r>
      </w:ins>
      <w:r>
        <w:t xml:space="preserve"> No. 39 of 2010 s. 4, 68, 70 and 92.]</w:t>
      </w:r>
    </w:p>
    <w:p>
      <w:pPr>
        <w:pStyle w:val="Heading5"/>
        <w:keepNext w:val="0"/>
        <w:keepLines w:val="0"/>
        <w:pageBreakBefore/>
        <w:spacing w:before="0"/>
        <w:rPr>
          <w:snapToGrid w:val="0"/>
        </w:rPr>
      </w:pPr>
      <w:bookmarkStart w:id="27" w:name="_Toc515436999"/>
      <w:bookmarkStart w:id="28" w:name="_Toc503880644"/>
      <w:r>
        <w:rPr>
          <w:rStyle w:val="CharSectno"/>
        </w:rPr>
        <w:t>4</w:t>
      </w:r>
      <w:r>
        <w:rPr>
          <w:snapToGrid w:val="0"/>
        </w:rPr>
        <w:t>.</w:t>
      </w:r>
      <w:r>
        <w:rPr>
          <w:snapToGrid w:val="0"/>
        </w:rPr>
        <w:tab/>
        <w:t>Persons deemed to be CEOs or chief employees</w:t>
      </w:r>
      <w:bookmarkEnd w:id="27"/>
      <w:bookmarkEnd w:id="28"/>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w:t>
      </w:r>
      <w:del w:id="29" w:author="svcMRProcess" w:date="2019-05-20T15:05:00Z">
        <w:r>
          <w:delText xml:space="preserve"> by</w:delText>
        </w:r>
      </w:del>
      <w:ins w:id="30" w:author="svcMRProcess" w:date="2019-05-20T15:05:00Z">
        <w:r>
          <w:t>:</w:t>
        </w:r>
      </w:ins>
      <w:r>
        <w:t xml:space="preserve"> No. 39 of 2010 s. 5.]</w:t>
      </w:r>
    </w:p>
    <w:p>
      <w:pPr>
        <w:pStyle w:val="Heading5"/>
        <w:rPr>
          <w:snapToGrid w:val="0"/>
        </w:rPr>
      </w:pPr>
      <w:bookmarkStart w:id="31" w:name="_Toc515437000"/>
      <w:bookmarkStart w:id="32" w:name="_Toc503880645"/>
      <w:r>
        <w:rPr>
          <w:rStyle w:val="CharSectno"/>
        </w:rPr>
        <w:t>5</w:t>
      </w:r>
      <w:r>
        <w:rPr>
          <w:snapToGrid w:val="0"/>
        </w:rPr>
        <w:t>.</w:t>
      </w:r>
      <w:r>
        <w:rPr>
          <w:snapToGrid w:val="0"/>
        </w:rPr>
        <w:tab/>
        <w:t>Term used: employing authority</w:t>
      </w:r>
      <w:bookmarkEnd w:id="31"/>
      <w:bookmarkEnd w:id="32"/>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pPr>
      <w:r>
        <w:tab/>
        <w:t>(i)</w:t>
      </w:r>
      <w:r>
        <w:tab/>
        <w:t>subject to subparagraph (iii), if a chief executive officer or chief employee is the accountable authority of the department or organisation, the chief executive officer or chief employee; or</w:t>
      </w:r>
    </w:p>
    <w:p>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pPr>
        <w:pStyle w:val="Defsubpara"/>
        <w:keepLines w:val="0"/>
      </w:pPr>
      <w:r>
        <w:tab/>
        <w:t>(iii)</w:t>
      </w:r>
      <w: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w:t>
      </w:r>
      <w:del w:id="33" w:author="svcMRProcess" w:date="2019-05-20T15:05:00Z">
        <w:r>
          <w:delText xml:space="preserve"> by</w:delText>
        </w:r>
      </w:del>
      <w:ins w:id="34" w:author="svcMRProcess" w:date="2019-05-20T15:05:00Z">
        <w:r>
          <w:t>:</w:t>
        </w:r>
      </w:ins>
      <w:r>
        <w:t xml:space="preserve"> No. 77 of 2006 s. 6 and 7; No. 39 of 2010 s. 6, 68 and 70.]</w:t>
      </w:r>
    </w:p>
    <w:p>
      <w:pPr>
        <w:pStyle w:val="Heading5"/>
        <w:rPr>
          <w:snapToGrid w:val="0"/>
        </w:rPr>
      </w:pPr>
      <w:bookmarkStart w:id="35" w:name="_Toc515437001"/>
      <w:bookmarkStart w:id="36" w:name="_Toc503880646"/>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35"/>
      <w:bookmarkEnd w:id="36"/>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37" w:name="_Toc500422860"/>
      <w:bookmarkStart w:id="38" w:name="_Toc503259244"/>
      <w:bookmarkStart w:id="39" w:name="_Toc503265180"/>
      <w:bookmarkStart w:id="40" w:name="_Toc503880647"/>
      <w:bookmarkStart w:id="41" w:name="_Toc515436173"/>
      <w:bookmarkStart w:id="42" w:name="_Toc515437002"/>
      <w:r>
        <w:rPr>
          <w:rStyle w:val="CharPartNo"/>
        </w:rPr>
        <w:t>Part 2</w:t>
      </w:r>
      <w:r>
        <w:rPr>
          <w:rStyle w:val="CharDivNo"/>
        </w:rPr>
        <w:t> </w:t>
      </w:r>
      <w:r>
        <w:t>—</w:t>
      </w:r>
      <w:r>
        <w:rPr>
          <w:rStyle w:val="CharDivText"/>
        </w:rPr>
        <w:t> </w:t>
      </w:r>
      <w:r>
        <w:rPr>
          <w:rStyle w:val="CharPartText"/>
        </w:rPr>
        <w:t>Public Sector principles</w:t>
      </w:r>
      <w:bookmarkEnd w:id="37"/>
      <w:bookmarkEnd w:id="38"/>
      <w:bookmarkEnd w:id="39"/>
      <w:bookmarkEnd w:id="40"/>
      <w:bookmarkEnd w:id="41"/>
      <w:bookmarkEnd w:id="42"/>
    </w:p>
    <w:p>
      <w:pPr>
        <w:pStyle w:val="Footnoteheading"/>
        <w:rPr>
          <w:i w:val="0"/>
        </w:rPr>
      </w:pPr>
      <w:r>
        <w:tab/>
        <w:t>[Heading inserted</w:t>
      </w:r>
      <w:del w:id="43" w:author="svcMRProcess" w:date="2019-05-20T15:05:00Z">
        <w:r>
          <w:delText xml:space="preserve"> by</w:delText>
        </w:r>
      </w:del>
      <w:ins w:id="44" w:author="svcMRProcess" w:date="2019-05-20T15:05:00Z">
        <w:r>
          <w:t>:</w:t>
        </w:r>
      </w:ins>
      <w:r>
        <w:t xml:space="preserve"> No. 39 of 2010 s. 7.]</w:t>
      </w:r>
    </w:p>
    <w:p>
      <w:pPr>
        <w:pStyle w:val="Ednotedivision"/>
      </w:pPr>
      <w:r>
        <w:t>[Division 1 heading deleted</w:t>
      </w:r>
      <w:del w:id="45" w:author="svcMRProcess" w:date="2019-05-20T15:05:00Z">
        <w:r>
          <w:delText xml:space="preserve"> by</w:delText>
        </w:r>
      </w:del>
      <w:ins w:id="46" w:author="svcMRProcess" w:date="2019-05-20T15:05:00Z">
        <w:r>
          <w:t>:</w:t>
        </w:r>
      </w:ins>
      <w:r>
        <w:t xml:space="preserve"> No. 39 of 2010 s. 8.]</w:t>
      </w:r>
    </w:p>
    <w:p>
      <w:pPr>
        <w:pStyle w:val="Heading5"/>
        <w:rPr>
          <w:snapToGrid w:val="0"/>
        </w:rPr>
      </w:pPr>
      <w:bookmarkStart w:id="47" w:name="_Toc515437003"/>
      <w:bookmarkStart w:id="48" w:name="_Toc503880648"/>
      <w:r>
        <w:rPr>
          <w:rStyle w:val="CharSectno"/>
        </w:rPr>
        <w:t>7</w:t>
      </w:r>
      <w:r>
        <w:rPr>
          <w:snapToGrid w:val="0"/>
        </w:rPr>
        <w:t>.</w:t>
      </w:r>
      <w:r>
        <w:rPr>
          <w:snapToGrid w:val="0"/>
        </w:rPr>
        <w:tab/>
        <w:t>Public administration and management principles</w:t>
      </w:r>
      <w:bookmarkEnd w:id="47"/>
      <w:bookmarkEnd w:id="48"/>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49" w:name="_Toc515437004"/>
      <w:bookmarkStart w:id="50" w:name="_Toc503880649"/>
      <w:r>
        <w:rPr>
          <w:rStyle w:val="CharSectno"/>
        </w:rPr>
        <w:t>8</w:t>
      </w:r>
      <w:r>
        <w:rPr>
          <w:snapToGrid w:val="0"/>
        </w:rPr>
        <w:t>.</w:t>
      </w:r>
      <w:r>
        <w:rPr>
          <w:snapToGrid w:val="0"/>
        </w:rPr>
        <w:tab/>
        <w:t>Human resource management principles</w:t>
      </w:r>
      <w:bookmarkEnd w:id="49"/>
      <w:bookmarkEnd w:id="50"/>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[Section 8 amended</w:t>
      </w:r>
      <w:del w:id="51" w:author="svcMRProcess" w:date="2019-05-20T15:05:00Z">
        <w:r>
          <w:delText xml:space="preserve"> by</w:delText>
        </w:r>
      </w:del>
      <w:ins w:id="52" w:author="svcMRProcess" w:date="2019-05-20T15:05:00Z">
        <w:r>
          <w:t>:</w:t>
        </w:r>
      </w:ins>
      <w:r>
        <w:t xml:space="preserve"> No. 30 of 1995 s. 48; No. 39 of 2010 s. 9, 68 and 70.] </w:t>
      </w:r>
    </w:p>
    <w:p>
      <w:pPr>
        <w:pStyle w:val="Heading5"/>
        <w:rPr>
          <w:snapToGrid w:val="0"/>
        </w:rPr>
      </w:pPr>
      <w:bookmarkStart w:id="53" w:name="_Toc515437005"/>
      <w:bookmarkStart w:id="54" w:name="_Toc503880650"/>
      <w:r>
        <w:rPr>
          <w:rStyle w:val="CharSectno"/>
        </w:rPr>
        <w:t>9</w:t>
      </w:r>
      <w:r>
        <w:rPr>
          <w:snapToGrid w:val="0"/>
        </w:rPr>
        <w:t>.</w:t>
      </w:r>
      <w:r>
        <w:rPr>
          <w:snapToGrid w:val="0"/>
        </w:rPr>
        <w:tab/>
        <w:t>Principles of conduct by public sector bodies etc.</w:t>
      </w:r>
      <w:bookmarkEnd w:id="53"/>
      <w:bookmarkEnd w:id="54"/>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[Section 9 amended</w:t>
      </w:r>
      <w:del w:id="55" w:author="svcMRProcess" w:date="2019-05-20T15:05:00Z">
        <w:r>
          <w:delText xml:space="preserve"> by</w:delText>
        </w:r>
      </w:del>
      <w:ins w:id="56" w:author="svcMRProcess" w:date="2019-05-20T15:05:00Z">
        <w:r>
          <w:t>:</w:t>
        </w:r>
      </w:ins>
      <w:r>
        <w:t xml:space="preserve"> No. 39 of 2010 s. 10 and 70.] </w:t>
      </w:r>
    </w:p>
    <w:p>
      <w:pPr>
        <w:pStyle w:val="Ednotedivision"/>
      </w:pPr>
      <w:r>
        <w:t>[Division 2 (s. 10</w:t>
      </w:r>
      <w:r>
        <w:noBreakHyphen/>
        <w:t>15) deleted</w:t>
      </w:r>
      <w:del w:id="57" w:author="svcMRProcess" w:date="2019-05-20T15:05:00Z">
        <w:r>
          <w:delText xml:space="preserve"> by</w:delText>
        </w:r>
      </w:del>
      <w:ins w:id="58" w:author="svcMRProcess" w:date="2019-05-20T15:05:00Z">
        <w:r>
          <w:t>:</w:t>
        </w:r>
      </w:ins>
      <w:r>
        <w:t xml:space="preserve"> No. 39 of 2010 s. 11.]</w:t>
      </w:r>
    </w:p>
    <w:p>
      <w:pPr>
        <w:pStyle w:val="Ednotedivision"/>
      </w:pPr>
      <w:r>
        <w:t>[Division 3 heading deleted</w:t>
      </w:r>
      <w:del w:id="59" w:author="svcMRProcess" w:date="2019-05-20T15:05:00Z">
        <w:r>
          <w:delText xml:space="preserve"> by</w:delText>
        </w:r>
      </w:del>
      <w:ins w:id="60" w:author="svcMRProcess" w:date="2019-05-20T15:05:00Z">
        <w:r>
          <w:t>:</w:t>
        </w:r>
      </w:ins>
      <w:r>
        <w:t xml:space="preserve"> No. 39 of 2010 s. 11.]</w:t>
      </w:r>
    </w:p>
    <w:p>
      <w:pPr>
        <w:pStyle w:val="Heading2"/>
      </w:pPr>
      <w:bookmarkStart w:id="61" w:name="_Toc500422864"/>
      <w:bookmarkStart w:id="62" w:name="_Toc503259248"/>
      <w:bookmarkStart w:id="63" w:name="_Toc503265184"/>
      <w:bookmarkStart w:id="64" w:name="_Toc503880651"/>
      <w:bookmarkStart w:id="65" w:name="_Toc515436177"/>
      <w:bookmarkStart w:id="66" w:name="_Toc515437006"/>
      <w:r>
        <w:rPr>
          <w:rStyle w:val="CharPartNo"/>
        </w:rPr>
        <w:t>Part 3A</w:t>
      </w:r>
      <w:r>
        <w:rPr>
          <w:b w:val="0"/>
        </w:rPr>
        <w:t> </w:t>
      </w:r>
      <w:r>
        <w:t>—</w:t>
      </w:r>
      <w:r>
        <w:rPr>
          <w:b w:val="0"/>
        </w:rPr>
        <w:t> </w:t>
      </w:r>
      <w:r>
        <w:rPr>
          <w:rStyle w:val="CharPartText"/>
        </w:rPr>
        <w:t>Public Sector Commissioner</w:t>
      </w:r>
      <w:bookmarkEnd w:id="61"/>
      <w:bookmarkEnd w:id="62"/>
      <w:bookmarkEnd w:id="63"/>
      <w:bookmarkEnd w:id="64"/>
      <w:bookmarkEnd w:id="65"/>
      <w:bookmarkEnd w:id="66"/>
    </w:p>
    <w:p>
      <w:pPr>
        <w:pStyle w:val="Footnoteheading"/>
      </w:pPr>
      <w:r>
        <w:tab/>
        <w:t>[Heading inserted</w:t>
      </w:r>
      <w:del w:id="67" w:author="svcMRProcess" w:date="2019-05-20T15:05:00Z">
        <w:r>
          <w:delText xml:space="preserve"> by</w:delText>
        </w:r>
      </w:del>
      <w:ins w:id="68" w:author="svcMRProcess" w:date="2019-05-20T15:05:00Z">
        <w:r>
          <w:t>:</w:t>
        </w:r>
      </w:ins>
      <w:r>
        <w:t xml:space="preserve"> No. 39 of 2010 s. 12.]</w:t>
      </w:r>
    </w:p>
    <w:p>
      <w:pPr>
        <w:pStyle w:val="Heading3"/>
        <w:spacing w:before="180"/>
      </w:pPr>
      <w:bookmarkStart w:id="69" w:name="_Toc500422865"/>
      <w:bookmarkStart w:id="70" w:name="_Toc503259249"/>
      <w:bookmarkStart w:id="71" w:name="_Toc503265185"/>
      <w:bookmarkStart w:id="72" w:name="_Toc503880652"/>
      <w:bookmarkStart w:id="73" w:name="_Toc515436178"/>
      <w:bookmarkStart w:id="74" w:name="_Toc515437007"/>
      <w:r>
        <w:rPr>
          <w:rStyle w:val="CharDivNo"/>
        </w:rPr>
        <w:t>Division 1</w:t>
      </w:r>
      <w:r>
        <w:t> — </w:t>
      </w:r>
      <w:r>
        <w:rPr>
          <w:rStyle w:val="CharDivText"/>
        </w:rPr>
        <w:t>Public Sector Commissioner</w:t>
      </w:r>
      <w:bookmarkEnd w:id="69"/>
      <w:bookmarkEnd w:id="70"/>
      <w:bookmarkEnd w:id="71"/>
      <w:bookmarkEnd w:id="72"/>
      <w:bookmarkEnd w:id="73"/>
      <w:bookmarkEnd w:id="74"/>
    </w:p>
    <w:p>
      <w:pPr>
        <w:pStyle w:val="Footnoteheading"/>
      </w:pPr>
      <w:r>
        <w:tab/>
        <w:t>[Heading inserted</w:t>
      </w:r>
      <w:del w:id="75" w:author="svcMRProcess" w:date="2019-05-20T15:05:00Z">
        <w:r>
          <w:delText xml:space="preserve"> by</w:delText>
        </w:r>
      </w:del>
      <w:ins w:id="76" w:author="svcMRProcess" w:date="2019-05-20T15:05:00Z">
        <w:r>
          <w:t>:</w:t>
        </w:r>
      </w:ins>
      <w:r>
        <w:t xml:space="preserve"> No. 39 of 2010 s. 12.]</w:t>
      </w:r>
    </w:p>
    <w:p>
      <w:pPr>
        <w:pStyle w:val="Heading5"/>
        <w:spacing w:before="180"/>
      </w:pPr>
      <w:bookmarkStart w:id="77" w:name="_Toc515437008"/>
      <w:bookmarkStart w:id="78" w:name="_Toc503880653"/>
      <w:r>
        <w:rPr>
          <w:rStyle w:val="CharSectno"/>
        </w:rPr>
        <w:t>16</w:t>
      </w:r>
      <w:r>
        <w:t>.</w:t>
      </w:r>
      <w:r>
        <w:tab/>
        <w:t>Office of Public Sector Commissioner</w:t>
      </w:r>
      <w:bookmarkEnd w:id="77"/>
      <w:bookmarkEnd w:id="78"/>
    </w:p>
    <w:p>
      <w:pPr>
        <w:pStyle w:val="Subsection"/>
        <w:spacing w:before="180"/>
      </w:pPr>
      <w:r>
        <w:tab/>
        <w:t>(1)</w:t>
      </w:r>
      <w:r>
        <w:tab/>
        <w:t>An office of Public Sector Commissioner is established.</w:t>
      </w:r>
    </w:p>
    <w:p>
      <w:pPr>
        <w:pStyle w:val="Subsection"/>
        <w:spacing w:before="180"/>
      </w:pPr>
      <w:r>
        <w:tab/>
        <w:t>(2)</w:t>
      </w:r>
      <w:r>
        <w:tab/>
        <w:t>The office of Public Sector Commissioner is not an office in the Public Service.</w:t>
      </w:r>
    </w:p>
    <w:p>
      <w:pPr>
        <w:pStyle w:val="Footnotesection"/>
      </w:pPr>
      <w:r>
        <w:tab/>
        <w:t>[Section 16 inserted</w:t>
      </w:r>
      <w:del w:id="79" w:author="svcMRProcess" w:date="2019-05-20T15:05:00Z">
        <w:r>
          <w:delText xml:space="preserve"> by</w:delText>
        </w:r>
      </w:del>
      <w:ins w:id="80" w:author="svcMRProcess" w:date="2019-05-20T15:05:00Z">
        <w:r>
          <w:t>:</w:t>
        </w:r>
      </w:ins>
      <w:r>
        <w:t xml:space="preserve"> No. 39 of 2010 s. 13.]</w:t>
      </w:r>
    </w:p>
    <w:p>
      <w:pPr>
        <w:pStyle w:val="Heading5"/>
        <w:keepNext w:val="0"/>
        <w:keepLines w:val="0"/>
        <w:spacing w:before="180"/>
        <w:rPr>
          <w:snapToGrid w:val="0"/>
        </w:rPr>
      </w:pPr>
      <w:bookmarkStart w:id="81" w:name="_Toc515437009"/>
      <w:bookmarkStart w:id="82" w:name="_Toc503880654"/>
      <w:r>
        <w:rPr>
          <w:rStyle w:val="CharSectno"/>
        </w:rPr>
        <w:t>17</w:t>
      </w:r>
      <w:r>
        <w:rPr>
          <w:snapToGrid w:val="0"/>
        </w:rPr>
        <w:t>.</w:t>
      </w:r>
      <w:r>
        <w:rPr>
          <w:snapToGrid w:val="0"/>
        </w:rPr>
        <w:tab/>
        <w:t>Appointment etc. of Commissioner</w:t>
      </w:r>
      <w:bookmarkEnd w:id="81"/>
      <w:bookmarkEnd w:id="82"/>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w:t>
      </w:r>
      <w:del w:id="83" w:author="svcMRProcess" w:date="2019-05-20T15:05:00Z">
        <w:r>
          <w:delText xml:space="preserve"> by</w:delText>
        </w:r>
      </w:del>
      <w:ins w:id="84" w:author="svcMRProcess" w:date="2019-05-20T15:05:00Z">
        <w:r>
          <w:t>:</w:t>
        </w:r>
      </w:ins>
      <w:r>
        <w:t xml:space="preserve"> No. 39 of 2010 s. 14.]</w:t>
      </w:r>
    </w:p>
    <w:p>
      <w:pPr>
        <w:pStyle w:val="Heading5"/>
        <w:spacing w:before="180"/>
        <w:rPr>
          <w:snapToGrid w:val="0"/>
        </w:rPr>
      </w:pPr>
      <w:bookmarkStart w:id="85" w:name="_Toc515437010"/>
      <w:bookmarkStart w:id="86" w:name="_Toc503880655"/>
      <w:r>
        <w:rPr>
          <w:rStyle w:val="CharSectno"/>
        </w:rPr>
        <w:t>18</w:t>
      </w:r>
      <w:r>
        <w:rPr>
          <w:snapToGrid w:val="0"/>
        </w:rPr>
        <w:t>.</w:t>
      </w:r>
      <w:r>
        <w:rPr>
          <w:snapToGrid w:val="0"/>
        </w:rPr>
        <w:tab/>
        <w:t>Vacation of, or suspension from, office of Commissioner</w:t>
      </w:r>
      <w:bookmarkEnd w:id="85"/>
      <w:bookmarkEnd w:id="86"/>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spacing w:before="60"/>
        <w:rPr>
          <w:snapToGrid w:val="0"/>
        </w:rPr>
      </w:pPr>
      <w:r>
        <w:rPr>
          <w:snapToGrid w:val="0"/>
        </w:rPr>
        <w:tab/>
        <w:t>(a)</w:t>
      </w:r>
      <w:r>
        <w:rPr>
          <w:snapToGrid w:val="0"/>
        </w:rPr>
        <w:tab/>
        <w:t>is incapable of properly performing the functions of his or her office; or</w:t>
      </w:r>
    </w:p>
    <w:p>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w:t>
      </w:r>
      <w:del w:id="87" w:author="svcMRProcess" w:date="2019-05-20T15:05:00Z">
        <w:r>
          <w:delText xml:space="preserve"> by</w:delText>
        </w:r>
      </w:del>
      <w:ins w:id="88" w:author="svcMRProcess" w:date="2019-05-20T15:05:00Z">
        <w:r>
          <w:t>:</w:t>
        </w:r>
      </w:ins>
      <w:r>
        <w:t xml:space="preserve"> No. 18 of 2009 s. 71.]</w:t>
      </w:r>
    </w:p>
    <w:p>
      <w:pPr>
        <w:pStyle w:val="Heading5"/>
        <w:rPr>
          <w:snapToGrid w:val="0"/>
        </w:rPr>
      </w:pPr>
      <w:bookmarkStart w:id="89" w:name="_Toc515437011"/>
      <w:bookmarkStart w:id="90" w:name="_Toc503880656"/>
      <w:r>
        <w:rPr>
          <w:rStyle w:val="CharSectno"/>
        </w:rPr>
        <w:t>19</w:t>
      </w:r>
      <w:r>
        <w:rPr>
          <w:snapToGrid w:val="0"/>
        </w:rPr>
        <w:t>.</w:t>
      </w:r>
      <w:r>
        <w:rPr>
          <w:snapToGrid w:val="0"/>
        </w:rPr>
        <w:tab/>
        <w:t>Remuneration etc. of Commissioner</w:t>
      </w:r>
      <w:bookmarkEnd w:id="89"/>
      <w:bookmarkEnd w:id="90"/>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[Section 19 amended</w:t>
      </w:r>
      <w:del w:id="91" w:author="svcMRProcess" w:date="2019-05-20T15:05:00Z">
        <w:r>
          <w:delText xml:space="preserve"> by</w:delText>
        </w:r>
      </w:del>
      <w:ins w:id="92" w:author="svcMRProcess" w:date="2019-05-20T15:05:00Z">
        <w:r>
          <w:t>:</w:t>
        </w:r>
      </w:ins>
      <w:r>
        <w:t xml:space="preserve"> No. 49 of 1996 s. 58; No. 77 of 2006 s. 4; No. 39 of 2010 s. 15.] </w:t>
      </w:r>
    </w:p>
    <w:p>
      <w:pPr>
        <w:pStyle w:val="Heading5"/>
        <w:rPr>
          <w:snapToGrid w:val="0"/>
        </w:rPr>
      </w:pPr>
      <w:bookmarkStart w:id="93" w:name="_Toc515437012"/>
      <w:bookmarkStart w:id="94" w:name="_Toc503880657"/>
      <w:r>
        <w:rPr>
          <w:rStyle w:val="CharSectno"/>
        </w:rPr>
        <w:t>20</w:t>
      </w:r>
      <w:r>
        <w:rPr>
          <w:snapToGrid w:val="0"/>
        </w:rPr>
        <w:t>.</w:t>
      </w:r>
      <w:r>
        <w:rPr>
          <w:snapToGrid w:val="0"/>
        </w:rPr>
        <w:tab/>
        <w:t>Miscellaneous provisions as to superannuation and leave of absence</w:t>
      </w:r>
      <w:bookmarkEnd w:id="93"/>
      <w:bookmarkEnd w:id="94"/>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ind w:left="890" w:hanging="890"/>
      </w:pPr>
      <w:r>
        <w:tab/>
        <w:t>[Section 20 amended</w:t>
      </w:r>
      <w:del w:id="95" w:author="svcMRProcess" w:date="2019-05-20T15:05:00Z">
        <w:r>
          <w:delText xml:space="preserve"> by</w:delText>
        </w:r>
      </w:del>
      <w:ins w:id="96" w:author="svcMRProcess" w:date="2019-05-20T15:05:00Z">
        <w:r>
          <w:t>:</w:t>
        </w:r>
      </w:ins>
      <w:r>
        <w:t xml:space="preserve"> No. 57 of 1997 s. 99(1); No. 39 of 2010 s. 16.]</w:t>
      </w:r>
    </w:p>
    <w:p>
      <w:pPr>
        <w:pStyle w:val="Heading3"/>
        <w:spacing w:before="200"/>
      </w:pPr>
      <w:bookmarkStart w:id="97" w:name="_Toc500422871"/>
      <w:bookmarkStart w:id="98" w:name="_Toc503259255"/>
      <w:bookmarkStart w:id="99" w:name="_Toc503265191"/>
      <w:bookmarkStart w:id="100" w:name="_Toc503880658"/>
      <w:bookmarkStart w:id="101" w:name="_Toc515436184"/>
      <w:bookmarkStart w:id="102" w:name="_Toc515437013"/>
      <w:r>
        <w:rPr>
          <w:rStyle w:val="CharDivNo"/>
        </w:rPr>
        <w:t>Division 2</w:t>
      </w:r>
      <w:r>
        <w:t> — </w:t>
      </w:r>
      <w:r>
        <w:rPr>
          <w:rStyle w:val="CharDivText"/>
        </w:rPr>
        <w:t>Functions of Commissioner</w:t>
      </w:r>
      <w:bookmarkEnd w:id="97"/>
      <w:bookmarkEnd w:id="98"/>
      <w:bookmarkEnd w:id="99"/>
      <w:bookmarkEnd w:id="100"/>
      <w:bookmarkEnd w:id="101"/>
      <w:bookmarkEnd w:id="102"/>
    </w:p>
    <w:p>
      <w:pPr>
        <w:pStyle w:val="Footnoteheading"/>
        <w:spacing w:before="80"/>
      </w:pPr>
      <w:r>
        <w:tab/>
        <w:t>[Heading inserted</w:t>
      </w:r>
      <w:del w:id="103" w:author="svcMRProcess" w:date="2019-05-20T15:05:00Z">
        <w:r>
          <w:delText xml:space="preserve"> by</w:delText>
        </w:r>
      </w:del>
      <w:ins w:id="104" w:author="svcMRProcess" w:date="2019-05-20T15:05:00Z">
        <w:r>
          <w:t>:</w:t>
        </w:r>
      </w:ins>
      <w:r>
        <w:t xml:space="preserve"> No. 39 of 2010 s. 17.]</w:t>
      </w:r>
    </w:p>
    <w:p>
      <w:pPr>
        <w:pStyle w:val="Heading5"/>
        <w:spacing w:before="180"/>
      </w:pPr>
      <w:bookmarkStart w:id="105" w:name="_Toc515437014"/>
      <w:bookmarkStart w:id="106" w:name="_Toc503880659"/>
      <w:r>
        <w:rPr>
          <w:rStyle w:val="CharSectno"/>
        </w:rPr>
        <w:t>21A</w:t>
      </w:r>
      <w:r>
        <w:t>.</w:t>
      </w:r>
      <w:r>
        <w:tab/>
        <w:t>General functions</w:t>
      </w:r>
      <w:bookmarkEnd w:id="105"/>
      <w:bookmarkEnd w:id="106"/>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spacing w:before="80"/>
        <w:ind w:left="890" w:hanging="890"/>
      </w:pPr>
      <w:r>
        <w:tab/>
        <w:t>[Section 21A inserted</w:t>
      </w:r>
      <w:del w:id="107" w:author="svcMRProcess" w:date="2019-05-20T15:05:00Z">
        <w:r>
          <w:delText xml:space="preserve"> by</w:delText>
        </w:r>
      </w:del>
      <w:ins w:id="108" w:author="svcMRProcess" w:date="2019-05-20T15:05:00Z">
        <w:r>
          <w:t>:</w:t>
        </w:r>
      </w:ins>
      <w:r>
        <w:t xml:space="preserve"> No. 39 of 2010 s. 18.]</w:t>
      </w:r>
    </w:p>
    <w:p>
      <w:pPr>
        <w:pStyle w:val="Heading5"/>
        <w:keepNext w:val="0"/>
        <w:keepLines w:val="0"/>
        <w:spacing w:before="180"/>
        <w:rPr>
          <w:snapToGrid w:val="0"/>
        </w:rPr>
      </w:pPr>
      <w:bookmarkStart w:id="109" w:name="_Toc515437015"/>
      <w:bookmarkStart w:id="110" w:name="_Toc503880660"/>
      <w:r>
        <w:rPr>
          <w:rStyle w:val="CharSectno"/>
        </w:rPr>
        <w:t>21</w:t>
      </w:r>
      <w:r>
        <w:rPr>
          <w:snapToGrid w:val="0"/>
        </w:rPr>
        <w:t>.</w:t>
      </w:r>
      <w:r>
        <w:rPr>
          <w:snapToGrid w:val="0"/>
        </w:rPr>
        <w:tab/>
        <w:t>Public sector standards, codes of ethics and codes of conduct, establishing etc.</w:t>
      </w:r>
      <w:bookmarkEnd w:id="109"/>
      <w:bookmarkEnd w:id="110"/>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spacing w:before="60"/>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w:t>
      </w:r>
      <w:del w:id="111" w:author="svcMRProcess" w:date="2019-05-20T15:05:00Z">
        <w:r>
          <w:delText xml:space="preserve"> by</w:delText>
        </w:r>
      </w:del>
      <w:ins w:id="112" w:author="svcMRProcess" w:date="2019-05-20T15:05:00Z">
        <w:r>
          <w:t>:</w:t>
        </w:r>
      </w:ins>
      <w:r>
        <w:t xml:space="preserve"> No. 39 of 2010 s. 19 and 70.]</w:t>
      </w:r>
    </w:p>
    <w:p>
      <w:pPr>
        <w:pStyle w:val="Heading5"/>
      </w:pPr>
      <w:bookmarkStart w:id="113" w:name="_Toc515437016"/>
      <w:bookmarkStart w:id="114" w:name="_Toc503880661"/>
      <w:r>
        <w:rPr>
          <w:rStyle w:val="CharSectno"/>
        </w:rPr>
        <w:t>22A</w:t>
      </w:r>
      <w:r>
        <w:t>.</w:t>
      </w:r>
      <w:r>
        <w:tab/>
        <w:t>Commissioner’s instructions</w:t>
      </w:r>
      <w:bookmarkEnd w:id="113"/>
      <w:bookmarkEnd w:id="114"/>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spacing w:before="60"/>
      </w:pPr>
      <w:r>
        <w:tab/>
        <w:t>(ii)</w:t>
      </w:r>
      <w:r>
        <w:tab/>
        <w:t>termination of employment;</w:t>
      </w:r>
    </w:p>
    <w:p>
      <w:pPr>
        <w:pStyle w:val="Indenta"/>
        <w:spacing w:before="60"/>
      </w:pPr>
      <w:r>
        <w:tab/>
        <w:t>(g)</w:t>
      </w:r>
      <w:r>
        <w:tab/>
        <w:t>any other matter in respect of which Commissioner’s instructions are required or permitted under this Act;</w:t>
      </w:r>
    </w:p>
    <w:p>
      <w:pPr>
        <w:pStyle w:val="Indenta"/>
        <w:spacing w:before="60"/>
      </w:pPr>
      <w:r>
        <w:tab/>
        <w:t>(h)</w:t>
      </w:r>
      <w:r>
        <w:tab/>
        <w:t>any other matter in connection with the functions of the Commissioner in respect of which the Commissioner considers it is necessary or desirable to issue instructions.</w:t>
      </w:r>
    </w:p>
    <w:p>
      <w:pPr>
        <w:pStyle w:val="Subsection"/>
        <w:spacing w:before="120"/>
      </w:pPr>
      <w:r>
        <w:tab/>
        <w:t>(2A)</w:t>
      </w:r>
      <w:r>
        <w:tab/>
        <w:t xml:space="preserve">The Commissioner must issue instructions to ensure that, if a decision is made under section 81(1)(a) in respect of an employee, the employee is — </w:t>
      </w:r>
    </w:p>
    <w:p>
      <w:pPr>
        <w:pStyle w:val="Indenta"/>
        <w:spacing w:before="60"/>
      </w:pPr>
      <w:r>
        <w:tab/>
        <w:t>(a)</w:t>
      </w:r>
      <w:r>
        <w:tab/>
        <w:t>notified in writing of the possible breach of discipline; and</w:t>
      </w:r>
    </w:p>
    <w:p>
      <w:pPr>
        <w:pStyle w:val="Indenta"/>
        <w:spacing w:before="60"/>
      </w:pPr>
      <w:r>
        <w:tab/>
        <w:t>(b)</w:t>
      </w:r>
      <w:r>
        <w:tab/>
        <w:t>given a reasonable opportunity to respond.</w:t>
      </w:r>
    </w:p>
    <w:p>
      <w:pPr>
        <w:pStyle w:val="Subsection"/>
        <w:spacing w:before="120"/>
      </w:pPr>
      <w:r>
        <w:tab/>
        <w:t>(2)</w:t>
      </w:r>
      <w:r>
        <w:tab/>
        <w:t>The Commissioner’s instructions must not be inconsistent with this Act and must have regard to the principles set out in sections 7, 8 and 9.</w:t>
      </w:r>
    </w:p>
    <w:p>
      <w:pPr>
        <w:pStyle w:val="Subsection"/>
        <w:spacing w:before="120"/>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spacing w:before="120"/>
      </w:pPr>
      <w:r>
        <w:tab/>
        <w:t>(5)</w:t>
      </w:r>
      <w:r>
        <w:tab/>
        <w:t>The Commissioner may amend or revoke the Commissioner’s instructions.</w:t>
      </w:r>
    </w:p>
    <w:p>
      <w:pPr>
        <w:pStyle w:val="Subsection"/>
        <w:spacing w:before="120"/>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w:t>
      </w:r>
      <w:del w:id="115" w:author="svcMRProcess" w:date="2019-05-20T15:05:00Z">
        <w:r>
          <w:delText xml:space="preserve"> by</w:delText>
        </w:r>
      </w:del>
      <w:ins w:id="116" w:author="svcMRProcess" w:date="2019-05-20T15:05:00Z">
        <w:r>
          <w:t>:</w:t>
        </w:r>
      </w:ins>
      <w:r>
        <w:t xml:space="preserve"> No. 39 of 2010 s. 20; amended</w:t>
      </w:r>
      <w:del w:id="117" w:author="svcMRProcess" w:date="2019-05-20T15:05:00Z">
        <w:r>
          <w:delText xml:space="preserve"> by</w:delText>
        </w:r>
      </w:del>
      <w:ins w:id="118" w:author="svcMRProcess" w:date="2019-05-20T15:05:00Z">
        <w:r>
          <w:t>:</w:t>
        </w:r>
      </w:ins>
      <w:r>
        <w:t xml:space="preserve"> No. 39 of 2010 s. 93; No. 8 of 2014 s. 9.]</w:t>
      </w:r>
    </w:p>
    <w:p>
      <w:pPr>
        <w:pStyle w:val="Heading5"/>
        <w:spacing w:before="180"/>
      </w:pPr>
      <w:bookmarkStart w:id="119" w:name="_Toc515437017"/>
      <w:bookmarkStart w:id="120" w:name="_Toc503880662"/>
      <w:r>
        <w:rPr>
          <w:rStyle w:val="CharSectno"/>
        </w:rPr>
        <w:t>22B</w:t>
      </w:r>
      <w:r>
        <w:t>.</w:t>
      </w:r>
      <w:r>
        <w:tab/>
        <w:t>Disposition of employees and offices</w:t>
      </w:r>
      <w:bookmarkEnd w:id="119"/>
      <w:bookmarkEnd w:id="120"/>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w:t>
      </w:r>
      <w:del w:id="121" w:author="svcMRProcess" w:date="2019-05-20T15:05:00Z">
        <w:r>
          <w:delText xml:space="preserve"> by</w:delText>
        </w:r>
      </w:del>
      <w:ins w:id="122" w:author="svcMRProcess" w:date="2019-05-20T15:05:00Z">
        <w:r>
          <w:t>:</w:t>
        </w:r>
      </w:ins>
      <w:r>
        <w:t xml:space="preserve"> No. 39 of 2010 s. 20.]</w:t>
      </w:r>
    </w:p>
    <w:p>
      <w:pPr>
        <w:pStyle w:val="Heading5"/>
        <w:spacing w:before="180"/>
      </w:pPr>
      <w:bookmarkStart w:id="123" w:name="_Toc515437018"/>
      <w:bookmarkStart w:id="124" w:name="_Toc503880663"/>
      <w:r>
        <w:rPr>
          <w:rStyle w:val="CharSectno"/>
        </w:rPr>
        <w:t>22C</w:t>
      </w:r>
      <w:r>
        <w:t>.</w:t>
      </w:r>
      <w:r>
        <w:tab/>
        <w:t>Reports to Ministers</w:t>
      </w:r>
      <w:bookmarkEnd w:id="123"/>
      <w:bookmarkEnd w:id="124"/>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ind w:left="890" w:hanging="890"/>
      </w:pPr>
      <w:r>
        <w:tab/>
        <w:t>[Section 22C inserted</w:t>
      </w:r>
      <w:del w:id="125" w:author="svcMRProcess" w:date="2019-05-20T15:05:00Z">
        <w:r>
          <w:delText xml:space="preserve"> by</w:delText>
        </w:r>
      </w:del>
      <w:ins w:id="126" w:author="svcMRProcess" w:date="2019-05-20T15:05:00Z">
        <w:r>
          <w:t>:</w:t>
        </w:r>
      </w:ins>
      <w:r>
        <w:t xml:space="preserve"> No. 39 of 2010 s. 20.]</w:t>
      </w:r>
    </w:p>
    <w:p>
      <w:pPr>
        <w:pStyle w:val="Heading5"/>
        <w:spacing w:before="180"/>
      </w:pPr>
      <w:bookmarkStart w:id="127" w:name="_Toc515437019"/>
      <w:bookmarkStart w:id="128" w:name="_Toc503880664"/>
      <w:r>
        <w:rPr>
          <w:rStyle w:val="CharSectno"/>
        </w:rPr>
        <w:t>22D</w:t>
      </w:r>
      <w:r>
        <w:t>.</w:t>
      </w:r>
      <w:r>
        <w:tab/>
        <w:t>Annual report</w:t>
      </w:r>
      <w:bookmarkEnd w:id="127"/>
      <w:bookmarkEnd w:id="128"/>
    </w:p>
    <w:p>
      <w:pPr>
        <w:pStyle w:val="Subsection"/>
        <w:spacing w:before="120"/>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ind w:left="890" w:hanging="890"/>
      </w:pPr>
      <w:r>
        <w:tab/>
        <w:t>[Section 22D inserted</w:t>
      </w:r>
      <w:del w:id="129" w:author="svcMRProcess" w:date="2019-05-20T15:05:00Z">
        <w:r>
          <w:delText xml:space="preserve"> by</w:delText>
        </w:r>
      </w:del>
      <w:ins w:id="130" w:author="svcMRProcess" w:date="2019-05-20T15:05:00Z">
        <w:r>
          <w:t>:</w:t>
        </w:r>
      </w:ins>
      <w:r>
        <w:t xml:space="preserve"> No. 39 of 2010 s. 20.]</w:t>
      </w:r>
    </w:p>
    <w:p>
      <w:pPr>
        <w:pStyle w:val="Heading5"/>
      </w:pPr>
      <w:bookmarkStart w:id="131" w:name="_Toc515437020"/>
      <w:bookmarkStart w:id="132" w:name="_Toc503880665"/>
      <w:r>
        <w:rPr>
          <w:rStyle w:val="CharSectno"/>
        </w:rPr>
        <w:t>22E</w:t>
      </w:r>
      <w:r>
        <w:t>.</w:t>
      </w:r>
      <w:r>
        <w:tab/>
        <w:t>Other reports</w:t>
      </w:r>
      <w:bookmarkEnd w:id="131"/>
      <w:bookmarkEnd w:id="132"/>
    </w:p>
    <w:p>
      <w:pPr>
        <w:pStyle w:val="Subsection"/>
      </w:pPr>
      <w:r>
        <w:tab/>
      </w:r>
      <w:r>
        <w:tab/>
        <w:t>The Commissioner may, in addition to the annual report required under section 22D(1), at any time prepare a report on a matter referred to in section 22D(1).</w:t>
      </w:r>
    </w:p>
    <w:p>
      <w:pPr>
        <w:pStyle w:val="Footnotesection"/>
        <w:ind w:left="890" w:hanging="890"/>
      </w:pPr>
      <w:r>
        <w:tab/>
        <w:t>[Section 22E inserted</w:t>
      </w:r>
      <w:del w:id="133" w:author="svcMRProcess" w:date="2019-05-20T15:05:00Z">
        <w:r>
          <w:delText xml:space="preserve"> by</w:delText>
        </w:r>
      </w:del>
      <w:ins w:id="134" w:author="svcMRProcess" w:date="2019-05-20T15:05:00Z">
        <w:r>
          <w:t>:</w:t>
        </w:r>
      </w:ins>
      <w:r>
        <w:t xml:space="preserve"> No. 39 of 2010 s. 20.]</w:t>
      </w:r>
    </w:p>
    <w:p>
      <w:pPr>
        <w:pStyle w:val="Heading5"/>
        <w:keepNext w:val="0"/>
        <w:keepLines w:val="0"/>
      </w:pPr>
      <w:bookmarkStart w:id="135" w:name="_Toc515437021"/>
      <w:bookmarkStart w:id="136" w:name="_Toc503880666"/>
      <w:r>
        <w:rPr>
          <w:rStyle w:val="CharSectno"/>
        </w:rPr>
        <w:t>22F</w:t>
      </w:r>
      <w:r>
        <w:t>.</w:t>
      </w:r>
      <w:r>
        <w:tab/>
        <w:t>Reports under s. 22D or 22E must be laid before Parliament</w:t>
      </w:r>
      <w:bookmarkEnd w:id="135"/>
      <w:bookmarkEnd w:id="136"/>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w:t>
      </w:r>
      <w:del w:id="137" w:author="svcMRProcess" w:date="2019-05-20T15:05:00Z">
        <w:r>
          <w:delText xml:space="preserve"> by</w:delText>
        </w:r>
      </w:del>
      <w:ins w:id="138" w:author="svcMRProcess" w:date="2019-05-20T15:05:00Z">
        <w:r>
          <w:t>:</w:t>
        </w:r>
      </w:ins>
      <w:r>
        <w:t xml:space="preserve"> No. 39 of 2010 s. 20.]</w:t>
      </w:r>
    </w:p>
    <w:p>
      <w:pPr>
        <w:pStyle w:val="Heading5"/>
        <w:spacing w:before="240"/>
      </w:pPr>
      <w:bookmarkStart w:id="139" w:name="_Toc515437022"/>
      <w:bookmarkStart w:id="140" w:name="_Toc503880667"/>
      <w:r>
        <w:rPr>
          <w:rStyle w:val="CharSectno"/>
        </w:rPr>
        <w:t>22G</w:t>
      </w:r>
      <w:r>
        <w:t>.</w:t>
      </w:r>
      <w:r>
        <w:tab/>
        <w:t>Powers</w:t>
      </w:r>
      <w:bookmarkEnd w:id="139"/>
      <w:bookmarkEnd w:id="140"/>
    </w:p>
    <w:p>
      <w:pPr>
        <w:pStyle w:val="Subsection"/>
      </w:pPr>
      <w:r>
        <w:tab/>
      </w:r>
      <w:r>
        <w:tab/>
        <w:t>The Commissioner has all the powers that are needed for the performance of the Commissioner’s functions.</w:t>
      </w:r>
    </w:p>
    <w:p>
      <w:pPr>
        <w:pStyle w:val="Footnotesection"/>
      </w:pPr>
      <w:r>
        <w:tab/>
        <w:t>[Section 22G inserted</w:t>
      </w:r>
      <w:del w:id="141" w:author="svcMRProcess" w:date="2019-05-20T15:05:00Z">
        <w:r>
          <w:delText xml:space="preserve"> by</w:delText>
        </w:r>
      </w:del>
      <w:ins w:id="142" w:author="svcMRProcess" w:date="2019-05-20T15:05:00Z">
        <w:r>
          <w:t>:</w:t>
        </w:r>
      </w:ins>
      <w:r>
        <w:t xml:space="preserve"> No. 39 of 2010 s. 20.]</w:t>
      </w:r>
    </w:p>
    <w:p>
      <w:pPr>
        <w:pStyle w:val="Heading5"/>
        <w:spacing w:before="180"/>
        <w:rPr>
          <w:snapToGrid w:val="0"/>
        </w:rPr>
      </w:pPr>
      <w:bookmarkStart w:id="143" w:name="_Toc515437023"/>
      <w:bookmarkStart w:id="144" w:name="_Toc503880668"/>
      <w:r>
        <w:rPr>
          <w:rStyle w:val="CharSectno"/>
        </w:rPr>
        <w:t>22</w:t>
      </w:r>
      <w:r>
        <w:rPr>
          <w:snapToGrid w:val="0"/>
        </w:rPr>
        <w:t>.</w:t>
      </w:r>
      <w:r>
        <w:rPr>
          <w:snapToGrid w:val="0"/>
        </w:rPr>
        <w:tab/>
        <w:t>Commissioner to act independently</w:t>
      </w:r>
      <w:bookmarkEnd w:id="143"/>
      <w:bookmarkEnd w:id="144"/>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w:t>
      </w:r>
      <w:del w:id="145" w:author="svcMRProcess" w:date="2019-05-20T15:05:00Z">
        <w:r>
          <w:delText xml:space="preserve"> by</w:delText>
        </w:r>
      </w:del>
      <w:ins w:id="146" w:author="svcMRProcess" w:date="2019-05-20T15:05:00Z">
        <w:r>
          <w:t>:</w:t>
        </w:r>
      </w:ins>
      <w:r>
        <w:t xml:space="preserve"> No. 39 of 2010 s. 21.]</w:t>
      </w:r>
    </w:p>
    <w:p>
      <w:pPr>
        <w:pStyle w:val="Heading5"/>
      </w:pPr>
      <w:bookmarkStart w:id="147" w:name="_Toc515437024"/>
      <w:bookmarkStart w:id="148" w:name="_Toc503880669"/>
      <w:r>
        <w:rPr>
          <w:rStyle w:val="CharSectno"/>
        </w:rPr>
        <w:t>23</w:t>
      </w:r>
      <w:r>
        <w:t>.</w:t>
      </w:r>
      <w:r>
        <w:tab/>
        <w:t>Delegation by Commissioner</w:t>
      </w:r>
      <w:bookmarkEnd w:id="147"/>
      <w:bookmarkEnd w:id="148"/>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w:t>
      </w:r>
      <w:del w:id="149" w:author="svcMRProcess" w:date="2019-05-20T15:05:00Z">
        <w:r>
          <w:delText xml:space="preserve"> by</w:delText>
        </w:r>
      </w:del>
      <w:ins w:id="150" w:author="svcMRProcess" w:date="2019-05-20T15:05:00Z">
        <w:r>
          <w:t>:</w:t>
        </w:r>
      </w:ins>
      <w:r>
        <w:t xml:space="preserve"> No. 39 of 2010 s. 22.]</w:t>
      </w:r>
    </w:p>
    <w:p>
      <w:pPr>
        <w:pStyle w:val="Heading3"/>
        <w:keepNext w:val="0"/>
      </w:pPr>
      <w:bookmarkStart w:id="151" w:name="_Toc500422883"/>
      <w:bookmarkStart w:id="152" w:name="_Toc503259267"/>
      <w:bookmarkStart w:id="153" w:name="_Toc503265203"/>
      <w:bookmarkStart w:id="154" w:name="_Toc503880670"/>
      <w:bookmarkStart w:id="155" w:name="_Toc515436196"/>
      <w:bookmarkStart w:id="156" w:name="_Toc515437025"/>
      <w:r>
        <w:rPr>
          <w:rStyle w:val="CharDivNo"/>
        </w:rPr>
        <w:t>Division 3</w:t>
      </w:r>
      <w:r>
        <w:t> — </w:t>
      </w:r>
      <w:r>
        <w:rPr>
          <w:rStyle w:val="CharDivText"/>
        </w:rPr>
        <w:t>Reviews, special inquiries and investigations</w:t>
      </w:r>
      <w:bookmarkEnd w:id="151"/>
      <w:bookmarkEnd w:id="152"/>
      <w:bookmarkEnd w:id="153"/>
      <w:bookmarkEnd w:id="154"/>
      <w:bookmarkEnd w:id="155"/>
      <w:bookmarkEnd w:id="156"/>
    </w:p>
    <w:p>
      <w:pPr>
        <w:pStyle w:val="Footnoteheading"/>
      </w:pPr>
      <w:r>
        <w:tab/>
        <w:t>[Heading inserted</w:t>
      </w:r>
      <w:del w:id="157" w:author="svcMRProcess" w:date="2019-05-20T15:05:00Z">
        <w:r>
          <w:delText xml:space="preserve"> by</w:delText>
        </w:r>
      </w:del>
      <w:ins w:id="158" w:author="svcMRProcess" w:date="2019-05-20T15:05:00Z">
        <w:r>
          <w:t>:</w:t>
        </w:r>
      </w:ins>
      <w:r>
        <w:t xml:space="preserve"> No. 39 of 2010 s. 23.]</w:t>
      </w:r>
    </w:p>
    <w:p>
      <w:pPr>
        <w:pStyle w:val="Heading4"/>
      </w:pPr>
      <w:bookmarkStart w:id="159" w:name="_Toc500422884"/>
      <w:bookmarkStart w:id="160" w:name="_Toc503259268"/>
      <w:bookmarkStart w:id="161" w:name="_Toc503265204"/>
      <w:bookmarkStart w:id="162" w:name="_Toc503880671"/>
      <w:bookmarkStart w:id="163" w:name="_Toc515436197"/>
      <w:bookmarkStart w:id="164" w:name="_Toc515437026"/>
      <w:r>
        <w:t>Subdivision 1 — Reviews</w:t>
      </w:r>
      <w:bookmarkEnd w:id="159"/>
      <w:bookmarkEnd w:id="160"/>
      <w:bookmarkEnd w:id="161"/>
      <w:bookmarkEnd w:id="162"/>
      <w:bookmarkEnd w:id="163"/>
      <w:bookmarkEnd w:id="164"/>
    </w:p>
    <w:p>
      <w:pPr>
        <w:pStyle w:val="Footnoteheading"/>
      </w:pPr>
      <w:r>
        <w:tab/>
        <w:t>[Heading inserted</w:t>
      </w:r>
      <w:del w:id="165" w:author="svcMRProcess" w:date="2019-05-20T15:05:00Z">
        <w:r>
          <w:delText xml:space="preserve"> by</w:delText>
        </w:r>
      </w:del>
      <w:ins w:id="166" w:author="svcMRProcess" w:date="2019-05-20T15:05:00Z">
        <w:r>
          <w:t>:</w:t>
        </w:r>
      </w:ins>
      <w:r>
        <w:t xml:space="preserve"> No. 39 of 2010 s. 23.]</w:t>
      </w:r>
    </w:p>
    <w:p>
      <w:pPr>
        <w:pStyle w:val="Heading5"/>
      </w:pPr>
      <w:bookmarkStart w:id="167" w:name="_Toc515437027"/>
      <w:bookmarkStart w:id="168" w:name="_Toc503880672"/>
      <w:r>
        <w:rPr>
          <w:rStyle w:val="CharSectno"/>
        </w:rPr>
        <w:t>24A</w:t>
      </w:r>
      <w:r>
        <w:t>.</w:t>
      </w:r>
      <w:r>
        <w:tab/>
        <w:t>Terms used</w:t>
      </w:r>
      <w:bookmarkEnd w:id="167"/>
      <w:bookmarkEnd w:id="168"/>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w:t>
      </w:r>
      <w:del w:id="169" w:author="svcMRProcess" w:date="2019-05-20T15:05:00Z">
        <w:r>
          <w:delText xml:space="preserve"> by</w:delText>
        </w:r>
      </w:del>
      <w:ins w:id="170" w:author="svcMRProcess" w:date="2019-05-20T15:05:00Z">
        <w:r>
          <w:t>:</w:t>
        </w:r>
      </w:ins>
      <w:r>
        <w:t xml:space="preserve"> No. 39 of 2010 s. 23.]</w:t>
      </w:r>
    </w:p>
    <w:p>
      <w:pPr>
        <w:pStyle w:val="Heading5"/>
      </w:pPr>
      <w:bookmarkStart w:id="171" w:name="_Toc515437028"/>
      <w:bookmarkStart w:id="172" w:name="_Toc503880673"/>
      <w:r>
        <w:rPr>
          <w:rStyle w:val="CharSectno"/>
        </w:rPr>
        <w:t>24B</w:t>
      </w:r>
      <w:r>
        <w:t>.</w:t>
      </w:r>
      <w:r>
        <w:tab/>
        <w:t>Reviews of operations etc. of public sector bodies</w:t>
      </w:r>
      <w:bookmarkEnd w:id="171"/>
      <w:bookmarkEnd w:id="172"/>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spacing w:before="120"/>
      </w:pPr>
      <w:r>
        <w:tab/>
        <w:t>(4)</w:t>
      </w:r>
      <w:r>
        <w:tab/>
        <w:t>The Commissioner must comply with a direction given under subsection (2) unless, in the Commissioner’s opinion, there are exceptional circumstances for not complying.</w:t>
      </w:r>
    </w:p>
    <w:p>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w:t>
      </w:r>
      <w:del w:id="173" w:author="svcMRProcess" w:date="2019-05-20T15:05:00Z">
        <w:r>
          <w:delText xml:space="preserve"> by</w:delText>
        </w:r>
      </w:del>
      <w:ins w:id="174" w:author="svcMRProcess" w:date="2019-05-20T15:05:00Z">
        <w:r>
          <w:t>:</w:t>
        </w:r>
      </w:ins>
      <w:r>
        <w:t xml:space="preserve"> No. 39 of 2010 s. 23.]</w:t>
      </w:r>
    </w:p>
    <w:p>
      <w:pPr>
        <w:pStyle w:val="Heading5"/>
        <w:spacing w:before="180"/>
      </w:pPr>
      <w:bookmarkStart w:id="175" w:name="_Toc515437029"/>
      <w:bookmarkStart w:id="176" w:name="_Toc503880674"/>
      <w:r>
        <w:rPr>
          <w:rStyle w:val="CharSectno"/>
        </w:rPr>
        <w:t>24C</w:t>
      </w:r>
      <w:r>
        <w:t>.</w:t>
      </w:r>
      <w:r>
        <w:tab/>
        <w:t>Commissioner may authorise people to perform functions</w:t>
      </w:r>
      <w:bookmarkEnd w:id="175"/>
      <w:bookmarkEnd w:id="176"/>
    </w:p>
    <w:p>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w:t>
      </w:r>
      <w:del w:id="177" w:author="svcMRProcess" w:date="2019-05-20T15:05:00Z">
        <w:r>
          <w:delText xml:space="preserve"> by</w:delText>
        </w:r>
      </w:del>
      <w:ins w:id="178" w:author="svcMRProcess" w:date="2019-05-20T15:05:00Z">
        <w:r>
          <w:t>:</w:t>
        </w:r>
      </w:ins>
      <w:r>
        <w:t xml:space="preserve"> No. 39 of 2010 s. 23.]</w:t>
      </w:r>
    </w:p>
    <w:p>
      <w:pPr>
        <w:pStyle w:val="Heading5"/>
        <w:spacing w:before="180"/>
      </w:pPr>
      <w:bookmarkStart w:id="179" w:name="_Toc515437030"/>
      <w:bookmarkStart w:id="180" w:name="_Toc503880675"/>
      <w:r>
        <w:rPr>
          <w:rStyle w:val="CharSectno"/>
        </w:rPr>
        <w:t>24D</w:t>
      </w:r>
      <w:r>
        <w:t>.</w:t>
      </w:r>
      <w:r>
        <w:tab/>
        <w:t>Powers of Commissioner etc. for purposes of reviews</w:t>
      </w:r>
      <w:bookmarkEnd w:id="179"/>
      <w:bookmarkEnd w:id="180"/>
    </w:p>
    <w:p>
      <w:pPr>
        <w:pStyle w:val="Subsection"/>
        <w:spacing w:before="120"/>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spacing w:before="120"/>
      </w:pPr>
      <w:r>
        <w:tab/>
        <w:t>(2)</w:t>
      </w:r>
      <w:r>
        <w:tab/>
        <w:t>An employee who, without reasonable excuse, fails to comply with a direction under subsection (1)(b) within 14 days of receiving it commits an offence.</w:t>
      </w:r>
    </w:p>
    <w:p>
      <w:pPr>
        <w:pStyle w:val="Penstart"/>
        <w:spacing w:before="40"/>
      </w:pPr>
      <w:r>
        <w:tab/>
        <w:t>Penalty: a fine of $10 000.</w:t>
      </w:r>
    </w:p>
    <w:p>
      <w:pPr>
        <w:pStyle w:val="Subsection"/>
      </w:pPr>
      <w:r>
        <w:tab/>
        <w:t>(3)</w:t>
      </w:r>
      <w:r>
        <w:tab/>
        <w:t>An employee who, without reasonable excuse, fails to comply with a direction under subsection (1)(d) commits an offence.</w:t>
      </w:r>
    </w:p>
    <w:p>
      <w:pPr>
        <w:pStyle w:val="Penstart"/>
      </w:pPr>
      <w:r>
        <w:tab/>
        <w:t>Penalty: a fine of $10 000.</w:t>
      </w:r>
    </w:p>
    <w:p>
      <w:pPr>
        <w:pStyle w:val="Footnotesection"/>
      </w:pPr>
      <w:r>
        <w:tab/>
        <w:t>[Section 24D inserted</w:t>
      </w:r>
      <w:del w:id="181" w:author="svcMRProcess" w:date="2019-05-20T15:05:00Z">
        <w:r>
          <w:delText xml:space="preserve"> by</w:delText>
        </w:r>
      </w:del>
      <w:ins w:id="182" w:author="svcMRProcess" w:date="2019-05-20T15:05:00Z">
        <w:r>
          <w:t>:</w:t>
        </w:r>
      </w:ins>
      <w:r>
        <w:t xml:space="preserve"> No. 39 of 2010 s. 23; amended</w:t>
      </w:r>
      <w:del w:id="183" w:author="svcMRProcess" w:date="2019-05-20T15:05:00Z">
        <w:r>
          <w:delText xml:space="preserve"> by</w:delText>
        </w:r>
      </w:del>
      <w:ins w:id="184" w:author="svcMRProcess" w:date="2019-05-20T15:05:00Z">
        <w:r>
          <w:t>:</w:t>
        </w:r>
      </w:ins>
      <w:r>
        <w:t xml:space="preserve"> No. 35 of 2014 s. 37(2) and (3).]</w:t>
      </w:r>
    </w:p>
    <w:p>
      <w:pPr>
        <w:pStyle w:val="Heading5"/>
      </w:pPr>
      <w:bookmarkStart w:id="185" w:name="_Toc515437031"/>
      <w:bookmarkStart w:id="186" w:name="_Toc503880676"/>
      <w:r>
        <w:rPr>
          <w:rStyle w:val="CharSectno"/>
        </w:rPr>
        <w:t>24E</w:t>
      </w:r>
      <w:r>
        <w:t>.</w:t>
      </w:r>
      <w:r>
        <w:tab/>
        <w:t>Consultation required before exercising powers in s. 24D</w:t>
      </w:r>
      <w:bookmarkEnd w:id="185"/>
      <w:bookmarkEnd w:id="186"/>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w:t>
      </w:r>
      <w:del w:id="187" w:author="svcMRProcess" w:date="2019-05-20T15:05:00Z">
        <w:r>
          <w:delText xml:space="preserve"> by</w:delText>
        </w:r>
      </w:del>
      <w:ins w:id="188" w:author="svcMRProcess" w:date="2019-05-20T15:05:00Z">
        <w:r>
          <w:t>:</w:t>
        </w:r>
      </w:ins>
      <w:r>
        <w:t xml:space="preserve"> No. 39 of 2010 s. 23.]</w:t>
      </w:r>
    </w:p>
    <w:p>
      <w:pPr>
        <w:pStyle w:val="Heading5"/>
        <w:spacing w:before="180"/>
      </w:pPr>
      <w:bookmarkStart w:id="189" w:name="_Toc515437032"/>
      <w:bookmarkStart w:id="190" w:name="_Toc503880677"/>
      <w:r>
        <w:rPr>
          <w:rStyle w:val="CharSectno"/>
        </w:rPr>
        <w:t>24F</w:t>
      </w:r>
      <w:r>
        <w:t>.</w:t>
      </w:r>
      <w:r>
        <w:tab/>
        <w:t>Privileges of employees in relation to s. 24D powers</w:t>
      </w:r>
      <w:bookmarkEnd w:id="189"/>
      <w:bookmarkEnd w:id="190"/>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w:t>
      </w:r>
      <w:del w:id="191" w:author="svcMRProcess" w:date="2019-05-20T15:05:00Z">
        <w:r>
          <w:delText xml:space="preserve"> by</w:delText>
        </w:r>
      </w:del>
      <w:ins w:id="192" w:author="svcMRProcess" w:date="2019-05-20T15:05:00Z">
        <w:r>
          <w:t>:</w:t>
        </w:r>
      </w:ins>
      <w:r>
        <w:t xml:space="preserve"> No. 39 of 2010 s. 23.]</w:t>
      </w:r>
    </w:p>
    <w:p>
      <w:pPr>
        <w:pStyle w:val="Heading5"/>
        <w:spacing w:before="240"/>
      </w:pPr>
      <w:bookmarkStart w:id="193" w:name="_Toc515437033"/>
      <w:bookmarkStart w:id="194" w:name="_Toc503880678"/>
      <w:r>
        <w:rPr>
          <w:rStyle w:val="CharSectno"/>
        </w:rPr>
        <w:t>24G</w:t>
      </w:r>
      <w:r>
        <w:t>.</w:t>
      </w:r>
      <w:r>
        <w:tab/>
        <w:t>Report on review</w:t>
      </w:r>
      <w:bookmarkEnd w:id="193"/>
      <w:bookmarkEnd w:id="194"/>
    </w:p>
    <w:p>
      <w:pPr>
        <w:pStyle w:val="Subsection"/>
        <w:spacing w:before="180"/>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w:t>
      </w:r>
      <w:del w:id="195" w:author="svcMRProcess" w:date="2019-05-20T15:05:00Z">
        <w:r>
          <w:delText xml:space="preserve"> by</w:delText>
        </w:r>
      </w:del>
      <w:ins w:id="196" w:author="svcMRProcess" w:date="2019-05-20T15:05:00Z">
        <w:r>
          <w:t>:</w:t>
        </w:r>
      </w:ins>
      <w:r>
        <w:t xml:space="preserve"> No. 39 of 2010 s. 23.]</w:t>
      </w:r>
    </w:p>
    <w:p>
      <w:pPr>
        <w:pStyle w:val="Heading4"/>
      </w:pPr>
      <w:bookmarkStart w:id="197" w:name="_Toc500422892"/>
      <w:bookmarkStart w:id="198" w:name="_Toc503259276"/>
      <w:bookmarkStart w:id="199" w:name="_Toc503265212"/>
      <w:bookmarkStart w:id="200" w:name="_Toc503880679"/>
      <w:bookmarkStart w:id="201" w:name="_Toc515436205"/>
      <w:bookmarkStart w:id="202" w:name="_Toc515437034"/>
      <w:r>
        <w:t>Subdivision 2 — Special inquiries</w:t>
      </w:r>
      <w:bookmarkEnd w:id="197"/>
      <w:bookmarkEnd w:id="198"/>
      <w:bookmarkEnd w:id="199"/>
      <w:bookmarkEnd w:id="200"/>
      <w:bookmarkEnd w:id="201"/>
      <w:bookmarkEnd w:id="202"/>
    </w:p>
    <w:p>
      <w:pPr>
        <w:pStyle w:val="Footnoteheading"/>
      </w:pPr>
      <w:r>
        <w:tab/>
        <w:t>[Heading inserted</w:t>
      </w:r>
      <w:del w:id="203" w:author="svcMRProcess" w:date="2019-05-20T15:05:00Z">
        <w:r>
          <w:delText xml:space="preserve"> by</w:delText>
        </w:r>
      </w:del>
      <w:ins w:id="204" w:author="svcMRProcess" w:date="2019-05-20T15:05:00Z">
        <w:r>
          <w:t>:</w:t>
        </w:r>
      </w:ins>
      <w:r>
        <w:t xml:space="preserve"> No. 39 of 2010 s. 23.]</w:t>
      </w:r>
    </w:p>
    <w:p>
      <w:pPr>
        <w:pStyle w:val="Heading5"/>
        <w:spacing w:before="240"/>
      </w:pPr>
      <w:bookmarkStart w:id="205" w:name="_Toc515437035"/>
      <w:bookmarkStart w:id="206" w:name="_Toc503880680"/>
      <w:r>
        <w:rPr>
          <w:rStyle w:val="CharSectno"/>
        </w:rPr>
        <w:t>24H</w:t>
      </w:r>
      <w:r>
        <w:t>.</w:t>
      </w:r>
      <w:r>
        <w:tab/>
        <w:t>Special inquiries, purpose and arrangement of</w:t>
      </w:r>
      <w:bookmarkEnd w:id="205"/>
      <w:bookmarkEnd w:id="206"/>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w:t>
      </w:r>
      <w:del w:id="207" w:author="svcMRProcess" w:date="2019-05-20T15:05:00Z">
        <w:r>
          <w:delText xml:space="preserve"> by</w:delText>
        </w:r>
      </w:del>
      <w:ins w:id="208" w:author="svcMRProcess" w:date="2019-05-20T15:05:00Z">
        <w:r>
          <w:t>:</w:t>
        </w:r>
      </w:ins>
      <w:r>
        <w:t xml:space="preserve"> No. 39 of 2010 s. 23.]</w:t>
      </w:r>
    </w:p>
    <w:p>
      <w:pPr>
        <w:pStyle w:val="Heading5"/>
        <w:spacing w:before="240"/>
      </w:pPr>
      <w:bookmarkStart w:id="209" w:name="_Toc515437036"/>
      <w:bookmarkStart w:id="210" w:name="_Toc503880681"/>
      <w:r>
        <w:rPr>
          <w:rStyle w:val="CharSectno"/>
        </w:rPr>
        <w:t>24I</w:t>
      </w:r>
      <w:r>
        <w:t>.</w:t>
      </w:r>
      <w:r>
        <w:tab/>
        <w:t>Powers of person conducting special inquiry</w:t>
      </w:r>
      <w:bookmarkEnd w:id="209"/>
      <w:bookmarkEnd w:id="210"/>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w:t>
      </w:r>
      <w:del w:id="211" w:author="svcMRProcess" w:date="2019-05-20T15:05:00Z">
        <w:r>
          <w:delText xml:space="preserve"> by</w:delText>
        </w:r>
      </w:del>
      <w:ins w:id="212" w:author="svcMRProcess" w:date="2019-05-20T15:05:00Z">
        <w:r>
          <w:t>:</w:t>
        </w:r>
      </w:ins>
      <w:r>
        <w:t xml:space="preserve"> No. 39 of 2010 s. 23.]</w:t>
      </w:r>
    </w:p>
    <w:p>
      <w:pPr>
        <w:pStyle w:val="Heading5"/>
        <w:keepLines w:val="0"/>
        <w:spacing w:before="240"/>
      </w:pPr>
      <w:bookmarkStart w:id="213" w:name="_Toc515437037"/>
      <w:bookmarkStart w:id="214" w:name="_Toc503880682"/>
      <w:r>
        <w:rPr>
          <w:rStyle w:val="CharSectno"/>
        </w:rPr>
        <w:t>24J</w:t>
      </w:r>
      <w:r>
        <w:t>.</w:t>
      </w:r>
      <w:r>
        <w:tab/>
        <w:t>Procedure and evidence at special inquiries</w:t>
      </w:r>
      <w:bookmarkEnd w:id="213"/>
      <w:bookmarkEnd w:id="214"/>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w:t>
      </w:r>
      <w:del w:id="215" w:author="svcMRProcess" w:date="2019-05-20T15:05:00Z">
        <w:r>
          <w:delText xml:space="preserve"> by</w:delText>
        </w:r>
      </w:del>
      <w:ins w:id="216" w:author="svcMRProcess" w:date="2019-05-20T15:05:00Z">
        <w:r>
          <w:t>:</w:t>
        </w:r>
      </w:ins>
      <w:r>
        <w:t xml:space="preserve"> No. 39 of 2010 s. 23.]</w:t>
      </w:r>
    </w:p>
    <w:p>
      <w:pPr>
        <w:pStyle w:val="Heading5"/>
      </w:pPr>
      <w:bookmarkStart w:id="217" w:name="_Toc515437038"/>
      <w:bookmarkStart w:id="218" w:name="_Toc503880683"/>
      <w:r>
        <w:rPr>
          <w:rStyle w:val="CharSectno"/>
        </w:rPr>
        <w:t>24K</w:t>
      </w:r>
      <w:r>
        <w:t>.</w:t>
      </w:r>
      <w:r>
        <w:tab/>
        <w:t>Reports on special inquiries</w:t>
      </w:r>
      <w:bookmarkEnd w:id="217"/>
      <w:bookmarkEnd w:id="218"/>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w:t>
      </w:r>
      <w:del w:id="219" w:author="svcMRProcess" w:date="2019-05-20T15:05:00Z">
        <w:r>
          <w:delText xml:space="preserve"> by</w:delText>
        </w:r>
      </w:del>
      <w:ins w:id="220" w:author="svcMRProcess" w:date="2019-05-20T15:05:00Z">
        <w:r>
          <w:t>:</w:t>
        </w:r>
      </w:ins>
      <w:r>
        <w:t xml:space="preserve"> No. 39 of 2010 s. 23.]</w:t>
      </w:r>
    </w:p>
    <w:p>
      <w:pPr>
        <w:pStyle w:val="Heading4"/>
      </w:pPr>
      <w:bookmarkStart w:id="221" w:name="_Toc500422897"/>
      <w:bookmarkStart w:id="222" w:name="_Toc503259281"/>
      <w:bookmarkStart w:id="223" w:name="_Toc503265217"/>
      <w:bookmarkStart w:id="224" w:name="_Toc503880684"/>
      <w:bookmarkStart w:id="225" w:name="_Toc515436210"/>
      <w:bookmarkStart w:id="226" w:name="_Toc515437039"/>
      <w:r>
        <w:t>Subdivision 3 — Investigations</w:t>
      </w:r>
      <w:bookmarkEnd w:id="221"/>
      <w:bookmarkEnd w:id="222"/>
      <w:bookmarkEnd w:id="223"/>
      <w:bookmarkEnd w:id="224"/>
      <w:bookmarkEnd w:id="225"/>
      <w:bookmarkEnd w:id="226"/>
    </w:p>
    <w:p>
      <w:pPr>
        <w:pStyle w:val="Footnoteheading"/>
      </w:pPr>
      <w:r>
        <w:tab/>
        <w:t>[Heading inserted</w:t>
      </w:r>
      <w:del w:id="227" w:author="svcMRProcess" w:date="2019-05-20T15:05:00Z">
        <w:r>
          <w:delText xml:space="preserve"> by</w:delText>
        </w:r>
      </w:del>
      <w:ins w:id="228" w:author="svcMRProcess" w:date="2019-05-20T15:05:00Z">
        <w:r>
          <w:t>:</w:t>
        </w:r>
      </w:ins>
      <w:r>
        <w:t xml:space="preserve"> No. 39 of 2010 s. 23.]</w:t>
      </w:r>
    </w:p>
    <w:p>
      <w:pPr>
        <w:pStyle w:val="Heading5"/>
        <w:rPr>
          <w:snapToGrid w:val="0"/>
        </w:rPr>
      </w:pPr>
      <w:bookmarkStart w:id="229" w:name="_Toc515437040"/>
      <w:bookmarkStart w:id="230" w:name="_Toc503880685"/>
      <w:r>
        <w:rPr>
          <w:rStyle w:val="CharSectno"/>
        </w:rPr>
        <w:t>24</w:t>
      </w:r>
      <w:r>
        <w:rPr>
          <w:snapToGrid w:val="0"/>
        </w:rPr>
        <w:t>.</w:t>
      </w:r>
      <w:r>
        <w:rPr>
          <w:snapToGrid w:val="0"/>
        </w:rPr>
        <w:tab/>
        <w:t>Commissioner’s powers of investigation</w:t>
      </w:r>
      <w:bookmarkEnd w:id="229"/>
      <w:bookmarkEnd w:id="230"/>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w:t>
      </w:r>
      <w:del w:id="231" w:author="svcMRProcess" w:date="2019-05-20T15:05:00Z">
        <w:r>
          <w:delText xml:space="preserve"> by</w:delText>
        </w:r>
      </w:del>
      <w:ins w:id="232" w:author="svcMRProcess" w:date="2019-05-20T15:05:00Z">
        <w:r>
          <w:t>:</w:t>
        </w:r>
      </w:ins>
      <w:r>
        <w:t xml:space="preserve"> No. 39 of 2010 s. 24 and 69.]</w:t>
      </w:r>
    </w:p>
    <w:p>
      <w:pPr>
        <w:pStyle w:val="Ednotesection"/>
        <w:spacing w:before="160"/>
        <w:ind w:left="890" w:hanging="890"/>
      </w:pPr>
      <w:r>
        <w:t>[</w:t>
      </w:r>
      <w:r>
        <w:rPr>
          <w:b/>
          <w:bCs/>
        </w:rPr>
        <w:t>25</w:t>
      </w:r>
      <w:r>
        <w:rPr>
          <w:b/>
          <w:bCs/>
        </w:rPr>
        <w:noBreakHyphen/>
        <w:t>27.</w:t>
      </w:r>
      <w:r>
        <w:tab/>
        <w:t>Deleted</w:t>
      </w:r>
      <w:del w:id="233" w:author="svcMRProcess" w:date="2019-05-20T15:05:00Z">
        <w:r>
          <w:delText xml:space="preserve"> by</w:delText>
        </w:r>
      </w:del>
      <w:ins w:id="234" w:author="svcMRProcess" w:date="2019-05-20T15:05:00Z">
        <w:r>
          <w:t>:</w:t>
        </w:r>
      </w:ins>
      <w:r>
        <w:t xml:space="preserve"> No. 39 of 2010 s. 25.]</w:t>
      </w:r>
    </w:p>
    <w:p>
      <w:pPr>
        <w:pStyle w:val="Heading3"/>
      </w:pPr>
      <w:bookmarkStart w:id="235" w:name="_Toc500422899"/>
      <w:bookmarkStart w:id="236" w:name="_Toc503259283"/>
      <w:bookmarkStart w:id="237" w:name="_Toc503265219"/>
      <w:bookmarkStart w:id="238" w:name="_Toc503880686"/>
      <w:bookmarkStart w:id="239" w:name="_Toc515436212"/>
      <w:bookmarkStart w:id="240" w:name="_Toc515437041"/>
      <w:r>
        <w:rPr>
          <w:rStyle w:val="CharDivNo"/>
        </w:rPr>
        <w:t>Division 4</w:t>
      </w:r>
      <w:r>
        <w:t> — </w:t>
      </w:r>
      <w:r>
        <w:rPr>
          <w:rStyle w:val="CharDivText"/>
        </w:rPr>
        <w:t>Acting appointments</w:t>
      </w:r>
      <w:bookmarkEnd w:id="235"/>
      <w:bookmarkEnd w:id="236"/>
      <w:bookmarkEnd w:id="237"/>
      <w:bookmarkEnd w:id="238"/>
      <w:bookmarkEnd w:id="239"/>
      <w:bookmarkEnd w:id="240"/>
    </w:p>
    <w:p>
      <w:pPr>
        <w:pStyle w:val="Footnoteheading"/>
      </w:pPr>
      <w:r>
        <w:tab/>
        <w:t>[Heading inserted</w:t>
      </w:r>
      <w:del w:id="241" w:author="svcMRProcess" w:date="2019-05-20T15:05:00Z">
        <w:r>
          <w:delText xml:space="preserve"> by</w:delText>
        </w:r>
      </w:del>
      <w:ins w:id="242" w:author="svcMRProcess" w:date="2019-05-20T15:05:00Z">
        <w:r>
          <w:t>:</w:t>
        </w:r>
      </w:ins>
      <w:r>
        <w:t xml:space="preserve"> No. 39 of 2010 s. 26.]</w:t>
      </w:r>
    </w:p>
    <w:p>
      <w:pPr>
        <w:pStyle w:val="Heading5"/>
        <w:keepNext w:val="0"/>
        <w:keepLines w:val="0"/>
        <w:spacing w:before="180"/>
        <w:rPr>
          <w:snapToGrid w:val="0"/>
        </w:rPr>
      </w:pPr>
      <w:bookmarkStart w:id="243" w:name="_Toc515437042"/>
      <w:bookmarkStart w:id="244" w:name="_Toc503880687"/>
      <w:r>
        <w:rPr>
          <w:rStyle w:val="CharSectno"/>
        </w:rPr>
        <w:t>28</w:t>
      </w:r>
      <w:r>
        <w:rPr>
          <w:snapToGrid w:val="0"/>
        </w:rPr>
        <w:t>.</w:t>
      </w:r>
      <w:r>
        <w:rPr>
          <w:snapToGrid w:val="0"/>
        </w:rPr>
        <w:tab/>
        <w:t>Acting Commissioner appointed by Governor</w:t>
      </w:r>
      <w:bookmarkEnd w:id="243"/>
      <w:bookmarkEnd w:id="244"/>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80"/>
      </w:pPr>
      <w:r>
        <w:tab/>
        <w:t>(7)</w:t>
      </w:r>
      <w:r>
        <w:tab/>
        <w:t>Sections 17(4), 18, 19 and 20(1), (3) and (6) apply to an Acting Commissioner appointed under this section.</w:t>
      </w:r>
    </w:p>
    <w:p>
      <w:pPr>
        <w:pStyle w:val="Footnotesection"/>
        <w:ind w:left="890" w:hanging="890"/>
      </w:pPr>
      <w:r>
        <w:tab/>
        <w:t>[Section 28 amended</w:t>
      </w:r>
      <w:del w:id="245" w:author="svcMRProcess" w:date="2019-05-20T15:05:00Z">
        <w:r>
          <w:delText xml:space="preserve"> by</w:delText>
        </w:r>
      </w:del>
      <w:ins w:id="246" w:author="svcMRProcess" w:date="2019-05-20T15:05:00Z">
        <w:r>
          <w:t>:</w:t>
        </w:r>
      </w:ins>
      <w:r>
        <w:t xml:space="preserve"> No. 39 of 2010 s. 27.]</w:t>
      </w:r>
    </w:p>
    <w:p>
      <w:pPr>
        <w:pStyle w:val="Heading5"/>
        <w:keepNext w:val="0"/>
        <w:keepLines w:val="0"/>
        <w:spacing w:before="240"/>
      </w:pPr>
      <w:bookmarkStart w:id="247" w:name="_Toc515437043"/>
      <w:bookmarkStart w:id="248" w:name="_Toc503880688"/>
      <w:r>
        <w:rPr>
          <w:rStyle w:val="CharSectno"/>
        </w:rPr>
        <w:t>29A</w:t>
      </w:r>
      <w:r>
        <w:t>.</w:t>
      </w:r>
      <w:r>
        <w:tab/>
        <w:t>Acting Commissioner appointed by Commissioner</w:t>
      </w:r>
      <w:bookmarkEnd w:id="247"/>
      <w:bookmarkEnd w:id="248"/>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w:t>
      </w:r>
      <w:del w:id="249" w:author="svcMRProcess" w:date="2019-05-20T15:05:00Z">
        <w:r>
          <w:delText xml:space="preserve"> by</w:delText>
        </w:r>
      </w:del>
      <w:ins w:id="250" w:author="svcMRProcess" w:date="2019-05-20T15:05:00Z">
        <w:r>
          <w:t>:</w:t>
        </w:r>
      </w:ins>
      <w:r>
        <w:t xml:space="preserve"> No. 39 of 2010 s. 28.]</w:t>
      </w:r>
    </w:p>
    <w:p>
      <w:pPr>
        <w:pStyle w:val="Heading5"/>
        <w:keepLines w:val="0"/>
        <w:spacing w:before="240"/>
      </w:pPr>
      <w:bookmarkStart w:id="251" w:name="_Toc515437044"/>
      <w:bookmarkStart w:id="252" w:name="_Toc503880689"/>
      <w:r>
        <w:rPr>
          <w:rStyle w:val="CharSectno"/>
        </w:rPr>
        <w:t>29B</w:t>
      </w:r>
      <w:r>
        <w:t>.</w:t>
      </w:r>
      <w:r>
        <w:tab/>
        <w:t>Matters relevant to all acting appointments</w:t>
      </w:r>
      <w:bookmarkEnd w:id="251"/>
      <w:bookmarkEnd w:id="252"/>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w:t>
      </w:r>
      <w:del w:id="253" w:author="svcMRProcess" w:date="2019-05-20T15:05:00Z">
        <w:r>
          <w:delText xml:space="preserve"> by</w:delText>
        </w:r>
      </w:del>
      <w:ins w:id="254" w:author="svcMRProcess" w:date="2019-05-20T15:05:00Z">
        <w:r>
          <w:t>:</w:t>
        </w:r>
      </w:ins>
      <w:r>
        <w:t xml:space="preserve"> No. 39 of 2010 s. 28.]</w:t>
      </w:r>
    </w:p>
    <w:p>
      <w:pPr>
        <w:pStyle w:val="Heading2"/>
      </w:pPr>
      <w:bookmarkStart w:id="255" w:name="_Toc500422903"/>
      <w:bookmarkStart w:id="256" w:name="_Toc503259287"/>
      <w:bookmarkStart w:id="257" w:name="_Toc503265223"/>
      <w:bookmarkStart w:id="258" w:name="_Toc503880690"/>
      <w:bookmarkStart w:id="259" w:name="_Toc515436216"/>
      <w:bookmarkStart w:id="260" w:name="_Toc515437045"/>
      <w:r>
        <w:rPr>
          <w:rStyle w:val="CharPartNo"/>
        </w:rPr>
        <w:t>Part 3B</w:t>
      </w:r>
      <w:r>
        <w:rPr>
          <w:rStyle w:val="CharDivNo"/>
        </w:rPr>
        <w:t> </w:t>
      </w:r>
      <w:r>
        <w:t>—</w:t>
      </w:r>
      <w:r>
        <w:rPr>
          <w:rStyle w:val="CharDivText"/>
        </w:rPr>
        <w:t> </w:t>
      </w:r>
      <w:r>
        <w:rPr>
          <w:rStyle w:val="CharPartText"/>
        </w:rPr>
        <w:t>Chief executive officers and chief employees</w:t>
      </w:r>
      <w:bookmarkEnd w:id="255"/>
      <w:bookmarkEnd w:id="256"/>
      <w:bookmarkEnd w:id="257"/>
      <w:bookmarkEnd w:id="258"/>
      <w:bookmarkEnd w:id="259"/>
      <w:bookmarkEnd w:id="260"/>
    </w:p>
    <w:p>
      <w:pPr>
        <w:pStyle w:val="Footnoteheading"/>
      </w:pPr>
      <w:r>
        <w:tab/>
        <w:t>[Heading inserted</w:t>
      </w:r>
      <w:del w:id="261" w:author="svcMRProcess" w:date="2019-05-20T15:05:00Z">
        <w:r>
          <w:delText xml:space="preserve"> by</w:delText>
        </w:r>
      </w:del>
      <w:ins w:id="262" w:author="svcMRProcess" w:date="2019-05-20T15:05:00Z">
        <w:r>
          <w:t>:</w:t>
        </w:r>
      </w:ins>
      <w:r>
        <w:t xml:space="preserve"> No. 39 of 2010 s. 29.]</w:t>
      </w:r>
    </w:p>
    <w:p>
      <w:pPr>
        <w:pStyle w:val="Heading5"/>
        <w:spacing w:before="240"/>
        <w:rPr>
          <w:snapToGrid w:val="0"/>
        </w:rPr>
      </w:pPr>
      <w:bookmarkStart w:id="263" w:name="_Toc515437046"/>
      <w:bookmarkStart w:id="264" w:name="_Toc503880691"/>
      <w:r>
        <w:rPr>
          <w:rStyle w:val="CharSectno"/>
        </w:rPr>
        <w:t>29</w:t>
      </w:r>
      <w:r>
        <w:rPr>
          <w:snapToGrid w:val="0"/>
        </w:rPr>
        <w:t>.</w:t>
      </w:r>
      <w:r>
        <w:rPr>
          <w:snapToGrid w:val="0"/>
        </w:rPr>
        <w:tab/>
        <w:t>Functions of CEOs and chief employees</w:t>
      </w:r>
      <w:bookmarkEnd w:id="263"/>
      <w:bookmarkEnd w:id="264"/>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keepLines/>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[Section 29 amended</w:t>
      </w:r>
      <w:del w:id="265" w:author="svcMRProcess" w:date="2019-05-20T15:05:00Z">
        <w:r>
          <w:delText xml:space="preserve"> by</w:delText>
        </w:r>
      </w:del>
      <w:ins w:id="266" w:author="svcMRProcess" w:date="2019-05-20T15:05:00Z">
        <w:r>
          <w:t>:</w:t>
        </w:r>
      </w:ins>
      <w:r>
        <w:t xml:space="preserve"> No. 30 of 1995 s. 48; No. 53 of 2000 s. 21; No. 20 of 2002 s. 25(2); No. 39 of 2010 s. 30 and 70; amended</w:t>
      </w:r>
      <w:del w:id="267" w:author="svcMRProcess" w:date="2019-05-20T15:05:00Z">
        <w:r>
          <w:delText xml:space="preserve"> in</w:delText>
        </w:r>
      </w:del>
      <w:ins w:id="268" w:author="svcMRProcess" w:date="2019-05-20T15:05:00Z">
        <w:r>
          <w:t>:</w:t>
        </w:r>
      </w:ins>
      <w:r>
        <w:t xml:space="preserve"> Gazette 15 Aug 2003 p. 3690; No. 8 of 2014 s. 10.] </w:t>
      </w:r>
    </w:p>
    <w:p>
      <w:pPr>
        <w:pStyle w:val="Heading5"/>
        <w:rPr>
          <w:snapToGrid w:val="0"/>
        </w:rPr>
      </w:pPr>
      <w:bookmarkStart w:id="269" w:name="_Toc515437047"/>
      <w:bookmarkStart w:id="270" w:name="_Toc503880692"/>
      <w:r>
        <w:rPr>
          <w:rStyle w:val="CharSectno"/>
        </w:rPr>
        <w:t>30</w:t>
      </w:r>
      <w:r>
        <w:rPr>
          <w:snapToGrid w:val="0"/>
        </w:rPr>
        <w:t>.</w:t>
      </w:r>
      <w:r>
        <w:rPr>
          <w:snapToGrid w:val="0"/>
        </w:rPr>
        <w:tab/>
        <w:t>Duties of CEOs and chief employees when performing functions</w:t>
      </w:r>
      <w:bookmarkEnd w:id="269"/>
      <w:bookmarkEnd w:id="270"/>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w:t>
      </w:r>
      <w:del w:id="271" w:author="svcMRProcess" w:date="2019-05-20T15:05:00Z">
        <w:r>
          <w:delText xml:space="preserve"> by</w:delText>
        </w:r>
      </w:del>
      <w:ins w:id="272" w:author="svcMRProcess" w:date="2019-05-20T15:05:00Z">
        <w:r>
          <w:t>:</w:t>
        </w:r>
      </w:ins>
      <w:r>
        <w:t xml:space="preserve"> No. 20 of 2002 s. 25(3); No. 39 of 2010 s. 31 and 70; amended</w:t>
      </w:r>
      <w:del w:id="273" w:author="svcMRProcess" w:date="2019-05-20T15:05:00Z">
        <w:r>
          <w:delText xml:space="preserve"> in</w:delText>
        </w:r>
      </w:del>
      <w:ins w:id="274" w:author="svcMRProcess" w:date="2019-05-20T15:05:00Z">
        <w:r>
          <w:t>:</w:t>
        </w:r>
      </w:ins>
      <w:r>
        <w:t xml:space="preserve"> Gazette 15 Aug 2003 p. 3690.]</w:t>
      </w:r>
    </w:p>
    <w:p>
      <w:pPr>
        <w:pStyle w:val="Heading5"/>
        <w:keepNext w:val="0"/>
        <w:keepLines w:val="0"/>
        <w:rPr>
          <w:snapToGrid w:val="0"/>
        </w:rPr>
      </w:pPr>
      <w:bookmarkStart w:id="275" w:name="_Toc515437048"/>
      <w:bookmarkStart w:id="276" w:name="_Toc503880693"/>
      <w:r>
        <w:rPr>
          <w:rStyle w:val="CharSectno"/>
        </w:rPr>
        <w:t>31</w:t>
      </w:r>
      <w:r>
        <w:rPr>
          <w:snapToGrid w:val="0"/>
        </w:rPr>
        <w:t>.</w:t>
      </w:r>
      <w:r>
        <w:rPr>
          <w:snapToGrid w:val="0"/>
        </w:rPr>
        <w:tab/>
        <w:t>Extent of compliance with public sector standards etc. to be reported</w:t>
      </w:r>
      <w:bookmarkEnd w:id="275"/>
      <w:bookmarkEnd w:id="276"/>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w:t>
      </w:r>
      <w:del w:id="277" w:author="svcMRProcess" w:date="2019-05-20T15:05:00Z">
        <w:r>
          <w:delText xml:space="preserve"> by</w:delText>
        </w:r>
      </w:del>
      <w:ins w:id="278" w:author="svcMRProcess" w:date="2019-05-20T15:05:00Z">
        <w:r>
          <w:t>:</w:t>
        </w:r>
      </w:ins>
      <w:r>
        <w:t xml:space="preserve"> No. 5 of 2005 s. 43; No. 77 of 2006 Sch. 1 cl. 137; No. 39 of 2010 s. 32 and 69.]</w:t>
      </w:r>
    </w:p>
    <w:p>
      <w:pPr>
        <w:pStyle w:val="Heading5"/>
        <w:rPr>
          <w:snapToGrid w:val="0"/>
        </w:rPr>
      </w:pPr>
      <w:bookmarkStart w:id="279" w:name="_Toc515437049"/>
      <w:bookmarkStart w:id="280" w:name="_Toc503880694"/>
      <w:r>
        <w:rPr>
          <w:rStyle w:val="CharSectno"/>
        </w:rPr>
        <w:t>32</w:t>
      </w:r>
      <w:r>
        <w:rPr>
          <w:snapToGrid w:val="0"/>
        </w:rPr>
        <w:t>.</w:t>
      </w:r>
      <w:r>
        <w:rPr>
          <w:snapToGrid w:val="0"/>
        </w:rPr>
        <w:tab/>
        <w:t>CEOs and chief employees to comply with directions etc. of responsible authority</w:t>
      </w:r>
      <w:bookmarkEnd w:id="279"/>
      <w:bookmarkEnd w:id="280"/>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w:t>
      </w:r>
      <w:del w:id="281" w:author="svcMRProcess" w:date="2019-05-20T15:05:00Z">
        <w:r>
          <w:delText xml:space="preserve"> by</w:delText>
        </w:r>
      </w:del>
      <w:ins w:id="282" w:author="svcMRProcess" w:date="2019-05-20T15:05:00Z">
        <w:r>
          <w:t>:</w:t>
        </w:r>
      </w:ins>
      <w:r>
        <w:t xml:space="preserve"> No. 39 of 2010 s. 33 and 70.]</w:t>
      </w:r>
    </w:p>
    <w:p>
      <w:pPr>
        <w:pStyle w:val="Heading5"/>
      </w:pPr>
      <w:bookmarkStart w:id="283" w:name="_Toc515437050"/>
      <w:bookmarkStart w:id="284" w:name="_Toc503880695"/>
      <w:r>
        <w:rPr>
          <w:rStyle w:val="CharSectno"/>
        </w:rPr>
        <w:t>33</w:t>
      </w:r>
      <w:r>
        <w:t>.</w:t>
      </w:r>
      <w:r>
        <w:tab/>
        <w:t>Delegation by CEO or chief employee</w:t>
      </w:r>
      <w:bookmarkEnd w:id="283"/>
      <w:bookmarkEnd w:id="284"/>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w:t>
      </w:r>
      <w:del w:id="285" w:author="svcMRProcess" w:date="2019-05-20T15:05:00Z">
        <w:r>
          <w:delText xml:space="preserve"> by</w:delText>
        </w:r>
      </w:del>
      <w:ins w:id="286" w:author="svcMRProcess" w:date="2019-05-20T15:05:00Z">
        <w:r>
          <w:t>:</w:t>
        </w:r>
      </w:ins>
      <w:r>
        <w:t xml:space="preserve"> No. 39 of 2010 s. 34.]</w:t>
      </w:r>
    </w:p>
    <w:p>
      <w:pPr>
        <w:pStyle w:val="Heading2"/>
      </w:pPr>
      <w:bookmarkStart w:id="287" w:name="_Toc500422909"/>
      <w:bookmarkStart w:id="288" w:name="_Toc503259293"/>
      <w:bookmarkStart w:id="289" w:name="_Toc503265229"/>
      <w:bookmarkStart w:id="290" w:name="_Toc503880696"/>
      <w:bookmarkStart w:id="291" w:name="_Toc515436222"/>
      <w:bookmarkStart w:id="292" w:name="_Toc515437051"/>
      <w:r>
        <w:rPr>
          <w:rStyle w:val="CharPartNo"/>
        </w:rPr>
        <w:t>Part 3</w:t>
      </w:r>
      <w:r>
        <w:t> — </w:t>
      </w:r>
      <w:r>
        <w:rPr>
          <w:rStyle w:val="CharPartText"/>
        </w:rPr>
        <w:t>Public Service</w:t>
      </w:r>
      <w:bookmarkEnd w:id="287"/>
      <w:bookmarkEnd w:id="288"/>
      <w:bookmarkEnd w:id="289"/>
      <w:bookmarkEnd w:id="290"/>
      <w:bookmarkEnd w:id="291"/>
      <w:bookmarkEnd w:id="292"/>
      <w:r>
        <w:rPr>
          <w:rStyle w:val="CharPartText"/>
        </w:rPr>
        <w:t xml:space="preserve"> </w:t>
      </w:r>
    </w:p>
    <w:p>
      <w:pPr>
        <w:pStyle w:val="Heading3"/>
        <w:spacing w:before="180"/>
        <w:rPr>
          <w:snapToGrid w:val="0"/>
        </w:rPr>
      </w:pPr>
      <w:bookmarkStart w:id="293" w:name="_Toc500422910"/>
      <w:bookmarkStart w:id="294" w:name="_Toc503259294"/>
      <w:bookmarkStart w:id="295" w:name="_Toc503265230"/>
      <w:bookmarkStart w:id="296" w:name="_Toc503880697"/>
      <w:bookmarkStart w:id="297" w:name="_Toc515436223"/>
      <w:bookmarkStart w:id="298" w:name="_Toc515437052"/>
      <w:r>
        <w:rPr>
          <w:rStyle w:val="CharDivNo"/>
        </w:rPr>
        <w:t>Division 1</w:t>
      </w:r>
      <w:r>
        <w:rPr>
          <w:snapToGrid w:val="0"/>
        </w:rPr>
        <w:t> — </w:t>
      </w:r>
      <w:r>
        <w:rPr>
          <w:rStyle w:val="CharDivText"/>
        </w:rPr>
        <w:t>General</w:t>
      </w:r>
      <w:bookmarkEnd w:id="293"/>
      <w:bookmarkEnd w:id="294"/>
      <w:bookmarkEnd w:id="295"/>
      <w:bookmarkEnd w:id="296"/>
      <w:bookmarkEnd w:id="297"/>
      <w:bookmarkEnd w:id="298"/>
      <w:r>
        <w:rPr>
          <w:rStyle w:val="CharDivText"/>
        </w:rPr>
        <w:t xml:space="preserve"> </w:t>
      </w:r>
    </w:p>
    <w:p>
      <w:pPr>
        <w:pStyle w:val="Heading5"/>
        <w:rPr>
          <w:snapToGrid w:val="0"/>
        </w:rPr>
      </w:pPr>
      <w:bookmarkStart w:id="299" w:name="_Toc515437053"/>
      <w:bookmarkStart w:id="300" w:name="_Toc503880698"/>
      <w:r>
        <w:rPr>
          <w:rStyle w:val="CharSectno"/>
        </w:rPr>
        <w:t>34</w:t>
      </w:r>
      <w:r>
        <w:rPr>
          <w:snapToGrid w:val="0"/>
        </w:rPr>
        <w:t>.</w:t>
      </w:r>
      <w:r>
        <w:rPr>
          <w:snapToGrid w:val="0"/>
        </w:rPr>
        <w:tab/>
        <w:t>Constitution of Public Service</w:t>
      </w:r>
      <w:bookmarkEnd w:id="299"/>
      <w:bookmarkEnd w:id="300"/>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301" w:name="_Toc515437054"/>
      <w:bookmarkStart w:id="302" w:name="_Toc503880699"/>
      <w:r>
        <w:rPr>
          <w:rStyle w:val="CharSectno"/>
        </w:rPr>
        <w:t>35</w:t>
      </w:r>
      <w:r>
        <w:rPr>
          <w:snapToGrid w:val="0"/>
        </w:rPr>
        <w:t>.</w:t>
      </w:r>
      <w:r>
        <w:rPr>
          <w:snapToGrid w:val="0"/>
        </w:rPr>
        <w:tab/>
        <w:t>Departments, establishment etc. of</w:t>
      </w:r>
      <w:bookmarkEnd w:id="301"/>
      <w:bookmarkEnd w:id="302"/>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w:t>
      </w:r>
      <w:del w:id="303" w:author="svcMRProcess" w:date="2019-05-20T15:05:00Z">
        <w:r>
          <w:delText xml:space="preserve"> by</w:delText>
        </w:r>
      </w:del>
      <w:ins w:id="304" w:author="svcMRProcess" w:date="2019-05-20T15:05:00Z">
        <w:r>
          <w:t>:</w:t>
        </w:r>
      </w:ins>
      <w:r>
        <w:t xml:space="preserve"> No. 24 of 2000 s. 34(1); No. 39 of 2010 s. 35 and 70.]</w:t>
      </w:r>
    </w:p>
    <w:p>
      <w:pPr>
        <w:pStyle w:val="Heading5"/>
        <w:keepNext w:val="0"/>
        <w:keepLines w:val="0"/>
        <w:spacing w:before="180"/>
        <w:rPr>
          <w:snapToGrid w:val="0"/>
        </w:rPr>
      </w:pPr>
      <w:bookmarkStart w:id="305" w:name="_Toc515437055"/>
      <w:bookmarkStart w:id="306" w:name="_Toc503880700"/>
      <w:r>
        <w:rPr>
          <w:rStyle w:val="CharSectno"/>
        </w:rPr>
        <w:t>36</w:t>
      </w:r>
      <w:r>
        <w:rPr>
          <w:snapToGrid w:val="0"/>
        </w:rPr>
        <w:t>.</w:t>
      </w:r>
      <w:r>
        <w:rPr>
          <w:snapToGrid w:val="0"/>
        </w:rPr>
        <w:tab/>
        <w:t>Organisational powers of employing authorities of departments etc.</w:t>
      </w:r>
      <w:bookmarkEnd w:id="305"/>
      <w:bookmarkEnd w:id="306"/>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w:t>
      </w:r>
      <w:del w:id="307" w:author="svcMRProcess" w:date="2019-05-20T15:05:00Z">
        <w:r>
          <w:delText xml:space="preserve"> by</w:delText>
        </w:r>
      </w:del>
      <w:ins w:id="308" w:author="svcMRProcess" w:date="2019-05-20T15:05:00Z">
        <w:r>
          <w:t>:</w:t>
        </w:r>
      </w:ins>
      <w:r>
        <w:t xml:space="preserve"> No. 39 of 2010 s. 36 and 70.]</w:t>
      </w:r>
    </w:p>
    <w:p>
      <w:pPr>
        <w:pStyle w:val="Heading5"/>
        <w:spacing w:before="180"/>
        <w:rPr>
          <w:snapToGrid w:val="0"/>
        </w:rPr>
      </w:pPr>
      <w:bookmarkStart w:id="309" w:name="_Toc515437056"/>
      <w:bookmarkStart w:id="310" w:name="_Toc503880701"/>
      <w:r>
        <w:rPr>
          <w:rStyle w:val="CharSectno"/>
        </w:rPr>
        <w:t>37</w:t>
      </w:r>
      <w:r>
        <w:rPr>
          <w:snapToGrid w:val="0"/>
        </w:rPr>
        <w:t>.</w:t>
      </w:r>
      <w:r>
        <w:rPr>
          <w:snapToGrid w:val="0"/>
        </w:rPr>
        <w:tab/>
        <w:t>Right of appeal as to remuneration of employees of organisations that become part of Public Service</w:t>
      </w:r>
      <w:bookmarkEnd w:id="309"/>
      <w:bookmarkEnd w:id="310"/>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[Section 37 amended</w:t>
      </w:r>
      <w:del w:id="311" w:author="svcMRProcess" w:date="2019-05-20T15:05:00Z">
        <w:r>
          <w:delText xml:space="preserve"> by</w:delText>
        </w:r>
      </w:del>
      <w:ins w:id="312" w:author="svcMRProcess" w:date="2019-05-20T15:05:00Z">
        <w:r>
          <w:t>:</w:t>
        </w:r>
      </w:ins>
      <w:r>
        <w:t xml:space="preserve"> No. 1 of 1995 s. 35.] </w:t>
      </w:r>
    </w:p>
    <w:p>
      <w:pPr>
        <w:pStyle w:val="Heading5"/>
        <w:spacing w:before="240"/>
        <w:rPr>
          <w:snapToGrid w:val="0"/>
        </w:rPr>
      </w:pPr>
      <w:bookmarkStart w:id="313" w:name="_Toc515437057"/>
      <w:bookmarkStart w:id="314" w:name="_Toc503880702"/>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313"/>
      <w:bookmarkEnd w:id="314"/>
    </w:p>
    <w:p>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80"/>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w:t>
      </w:r>
      <w:del w:id="315" w:author="svcMRProcess" w:date="2019-05-20T15:05:00Z">
        <w:r>
          <w:delText xml:space="preserve"> by</w:delText>
        </w:r>
      </w:del>
      <w:ins w:id="316" w:author="svcMRProcess" w:date="2019-05-20T15:05:00Z">
        <w:r>
          <w:t>:</w:t>
        </w:r>
      </w:ins>
      <w:r>
        <w:t xml:space="preserve"> No. 39 of 2010 s. 37.]</w:t>
      </w:r>
    </w:p>
    <w:p>
      <w:pPr>
        <w:pStyle w:val="Heading5"/>
        <w:spacing w:before="240"/>
        <w:rPr>
          <w:snapToGrid w:val="0"/>
        </w:rPr>
      </w:pPr>
      <w:bookmarkStart w:id="317" w:name="_Toc515437058"/>
      <w:bookmarkStart w:id="318" w:name="_Toc503880703"/>
      <w:r>
        <w:rPr>
          <w:rStyle w:val="CharSectno"/>
        </w:rPr>
        <w:t>39</w:t>
      </w:r>
      <w:r>
        <w:rPr>
          <w:snapToGrid w:val="0"/>
        </w:rPr>
        <w:t>.</w:t>
      </w:r>
      <w:r>
        <w:rPr>
          <w:snapToGrid w:val="0"/>
        </w:rPr>
        <w:tab/>
        <w:t>Retirement of public service officers on grounds of ill health</w:t>
      </w:r>
      <w:bookmarkEnd w:id="317"/>
      <w:bookmarkEnd w:id="318"/>
      <w:r>
        <w:rPr>
          <w:snapToGrid w:val="0"/>
        </w:rPr>
        <w:t xml:space="preserve"> </w:t>
      </w:r>
    </w:p>
    <w:p>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pageBreakBefore/>
        <w:spacing w:before="0"/>
        <w:rPr>
          <w:snapToGrid w:val="0"/>
        </w:rPr>
      </w:pPr>
      <w:bookmarkStart w:id="319" w:name="_Toc515437059"/>
      <w:bookmarkStart w:id="320" w:name="_Toc503880704"/>
      <w:r>
        <w:rPr>
          <w:rStyle w:val="CharSectno"/>
        </w:rPr>
        <w:t>40</w:t>
      </w:r>
      <w:r>
        <w:rPr>
          <w:snapToGrid w:val="0"/>
        </w:rPr>
        <w:t>.</w:t>
      </w:r>
      <w:r>
        <w:rPr>
          <w:snapToGrid w:val="0"/>
        </w:rPr>
        <w:tab/>
        <w:t>Service of notices etc. when address of public service officer unknown</w:t>
      </w:r>
      <w:bookmarkEnd w:id="319"/>
      <w:bookmarkEnd w:id="320"/>
    </w:p>
    <w:p>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w:t>
      </w:r>
      <w:del w:id="321" w:author="svcMRProcess" w:date="2019-05-20T15:05:00Z">
        <w:r>
          <w:delText xml:space="preserve"> by</w:delText>
        </w:r>
      </w:del>
      <w:ins w:id="322" w:author="svcMRProcess" w:date="2019-05-20T15:05:00Z">
        <w:r>
          <w:t>:</w:t>
        </w:r>
      </w:ins>
      <w:r>
        <w:t xml:space="preserve"> No. 39 of 2010 s. 38.]</w:t>
      </w:r>
    </w:p>
    <w:p>
      <w:pPr>
        <w:pStyle w:val="Heading5"/>
        <w:spacing w:before="180"/>
        <w:rPr>
          <w:snapToGrid w:val="0"/>
        </w:rPr>
      </w:pPr>
      <w:bookmarkStart w:id="323" w:name="_Toc515437060"/>
      <w:bookmarkStart w:id="324" w:name="_Toc503880705"/>
      <w:r>
        <w:rPr>
          <w:rStyle w:val="CharSectno"/>
        </w:rPr>
        <w:t>41</w:t>
      </w:r>
      <w:r>
        <w:rPr>
          <w:snapToGrid w:val="0"/>
        </w:rPr>
        <w:t>.</w:t>
      </w:r>
      <w:r>
        <w:rPr>
          <w:snapToGrid w:val="0"/>
        </w:rPr>
        <w:tab/>
        <w:t>Public service officers appointed by Governor, exercise of powers as to</w:t>
      </w:r>
      <w:bookmarkEnd w:id="323"/>
      <w:bookmarkEnd w:id="324"/>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w:t>
      </w:r>
      <w:del w:id="325" w:author="svcMRProcess" w:date="2019-05-20T15:05:00Z">
        <w:r>
          <w:delText xml:space="preserve"> by</w:delText>
        </w:r>
      </w:del>
      <w:ins w:id="326" w:author="svcMRProcess" w:date="2019-05-20T15:05:00Z">
        <w:r>
          <w:t>:</w:t>
        </w:r>
      </w:ins>
      <w:r>
        <w:t xml:space="preserve"> No. 39 of 2010 s. 67 and 68.]</w:t>
      </w:r>
    </w:p>
    <w:p>
      <w:pPr>
        <w:pStyle w:val="Heading3"/>
        <w:keepNext w:val="0"/>
        <w:pageBreakBefore/>
        <w:spacing w:before="0"/>
        <w:rPr>
          <w:snapToGrid w:val="0"/>
        </w:rPr>
      </w:pPr>
      <w:bookmarkStart w:id="327" w:name="_Toc500422919"/>
      <w:bookmarkStart w:id="328" w:name="_Toc503259303"/>
      <w:bookmarkStart w:id="329" w:name="_Toc503265239"/>
      <w:bookmarkStart w:id="330" w:name="_Toc503880706"/>
      <w:bookmarkStart w:id="331" w:name="_Toc515436232"/>
      <w:bookmarkStart w:id="332" w:name="_Toc515437061"/>
      <w:r>
        <w:rPr>
          <w:rStyle w:val="CharDivNo"/>
        </w:rPr>
        <w:t>Division 2</w:t>
      </w:r>
      <w:r>
        <w:rPr>
          <w:snapToGrid w:val="0"/>
        </w:rPr>
        <w:t> — </w:t>
      </w:r>
      <w:r>
        <w:rPr>
          <w:rStyle w:val="CharDivText"/>
        </w:rPr>
        <w:t>Senior Executive Service</w:t>
      </w:r>
      <w:bookmarkEnd w:id="327"/>
      <w:bookmarkEnd w:id="328"/>
      <w:bookmarkEnd w:id="329"/>
      <w:bookmarkEnd w:id="330"/>
      <w:bookmarkEnd w:id="331"/>
      <w:bookmarkEnd w:id="332"/>
      <w:r>
        <w:rPr>
          <w:rStyle w:val="CharDivText"/>
        </w:rPr>
        <w:t xml:space="preserve"> </w:t>
      </w:r>
    </w:p>
    <w:p>
      <w:pPr>
        <w:pStyle w:val="Heading5"/>
        <w:rPr>
          <w:snapToGrid w:val="0"/>
        </w:rPr>
      </w:pPr>
      <w:bookmarkStart w:id="333" w:name="_Toc515437062"/>
      <w:bookmarkStart w:id="334" w:name="_Toc503880707"/>
      <w:r>
        <w:rPr>
          <w:rStyle w:val="CharSectno"/>
        </w:rPr>
        <w:t>42</w:t>
      </w:r>
      <w:r>
        <w:rPr>
          <w:snapToGrid w:val="0"/>
        </w:rPr>
        <w:t>.</w:t>
      </w:r>
      <w:r>
        <w:rPr>
          <w:snapToGrid w:val="0"/>
        </w:rPr>
        <w:tab/>
        <w:t>Purposes of Senior Executive Service</w:t>
      </w:r>
      <w:bookmarkEnd w:id="333"/>
      <w:bookmarkEnd w:id="334"/>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w:t>
      </w:r>
      <w:del w:id="335" w:author="svcMRProcess" w:date="2019-05-20T15:05:00Z">
        <w:r>
          <w:delText xml:space="preserve"> by</w:delText>
        </w:r>
      </w:del>
      <w:ins w:id="336" w:author="svcMRProcess" w:date="2019-05-20T15:05:00Z">
        <w:r>
          <w:t>:</w:t>
        </w:r>
      </w:ins>
      <w:r>
        <w:t xml:space="preserve"> No. 39 of 2010 s. 39.]</w:t>
      </w:r>
    </w:p>
    <w:p>
      <w:pPr>
        <w:pStyle w:val="Heading5"/>
        <w:rPr>
          <w:snapToGrid w:val="0"/>
        </w:rPr>
      </w:pPr>
      <w:bookmarkStart w:id="337" w:name="_Toc515437063"/>
      <w:bookmarkStart w:id="338" w:name="_Toc503880708"/>
      <w:r>
        <w:rPr>
          <w:rStyle w:val="CharSectno"/>
        </w:rPr>
        <w:t>43</w:t>
      </w:r>
      <w:r>
        <w:rPr>
          <w:snapToGrid w:val="0"/>
        </w:rPr>
        <w:t>.</w:t>
      </w:r>
      <w:r>
        <w:rPr>
          <w:snapToGrid w:val="0"/>
        </w:rPr>
        <w:tab/>
        <w:t>Constitution of Senior Executive Service</w:t>
      </w:r>
      <w:bookmarkEnd w:id="337"/>
      <w:bookmarkEnd w:id="338"/>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spacing w:before="120"/>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spacing w:before="120"/>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spacing w:before="180"/>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w:t>
      </w:r>
      <w:del w:id="339" w:author="svcMRProcess" w:date="2019-05-20T15:05:00Z">
        <w:r>
          <w:delText xml:space="preserve"> by</w:delText>
        </w:r>
      </w:del>
      <w:ins w:id="340" w:author="svcMRProcess" w:date="2019-05-20T15:05:00Z">
        <w:r>
          <w:t>:</w:t>
        </w:r>
      </w:ins>
      <w:r>
        <w:t xml:space="preserve"> No. 39 of 2010 s. 40 and 67.]</w:t>
      </w:r>
    </w:p>
    <w:p>
      <w:pPr>
        <w:pStyle w:val="Heading5"/>
        <w:spacing w:before="240"/>
        <w:rPr>
          <w:snapToGrid w:val="0"/>
        </w:rPr>
      </w:pPr>
      <w:bookmarkStart w:id="341" w:name="_Toc515437064"/>
      <w:bookmarkStart w:id="342" w:name="_Toc503880709"/>
      <w:r>
        <w:rPr>
          <w:rStyle w:val="CharSectno"/>
        </w:rPr>
        <w:t>44</w:t>
      </w:r>
      <w:r>
        <w:rPr>
          <w:snapToGrid w:val="0"/>
        </w:rPr>
        <w:t>.</w:t>
      </w:r>
      <w:r>
        <w:rPr>
          <w:snapToGrid w:val="0"/>
        </w:rPr>
        <w:tab/>
        <w:t>Agencies each to have CEO or chief employee</w:t>
      </w:r>
      <w:bookmarkEnd w:id="341"/>
      <w:bookmarkEnd w:id="342"/>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ind w:left="890" w:hanging="890"/>
      </w:pPr>
      <w:r>
        <w:tab/>
        <w:t>[Section 44 amended</w:t>
      </w:r>
      <w:del w:id="343" w:author="svcMRProcess" w:date="2019-05-20T15:05:00Z">
        <w:r>
          <w:delText xml:space="preserve"> by</w:delText>
        </w:r>
      </w:del>
      <w:ins w:id="344" w:author="svcMRProcess" w:date="2019-05-20T15:05:00Z">
        <w:r>
          <w:t>:</w:t>
        </w:r>
      </w:ins>
      <w:r>
        <w:t xml:space="preserve"> No. 39 of 2010 s. 67.]</w:t>
      </w:r>
    </w:p>
    <w:p>
      <w:pPr>
        <w:pStyle w:val="Heading5"/>
        <w:spacing w:before="240"/>
        <w:rPr>
          <w:snapToGrid w:val="0"/>
        </w:rPr>
      </w:pPr>
      <w:bookmarkStart w:id="345" w:name="_Toc515437065"/>
      <w:bookmarkStart w:id="346" w:name="_Toc503880710"/>
      <w:r>
        <w:rPr>
          <w:rStyle w:val="CharSectno"/>
        </w:rPr>
        <w:t>45</w:t>
      </w:r>
      <w:r>
        <w:rPr>
          <w:snapToGrid w:val="0"/>
        </w:rPr>
        <w:t>.</w:t>
      </w:r>
      <w:r>
        <w:rPr>
          <w:snapToGrid w:val="0"/>
        </w:rPr>
        <w:tab/>
        <w:t>CEOs, appointment of</w:t>
      </w:r>
      <w:bookmarkEnd w:id="345"/>
      <w:bookmarkEnd w:id="346"/>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spacing w:before="60"/>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w:t>
      </w:r>
      <w:del w:id="347" w:author="svcMRProcess" w:date="2019-05-20T15:05:00Z">
        <w:r>
          <w:delText xml:space="preserve"> by</w:delText>
        </w:r>
      </w:del>
      <w:ins w:id="348" w:author="svcMRProcess" w:date="2019-05-20T15:05:00Z">
        <w:r>
          <w:t>:</w:t>
        </w:r>
      </w:ins>
      <w:r>
        <w:t xml:space="preserve"> No. 39 of 2010 s. 41, 67 and 70.]</w:t>
      </w:r>
    </w:p>
    <w:p>
      <w:pPr>
        <w:pStyle w:val="Heading5"/>
        <w:rPr>
          <w:snapToGrid w:val="0"/>
        </w:rPr>
      </w:pPr>
      <w:bookmarkStart w:id="349" w:name="_Toc515437066"/>
      <w:bookmarkStart w:id="350" w:name="_Toc503880711"/>
      <w:r>
        <w:rPr>
          <w:rStyle w:val="CharSectno"/>
        </w:rPr>
        <w:t>46</w:t>
      </w:r>
      <w:r>
        <w:rPr>
          <w:snapToGrid w:val="0"/>
        </w:rPr>
        <w:t>.</w:t>
      </w:r>
      <w:r>
        <w:rPr>
          <w:snapToGrid w:val="0"/>
        </w:rPr>
        <w:tab/>
        <w:t>CEOs, reappointment of on expiry of contract</w:t>
      </w:r>
      <w:bookmarkEnd w:id="349"/>
      <w:bookmarkEnd w:id="350"/>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w:t>
      </w:r>
      <w:del w:id="351" w:author="svcMRProcess" w:date="2019-05-20T15:05:00Z">
        <w:r>
          <w:delText xml:space="preserve"> by</w:delText>
        </w:r>
      </w:del>
      <w:ins w:id="352" w:author="svcMRProcess" w:date="2019-05-20T15:05:00Z">
        <w:r>
          <w:t>:</w:t>
        </w:r>
      </w:ins>
      <w:r>
        <w:t xml:space="preserve"> No. 39 of 2010 s. 42, 67 and 70.]</w:t>
      </w:r>
    </w:p>
    <w:p>
      <w:pPr>
        <w:pStyle w:val="Heading5"/>
        <w:rPr>
          <w:snapToGrid w:val="0"/>
        </w:rPr>
      </w:pPr>
      <w:bookmarkStart w:id="353" w:name="_Toc515437067"/>
      <w:bookmarkStart w:id="354" w:name="_Toc503880712"/>
      <w:r>
        <w:rPr>
          <w:rStyle w:val="CharSectno"/>
        </w:rPr>
        <w:t>47</w:t>
      </w:r>
      <w:r>
        <w:rPr>
          <w:snapToGrid w:val="0"/>
        </w:rPr>
        <w:t>.</w:t>
      </w:r>
      <w:r>
        <w:rPr>
          <w:snapToGrid w:val="0"/>
        </w:rPr>
        <w:tab/>
        <w:t>CEOs, performance agreements etc. of</w:t>
      </w:r>
      <w:bookmarkEnd w:id="353"/>
      <w:bookmarkEnd w:id="354"/>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w:t>
      </w:r>
      <w:del w:id="355" w:author="svcMRProcess" w:date="2019-05-20T15:05:00Z">
        <w:r>
          <w:delText xml:space="preserve"> by</w:delText>
        </w:r>
      </w:del>
      <w:ins w:id="356" w:author="svcMRProcess" w:date="2019-05-20T15:05:00Z">
        <w:r>
          <w:t>:</w:t>
        </w:r>
      </w:ins>
      <w:r>
        <w:t xml:space="preserve"> No. 39 of 2010 s. 43.]</w:t>
      </w:r>
    </w:p>
    <w:p>
      <w:pPr>
        <w:pStyle w:val="Ednotesection"/>
      </w:pPr>
      <w:r>
        <w:t>[</w:t>
      </w:r>
      <w:r>
        <w:rPr>
          <w:b/>
          <w:bCs/>
        </w:rPr>
        <w:t>48.</w:t>
      </w:r>
      <w:r>
        <w:tab/>
        <w:t>Deleted</w:t>
      </w:r>
      <w:del w:id="357" w:author="svcMRProcess" w:date="2019-05-20T15:05:00Z">
        <w:r>
          <w:delText xml:space="preserve"> by</w:delText>
        </w:r>
      </w:del>
      <w:ins w:id="358" w:author="svcMRProcess" w:date="2019-05-20T15:05:00Z">
        <w:r>
          <w:t>:</w:t>
        </w:r>
      </w:ins>
      <w:r>
        <w:t xml:space="preserve"> No. 39 of 2010 s. 44.]</w:t>
      </w:r>
    </w:p>
    <w:p>
      <w:pPr>
        <w:pStyle w:val="Heading5"/>
        <w:rPr>
          <w:snapToGrid w:val="0"/>
        </w:rPr>
      </w:pPr>
      <w:bookmarkStart w:id="359" w:name="_Toc515437068"/>
      <w:bookmarkStart w:id="360" w:name="_Toc503880713"/>
      <w:r>
        <w:rPr>
          <w:rStyle w:val="CharSectno"/>
        </w:rPr>
        <w:t>49</w:t>
      </w:r>
      <w:r>
        <w:rPr>
          <w:snapToGrid w:val="0"/>
        </w:rPr>
        <w:t>.</w:t>
      </w:r>
      <w:r>
        <w:rPr>
          <w:snapToGrid w:val="0"/>
        </w:rPr>
        <w:tab/>
        <w:t>CEOs, removal of from office</w:t>
      </w:r>
      <w:bookmarkEnd w:id="359"/>
      <w:bookmarkEnd w:id="360"/>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w:t>
      </w:r>
      <w:del w:id="361" w:author="svcMRProcess" w:date="2019-05-20T15:05:00Z">
        <w:r>
          <w:delText xml:space="preserve"> by</w:delText>
        </w:r>
      </w:del>
      <w:ins w:id="362" w:author="svcMRProcess" w:date="2019-05-20T15:05:00Z">
        <w:r>
          <w:t>:</w:t>
        </w:r>
      </w:ins>
      <w:r>
        <w:t xml:space="preserve"> No. 39 of 2010 s. 45.]</w:t>
      </w:r>
    </w:p>
    <w:p>
      <w:pPr>
        <w:pStyle w:val="Heading5"/>
        <w:rPr>
          <w:snapToGrid w:val="0"/>
        </w:rPr>
      </w:pPr>
      <w:bookmarkStart w:id="363" w:name="_Toc515437069"/>
      <w:bookmarkStart w:id="364" w:name="_Toc503880714"/>
      <w:r>
        <w:rPr>
          <w:rStyle w:val="CharSectno"/>
        </w:rPr>
        <w:t>50</w:t>
      </w:r>
      <w:r>
        <w:rPr>
          <w:snapToGrid w:val="0"/>
        </w:rPr>
        <w:t>.</w:t>
      </w:r>
      <w:r>
        <w:rPr>
          <w:snapToGrid w:val="0"/>
        </w:rPr>
        <w:tab/>
        <w:t>CEOs, transfer of</w:t>
      </w:r>
      <w:bookmarkEnd w:id="363"/>
      <w:bookmarkEnd w:id="364"/>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w:t>
      </w:r>
      <w:del w:id="365" w:author="svcMRProcess" w:date="2019-05-20T15:05:00Z">
        <w:r>
          <w:delText xml:space="preserve"> by</w:delText>
        </w:r>
      </w:del>
      <w:ins w:id="366" w:author="svcMRProcess" w:date="2019-05-20T15:05:00Z">
        <w:r>
          <w:t>:</w:t>
        </w:r>
      </w:ins>
      <w:r>
        <w:t xml:space="preserve"> No. 39 of 2010 s. 46 and 67.]</w:t>
      </w:r>
    </w:p>
    <w:p>
      <w:pPr>
        <w:pStyle w:val="Heading5"/>
        <w:spacing w:before="240"/>
        <w:rPr>
          <w:snapToGrid w:val="0"/>
        </w:rPr>
      </w:pPr>
      <w:bookmarkStart w:id="367" w:name="_Toc515437070"/>
      <w:bookmarkStart w:id="368" w:name="_Toc503880715"/>
      <w:r>
        <w:rPr>
          <w:rStyle w:val="CharSectno"/>
        </w:rPr>
        <w:t>51</w:t>
      </w:r>
      <w:r>
        <w:rPr>
          <w:snapToGrid w:val="0"/>
        </w:rPr>
        <w:t>.</w:t>
      </w:r>
      <w:r>
        <w:rPr>
          <w:snapToGrid w:val="0"/>
        </w:rPr>
        <w:tab/>
        <w:t>Acting CEOs</w:t>
      </w:r>
      <w:bookmarkEnd w:id="367"/>
      <w:bookmarkEnd w:id="368"/>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w:t>
      </w:r>
      <w:del w:id="369" w:author="svcMRProcess" w:date="2019-05-20T15:05:00Z">
        <w:r>
          <w:delText xml:space="preserve"> by</w:delText>
        </w:r>
      </w:del>
      <w:ins w:id="370" w:author="svcMRProcess" w:date="2019-05-20T15:05:00Z">
        <w:r>
          <w:t>:</w:t>
        </w:r>
      </w:ins>
      <w:r>
        <w:t xml:space="preserve"> No. 39 of 2010 s. 47, 67 and 70.]</w:t>
      </w:r>
    </w:p>
    <w:p>
      <w:pPr>
        <w:pStyle w:val="Heading5"/>
        <w:rPr>
          <w:snapToGrid w:val="0"/>
        </w:rPr>
      </w:pPr>
      <w:bookmarkStart w:id="371" w:name="_Toc515437071"/>
      <w:bookmarkStart w:id="372" w:name="_Toc503880716"/>
      <w:r>
        <w:rPr>
          <w:rStyle w:val="CharSectno"/>
        </w:rPr>
        <w:t>52</w:t>
      </w:r>
      <w:r>
        <w:rPr>
          <w:snapToGrid w:val="0"/>
        </w:rPr>
        <w:t>.</w:t>
      </w:r>
      <w:r>
        <w:rPr>
          <w:snapToGrid w:val="0"/>
        </w:rPr>
        <w:tab/>
        <w:t>Employment etc. of CEOs cannot be litigated etc.</w:t>
      </w:r>
      <w:bookmarkEnd w:id="371"/>
      <w:bookmarkEnd w:id="372"/>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keepNext w:val="0"/>
        <w:keepLines w:val="0"/>
        <w:pageBreakBefore/>
        <w:spacing w:before="0"/>
        <w:rPr>
          <w:snapToGrid w:val="0"/>
        </w:rPr>
      </w:pPr>
      <w:bookmarkStart w:id="373" w:name="_Toc515437072"/>
      <w:bookmarkStart w:id="374" w:name="_Toc503880717"/>
      <w:r>
        <w:rPr>
          <w:rStyle w:val="CharSectno"/>
        </w:rPr>
        <w:t>53</w:t>
      </w:r>
      <w:r>
        <w:rPr>
          <w:snapToGrid w:val="0"/>
        </w:rPr>
        <w:t>.</w:t>
      </w:r>
      <w:r>
        <w:rPr>
          <w:snapToGrid w:val="0"/>
        </w:rPr>
        <w:tab/>
        <w:t>Senior executive officers, appointment of</w:t>
      </w:r>
      <w:bookmarkEnd w:id="373"/>
      <w:bookmarkEnd w:id="374"/>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w:t>
      </w:r>
      <w:del w:id="375" w:author="svcMRProcess" w:date="2019-05-20T15:05:00Z">
        <w:r>
          <w:delText xml:space="preserve"> by</w:delText>
        </w:r>
      </w:del>
      <w:ins w:id="376" w:author="svcMRProcess" w:date="2019-05-20T15:05:00Z">
        <w:r>
          <w:t>:</w:t>
        </w:r>
      </w:ins>
      <w:r>
        <w:t xml:space="preserve"> No. 20 of 2002 s. 25(4); No. 39 of 2010 s. 48 and 70; amended</w:t>
      </w:r>
      <w:del w:id="377" w:author="svcMRProcess" w:date="2019-05-20T15:05:00Z">
        <w:r>
          <w:delText xml:space="preserve"> in</w:delText>
        </w:r>
      </w:del>
      <w:ins w:id="378" w:author="svcMRProcess" w:date="2019-05-20T15:05:00Z">
        <w:r>
          <w:t>:</w:t>
        </w:r>
      </w:ins>
      <w:r>
        <w:t xml:space="preserve"> Gazette 15 Aug 2003 p. 3690.]</w:t>
      </w:r>
    </w:p>
    <w:p>
      <w:pPr>
        <w:pStyle w:val="Heading5"/>
        <w:rPr>
          <w:snapToGrid w:val="0"/>
        </w:rPr>
      </w:pPr>
      <w:bookmarkStart w:id="379" w:name="_Toc515437073"/>
      <w:bookmarkStart w:id="380" w:name="_Toc503880718"/>
      <w:r>
        <w:rPr>
          <w:rStyle w:val="CharSectno"/>
        </w:rPr>
        <w:t>54</w:t>
      </w:r>
      <w:r>
        <w:rPr>
          <w:snapToGrid w:val="0"/>
        </w:rPr>
        <w:t>.</w:t>
      </w:r>
      <w:r>
        <w:rPr>
          <w:snapToGrid w:val="0"/>
        </w:rPr>
        <w:tab/>
        <w:t>Senior executive officers, transfer of</w:t>
      </w:r>
      <w:bookmarkEnd w:id="379"/>
      <w:bookmarkEnd w:id="380"/>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381" w:name="_Toc515437074"/>
      <w:bookmarkStart w:id="382" w:name="_Toc503880719"/>
      <w:r>
        <w:rPr>
          <w:rStyle w:val="CharSectno"/>
        </w:rPr>
        <w:t>55</w:t>
      </w:r>
      <w:r>
        <w:rPr>
          <w:snapToGrid w:val="0"/>
        </w:rPr>
        <w:t>.</w:t>
      </w:r>
      <w:r>
        <w:rPr>
          <w:snapToGrid w:val="0"/>
        </w:rPr>
        <w:tab/>
        <w:t>Senior executive officers, performance assessments of</w:t>
      </w:r>
      <w:bookmarkEnd w:id="381"/>
      <w:bookmarkEnd w:id="382"/>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383" w:name="_Toc515437075"/>
      <w:bookmarkStart w:id="384" w:name="_Toc503880720"/>
      <w:r>
        <w:rPr>
          <w:rStyle w:val="CharSectno"/>
        </w:rPr>
        <w:t>56</w:t>
      </w:r>
      <w:r>
        <w:rPr>
          <w:snapToGrid w:val="0"/>
        </w:rPr>
        <w:t>.</w:t>
      </w:r>
      <w:r>
        <w:rPr>
          <w:snapToGrid w:val="0"/>
        </w:rPr>
        <w:tab/>
        <w:t>Executive officers, contracts of employment of</w:t>
      </w:r>
      <w:bookmarkEnd w:id="383"/>
      <w:bookmarkEnd w:id="384"/>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spacing w:before="60"/>
        <w:rPr>
          <w:snapToGrid w:val="0"/>
        </w:rPr>
      </w:pPr>
      <w:r>
        <w:rPr>
          <w:snapToGrid w:val="0"/>
        </w:rPr>
        <w:tab/>
        <w:t>(b)</w:t>
      </w:r>
      <w:r>
        <w:rPr>
          <w:snapToGrid w:val="0"/>
        </w:rPr>
        <w:tab/>
        <w:t>pay the executive officer in lieu of that period of notice an amount — </w:t>
      </w:r>
    </w:p>
    <w:p>
      <w:pPr>
        <w:pStyle w:val="Indenti"/>
        <w:spacing w:before="60"/>
        <w:rPr>
          <w:snapToGrid w:val="0"/>
        </w:rPr>
      </w:pPr>
      <w:r>
        <w:rPr>
          <w:snapToGrid w:val="0"/>
        </w:rPr>
        <w:tab/>
        <w:t>(i)</w:t>
      </w:r>
      <w:r>
        <w:rPr>
          <w:snapToGrid w:val="0"/>
        </w:rPr>
        <w:tab/>
        <w:t>not exceeding such maximum amount as is prescribed; and</w:t>
      </w:r>
    </w:p>
    <w:p>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spacing w:before="80"/>
        <w:ind w:left="890" w:hanging="890"/>
      </w:pPr>
      <w:r>
        <w:tab/>
        <w:t>[Section 56 amended</w:t>
      </w:r>
      <w:del w:id="385" w:author="svcMRProcess" w:date="2019-05-20T15:05:00Z">
        <w:r>
          <w:delText xml:space="preserve"> by</w:delText>
        </w:r>
      </w:del>
      <w:ins w:id="386" w:author="svcMRProcess" w:date="2019-05-20T15:05:00Z">
        <w:r>
          <w:t>:</w:t>
        </w:r>
      </w:ins>
      <w:r>
        <w:t xml:space="preserve"> No. 39 of 2010 s. 49 and 70.]</w:t>
      </w:r>
    </w:p>
    <w:p>
      <w:pPr>
        <w:pStyle w:val="Heading5"/>
        <w:keepNext w:val="0"/>
        <w:keepLines w:val="0"/>
        <w:spacing w:before="180"/>
        <w:rPr>
          <w:snapToGrid w:val="0"/>
        </w:rPr>
      </w:pPr>
      <w:bookmarkStart w:id="387" w:name="_Toc515437076"/>
      <w:bookmarkStart w:id="388" w:name="_Toc503880721"/>
      <w:r>
        <w:rPr>
          <w:rStyle w:val="CharSectno"/>
        </w:rPr>
        <w:t>57</w:t>
      </w:r>
      <w:r>
        <w:rPr>
          <w:snapToGrid w:val="0"/>
        </w:rPr>
        <w:t>.</w:t>
      </w:r>
      <w:r>
        <w:rPr>
          <w:snapToGrid w:val="0"/>
        </w:rPr>
        <w:tab/>
        <w:t>Contracts of employment of executive officers, content of</w:t>
      </w:r>
      <w:bookmarkEnd w:id="387"/>
      <w:bookmarkEnd w:id="388"/>
    </w:p>
    <w:p>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spacing w:before="60"/>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w:t>
      </w:r>
      <w:del w:id="389" w:author="svcMRProcess" w:date="2019-05-20T15:05:00Z">
        <w:r>
          <w:delText xml:space="preserve"> by</w:delText>
        </w:r>
      </w:del>
      <w:ins w:id="390" w:author="svcMRProcess" w:date="2019-05-20T15:05:00Z">
        <w:r>
          <w:t>:</w:t>
        </w:r>
      </w:ins>
      <w:r>
        <w:t xml:space="preserve"> No. 39 of 2010 s. 70.]</w:t>
      </w:r>
    </w:p>
    <w:p>
      <w:pPr>
        <w:pStyle w:val="Heading5"/>
        <w:rPr>
          <w:snapToGrid w:val="0"/>
        </w:rPr>
      </w:pPr>
      <w:bookmarkStart w:id="391" w:name="_Toc515437077"/>
      <w:bookmarkStart w:id="392" w:name="_Toc503880722"/>
      <w:r>
        <w:rPr>
          <w:rStyle w:val="CharSectno"/>
        </w:rPr>
        <w:t>58</w:t>
      </w:r>
      <w:r>
        <w:rPr>
          <w:snapToGrid w:val="0"/>
        </w:rPr>
        <w:t>.</w:t>
      </w:r>
      <w:r>
        <w:rPr>
          <w:snapToGrid w:val="0"/>
        </w:rPr>
        <w:tab/>
        <w:t>Right of return for certain executive officers</w:t>
      </w:r>
      <w:bookmarkEnd w:id="391"/>
      <w:bookmarkEnd w:id="392"/>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spacing w:before="120"/>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w:t>
      </w:r>
      <w:del w:id="393" w:author="svcMRProcess" w:date="2019-05-20T15:05:00Z">
        <w:r>
          <w:delText xml:space="preserve"> by</w:delText>
        </w:r>
      </w:del>
      <w:ins w:id="394" w:author="svcMRProcess" w:date="2019-05-20T15:05:00Z">
        <w:r>
          <w:t>:</w:t>
        </w:r>
      </w:ins>
      <w:r>
        <w:t xml:space="preserve"> No. 39 of 2010 s. 68 and 70.]</w:t>
      </w:r>
    </w:p>
    <w:p>
      <w:pPr>
        <w:pStyle w:val="Heading5"/>
        <w:rPr>
          <w:snapToGrid w:val="0"/>
        </w:rPr>
      </w:pPr>
      <w:bookmarkStart w:id="395" w:name="_Toc515437078"/>
      <w:bookmarkStart w:id="396" w:name="_Toc503880723"/>
      <w:r>
        <w:rPr>
          <w:rStyle w:val="CharSectno"/>
        </w:rPr>
        <w:t>59</w:t>
      </w:r>
      <w:r>
        <w:rPr>
          <w:snapToGrid w:val="0"/>
        </w:rPr>
        <w:t>.</w:t>
      </w:r>
      <w:r>
        <w:rPr>
          <w:snapToGrid w:val="0"/>
        </w:rPr>
        <w:tab/>
        <w:t>Compensation etc. if executive officer has no right of return</w:t>
      </w:r>
      <w:bookmarkEnd w:id="395"/>
      <w:bookmarkEnd w:id="396"/>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w:t>
      </w:r>
      <w:del w:id="397" w:author="svcMRProcess" w:date="2019-05-20T15:05:00Z">
        <w:r>
          <w:delText xml:space="preserve"> by</w:delText>
        </w:r>
      </w:del>
      <w:ins w:id="398" w:author="svcMRProcess" w:date="2019-05-20T15:05:00Z">
        <w:r>
          <w:t>:</w:t>
        </w:r>
      </w:ins>
      <w:r>
        <w:t xml:space="preserve"> No. 39 of 2010 s. 67 and 70.]</w:t>
      </w:r>
    </w:p>
    <w:p>
      <w:pPr>
        <w:pStyle w:val="Heading5"/>
        <w:spacing w:before="240"/>
        <w:rPr>
          <w:snapToGrid w:val="0"/>
        </w:rPr>
      </w:pPr>
      <w:bookmarkStart w:id="399" w:name="_Toc515437079"/>
      <w:bookmarkStart w:id="400" w:name="_Toc503880724"/>
      <w:r>
        <w:rPr>
          <w:rStyle w:val="CharSectno"/>
        </w:rPr>
        <w:t>60</w:t>
      </w:r>
      <w:r>
        <w:rPr>
          <w:snapToGrid w:val="0"/>
        </w:rPr>
        <w:t>.</w:t>
      </w:r>
      <w:r>
        <w:rPr>
          <w:snapToGrid w:val="0"/>
        </w:rPr>
        <w:tab/>
        <w:t>Election to take compensation instead of right of return</w:t>
      </w:r>
      <w:bookmarkEnd w:id="399"/>
      <w:bookmarkEnd w:id="400"/>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401" w:name="_Toc515437080"/>
      <w:bookmarkStart w:id="402" w:name="_Toc503880725"/>
      <w:r>
        <w:rPr>
          <w:rStyle w:val="CharSectno"/>
        </w:rPr>
        <w:t>61</w:t>
      </w:r>
      <w:r>
        <w:rPr>
          <w:snapToGrid w:val="0"/>
        </w:rPr>
        <w:t>.</w:t>
      </w:r>
      <w:r>
        <w:rPr>
          <w:snapToGrid w:val="0"/>
        </w:rPr>
        <w:tab/>
        <w:t>Executive officers, secondment of</w:t>
      </w:r>
      <w:bookmarkEnd w:id="401"/>
      <w:bookmarkEnd w:id="402"/>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403" w:name="_Toc515437081"/>
      <w:bookmarkStart w:id="404" w:name="_Toc503880726"/>
      <w:r>
        <w:rPr>
          <w:rStyle w:val="CharSectno"/>
        </w:rPr>
        <w:t>62</w:t>
      </w:r>
      <w:r>
        <w:rPr>
          <w:snapToGrid w:val="0"/>
        </w:rPr>
        <w:t>.</w:t>
      </w:r>
      <w:r>
        <w:rPr>
          <w:snapToGrid w:val="0"/>
        </w:rPr>
        <w:tab/>
        <w:t>When executive officer ceases to be in Senior Executive Service</w:t>
      </w:r>
      <w:bookmarkEnd w:id="403"/>
      <w:bookmarkEnd w:id="404"/>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405" w:name="_Toc515437082"/>
      <w:bookmarkStart w:id="406" w:name="_Toc503880727"/>
      <w:r>
        <w:rPr>
          <w:rStyle w:val="CharSectno"/>
        </w:rPr>
        <w:t>63</w:t>
      </w:r>
      <w:r>
        <w:rPr>
          <w:snapToGrid w:val="0"/>
        </w:rPr>
        <w:t>.</w:t>
      </w:r>
      <w:r>
        <w:rPr>
          <w:snapToGrid w:val="0"/>
        </w:rPr>
        <w:tab/>
        <w:t>Vacation of office of executive officer</w:t>
      </w:r>
      <w:bookmarkEnd w:id="405"/>
      <w:bookmarkEnd w:id="406"/>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w:t>
      </w:r>
      <w:del w:id="407" w:author="svcMRProcess" w:date="2019-05-20T15:05:00Z">
        <w:r>
          <w:delText xml:space="preserve"> by</w:delText>
        </w:r>
      </w:del>
      <w:ins w:id="408" w:author="svcMRProcess" w:date="2019-05-20T15:05:00Z">
        <w:r>
          <w:t>:</w:t>
        </w:r>
      </w:ins>
      <w:r>
        <w:t xml:space="preserve"> No. 39 of 2010 s. 50, 67 and 70; No. 8 of 2014 s. 11.]</w:t>
      </w:r>
    </w:p>
    <w:p>
      <w:pPr>
        <w:pStyle w:val="Heading3"/>
        <w:spacing w:before="200"/>
        <w:rPr>
          <w:snapToGrid w:val="0"/>
        </w:rPr>
      </w:pPr>
      <w:bookmarkStart w:id="409" w:name="_Toc500422941"/>
      <w:bookmarkStart w:id="410" w:name="_Toc503259325"/>
      <w:bookmarkStart w:id="411" w:name="_Toc503265261"/>
      <w:bookmarkStart w:id="412" w:name="_Toc503880728"/>
      <w:bookmarkStart w:id="413" w:name="_Toc515436254"/>
      <w:bookmarkStart w:id="414" w:name="_Toc515437083"/>
      <w:r>
        <w:rPr>
          <w:rStyle w:val="CharDivNo"/>
        </w:rPr>
        <w:t>Division 3</w:t>
      </w:r>
      <w:r>
        <w:rPr>
          <w:snapToGrid w:val="0"/>
        </w:rPr>
        <w:t> — </w:t>
      </w:r>
      <w:r>
        <w:rPr>
          <w:rStyle w:val="CharDivText"/>
        </w:rPr>
        <w:t>Public service officers other than executive officers</w:t>
      </w:r>
      <w:bookmarkEnd w:id="409"/>
      <w:bookmarkEnd w:id="410"/>
      <w:bookmarkEnd w:id="411"/>
      <w:bookmarkEnd w:id="412"/>
      <w:bookmarkEnd w:id="413"/>
      <w:bookmarkEnd w:id="414"/>
      <w:r>
        <w:rPr>
          <w:rStyle w:val="CharDivText"/>
        </w:rPr>
        <w:t xml:space="preserve"> </w:t>
      </w:r>
    </w:p>
    <w:p>
      <w:pPr>
        <w:pStyle w:val="Heading5"/>
        <w:spacing w:before="180"/>
        <w:rPr>
          <w:snapToGrid w:val="0"/>
        </w:rPr>
      </w:pPr>
      <w:bookmarkStart w:id="415" w:name="_Toc515437084"/>
      <w:bookmarkStart w:id="416" w:name="_Toc503880729"/>
      <w:r>
        <w:rPr>
          <w:rStyle w:val="CharSectno"/>
        </w:rPr>
        <w:t>64</w:t>
      </w:r>
      <w:r>
        <w:rPr>
          <w:snapToGrid w:val="0"/>
        </w:rPr>
        <w:t>.</w:t>
      </w:r>
      <w:r>
        <w:rPr>
          <w:snapToGrid w:val="0"/>
        </w:rPr>
        <w:tab/>
        <w:t>Appointing officers</w:t>
      </w:r>
      <w:bookmarkEnd w:id="415"/>
      <w:bookmarkEnd w:id="416"/>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spacing w:before="120"/>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ind w:left="890" w:hanging="890"/>
      </w:pPr>
      <w:r>
        <w:tab/>
        <w:t>[Section 64 amended</w:t>
      </w:r>
      <w:del w:id="417" w:author="svcMRProcess" w:date="2019-05-20T15:05:00Z">
        <w:r>
          <w:delText xml:space="preserve"> by</w:delText>
        </w:r>
      </w:del>
      <w:ins w:id="418" w:author="svcMRProcess" w:date="2019-05-20T15:05:00Z">
        <w:r>
          <w:t>:</w:t>
        </w:r>
      </w:ins>
      <w:r>
        <w:t xml:space="preserve"> No. 20 of 2002 s. 25(5); No. 74 of 2003 s. 97(2); No. 39 of 2010 s. 51 and 70; amended</w:t>
      </w:r>
      <w:del w:id="419" w:author="svcMRProcess" w:date="2019-05-20T15:05:00Z">
        <w:r>
          <w:delText xml:space="preserve"> in</w:delText>
        </w:r>
      </w:del>
      <w:ins w:id="420" w:author="svcMRProcess" w:date="2019-05-20T15:05:00Z">
        <w:r>
          <w:t>:</w:t>
        </w:r>
      </w:ins>
      <w:r>
        <w:t xml:space="preserve"> Gazette 15 Aug 2003 p. 3690.]</w:t>
      </w:r>
    </w:p>
    <w:p>
      <w:pPr>
        <w:pStyle w:val="Heading5"/>
        <w:keepNext w:val="0"/>
        <w:keepLines w:val="0"/>
        <w:pageBreakBefore/>
        <w:spacing w:before="0"/>
        <w:rPr>
          <w:snapToGrid w:val="0"/>
        </w:rPr>
      </w:pPr>
      <w:bookmarkStart w:id="421" w:name="_Toc515437085"/>
      <w:bookmarkStart w:id="422" w:name="_Toc503880730"/>
      <w:r>
        <w:rPr>
          <w:rStyle w:val="CharSectno"/>
        </w:rPr>
        <w:t>65</w:t>
      </w:r>
      <w:r>
        <w:rPr>
          <w:snapToGrid w:val="0"/>
        </w:rPr>
        <w:t>.</w:t>
      </w:r>
      <w:r>
        <w:rPr>
          <w:snapToGrid w:val="0"/>
        </w:rPr>
        <w:tab/>
        <w:t>Transferring officers within and between departments etc.</w:t>
      </w:r>
      <w:bookmarkEnd w:id="421"/>
      <w:bookmarkEnd w:id="422"/>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423" w:name="_Toc515437086"/>
      <w:bookmarkStart w:id="424" w:name="_Toc503880731"/>
      <w:r>
        <w:rPr>
          <w:rStyle w:val="CharSectno"/>
        </w:rPr>
        <w:t>66</w:t>
      </w:r>
      <w:r>
        <w:rPr>
          <w:snapToGrid w:val="0"/>
        </w:rPr>
        <w:t>.</w:t>
      </w:r>
      <w:r>
        <w:rPr>
          <w:snapToGrid w:val="0"/>
        </w:rPr>
        <w:tab/>
        <w:t>Seconding officers from departments or organisations</w:t>
      </w:r>
      <w:bookmarkEnd w:id="423"/>
      <w:bookmarkEnd w:id="424"/>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425" w:name="_Toc515437087"/>
      <w:bookmarkStart w:id="426" w:name="_Toc503880732"/>
      <w:r>
        <w:rPr>
          <w:rStyle w:val="CharSectno"/>
        </w:rPr>
        <w:t>67</w:t>
      </w:r>
      <w:r>
        <w:rPr>
          <w:snapToGrid w:val="0"/>
        </w:rPr>
        <w:t>.</w:t>
      </w:r>
      <w:r>
        <w:rPr>
          <w:snapToGrid w:val="0"/>
        </w:rPr>
        <w:tab/>
        <w:t>Vacation of offices</w:t>
      </w:r>
      <w:bookmarkEnd w:id="425"/>
      <w:bookmarkEnd w:id="426"/>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w:t>
      </w:r>
      <w:del w:id="427" w:author="svcMRProcess" w:date="2019-05-20T15:05:00Z">
        <w:r>
          <w:delText xml:space="preserve"> by</w:delText>
        </w:r>
      </w:del>
      <w:ins w:id="428" w:author="svcMRProcess" w:date="2019-05-20T15:05:00Z">
        <w:r>
          <w:t>:</w:t>
        </w:r>
      </w:ins>
      <w:r>
        <w:t xml:space="preserve"> No. 39 of 2010 s. 52 and 70; No. 8 of 2014 s. 12.]</w:t>
      </w:r>
    </w:p>
    <w:p>
      <w:pPr>
        <w:pStyle w:val="Heading2"/>
      </w:pPr>
      <w:bookmarkStart w:id="429" w:name="_Toc500422946"/>
      <w:bookmarkStart w:id="430" w:name="_Toc503259330"/>
      <w:bookmarkStart w:id="431" w:name="_Toc503265266"/>
      <w:bookmarkStart w:id="432" w:name="_Toc503880733"/>
      <w:bookmarkStart w:id="433" w:name="_Toc515436259"/>
      <w:bookmarkStart w:id="434" w:name="_Toc515437088"/>
      <w:r>
        <w:rPr>
          <w:rStyle w:val="CharPartNo"/>
        </w:rPr>
        <w:t>Part 4</w:t>
      </w:r>
      <w:r>
        <w:t> — </w:t>
      </w:r>
      <w:r>
        <w:rPr>
          <w:rStyle w:val="CharPartText"/>
        </w:rPr>
        <w:t>Assistance for political office holders</w:t>
      </w:r>
      <w:bookmarkEnd w:id="429"/>
      <w:bookmarkEnd w:id="430"/>
      <w:bookmarkEnd w:id="431"/>
      <w:bookmarkEnd w:id="432"/>
      <w:bookmarkEnd w:id="433"/>
      <w:bookmarkEnd w:id="434"/>
      <w:r>
        <w:rPr>
          <w:rStyle w:val="CharPartText"/>
        </w:rPr>
        <w:t xml:space="preserve"> </w:t>
      </w:r>
    </w:p>
    <w:p>
      <w:pPr>
        <w:pStyle w:val="Heading3"/>
        <w:rPr>
          <w:snapToGrid w:val="0"/>
        </w:rPr>
      </w:pPr>
      <w:bookmarkStart w:id="435" w:name="_Toc500422947"/>
      <w:bookmarkStart w:id="436" w:name="_Toc503259331"/>
      <w:bookmarkStart w:id="437" w:name="_Toc503265267"/>
      <w:bookmarkStart w:id="438" w:name="_Toc503880734"/>
      <w:bookmarkStart w:id="439" w:name="_Toc515436260"/>
      <w:bookmarkStart w:id="440" w:name="_Toc515437089"/>
      <w:r>
        <w:rPr>
          <w:rStyle w:val="CharDivNo"/>
        </w:rPr>
        <w:t>Division 1</w:t>
      </w:r>
      <w:r>
        <w:rPr>
          <w:snapToGrid w:val="0"/>
        </w:rPr>
        <w:t> — </w:t>
      </w:r>
      <w:r>
        <w:rPr>
          <w:rStyle w:val="CharDivText"/>
        </w:rPr>
        <w:t>Ministerial officers</w:t>
      </w:r>
      <w:bookmarkEnd w:id="435"/>
      <w:bookmarkEnd w:id="436"/>
      <w:bookmarkEnd w:id="437"/>
      <w:bookmarkEnd w:id="438"/>
      <w:bookmarkEnd w:id="439"/>
      <w:bookmarkEnd w:id="440"/>
      <w:r>
        <w:rPr>
          <w:rStyle w:val="CharDivText"/>
        </w:rPr>
        <w:t xml:space="preserve"> </w:t>
      </w:r>
    </w:p>
    <w:p>
      <w:pPr>
        <w:pStyle w:val="Heading5"/>
        <w:spacing w:before="180"/>
        <w:rPr>
          <w:snapToGrid w:val="0"/>
        </w:rPr>
      </w:pPr>
      <w:bookmarkStart w:id="441" w:name="_Toc515437090"/>
      <w:bookmarkStart w:id="442" w:name="_Toc503880735"/>
      <w:r>
        <w:rPr>
          <w:rStyle w:val="CharSectno"/>
        </w:rPr>
        <w:t>68</w:t>
      </w:r>
      <w:r>
        <w:rPr>
          <w:snapToGrid w:val="0"/>
        </w:rPr>
        <w:t>.</w:t>
      </w:r>
      <w:r>
        <w:rPr>
          <w:snapToGrid w:val="0"/>
        </w:rPr>
        <w:tab/>
        <w:t>Employing ministerial officers</w:t>
      </w:r>
      <w:bookmarkEnd w:id="441"/>
      <w:bookmarkEnd w:id="442"/>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443" w:name="_Toc515437091"/>
      <w:bookmarkStart w:id="444" w:name="_Toc503880736"/>
      <w:r>
        <w:rPr>
          <w:rStyle w:val="CharSectno"/>
        </w:rPr>
        <w:t>69</w:t>
      </w:r>
      <w:r>
        <w:rPr>
          <w:snapToGrid w:val="0"/>
        </w:rPr>
        <w:t>.</w:t>
      </w:r>
      <w:r>
        <w:rPr>
          <w:snapToGrid w:val="0"/>
        </w:rPr>
        <w:tab/>
        <w:t>Functions of ministerial officers</w:t>
      </w:r>
      <w:bookmarkEnd w:id="443"/>
      <w:bookmarkEnd w:id="444"/>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445" w:name="_Toc515437092"/>
      <w:bookmarkStart w:id="446" w:name="_Toc503880737"/>
      <w:r>
        <w:rPr>
          <w:rStyle w:val="CharSectno"/>
        </w:rPr>
        <w:t>70</w:t>
      </w:r>
      <w:r>
        <w:rPr>
          <w:snapToGrid w:val="0"/>
        </w:rPr>
        <w:t>.</w:t>
      </w:r>
      <w:r>
        <w:rPr>
          <w:snapToGrid w:val="0"/>
        </w:rPr>
        <w:tab/>
        <w:t>Terms and conditions of employment</w:t>
      </w:r>
      <w:bookmarkEnd w:id="445"/>
      <w:bookmarkEnd w:id="446"/>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w:t>
      </w:r>
      <w:del w:id="447" w:author="svcMRProcess" w:date="2019-05-20T15:05:00Z">
        <w:r>
          <w:delText xml:space="preserve"> by</w:delText>
        </w:r>
      </w:del>
      <w:ins w:id="448" w:author="svcMRProcess" w:date="2019-05-20T15:05:00Z">
        <w:r>
          <w:t>:</w:t>
        </w:r>
      </w:ins>
      <w:r>
        <w:t xml:space="preserve"> No. 39 of 2010 s. 53 and 70.]</w:t>
      </w:r>
    </w:p>
    <w:p>
      <w:pPr>
        <w:pStyle w:val="Heading5"/>
        <w:spacing w:before="240"/>
        <w:rPr>
          <w:snapToGrid w:val="0"/>
        </w:rPr>
      </w:pPr>
      <w:bookmarkStart w:id="449" w:name="_Toc515437093"/>
      <w:bookmarkStart w:id="450" w:name="_Toc503880738"/>
      <w:r>
        <w:rPr>
          <w:rStyle w:val="CharSectno"/>
        </w:rPr>
        <w:t>71</w:t>
      </w:r>
      <w:r>
        <w:rPr>
          <w:snapToGrid w:val="0"/>
        </w:rPr>
        <w:t>.</w:t>
      </w:r>
      <w:r>
        <w:rPr>
          <w:snapToGrid w:val="0"/>
        </w:rPr>
        <w:tab/>
        <w:t>Varying contract of employment</w:t>
      </w:r>
      <w:bookmarkEnd w:id="449"/>
      <w:bookmarkEnd w:id="450"/>
      <w:r>
        <w:rPr>
          <w:snapToGrid w:val="0"/>
        </w:rPr>
        <w:t xml:space="preserve"> </w:t>
      </w:r>
    </w:p>
    <w:p>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spacing w:before="240"/>
        <w:rPr>
          <w:snapToGrid w:val="0"/>
        </w:rPr>
      </w:pPr>
      <w:bookmarkStart w:id="451" w:name="_Toc515437094"/>
      <w:bookmarkStart w:id="452" w:name="_Toc503880739"/>
      <w:r>
        <w:rPr>
          <w:rStyle w:val="CharSectno"/>
        </w:rPr>
        <w:t>72</w:t>
      </w:r>
      <w:r>
        <w:rPr>
          <w:snapToGrid w:val="0"/>
        </w:rPr>
        <w:t>.</w:t>
      </w:r>
      <w:r>
        <w:rPr>
          <w:snapToGrid w:val="0"/>
        </w:rPr>
        <w:tab/>
        <w:t>Termination of employment</w:t>
      </w:r>
      <w:bookmarkEnd w:id="451"/>
      <w:bookmarkEnd w:id="452"/>
      <w:r>
        <w:rPr>
          <w:snapToGrid w:val="0"/>
        </w:rPr>
        <w:t xml:space="preserve"> </w:t>
      </w:r>
    </w:p>
    <w:p>
      <w:pPr>
        <w:pStyle w:val="Subsection"/>
        <w:spacing w:before="180"/>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w:t>
      </w:r>
      <w:del w:id="453" w:author="svcMRProcess" w:date="2019-05-20T15:05:00Z">
        <w:r>
          <w:delText xml:space="preserve"> by</w:delText>
        </w:r>
      </w:del>
      <w:ins w:id="454" w:author="svcMRProcess" w:date="2019-05-20T15:05:00Z">
        <w:r>
          <w:t>:</w:t>
        </w:r>
      </w:ins>
      <w:r>
        <w:t xml:space="preserve"> No. 36 of 2000 s. 24.]</w:t>
      </w:r>
    </w:p>
    <w:p>
      <w:pPr>
        <w:pStyle w:val="Heading5"/>
        <w:keepNext w:val="0"/>
        <w:keepLines w:val="0"/>
        <w:spacing w:before="180"/>
        <w:rPr>
          <w:snapToGrid w:val="0"/>
        </w:rPr>
      </w:pPr>
      <w:bookmarkStart w:id="455" w:name="_Toc515437095"/>
      <w:bookmarkStart w:id="456" w:name="_Toc503880740"/>
      <w:r>
        <w:rPr>
          <w:rStyle w:val="CharSectno"/>
        </w:rPr>
        <w:t>73</w:t>
      </w:r>
      <w:r>
        <w:rPr>
          <w:snapToGrid w:val="0"/>
        </w:rPr>
        <w:t>.</w:t>
      </w:r>
      <w:r>
        <w:rPr>
          <w:snapToGrid w:val="0"/>
        </w:rPr>
        <w:tab/>
        <w:t>Restriction on subsequent employment in departments etc.</w:t>
      </w:r>
      <w:bookmarkEnd w:id="455"/>
      <w:bookmarkEnd w:id="456"/>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457" w:name="_Toc515437096"/>
      <w:bookmarkStart w:id="458" w:name="_Toc503880741"/>
      <w:r>
        <w:rPr>
          <w:rStyle w:val="CharSectno"/>
        </w:rPr>
        <w:t>74</w:t>
      </w:r>
      <w:r>
        <w:rPr>
          <w:snapToGrid w:val="0"/>
        </w:rPr>
        <w:t>.</w:t>
      </w:r>
      <w:r>
        <w:rPr>
          <w:snapToGrid w:val="0"/>
        </w:rPr>
        <w:tab/>
        <w:t>Relationship between ministerial officers etc. and employees of departments etc.</w:t>
      </w:r>
      <w:bookmarkEnd w:id="457"/>
      <w:bookmarkEnd w:id="458"/>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w:t>
      </w:r>
      <w:del w:id="459" w:author="svcMRProcess" w:date="2019-05-20T15:05:00Z">
        <w:r>
          <w:delText xml:space="preserve"> by</w:delText>
        </w:r>
      </w:del>
      <w:ins w:id="460" w:author="svcMRProcess" w:date="2019-05-20T15:05:00Z">
        <w:r>
          <w:t>:</w:t>
        </w:r>
      </w:ins>
      <w:r>
        <w:t xml:space="preserve"> No. 39 of 2010 s. 68.]</w:t>
      </w:r>
    </w:p>
    <w:p>
      <w:pPr>
        <w:pStyle w:val="Heading3"/>
        <w:keepNext w:val="0"/>
        <w:pageBreakBefore/>
        <w:spacing w:before="0"/>
        <w:rPr>
          <w:snapToGrid w:val="0"/>
        </w:rPr>
      </w:pPr>
      <w:bookmarkStart w:id="461" w:name="_Toc500422955"/>
      <w:bookmarkStart w:id="462" w:name="_Toc503259339"/>
      <w:bookmarkStart w:id="463" w:name="_Toc503265275"/>
      <w:bookmarkStart w:id="464" w:name="_Toc503880742"/>
      <w:bookmarkStart w:id="465" w:name="_Toc515436268"/>
      <w:bookmarkStart w:id="466" w:name="_Toc515437097"/>
      <w:r>
        <w:rPr>
          <w:rStyle w:val="CharDivNo"/>
        </w:rPr>
        <w:t>Division 2</w:t>
      </w:r>
      <w:r>
        <w:rPr>
          <w:snapToGrid w:val="0"/>
        </w:rPr>
        <w:t> — </w:t>
      </w:r>
      <w:r>
        <w:rPr>
          <w:rStyle w:val="CharDivText"/>
        </w:rPr>
        <w:t>Assistance by permanent officers and seconded employees</w:t>
      </w:r>
      <w:bookmarkEnd w:id="461"/>
      <w:bookmarkEnd w:id="462"/>
      <w:bookmarkEnd w:id="463"/>
      <w:bookmarkEnd w:id="464"/>
      <w:bookmarkEnd w:id="465"/>
      <w:bookmarkEnd w:id="466"/>
      <w:r>
        <w:rPr>
          <w:rStyle w:val="CharDivText"/>
        </w:rPr>
        <w:t xml:space="preserve"> </w:t>
      </w:r>
    </w:p>
    <w:p>
      <w:pPr>
        <w:pStyle w:val="Heading5"/>
        <w:keepLines w:val="0"/>
        <w:spacing w:before="240"/>
        <w:rPr>
          <w:snapToGrid w:val="0"/>
        </w:rPr>
      </w:pPr>
      <w:bookmarkStart w:id="467" w:name="_Toc515437098"/>
      <w:bookmarkStart w:id="468" w:name="_Toc503880743"/>
      <w:r>
        <w:rPr>
          <w:rStyle w:val="CharSectno"/>
        </w:rPr>
        <w:t>75</w:t>
      </w:r>
      <w:r>
        <w:rPr>
          <w:snapToGrid w:val="0"/>
        </w:rPr>
        <w:t>.</w:t>
      </w:r>
      <w:r>
        <w:rPr>
          <w:snapToGrid w:val="0"/>
        </w:rPr>
        <w:tab/>
        <w:t>Special offices to assist Ministers etc.</w:t>
      </w:r>
      <w:bookmarkEnd w:id="467"/>
      <w:bookmarkEnd w:id="468"/>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w:t>
      </w:r>
      <w:del w:id="469" w:author="svcMRProcess" w:date="2019-05-20T15:05:00Z">
        <w:r>
          <w:delText xml:space="preserve"> by</w:delText>
        </w:r>
      </w:del>
      <w:ins w:id="470" w:author="svcMRProcess" w:date="2019-05-20T15:05:00Z">
        <w:r>
          <w:t>:</w:t>
        </w:r>
      </w:ins>
      <w:r>
        <w:t xml:space="preserve"> No. 39 of 2010 s. 54.]</w:t>
      </w:r>
    </w:p>
    <w:p>
      <w:pPr>
        <w:pStyle w:val="Heading2"/>
      </w:pPr>
      <w:bookmarkStart w:id="471" w:name="_Toc500422957"/>
      <w:bookmarkStart w:id="472" w:name="_Toc503259341"/>
      <w:bookmarkStart w:id="473" w:name="_Toc503265277"/>
      <w:bookmarkStart w:id="474" w:name="_Toc503880744"/>
      <w:bookmarkStart w:id="475" w:name="_Toc515436270"/>
      <w:bookmarkStart w:id="476" w:name="_Toc515437099"/>
      <w:r>
        <w:rPr>
          <w:rStyle w:val="CharPartNo"/>
        </w:rPr>
        <w:t>Part 5</w:t>
      </w:r>
      <w:r>
        <w:t> — </w:t>
      </w:r>
      <w:r>
        <w:rPr>
          <w:rStyle w:val="CharPartText"/>
        </w:rPr>
        <w:t>Substandard performance and disciplinary matters</w:t>
      </w:r>
      <w:bookmarkEnd w:id="471"/>
      <w:bookmarkEnd w:id="472"/>
      <w:bookmarkEnd w:id="473"/>
      <w:bookmarkEnd w:id="474"/>
      <w:bookmarkEnd w:id="475"/>
      <w:bookmarkEnd w:id="476"/>
      <w:r>
        <w:rPr>
          <w:rStyle w:val="CharPartText"/>
        </w:rPr>
        <w:t xml:space="preserve"> </w:t>
      </w:r>
    </w:p>
    <w:p>
      <w:pPr>
        <w:pStyle w:val="Heading3"/>
        <w:spacing w:before="200"/>
        <w:rPr>
          <w:snapToGrid w:val="0"/>
        </w:rPr>
      </w:pPr>
      <w:bookmarkStart w:id="477" w:name="_Toc500422958"/>
      <w:bookmarkStart w:id="478" w:name="_Toc503259342"/>
      <w:bookmarkStart w:id="479" w:name="_Toc503265278"/>
      <w:bookmarkStart w:id="480" w:name="_Toc503880745"/>
      <w:bookmarkStart w:id="481" w:name="_Toc515436271"/>
      <w:bookmarkStart w:id="482" w:name="_Toc515437100"/>
      <w:r>
        <w:rPr>
          <w:rStyle w:val="CharDivNo"/>
        </w:rPr>
        <w:t>Division 1</w:t>
      </w:r>
      <w:r>
        <w:rPr>
          <w:snapToGrid w:val="0"/>
        </w:rPr>
        <w:t> — </w:t>
      </w:r>
      <w:r>
        <w:rPr>
          <w:rStyle w:val="CharDivText"/>
        </w:rPr>
        <w:t>General</w:t>
      </w:r>
      <w:bookmarkEnd w:id="477"/>
      <w:bookmarkEnd w:id="478"/>
      <w:bookmarkEnd w:id="479"/>
      <w:bookmarkEnd w:id="480"/>
      <w:bookmarkEnd w:id="481"/>
      <w:bookmarkEnd w:id="482"/>
      <w:r>
        <w:rPr>
          <w:rStyle w:val="CharDivText"/>
        </w:rPr>
        <w:t xml:space="preserve"> </w:t>
      </w:r>
    </w:p>
    <w:p>
      <w:pPr>
        <w:pStyle w:val="Heading5"/>
        <w:spacing w:before="180"/>
        <w:rPr>
          <w:snapToGrid w:val="0"/>
        </w:rPr>
      </w:pPr>
      <w:bookmarkStart w:id="483" w:name="_Toc515437101"/>
      <w:bookmarkStart w:id="484" w:name="_Toc503880746"/>
      <w:r>
        <w:rPr>
          <w:rStyle w:val="CharSectno"/>
        </w:rPr>
        <w:t>76</w:t>
      </w:r>
      <w:r>
        <w:rPr>
          <w:snapToGrid w:val="0"/>
        </w:rPr>
        <w:t>.</w:t>
      </w:r>
      <w:r>
        <w:rPr>
          <w:snapToGrid w:val="0"/>
        </w:rPr>
        <w:tab/>
        <w:t>Application and effect of Part 5</w:t>
      </w:r>
      <w:bookmarkEnd w:id="483"/>
      <w:bookmarkEnd w:id="484"/>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spacing w:before="120"/>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spacing w:before="120"/>
        <w:rPr>
          <w:snapToGrid w:val="0"/>
        </w:rPr>
      </w:pPr>
      <w:r>
        <w:rPr>
          <w:snapToGrid w:val="0"/>
        </w:rPr>
        <w:tab/>
      </w:r>
      <w:r>
        <w:rPr>
          <w:snapToGrid w:val="0"/>
        </w:rPr>
        <w:tab/>
        <w:t>prescribed under subsection (1)(b), this Part prevails.</w:t>
      </w:r>
    </w:p>
    <w:p>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w:t>
      </w:r>
      <w:del w:id="485" w:author="svcMRProcess" w:date="2019-05-20T15:05:00Z">
        <w:r>
          <w:delText xml:space="preserve"> by</w:delText>
        </w:r>
      </w:del>
      <w:ins w:id="486" w:author="svcMRProcess" w:date="2019-05-20T15:05:00Z">
        <w:r>
          <w:t>:</w:t>
        </w:r>
      </w:ins>
      <w:r>
        <w:t xml:space="preserve"> No. 39 of 2010 s. 94.]</w:t>
      </w:r>
    </w:p>
    <w:p>
      <w:pPr>
        <w:pStyle w:val="Heading5"/>
        <w:keepNext w:val="0"/>
        <w:keepLines w:val="0"/>
        <w:spacing w:before="240"/>
        <w:rPr>
          <w:snapToGrid w:val="0"/>
        </w:rPr>
      </w:pPr>
      <w:bookmarkStart w:id="487" w:name="_Toc515437102"/>
      <w:bookmarkStart w:id="488" w:name="_Toc503880747"/>
      <w:r>
        <w:rPr>
          <w:rStyle w:val="CharSectno"/>
        </w:rPr>
        <w:t>77</w:t>
      </w:r>
      <w:r>
        <w:rPr>
          <w:snapToGrid w:val="0"/>
        </w:rPr>
        <w:t>.</w:t>
      </w:r>
      <w:r>
        <w:rPr>
          <w:snapToGrid w:val="0"/>
        </w:rPr>
        <w:tab/>
        <w:t>Employees appointed by Governor, exercise of powers as to</w:t>
      </w:r>
      <w:bookmarkEnd w:id="487"/>
      <w:bookmarkEnd w:id="488"/>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w:t>
      </w:r>
      <w:del w:id="489" w:author="svcMRProcess" w:date="2019-05-20T15:05:00Z">
        <w:r>
          <w:delText xml:space="preserve"> by</w:delText>
        </w:r>
      </w:del>
      <w:ins w:id="490" w:author="svcMRProcess" w:date="2019-05-20T15:05:00Z">
        <w:r>
          <w:t>:</w:t>
        </w:r>
      </w:ins>
      <w:r>
        <w:t xml:space="preserve"> No. 39 of 2010 s. 67 and 68.]</w:t>
      </w:r>
    </w:p>
    <w:p>
      <w:pPr>
        <w:pStyle w:val="Heading5"/>
        <w:rPr>
          <w:snapToGrid w:val="0"/>
        </w:rPr>
      </w:pPr>
      <w:bookmarkStart w:id="491" w:name="_Toc515437103"/>
      <w:bookmarkStart w:id="492" w:name="_Toc503880748"/>
      <w:r>
        <w:rPr>
          <w:rStyle w:val="CharSectno"/>
        </w:rPr>
        <w:t>78</w:t>
      </w:r>
      <w:r>
        <w:rPr>
          <w:snapToGrid w:val="0"/>
        </w:rPr>
        <w:t>.</w:t>
      </w:r>
      <w:r>
        <w:rPr>
          <w:snapToGrid w:val="0"/>
        </w:rPr>
        <w:tab/>
        <w:t>Appeals etc. against some decisions under s. 79, 82A, 82, 87, 88 or 92</w:t>
      </w:r>
      <w:bookmarkEnd w:id="491"/>
      <w:bookmarkEnd w:id="492"/>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keepLines/>
      </w:pPr>
      <w:r>
        <w:tab/>
        <w:t>(ii)</w:t>
      </w:r>
      <w:r>
        <w:tab/>
        <w:t>a finding made in respect of the person referred to in section 82A(3)(a), 87(3)(a)(i) or 88(a),</w:t>
      </w:r>
    </w:p>
    <w:p>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w:t>
      </w:r>
      <w:del w:id="493" w:author="svcMRProcess" w:date="2019-05-20T15:05:00Z">
        <w:r>
          <w:delText xml:space="preserve"> by</w:delText>
        </w:r>
      </w:del>
      <w:ins w:id="494" w:author="svcMRProcess" w:date="2019-05-20T15:05:00Z">
        <w:r>
          <w:t>:</w:t>
        </w:r>
      </w:ins>
      <w:r>
        <w:t xml:space="preserve"> No. 39 of 2010 s. 95.]</w:t>
      </w:r>
    </w:p>
    <w:p>
      <w:pPr>
        <w:pStyle w:val="Heading3"/>
        <w:spacing w:before="200"/>
        <w:rPr>
          <w:snapToGrid w:val="0"/>
        </w:rPr>
      </w:pPr>
      <w:bookmarkStart w:id="495" w:name="_Toc500422962"/>
      <w:bookmarkStart w:id="496" w:name="_Toc503259346"/>
      <w:bookmarkStart w:id="497" w:name="_Toc503265282"/>
      <w:bookmarkStart w:id="498" w:name="_Toc503880749"/>
      <w:bookmarkStart w:id="499" w:name="_Toc515436275"/>
      <w:bookmarkStart w:id="500" w:name="_Toc515437104"/>
      <w:r>
        <w:rPr>
          <w:rStyle w:val="CharDivNo"/>
        </w:rPr>
        <w:t>Division 2</w:t>
      </w:r>
      <w:r>
        <w:rPr>
          <w:snapToGrid w:val="0"/>
        </w:rPr>
        <w:t> — </w:t>
      </w:r>
      <w:r>
        <w:rPr>
          <w:rStyle w:val="CharDivText"/>
        </w:rPr>
        <w:t>Substandard performance</w:t>
      </w:r>
      <w:bookmarkEnd w:id="495"/>
      <w:bookmarkEnd w:id="496"/>
      <w:bookmarkEnd w:id="497"/>
      <w:bookmarkEnd w:id="498"/>
      <w:bookmarkEnd w:id="499"/>
      <w:bookmarkEnd w:id="500"/>
      <w:r>
        <w:rPr>
          <w:rStyle w:val="CharDivText"/>
        </w:rPr>
        <w:t xml:space="preserve"> </w:t>
      </w:r>
    </w:p>
    <w:p>
      <w:pPr>
        <w:pStyle w:val="Heading5"/>
        <w:spacing w:before="180"/>
        <w:rPr>
          <w:snapToGrid w:val="0"/>
        </w:rPr>
      </w:pPr>
      <w:bookmarkStart w:id="501" w:name="_Toc515437105"/>
      <w:bookmarkStart w:id="502" w:name="_Toc503880750"/>
      <w:r>
        <w:rPr>
          <w:rStyle w:val="CharSectno"/>
        </w:rPr>
        <w:t>79</w:t>
      </w:r>
      <w:r>
        <w:rPr>
          <w:snapToGrid w:val="0"/>
        </w:rPr>
        <w:t>.</w:t>
      </w:r>
      <w:r>
        <w:rPr>
          <w:snapToGrid w:val="0"/>
        </w:rPr>
        <w:tab/>
        <w:t>Substandard performance, definition of and powers as to</w:t>
      </w:r>
      <w:bookmarkEnd w:id="501"/>
      <w:bookmarkEnd w:id="502"/>
    </w:p>
    <w:p>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spacing w:before="60"/>
        <w:rPr>
          <w:snapToGrid w:val="0"/>
        </w:rPr>
      </w:pPr>
      <w:r>
        <w:rPr>
          <w:snapToGrid w:val="0"/>
        </w:rPr>
        <w:tab/>
        <w:t>(b)</w:t>
      </w:r>
      <w:r>
        <w:rPr>
          <w:snapToGrid w:val="0"/>
        </w:rPr>
        <w:tab/>
        <w:t>reduce the level of classification of that employee; or</w:t>
      </w:r>
    </w:p>
    <w:p>
      <w:pPr>
        <w:pStyle w:val="Indenta"/>
        <w:spacing w:before="60"/>
        <w:rPr>
          <w:snapToGrid w:val="0"/>
        </w:rPr>
      </w:pPr>
      <w:r>
        <w:rPr>
          <w:snapToGrid w:val="0"/>
        </w:rPr>
        <w:tab/>
        <w:t>(c)</w:t>
      </w:r>
      <w:r>
        <w:rPr>
          <w:snapToGrid w:val="0"/>
        </w:rPr>
        <w:tab/>
        <w:t>terminate the employment in the Public Sector of that employee.</w:t>
      </w:r>
    </w:p>
    <w:p>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spacing w:before="60"/>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ind w:left="890" w:hanging="890"/>
      </w:pPr>
      <w:r>
        <w:tab/>
        <w:t>[Section 79 amended</w:t>
      </w:r>
      <w:del w:id="503" w:author="svcMRProcess" w:date="2019-05-20T15:05:00Z">
        <w:r>
          <w:delText xml:space="preserve"> by</w:delText>
        </w:r>
      </w:del>
      <w:ins w:id="504" w:author="svcMRProcess" w:date="2019-05-20T15:05:00Z">
        <w:r>
          <w:t>:</w:t>
        </w:r>
      </w:ins>
      <w:r>
        <w:t xml:space="preserve"> No. 39 of 2010 s. 55 and 68.]</w:t>
      </w:r>
    </w:p>
    <w:p>
      <w:pPr>
        <w:pStyle w:val="Heading3"/>
        <w:keepLines/>
        <w:tabs>
          <w:tab w:val="left" w:pos="1560"/>
        </w:tabs>
        <w:rPr>
          <w:snapToGrid w:val="0"/>
        </w:rPr>
      </w:pPr>
      <w:bookmarkStart w:id="505" w:name="_Toc500422964"/>
      <w:bookmarkStart w:id="506" w:name="_Toc503259348"/>
      <w:bookmarkStart w:id="507" w:name="_Toc503265284"/>
      <w:bookmarkStart w:id="508" w:name="_Toc503880751"/>
      <w:bookmarkStart w:id="509" w:name="_Toc515436277"/>
      <w:bookmarkStart w:id="510" w:name="_Toc515437106"/>
      <w:r>
        <w:rPr>
          <w:rStyle w:val="CharDivNo"/>
        </w:rPr>
        <w:t>Division 3</w:t>
      </w:r>
      <w:r>
        <w:rPr>
          <w:snapToGrid w:val="0"/>
        </w:rPr>
        <w:t> — </w:t>
      </w:r>
      <w:r>
        <w:rPr>
          <w:rStyle w:val="CharDivText"/>
        </w:rPr>
        <w:t>Disciplinary matters</w:t>
      </w:r>
      <w:bookmarkEnd w:id="505"/>
      <w:bookmarkEnd w:id="506"/>
      <w:bookmarkEnd w:id="507"/>
      <w:bookmarkEnd w:id="508"/>
      <w:bookmarkEnd w:id="509"/>
      <w:bookmarkEnd w:id="510"/>
      <w:r>
        <w:rPr>
          <w:rStyle w:val="CharDivText"/>
        </w:rPr>
        <w:t xml:space="preserve"> </w:t>
      </w:r>
    </w:p>
    <w:p>
      <w:pPr>
        <w:pStyle w:val="Heading5"/>
      </w:pPr>
      <w:bookmarkStart w:id="511" w:name="_Toc515437107"/>
      <w:bookmarkStart w:id="512" w:name="_Toc503880752"/>
      <w:r>
        <w:rPr>
          <w:rStyle w:val="CharSectno"/>
        </w:rPr>
        <w:t>80A</w:t>
      </w:r>
      <w:r>
        <w:t>.</w:t>
      </w:r>
      <w:r>
        <w:tab/>
        <w:t>Terms used</w:t>
      </w:r>
      <w:bookmarkEnd w:id="511"/>
      <w:bookmarkEnd w:id="512"/>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w:t>
      </w:r>
      <w:del w:id="513" w:author="svcMRProcess" w:date="2019-05-20T15:05:00Z">
        <w:r>
          <w:delText xml:space="preserve"> by</w:delText>
        </w:r>
      </w:del>
      <w:ins w:id="514" w:author="svcMRProcess" w:date="2019-05-20T15:05:00Z">
        <w:r>
          <w:t>:</w:t>
        </w:r>
      </w:ins>
      <w:r>
        <w:t xml:space="preserve"> No. 39 of 2010 s. 96.]</w:t>
      </w:r>
    </w:p>
    <w:p>
      <w:pPr>
        <w:pStyle w:val="Heading5"/>
        <w:rPr>
          <w:snapToGrid w:val="0"/>
        </w:rPr>
      </w:pPr>
      <w:bookmarkStart w:id="515" w:name="_Toc515437108"/>
      <w:bookmarkStart w:id="516" w:name="_Toc503880753"/>
      <w:r>
        <w:rPr>
          <w:rStyle w:val="CharSectno"/>
        </w:rPr>
        <w:t>80</w:t>
      </w:r>
      <w:r>
        <w:rPr>
          <w:snapToGrid w:val="0"/>
        </w:rPr>
        <w:t>.</w:t>
      </w:r>
      <w:r>
        <w:rPr>
          <w:snapToGrid w:val="0"/>
        </w:rPr>
        <w:tab/>
        <w:t>Breaches of discipline, defined</w:t>
      </w:r>
      <w:bookmarkEnd w:id="515"/>
      <w:bookmarkEnd w:id="516"/>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w:t>
      </w:r>
      <w:del w:id="517" w:author="svcMRProcess" w:date="2019-05-20T15:05:00Z">
        <w:r>
          <w:delText xml:space="preserve"> by</w:delText>
        </w:r>
      </w:del>
      <w:ins w:id="518" w:author="svcMRProcess" w:date="2019-05-20T15:05:00Z">
        <w:r>
          <w:t>:</w:t>
        </w:r>
      </w:ins>
      <w:r>
        <w:t xml:space="preserve"> No. 29 of 2003 s. 28.]</w:t>
      </w:r>
    </w:p>
    <w:p>
      <w:pPr>
        <w:pStyle w:val="Heading5"/>
        <w:spacing w:before="240"/>
      </w:pPr>
      <w:bookmarkStart w:id="519" w:name="_Toc515437109"/>
      <w:bookmarkStart w:id="520" w:name="_Toc503880754"/>
      <w:r>
        <w:rPr>
          <w:rStyle w:val="CharSectno"/>
        </w:rPr>
        <w:t>81</w:t>
      </w:r>
      <w:r>
        <w:t>.</w:t>
      </w:r>
      <w:r>
        <w:tab/>
        <w:t>Suspected breach of discipline, employing authority’s options as to</w:t>
      </w:r>
      <w:bookmarkEnd w:id="519"/>
      <w:bookmarkEnd w:id="520"/>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w:t>
      </w:r>
      <w:del w:id="521" w:author="svcMRProcess" w:date="2019-05-20T15:05:00Z">
        <w:r>
          <w:delText xml:space="preserve"> by</w:delText>
        </w:r>
      </w:del>
      <w:ins w:id="522" w:author="svcMRProcess" w:date="2019-05-20T15:05:00Z">
        <w:r>
          <w:t>:</w:t>
        </w:r>
      </w:ins>
      <w:r>
        <w:t xml:space="preserve"> No. 39 of 2010 s. 97.]</w:t>
      </w:r>
    </w:p>
    <w:p>
      <w:pPr>
        <w:pStyle w:val="Heading5"/>
      </w:pPr>
      <w:bookmarkStart w:id="523" w:name="_Toc515437110"/>
      <w:bookmarkStart w:id="524" w:name="_Toc503880755"/>
      <w:r>
        <w:rPr>
          <w:rStyle w:val="CharSectno"/>
        </w:rPr>
        <w:t>82A</w:t>
      </w:r>
      <w:r>
        <w:t>.</w:t>
      </w:r>
      <w:r>
        <w:tab/>
        <w:t>Disciplinary matters, dealing with</w:t>
      </w:r>
      <w:bookmarkEnd w:id="523"/>
      <w:bookmarkEnd w:id="524"/>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ind w:left="890" w:hanging="890"/>
      </w:pPr>
      <w:r>
        <w:tab/>
        <w:t>[Section 82A inserted</w:t>
      </w:r>
      <w:del w:id="525" w:author="svcMRProcess" w:date="2019-05-20T15:05:00Z">
        <w:r>
          <w:delText xml:space="preserve"> by</w:delText>
        </w:r>
      </w:del>
      <w:ins w:id="526" w:author="svcMRProcess" w:date="2019-05-20T15:05:00Z">
        <w:r>
          <w:t>:</w:t>
        </w:r>
      </w:ins>
      <w:r>
        <w:t xml:space="preserve"> No. 39 of 2010 s. 97.]</w:t>
      </w:r>
    </w:p>
    <w:p>
      <w:pPr>
        <w:pStyle w:val="Heading5"/>
        <w:spacing w:before="180"/>
      </w:pPr>
      <w:bookmarkStart w:id="527" w:name="_Toc515437111"/>
      <w:bookmarkStart w:id="528" w:name="_Toc503880756"/>
      <w:r>
        <w:rPr>
          <w:rStyle w:val="CharSectno"/>
        </w:rPr>
        <w:t>82</w:t>
      </w:r>
      <w:r>
        <w:t>.</w:t>
      </w:r>
      <w:r>
        <w:tab/>
        <w:t>Suspending employee pending decision on breach of discipline or criminal charge</w:t>
      </w:r>
      <w:bookmarkEnd w:id="527"/>
      <w:bookmarkEnd w:id="528"/>
    </w:p>
    <w:p>
      <w:pPr>
        <w:pStyle w:val="Subsection"/>
      </w:pPr>
      <w:r>
        <w:tab/>
        <w:t>(1)</w:t>
      </w:r>
      <w:r>
        <w:tab/>
        <w:t xml:space="preserve">If — </w:t>
      </w:r>
    </w:p>
    <w:p>
      <w:pPr>
        <w:pStyle w:val="Indenta"/>
      </w:pPr>
      <w:r>
        <w:tab/>
        <w:t>(a)</w:t>
      </w:r>
      <w:r>
        <w:tab/>
        <w:t>an employing authority has decided to act under section 81(1)(a) in relation to an employee; or</w:t>
      </w:r>
    </w:p>
    <w:p>
      <w:pPr>
        <w:pStyle w:val="Indenta"/>
      </w:pPr>
      <w:r>
        <w:tab/>
        <w:t>(b)</w:t>
      </w:r>
      <w:r>
        <w:tab/>
        <w:t>an employee is charged with having committed a serious offence,</w:t>
      </w:r>
    </w:p>
    <w:p>
      <w:pPr>
        <w:pStyle w:val="Subsection"/>
      </w:pPr>
      <w:r>
        <w:tab/>
      </w:r>
      <w:r>
        <w:tab/>
        <w:t>the employing authority may, in accordance with the Commissioner’s instructions, suspend the employee on full pay, partial pay or without pay.</w:t>
      </w:r>
    </w:p>
    <w:p>
      <w:pPr>
        <w:pStyle w:val="Subsection"/>
      </w:pPr>
      <w:r>
        <w:tab/>
        <w:t>(2)</w:t>
      </w:r>
      <w:r>
        <w:tab/>
        <w:t xml:space="preserve">Subject to subsection (3) — </w:t>
      </w:r>
    </w:p>
    <w:p>
      <w:pPr>
        <w:pStyle w:val="Indenta"/>
      </w:pPr>
      <w:r>
        <w:tab/>
        <w:t>(a)</w:t>
      </w:r>
      <w:r>
        <w:tab/>
        <w:t>a suspension arising from a decision referred to in subsection (1)(a) has effect until a decision is made under section 82A(2) or (3) or 88 in respect of the suspected breach; or</w:t>
      </w:r>
    </w:p>
    <w:p>
      <w:pPr>
        <w:pStyle w:val="Indenta"/>
      </w:pPr>
      <w:r>
        <w:tab/>
        <w:t>(b)</w:t>
      </w:r>
      <w:r>
        <w:tab/>
        <w:t>a suspension arising from a charge referred to in subsection (1)(b) has effect until the criminal charge or any action that the employing authority is considering taking under section 92 has been finalised.</w:t>
      </w:r>
    </w:p>
    <w:p>
      <w:pPr>
        <w:pStyle w:val="Subsection"/>
      </w:pPr>
      <w:r>
        <w:tab/>
        <w:t>(3)</w:t>
      </w:r>
      <w:r>
        <w:tab/>
        <w:t>The employing authority may at any time remove, or vary the terms of, the suspension.</w:t>
      </w:r>
    </w:p>
    <w:p>
      <w:pPr>
        <w:pStyle w:val="Subsection"/>
      </w:pPr>
      <w:r>
        <w:tab/>
        <w:t>(4)</w:t>
      </w:r>
      <w:r>
        <w:tab/>
        <w:t xml:space="preserve">Unless the employing authority otherwise directs, any pay withheld under subsection (1) is forfeited to the State if — </w:t>
      </w:r>
    </w:p>
    <w:p>
      <w:pPr>
        <w:pStyle w:val="Indenta"/>
      </w:pPr>
      <w:r>
        <w:tab/>
        <w:t>(a)</w:t>
      </w:r>
      <w:r>
        <w:tab/>
        <w:t>it is decided to take disciplinary action with respect to the employee for the breach of discipline; or</w:t>
      </w:r>
    </w:p>
    <w:p>
      <w:pPr>
        <w:pStyle w:val="Indenta"/>
      </w:pPr>
      <w:r>
        <w:tab/>
        <w:t>(b)</w:t>
      </w:r>
      <w:r>
        <w:tab/>
        <w:t>the employee is convicted or found guilty of the offence concerned or another serious offence.</w:t>
      </w:r>
    </w:p>
    <w:p>
      <w:pPr>
        <w:pStyle w:val="Subsection"/>
      </w:pPr>
      <w:r>
        <w:tab/>
        <w:t>(5)</w:t>
      </w:r>
      <w:r>
        <w:tab/>
        <w:t>An employee is entitled to have any pay of the employee that is withheld under subsection (1) and not forfeited under subsection (4) restored to the employee.</w:t>
      </w:r>
    </w:p>
    <w:p>
      <w:pPr>
        <w:pStyle w:val="Footnotesection"/>
      </w:pPr>
      <w:r>
        <w:tab/>
        <w:t>[Section 82 inserted</w:t>
      </w:r>
      <w:del w:id="529" w:author="svcMRProcess" w:date="2019-05-20T15:05:00Z">
        <w:r>
          <w:delText xml:space="preserve"> by</w:delText>
        </w:r>
      </w:del>
      <w:ins w:id="530" w:author="svcMRProcess" w:date="2019-05-20T15:05:00Z">
        <w:r>
          <w:t>:</w:t>
        </w:r>
      </w:ins>
      <w:r>
        <w:t xml:space="preserve"> No. 39 of 2010 s. 98.]</w:t>
      </w:r>
    </w:p>
    <w:p>
      <w:pPr>
        <w:pStyle w:val="Footnotesection"/>
        <w:spacing w:before="240"/>
        <w:ind w:left="890" w:hanging="890"/>
      </w:pPr>
      <w:r>
        <w:t>[</w:t>
      </w:r>
      <w:r>
        <w:rPr>
          <w:b/>
        </w:rPr>
        <w:t>83</w:t>
      </w:r>
      <w:r>
        <w:rPr>
          <w:b/>
        </w:rPr>
        <w:noBreakHyphen/>
        <w:t>86.</w:t>
      </w:r>
      <w:r>
        <w:tab/>
        <w:t>Deleted</w:t>
      </w:r>
      <w:del w:id="531" w:author="svcMRProcess" w:date="2019-05-20T15:05:00Z">
        <w:r>
          <w:delText xml:space="preserve"> by</w:delText>
        </w:r>
      </w:del>
      <w:ins w:id="532" w:author="svcMRProcess" w:date="2019-05-20T15:05:00Z">
        <w:r>
          <w:t>:</w:t>
        </w:r>
      </w:ins>
      <w:r>
        <w:t xml:space="preserve"> No. 39 of 2010 s. 99.] </w:t>
      </w:r>
    </w:p>
    <w:p>
      <w:pPr>
        <w:pStyle w:val="Heading5"/>
        <w:spacing w:before="240"/>
        <w:rPr>
          <w:snapToGrid w:val="0"/>
        </w:rPr>
      </w:pPr>
      <w:bookmarkStart w:id="533" w:name="_Toc515437112"/>
      <w:bookmarkStart w:id="534" w:name="_Toc503880757"/>
      <w:r>
        <w:rPr>
          <w:rStyle w:val="CharSectno"/>
        </w:rPr>
        <w:t>87</w:t>
      </w:r>
      <w:r>
        <w:rPr>
          <w:snapToGrid w:val="0"/>
        </w:rPr>
        <w:t>.</w:t>
      </w:r>
      <w:r>
        <w:rPr>
          <w:snapToGrid w:val="0"/>
        </w:rPr>
        <w:tab/>
        <w:t>Special disciplinary inquiries</w:t>
      </w:r>
      <w:bookmarkEnd w:id="533"/>
      <w:bookmarkEnd w:id="534"/>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w:t>
      </w:r>
      <w:del w:id="535" w:author="svcMRProcess" w:date="2019-05-20T15:05:00Z">
        <w:r>
          <w:delText xml:space="preserve"> by</w:delText>
        </w:r>
      </w:del>
      <w:ins w:id="536" w:author="svcMRProcess" w:date="2019-05-20T15:05:00Z">
        <w:r>
          <w:t>:</w:t>
        </w:r>
      </w:ins>
      <w:r>
        <w:t xml:space="preserve"> No. 39 of 2010 s. 69 and 100.]</w:t>
      </w:r>
    </w:p>
    <w:p>
      <w:pPr>
        <w:pStyle w:val="Heading5"/>
        <w:keepNext w:val="0"/>
        <w:keepLines w:val="0"/>
        <w:pageBreakBefore/>
        <w:widowControl w:val="0"/>
        <w:spacing w:before="0"/>
      </w:pPr>
      <w:bookmarkStart w:id="537" w:name="_Toc515437113"/>
      <w:bookmarkStart w:id="538" w:name="_Toc503880758"/>
      <w:r>
        <w:rPr>
          <w:rStyle w:val="CharSectno"/>
        </w:rPr>
        <w:t>88</w:t>
      </w:r>
      <w:r>
        <w:t>.</w:t>
      </w:r>
      <w:r>
        <w:tab/>
        <w:t>Report of special disciplinary inquiry, consequences of</w:t>
      </w:r>
      <w:bookmarkEnd w:id="537"/>
      <w:bookmarkEnd w:id="538"/>
    </w:p>
    <w:p>
      <w:pPr>
        <w:pStyle w:val="Subsection"/>
        <w:spacing w:before="120"/>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w:t>
      </w:r>
      <w:del w:id="539" w:author="svcMRProcess" w:date="2019-05-20T15:05:00Z">
        <w:r>
          <w:delText xml:space="preserve"> by</w:delText>
        </w:r>
      </w:del>
      <w:ins w:id="540" w:author="svcMRProcess" w:date="2019-05-20T15:05:00Z">
        <w:r>
          <w:t>:</w:t>
        </w:r>
      </w:ins>
      <w:r>
        <w:t xml:space="preserve"> No. 39 of 2010 s. 101.]</w:t>
      </w:r>
    </w:p>
    <w:p>
      <w:pPr>
        <w:pStyle w:val="Heading5"/>
      </w:pPr>
      <w:bookmarkStart w:id="541" w:name="_Toc515437114"/>
      <w:bookmarkStart w:id="542" w:name="_Toc503880759"/>
      <w:r>
        <w:rPr>
          <w:rStyle w:val="CharSectno"/>
        </w:rPr>
        <w:t>89</w:t>
      </w:r>
      <w:r>
        <w:t>.</w:t>
      </w:r>
      <w:r>
        <w:tab/>
        <w:t>Dismissal of CEO for breach of discipline</w:t>
      </w:r>
      <w:bookmarkEnd w:id="541"/>
      <w:bookmarkEnd w:id="542"/>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w:t>
      </w:r>
      <w:del w:id="543" w:author="svcMRProcess" w:date="2019-05-20T15:05:00Z">
        <w:r>
          <w:delText xml:space="preserve"> by</w:delText>
        </w:r>
      </w:del>
      <w:ins w:id="544" w:author="svcMRProcess" w:date="2019-05-20T15:05:00Z">
        <w:r>
          <w:t>:</w:t>
        </w:r>
      </w:ins>
      <w:r>
        <w:t xml:space="preserve"> No. 39 of 2010 s. 102.]</w:t>
      </w:r>
    </w:p>
    <w:p>
      <w:pPr>
        <w:pStyle w:val="Heading5"/>
        <w:rPr>
          <w:snapToGrid w:val="0"/>
        </w:rPr>
      </w:pPr>
      <w:bookmarkStart w:id="545" w:name="_Toc515437115"/>
      <w:bookmarkStart w:id="546" w:name="_Toc503880760"/>
      <w:r>
        <w:rPr>
          <w:rStyle w:val="CharSectno"/>
        </w:rPr>
        <w:t>90</w:t>
      </w:r>
      <w:r>
        <w:rPr>
          <w:snapToGrid w:val="0"/>
        </w:rPr>
        <w:t>.</w:t>
      </w:r>
      <w:r>
        <w:rPr>
          <w:snapToGrid w:val="0"/>
        </w:rPr>
        <w:tab/>
        <w:t>Employing authority to notify employee of outcome of disciplinary matter</w:t>
      </w:r>
      <w:bookmarkEnd w:id="545"/>
      <w:bookmarkEnd w:id="546"/>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w:t>
      </w:r>
      <w:del w:id="547" w:author="svcMRProcess" w:date="2019-05-20T15:05:00Z">
        <w:r>
          <w:delText xml:space="preserve"> by</w:delText>
        </w:r>
      </w:del>
      <w:ins w:id="548" w:author="svcMRProcess" w:date="2019-05-20T15:05:00Z">
        <w:r>
          <w:t>:</w:t>
        </w:r>
      </w:ins>
      <w:r>
        <w:t xml:space="preserve"> No. 39 of 2010 s. 103.]</w:t>
      </w:r>
    </w:p>
    <w:p>
      <w:pPr>
        <w:pStyle w:val="Heading5"/>
        <w:rPr>
          <w:snapToGrid w:val="0"/>
        </w:rPr>
      </w:pPr>
      <w:bookmarkStart w:id="549" w:name="_Toc515437116"/>
      <w:bookmarkStart w:id="550" w:name="_Toc503880761"/>
      <w:r>
        <w:rPr>
          <w:rStyle w:val="CharSectno"/>
        </w:rPr>
        <w:t>91</w:t>
      </w:r>
      <w:r>
        <w:rPr>
          <w:snapToGrid w:val="0"/>
        </w:rPr>
        <w:t>.</w:t>
      </w:r>
      <w:r>
        <w:rPr>
          <w:snapToGrid w:val="0"/>
        </w:rPr>
        <w:tab/>
        <w:t>Fines, payment and recovery of</w:t>
      </w:r>
      <w:bookmarkEnd w:id="549"/>
      <w:bookmarkEnd w:id="550"/>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w:t>
      </w:r>
      <w:del w:id="551" w:author="svcMRProcess" w:date="2019-05-20T15:05:00Z">
        <w:r>
          <w:delText xml:space="preserve"> by</w:delText>
        </w:r>
      </w:del>
      <w:ins w:id="552" w:author="svcMRProcess" w:date="2019-05-20T15:05:00Z">
        <w:r>
          <w:t>:</w:t>
        </w:r>
      </w:ins>
      <w:r>
        <w:t xml:space="preserve"> No. 39 of 2010 s. 70 and 104.]</w:t>
      </w:r>
    </w:p>
    <w:p>
      <w:pPr>
        <w:pStyle w:val="Heading5"/>
      </w:pPr>
      <w:bookmarkStart w:id="553" w:name="_Toc515437117"/>
      <w:bookmarkStart w:id="554" w:name="_Toc503880762"/>
      <w:r>
        <w:rPr>
          <w:rStyle w:val="CharSectno"/>
        </w:rPr>
        <w:t>92</w:t>
      </w:r>
      <w:r>
        <w:t>.</w:t>
      </w:r>
      <w:r>
        <w:tab/>
        <w:t>Employee convicted of serious offence, powers as to</w:t>
      </w:r>
      <w:bookmarkEnd w:id="553"/>
      <w:bookmarkEnd w:id="554"/>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w:t>
      </w:r>
      <w:del w:id="555" w:author="svcMRProcess" w:date="2019-05-20T15:05:00Z">
        <w:r>
          <w:delText xml:space="preserve"> by</w:delText>
        </w:r>
      </w:del>
      <w:ins w:id="556" w:author="svcMRProcess" w:date="2019-05-20T15:05:00Z">
        <w:r>
          <w:t>:</w:t>
        </w:r>
      </w:ins>
      <w:r>
        <w:t xml:space="preserve"> No. 39 of 2010 s. 105.]</w:t>
      </w:r>
    </w:p>
    <w:p>
      <w:pPr>
        <w:pStyle w:val="Heading5"/>
      </w:pPr>
      <w:bookmarkStart w:id="557" w:name="_Toc515437118"/>
      <w:bookmarkStart w:id="558" w:name="_Toc503880763"/>
      <w:r>
        <w:rPr>
          <w:rStyle w:val="CharSectno"/>
        </w:rPr>
        <w:t>93A</w:t>
      </w:r>
      <w:r>
        <w:t>.</w:t>
      </w:r>
      <w:r>
        <w:tab/>
        <w:t>Disciplinary action etc., when it can be taken</w:t>
      </w:r>
      <w:bookmarkEnd w:id="557"/>
      <w:bookmarkEnd w:id="558"/>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w:t>
      </w:r>
      <w:del w:id="559" w:author="svcMRProcess" w:date="2019-05-20T15:05:00Z">
        <w:r>
          <w:delText xml:space="preserve"> by</w:delText>
        </w:r>
      </w:del>
      <w:ins w:id="560" w:author="svcMRProcess" w:date="2019-05-20T15:05:00Z">
        <w:r>
          <w:t>:</w:t>
        </w:r>
      </w:ins>
      <w:r>
        <w:t xml:space="preserve"> No. 39 of 2010 s. 105.]</w:t>
      </w:r>
    </w:p>
    <w:p>
      <w:pPr>
        <w:pStyle w:val="Heading2"/>
      </w:pPr>
      <w:bookmarkStart w:id="561" w:name="_Toc500422977"/>
      <w:bookmarkStart w:id="562" w:name="_Toc503259361"/>
      <w:bookmarkStart w:id="563" w:name="_Toc503265297"/>
      <w:bookmarkStart w:id="564" w:name="_Toc503880764"/>
      <w:bookmarkStart w:id="565" w:name="_Toc515436290"/>
      <w:bookmarkStart w:id="566" w:name="_Toc515437119"/>
      <w:r>
        <w:rPr>
          <w:rStyle w:val="CharPartNo"/>
        </w:rPr>
        <w:t>Part 6</w:t>
      </w:r>
      <w:r>
        <w:rPr>
          <w:rStyle w:val="CharDivNo"/>
        </w:rPr>
        <w:t> </w:t>
      </w:r>
      <w:r>
        <w:t>—</w:t>
      </w:r>
      <w:r>
        <w:rPr>
          <w:rStyle w:val="CharDivText"/>
        </w:rPr>
        <w:t> </w:t>
      </w:r>
      <w:r>
        <w:rPr>
          <w:rStyle w:val="CharPartText"/>
        </w:rPr>
        <w:t>Redeployment and redundancy of employees</w:t>
      </w:r>
      <w:bookmarkEnd w:id="561"/>
      <w:bookmarkEnd w:id="562"/>
      <w:bookmarkEnd w:id="563"/>
      <w:bookmarkEnd w:id="564"/>
      <w:bookmarkEnd w:id="565"/>
      <w:bookmarkEnd w:id="566"/>
      <w:r>
        <w:rPr>
          <w:rStyle w:val="CharPartText"/>
        </w:rPr>
        <w:t xml:space="preserve"> </w:t>
      </w:r>
    </w:p>
    <w:p>
      <w:pPr>
        <w:pStyle w:val="Heading5"/>
        <w:rPr>
          <w:snapToGrid w:val="0"/>
        </w:rPr>
      </w:pPr>
      <w:bookmarkStart w:id="567" w:name="_Toc515437120"/>
      <w:bookmarkStart w:id="568" w:name="_Toc503880765"/>
      <w:r>
        <w:rPr>
          <w:rStyle w:val="CharSectno"/>
        </w:rPr>
        <w:t>93</w:t>
      </w:r>
      <w:r>
        <w:rPr>
          <w:snapToGrid w:val="0"/>
        </w:rPr>
        <w:t>.</w:t>
      </w:r>
      <w:r>
        <w:rPr>
          <w:snapToGrid w:val="0"/>
        </w:rPr>
        <w:tab/>
        <w:t>Functions of some employing authorities under s. 94 regulations, performance of</w:t>
      </w:r>
      <w:bookmarkEnd w:id="567"/>
      <w:bookmarkEnd w:id="568"/>
    </w:p>
    <w:p>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rPr>
          <w:snapToGrid w:val="0"/>
        </w:rPr>
      </w:pPr>
      <w:r>
        <w:rPr>
          <w:snapToGrid w:val="0"/>
        </w:rPr>
        <w:tab/>
        <w:t>(3)</w:t>
      </w:r>
      <w:r>
        <w:rPr>
          <w:snapToGrid w:val="0"/>
        </w:rPr>
        <w:tab/>
        <w:t>In subsection (1) — </w:t>
      </w:r>
    </w:p>
    <w:p>
      <w:pPr>
        <w:pStyle w:val="Defstart"/>
      </w:pPr>
      <w:r>
        <w:rPr>
          <w:b/>
        </w:rPr>
        <w:tab/>
      </w:r>
      <w:r>
        <w:rPr>
          <w:rStyle w:val="CharDefText"/>
        </w:rPr>
        <w:t>affected department or organisation</w:t>
      </w:r>
      <w:r>
        <w:t xml:space="preserve"> means a department or organisation the whole or any part of — </w:t>
      </w:r>
    </w:p>
    <w:p>
      <w:pPr>
        <w:pStyle w:val="Defpara"/>
      </w:pPr>
      <w:r>
        <w:tab/>
        <w:t>(a)</w:t>
      </w:r>
      <w:r>
        <w:tab/>
        <w:t>the undertaking of which is, or is to be, sold or otherwise disposed of to; or</w:t>
      </w:r>
    </w:p>
    <w:p>
      <w:pPr>
        <w:pStyle w:val="Defpara"/>
      </w:pPr>
      <w:r>
        <w:tab/>
        <w:t>(b)</w:t>
      </w:r>
      <w:r>
        <w:tab/>
        <w:t>the production or provision of goods or services or both by which is, or is to be, replaced by the production or provision of goods or services or both by,</w:t>
      </w:r>
    </w:p>
    <w:p>
      <w:pPr>
        <w:pStyle w:val="Defstart"/>
        <w:spacing w:before="160"/>
      </w:pPr>
      <w:r>
        <w:tab/>
        <w:t xml:space="preserve">a </w:t>
      </w:r>
      <w:r>
        <w:rPr>
          <w:snapToGrid/>
        </w:rPr>
        <w:t>person</w:t>
      </w:r>
      <w:r>
        <w:t xml:space="preserve"> outside the Public Sector.</w:t>
      </w:r>
    </w:p>
    <w:p>
      <w:pPr>
        <w:pStyle w:val="Footnotesection"/>
        <w:ind w:left="890" w:hanging="890"/>
      </w:pPr>
      <w:r>
        <w:tab/>
        <w:t>[Section 93 amended</w:t>
      </w:r>
      <w:del w:id="569" w:author="svcMRProcess" w:date="2019-05-20T15:05:00Z">
        <w:r>
          <w:delText xml:space="preserve"> by</w:delText>
        </w:r>
      </w:del>
      <w:ins w:id="570" w:author="svcMRProcess" w:date="2019-05-20T15:05:00Z">
        <w:r>
          <w:t>:</w:t>
        </w:r>
      </w:ins>
      <w:r>
        <w:t xml:space="preserve"> No. 39 of 2010 s. 56, 67 and 70.]</w:t>
      </w:r>
    </w:p>
    <w:p>
      <w:pPr>
        <w:pStyle w:val="Heading5"/>
        <w:rPr>
          <w:snapToGrid w:val="0"/>
        </w:rPr>
      </w:pPr>
      <w:bookmarkStart w:id="571" w:name="_Toc515437121"/>
      <w:bookmarkStart w:id="572" w:name="_Toc503880766"/>
      <w:r>
        <w:rPr>
          <w:rStyle w:val="CharSectno"/>
        </w:rPr>
        <w:t>94</w:t>
      </w:r>
      <w:r>
        <w:rPr>
          <w:snapToGrid w:val="0"/>
        </w:rPr>
        <w:t>.</w:t>
      </w:r>
      <w:r>
        <w:rPr>
          <w:snapToGrid w:val="0"/>
        </w:rPr>
        <w:tab/>
        <w:t>Regulations concerning redeployment and redundancy</w:t>
      </w:r>
      <w:bookmarkEnd w:id="571"/>
      <w:bookmarkEnd w:id="572"/>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w:t>
      </w:r>
      <w:del w:id="573" w:author="svcMRProcess" w:date="2019-05-20T15:05:00Z">
        <w:r>
          <w:delText xml:space="preserve"> by</w:delText>
        </w:r>
      </w:del>
      <w:ins w:id="574" w:author="svcMRProcess" w:date="2019-05-20T15:05:00Z">
        <w:r>
          <w:t>:</w:t>
        </w:r>
      </w:ins>
      <w:r>
        <w:t xml:space="preserve"> No. 57 of 1997 s. 99(2); No. 39 of 2010 s. 67, 70 and 106; No. 8 of 2014 s. 13.]</w:t>
      </w:r>
    </w:p>
    <w:p>
      <w:pPr>
        <w:pStyle w:val="Heading5"/>
      </w:pPr>
      <w:bookmarkStart w:id="575" w:name="_Toc515437122"/>
      <w:bookmarkStart w:id="576" w:name="_Toc503880767"/>
      <w:r>
        <w:rPr>
          <w:rStyle w:val="CharSectno"/>
        </w:rPr>
        <w:t>95A</w:t>
      </w:r>
      <w:r>
        <w:t>.</w:t>
      </w:r>
      <w:r>
        <w:tab/>
        <w:t>Termination of employment of registered employees</w:t>
      </w:r>
      <w:bookmarkEnd w:id="575"/>
      <w:bookmarkEnd w:id="576"/>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w:t>
      </w:r>
      <w:del w:id="577" w:author="svcMRProcess" w:date="2019-05-20T15:05:00Z">
        <w:r>
          <w:delText xml:space="preserve"> by</w:delText>
        </w:r>
      </w:del>
      <w:ins w:id="578" w:author="svcMRProcess" w:date="2019-05-20T15:05:00Z">
        <w:r>
          <w:t>:</w:t>
        </w:r>
      </w:ins>
      <w:r>
        <w:t xml:space="preserve"> No. 8 of 2014 s. 14.]</w:t>
      </w:r>
    </w:p>
    <w:p>
      <w:pPr>
        <w:pStyle w:val="Heading5"/>
      </w:pPr>
      <w:bookmarkStart w:id="579" w:name="_Toc515437123"/>
      <w:bookmarkStart w:id="580" w:name="_Toc503880768"/>
      <w:r>
        <w:rPr>
          <w:rStyle w:val="CharSectno"/>
        </w:rPr>
        <w:t>95B</w:t>
      </w:r>
      <w:r>
        <w:t>.</w:t>
      </w:r>
      <w:r>
        <w:tab/>
        <w:t>Inconsistent provisions, instruments and contracts</w:t>
      </w:r>
      <w:bookmarkEnd w:id="579"/>
      <w:bookmarkEnd w:id="580"/>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w:t>
      </w:r>
      <w:del w:id="581" w:author="svcMRProcess" w:date="2019-05-20T15:05:00Z">
        <w:r>
          <w:delText xml:space="preserve"> by</w:delText>
        </w:r>
      </w:del>
      <w:ins w:id="582" w:author="svcMRProcess" w:date="2019-05-20T15:05:00Z">
        <w:r>
          <w:t>:</w:t>
        </w:r>
      </w:ins>
      <w:r>
        <w:t xml:space="preserve"> No. 8 of 2014 s. 14.]</w:t>
      </w:r>
    </w:p>
    <w:p>
      <w:pPr>
        <w:pStyle w:val="Heading5"/>
      </w:pPr>
      <w:bookmarkStart w:id="583" w:name="_Toc515437124"/>
      <w:bookmarkStart w:id="584" w:name="_Toc503880769"/>
      <w:r>
        <w:rPr>
          <w:rStyle w:val="CharSectno"/>
        </w:rPr>
        <w:t>95</w:t>
      </w:r>
      <w:r>
        <w:t>.</w:t>
      </w:r>
      <w:r>
        <w:tab/>
        <w:t>Jurisdiction of Industrial Commission in relation to section 94 decision</w:t>
      </w:r>
      <w:bookmarkEnd w:id="583"/>
      <w:bookmarkEnd w:id="584"/>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w:t>
      </w:r>
      <w:del w:id="585" w:author="svcMRProcess" w:date="2019-05-20T15:05:00Z">
        <w:r>
          <w:delText xml:space="preserve"> by</w:delText>
        </w:r>
      </w:del>
      <w:ins w:id="586" w:author="svcMRProcess" w:date="2019-05-20T15:05:00Z">
        <w:r>
          <w:t>:</w:t>
        </w:r>
      </w:ins>
      <w:r>
        <w:t xml:space="preserve"> No. 8 of 2014 s. 15.]</w:t>
      </w:r>
    </w:p>
    <w:p>
      <w:pPr>
        <w:pStyle w:val="Heading5"/>
      </w:pPr>
      <w:bookmarkStart w:id="587" w:name="_Toc515437125"/>
      <w:bookmarkStart w:id="588" w:name="_Toc503880770"/>
      <w:r>
        <w:rPr>
          <w:rStyle w:val="CharSectno"/>
        </w:rPr>
        <w:t>96A</w:t>
      </w:r>
      <w:r>
        <w:t>.</w:t>
      </w:r>
      <w:r>
        <w:tab/>
        <w:t>Jurisdiction of Industrial Commission in relation to section 95A decision</w:t>
      </w:r>
      <w:bookmarkEnd w:id="587"/>
      <w:bookmarkEnd w:id="588"/>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r>
        <w:tab/>
        <w:t>[Section 96A inserted</w:t>
      </w:r>
      <w:del w:id="589" w:author="svcMRProcess" w:date="2019-05-20T15:05:00Z">
        <w:r>
          <w:delText xml:space="preserve"> by</w:delText>
        </w:r>
      </w:del>
      <w:ins w:id="590" w:author="svcMRProcess" w:date="2019-05-20T15:05:00Z">
        <w:r>
          <w:t>:</w:t>
        </w:r>
      </w:ins>
      <w:r>
        <w:t xml:space="preserve"> No. 8 of 2014 s. 15.]</w:t>
      </w:r>
    </w:p>
    <w:p>
      <w:pPr>
        <w:pStyle w:val="Heading5"/>
      </w:pPr>
      <w:bookmarkStart w:id="591" w:name="_Toc515437126"/>
      <w:bookmarkStart w:id="592" w:name="_Toc503880771"/>
      <w:r>
        <w:rPr>
          <w:rStyle w:val="CharSectno"/>
        </w:rPr>
        <w:t>96B</w:t>
      </w:r>
      <w:r>
        <w:rPr>
          <w:rFonts w:eastAsiaTheme="majorEastAsia"/>
        </w:rPr>
        <w:t>.</w:t>
      </w:r>
      <w:r>
        <w:rPr>
          <w:rFonts w:eastAsiaTheme="majorEastAsia"/>
        </w:rPr>
        <w:tab/>
        <w:t>Review of this Part</w:t>
      </w:r>
      <w:bookmarkEnd w:id="591"/>
      <w:bookmarkEnd w:id="592"/>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 xml:space="preserve">section 15 comes into operation.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w:t>
      </w:r>
      <w:del w:id="593" w:author="svcMRProcess" w:date="2019-05-20T15:05:00Z">
        <w:r>
          <w:delText xml:space="preserve"> by</w:delText>
        </w:r>
      </w:del>
      <w:ins w:id="594" w:author="svcMRProcess" w:date="2019-05-20T15:05:00Z">
        <w:r>
          <w:t>:</w:t>
        </w:r>
      </w:ins>
      <w:r>
        <w:t xml:space="preserve"> No. 8 of 2014 s. 15.]</w:t>
      </w:r>
    </w:p>
    <w:p>
      <w:pPr>
        <w:pStyle w:val="Heading2"/>
      </w:pPr>
      <w:bookmarkStart w:id="595" w:name="_Toc500422985"/>
      <w:bookmarkStart w:id="596" w:name="_Toc503259369"/>
      <w:bookmarkStart w:id="597" w:name="_Toc503265305"/>
      <w:bookmarkStart w:id="598" w:name="_Toc503880772"/>
      <w:bookmarkStart w:id="599" w:name="_Toc515436298"/>
      <w:bookmarkStart w:id="600" w:name="_Toc515437127"/>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595"/>
      <w:bookmarkEnd w:id="596"/>
      <w:bookmarkEnd w:id="597"/>
      <w:bookmarkEnd w:id="598"/>
      <w:bookmarkEnd w:id="599"/>
      <w:bookmarkEnd w:id="600"/>
      <w:r>
        <w:rPr>
          <w:rStyle w:val="CharPartText"/>
        </w:rPr>
        <w:t xml:space="preserve"> </w:t>
      </w:r>
    </w:p>
    <w:p>
      <w:pPr>
        <w:pStyle w:val="Heading5"/>
        <w:spacing w:before="240"/>
        <w:rPr>
          <w:snapToGrid w:val="0"/>
        </w:rPr>
      </w:pPr>
      <w:bookmarkStart w:id="601" w:name="_Toc515437128"/>
      <w:bookmarkStart w:id="602" w:name="_Toc503880773"/>
      <w:r>
        <w:rPr>
          <w:rStyle w:val="CharSectno"/>
        </w:rPr>
        <w:t>96</w:t>
      </w:r>
      <w:r>
        <w:rPr>
          <w:snapToGrid w:val="0"/>
        </w:rPr>
        <w:t>.</w:t>
      </w:r>
      <w:r>
        <w:rPr>
          <w:snapToGrid w:val="0"/>
        </w:rPr>
        <w:tab/>
        <w:t>Application of Part 7</w:t>
      </w:r>
      <w:bookmarkEnd w:id="601"/>
      <w:bookmarkEnd w:id="602"/>
      <w:r>
        <w:rPr>
          <w:snapToGrid w:val="0"/>
        </w:rPr>
        <w:t xml:space="preserve"> </w:t>
      </w:r>
    </w:p>
    <w:p>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spacing w:before="240"/>
        <w:rPr>
          <w:snapToGrid w:val="0"/>
        </w:rPr>
      </w:pPr>
      <w:bookmarkStart w:id="603" w:name="_Toc515437129"/>
      <w:bookmarkStart w:id="604" w:name="_Toc503880774"/>
      <w:r>
        <w:rPr>
          <w:rStyle w:val="CharSectno"/>
        </w:rPr>
        <w:t>97</w:t>
      </w:r>
      <w:r>
        <w:rPr>
          <w:snapToGrid w:val="0"/>
        </w:rPr>
        <w:t>.</w:t>
      </w:r>
      <w:r>
        <w:rPr>
          <w:snapToGrid w:val="0"/>
        </w:rPr>
        <w:tab/>
        <w:t>Commissioner’s functions under Part 7</w:t>
      </w:r>
      <w:bookmarkEnd w:id="603"/>
      <w:bookmarkEnd w:id="604"/>
    </w:p>
    <w:p>
      <w:pPr>
        <w:pStyle w:val="Subsection"/>
        <w:keepNext/>
        <w:spacing w:before="180"/>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spacing w:before="240"/>
        <w:rPr>
          <w:snapToGrid w:val="0"/>
        </w:rPr>
      </w:pPr>
      <w:bookmarkStart w:id="605" w:name="_Toc515437130"/>
      <w:bookmarkStart w:id="606" w:name="_Toc503880775"/>
      <w:r>
        <w:rPr>
          <w:rStyle w:val="CharSectno"/>
        </w:rPr>
        <w:t>98</w:t>
      </w:r>
      <w:r>
        <w:rPr>
          <w:snapToGrid w:val="0"/>
        </w:rPr>
        <w:t>.</w:t>
      </w:r>
      <w:r>
        <w:rPr>
          <w:snapToGrid w:val="0"/>
        </w:rPr>
        <w:tab/>
        <w:t>Regulations as to procedure for seeking relief etc.</w:t>
      </w:r>
      <w:bookmarkEnd w:id="605"/>
      <w:bookmarkEnd w:id="606"/>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keepNext/>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607" w:name="_Toc500422989"/>
      <w:bookmarkStart w:id="608" w:name="_Toc503259373"/>
      <w:bookmarkStart w:id="609" w:name="_Toc503265309"/>
      <w:bookmarkStart w:id="610" w:name="_Toc503880776"/>
      <w:bookmarkStart w:id="611" w:name="_Toc515436302"/>
      <w:bookmarkStart w:id="612" w:name="_Toc515437131"/>
      <w:r>
        <w:rPr>
          <w:rStyle w:val="CharPartNo"/>
        </w:rPr>
        <w:t>Part 8</w:t>
      </w:r>
      <w:r>
        <w:rPr>
          <w:rStyle w:val="CharDivNo"/>
        </w:rPr>
        <w:t> </w:t>
      </w:r>
      <w:r>
        <w:t>—</w:t>
      </w:r>
      <w:r>
        <w:rPr>
          <w:rStyle w:val="CharDivText"/>
        </w:rPr>
        <w:t> </w:t>
      </w:r>
      <w:r>
        <w:rPr>
          <w:rStyle w:val="CharPartText"/>
        </w:rPr>
        <w:t>Miscellaneous</w:t>
      </w:r>
      <w:bookmarkEnd w:id="607"/>
      <w:bookmarkEnd w:id="608"/>
      <w:bookmarkEnd w:id="609"/>
      <w:bookmarkEnd w:id="610"/>
      <w:bookmarkEnd w:id="611"/>
      <w:bookmarkEnd w:id="612"/>
      <w:r>
        <w:rPr>
          <w:rStyle w:val="CharPartText"/>
        </w:rPr>
        <w:t xml:space="preserve"> </w:t>
      </w:r>
    </w:p>
    <w:p>
      <w:pPr>
        <w:pStyle w:val="Ednotesection"/>
        <w:spacing w:before="240"/>
      </w:pPr>
      <w:r>
        <w:t>[</w:t>
      </w:r>
      <w:r>
        <w:rPr>
          <w:b/>
          <w:bCs/>
        </w:rPr>
        <w:t>99.</w:t>
      </w:r>
      <w:r>
        <w:tab/>
        <w:t>Deleted</w:t>
      </w:r>
      <w:del w:id="613" w:author="svcMRProcess" w:date="2019-05-20T15:05:00Z">
        <w:r>
          <w:delText xml:space="preserve"> by</w:delText>
        </w:r>
      </w:del>
      <w:ins w:id="614" w:author="svcMRProcess" w:date="2019-05-20T15:05:00Z">
        <w:r>
          <w:t>:</w:t>
        </w:r>
      </w:ins>
      <w:r>
        <w:t xml:space="preserve"> No. 39 of 2010 s. 57.]</w:t>
      </w:r>
    </w:p>
    <w:p>
      <w:pPr>
        <w:pStyle w:val="Heading5"/>
        <w:spacing w:before="240"/>
        <w:rPr>
          <w:snapToGrid w:val="0"/>
        </w:rPr>
      </w:pPr>
      <w:bookmarkStart w:id="615" w:name="_Toc515437132"/>
      <w:bookmarkStart w:id="616" w:name="_Toc503880777"/>
      <w:r>
        <w:rPr>
          <w:rStyle w:val="CharSectno"/>
        </w:rPr>
        <w:t>100</w:t>
      </w:r>
      <w:r>
        <w:rPr>
          <w:snapToGrid w:val="0"/>
        </w:rPr>
        <w:t>.</w:t>
      </w:r>
      <w:r>
        <w:rPr>
          <w:snapToGrid w:val="0"/>
        </w:rPr>
        <w:tab/>
        <w:t>Engaging people by contracts for services and casual employees, powers for</w:t>
      </w:r>
      <w:bookmarkEnd w:id="615"/>
      <w:bookmarkEnd w:id="616"/>
    </w:p>
    <w:p>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ind w:left="890" w:hanging="890"/>
      </w:pPr>
      <w:r>
        <w:tab/>
        <w:t>[Section 100 amended</w:t>
      </w:r>
      <w:del w:id="617" w:author="svcMRProcess" w:date="2019-05-20T15:05:00Z">
        <w:r>
          <w:delText xml:space="preserve"> by</w:delText>
        </w:r>
      </w:del>
      <w:ins w:id="618" w:author="svcMRProcess" w:date="2019-05-20T15:05:00Z">
        <w:r>
          <w:t>:</w:t>
        </w:r>
      </w:ins>
      <w:r>
        <w:t xml:space="preserve"> No. 39 of 2010 s. 58.]</w:t>
      </w:r>
    </w:p>
    <w:p>
      <w:pPr>
        <w:pStyle w:val="Heading5"/>
        <w:keepLines w:val="0"/>
        <w:spacing w:before="240"/>
        <w:rPr>
          <w:snapToGrid w:val="0"/>
        </w:rPr>
      </w:pPr>
      <w:bookmarkStart w:id="619" w:name="_Toc515437133"/>
      <w:bookmarkStart w:id="620" w:name="_Toc503880778"/>
      <w:r>
        <w:rPr>
          <w:rStyle w:val="CharSectno"/>
        </w:rPr>
        <w:t>101</w:t>
      </w:r>
      <w:r>
        <w:rPr>
          <w:snapToGrid w:val="0"/>
        </w:rPr>
        <w:t>.</w:t>
      </w:r>
      <w:r>
        <w:rPr>
          <w:snapToGrid w:val="0"/>
        </w:rPr>
        <w:tab/>
        <w:t>Restriction on compensation for early termination of employment</w:t>
      </w:r>
      <w:bookmarkEnd w:id="619"/>
      <w:bookmarkEnd w:id="620"/>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w:t>
      </w:r>
      <w:del w:id="621" w:author="svcMRProcess" w:date="2019-05-20T15:05:00Z">
        <w:r>
          <w:delText xml:space="preserve"> by</w:delText>
        </w:r>
      </w:del>
      <w:ins w:id="622" w:author="svcMRProcess" w:date="2019-05-20T15:05:00Z">
        <w:r>
          <w:t>:</w:t>
        </w:r>
      </w:ins>
      <w:r>
        <w:t xml:space="preserve"> No. 8 of 2014 s. 16; amended</w:t>
      </w:r>
      <w:del w:id="623" w:author="svcMRProcess" w:date="2019-05-20T15:05:00Z">
        <w:r>
          <w:delText xml:space="preserve"> in</w:delText>
        </w:r>
      </w:del>
      <w:ins w:id="624" w:author="svcMRProcess" w:date="2019-05-20T15:05:00Z">
        <w:r>
          <w:t>:</w:t>
        </w:r>
      </w:ins>
      <w:r>
        <w:t xml:space="preserve"> Gazette 15 Aug 2003 p. 3690.]</w:t>
      </w:r>
    </w:p>
    <w:p>
      <w:pPr>
        <w:pStyle w:val="Heading5"/>
        <w:rPr>
          <w:snapToGrid w:val="0"/>
        </w:rPr>
      </w:pPr>
      <w:bookmarkStart w:id="625" w:name="_Toc515437134"/>
      <w:bookmarkStart w:id="626" w:name="_Toc503880779"/>
      <w:r>
        <w:rPr>
          <w:rStyle w:val="CharSectno"/>
        </w:rPr>
        <w:t>102</w:t>
      </w:r>
      <w:r>
        <w:rPr>
          <w:snapToGrid w:val="0"/>
        </w:rPr>
        <w:t>.</w:t>
      </w:r>
      <w:r>
        <w:rPr>
          <w:snapToGrid w:val="0"/>
        </w:rPr>
        <w:tab/>
        <w:t>Employees not to be employed outside Government etc. without permission</w:t>
      </w:r>
      <w:bookmarkEnd w:id="625"/>
      <w:bookmarkEnd w:id="626"/>
    </w:p>
    <w:p>
      <w:pPr>
        <w:pStyle w:val="Subsection"/>
      </w:pPr>
      <w:r>
        <w:tab/>
        <w:t>(1A)</w:t>
      </w:r>
      <w:r>
        <w:tab/>
        <w:t xml:space="preserve">In this section — </w:t>
      </w:r>
    </w:p>
    <w:p>
      <w:pPr>
        <w:pStyle w:val="Defstart"/>
      </w:pPr>
      <w:r>
        <w:tab/>
      </w:r>
      <w:r>
        <w:rPr>
          <w:rStyle w:val="CharDefText"/>
        </w:rPr>
        <w:t>any local government or regional local government</w:t>
      </w:r>
      <w:r>
        <w:t xml:space="preserve"> includes any regional subsidiary;</w:t>
      </w:r>
    </w:p>
    <w:p>
      <w:pPr>
        <w:pStyle w:val="Defstart"/>
      </w:pPr>
      <w:r>
        <w:tab/>
      </w:r>
      <w:r>
        <w:rPr>
          <w:rStyle w:val="CharDefText"/>
        </w:rPr>
        <w:t>council of a local government or regional local government</w:t>
      </w:r>
      <w:r>
        <w:t xml:space="preserve"> includes the governing body of a regional subsidiary.</w:t>
      </w:r>
    </w:p>
    <w:p>
      <w:pPr>
        <w:pStyle w:val="Subsection"/>
        <w:keepNext/>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w:t>
      </w:r>
      <w:r>
        <w:t xml:space="preserve">the </w:t>
      </w:r>
      <w:r>
        <w:rPr>
          <w:i/>
        </w:rPr>
        <w:t>Local Government Act 1995</w:t>
      </w:r>
      <w:r>
        <w:t xml:space="preserve"> Part 5 Division 8 or with a charter of a regional subsidiary.</w:t>
      </w:r>
    </w:p>
    <w:p>
      <w:pPr>
        <w:pStyle w:val="Footnotesection"/>
      </w:pPr>
      <w:r>
        <w:tab/>
        <w:t>[Section 102 amended</w:t>
      </w:r>
      <w:del w:id="627" w:author="svcMRProcess" w:date="2019-05-20T15:05:00Z">
        <w:r>
          <w:delText xml:space="preserve"> by</w:delText>
        </w:r>
      </w:del>
      <w:ins w:id="628" w:author="svcMRProcess" w:date="2019-05-20T15:05:00Z">
        <w:r>
          <w:t>:</w:t>
        </w:r>
      </w:ins>
      <w:r>
        <w:t xml:space="preserve"> No. 14 of 1996 s. 4; No. 26 of 2016 s. 86.] </w:t>
      </w:r>
    </w:p>
    <w:p>
      <w:pPr>
        <w:pStyle w:val="Heading5"/>
        <w:rPr>
          <w:snapToGrid w:val="0"/>
        </w:rPr>
      </w:pPr>
      <w:bookmarkStart w:id="629" w:name="_Toc515437135"/>
      <w:bookmarkStart w:id="630" w:name="_Toc503880780"/>
      <w:r>
        <w:rPr>
          <w:rStyle w:val="CharSectno"/>
        </w:rPr>
        <w:t>103</w:t>
      </w:r>
      <w:r>
        <w:rPr>
          <w:snapToGrid w:val="0"/>
        </w:rPr>
        <w:t>.</w:t>
      </w:r>
      <w:r>
        <w:rPr>
          <w:snapToGrid w:val="0"/>
        </w:rPr>
        <w:tab/>
        <w:t>Unsuccessful electoral candidates, reappointment of</w:t>
      </w:r>
      <w:bookmarkEnd w:id="629"/>
      <w:bookmarkEnd w:id="630"/>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keepNext/>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631" w:name="_Toc515437136"/>
      <w:bookmarkStart w:id="632" w:name="_Toc503880781"/>
      <w:r>
        <w:rPr>
          <w:rStyle w:val="CharSectno"/>
        </w:rPr>
        <w:t>104</w:t>
      </w:r>
      <w:r>
        <w:rPr>
          <w:snapToGrid w:val="0"/>
        </w:rPr>
        <w:t>.</w:t>
      </w:r>
      <w:r>
        <w:rPr>
          <w:snapToGrid w:val="0"/>
        </w:rPr>
        <w:tab/>
        <w:t>Time between resignation and reappointment not to count as service</w:t>
      </w:r>
      <w:bookmarkEnd w:id="631"/>
      <w:bookmarkEnd w:id="632"/>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633" w:name="_Toc515437137"/>
      <w:bookmarkStart w:id="634" w:name="_Toc503880782"/>
      <w:r>
        <w:rPr>
          <w:rStyle w:val="CharSectno"/>
        </w:rPr>
        <w:t>105</w:t>
      </w:r>
      <w:r>
        <w:rPr>
          <w:snapToGrid w:val="0"/>
        </w:rPr>
        <w:t>.</w:t>
      </w:r>
      <w:r>
        <w:rPr>
          <w:snapToGrid w:val="0"/>
        </w:rPr>
        <w:tab/>
        <w:t>Members of Parliament etc. not to contact employing authorities etc. about some appointments</w:t>
      </w:r>
      <w:bookmarkEnd w:id="633"/>
      <w:bookmarkEnd w:id="634"/>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w:t>
      </w:r>
      <w:del w:id="635" w:author="svcMRProcess" w:date="2019-05-20T15:05:00Z">
        <w:r>
          <w:delText xml:space="preserve"> by</w:delText>
        </w:r>
      </w:del>
      <w:ins w:id="636" w:author="svcMRProcess" w:date="2019-05-20T15:05:00Z">
        <w:r>
          <w:t>:</w:t>
        </w:r>
      </w:ins>
      <w:r>
        <w:t xml:space="preserve"> No. 39 of 2010 s. 59 and 68.]</w:t>
      </w:r>
    </w:p>
    <w:p>
      <w:pPr>
        <w:pStyle w:val="Heading5"/>
        <w:pageBreakBefore/>
        <w:rPr>
          <w:snapToGrid w:val="0"/>
        </w:rPr>
      </w:pPr>
      <w:bookmarkStart w:id="637" w:name="_Toc515437138"/>
      <w:bookmarkStart w:id="638" w:name="_Toc503880783"/>
      <w:r>
        <w:rPr>
          <w:rStyle w:val="CharSectno"/>
        </w:rPr>
        <w:t>106</w:t>
      </w:r>
      <w:r>
        <w:rPr>
          <w:snapToGrid w:val="0"/>
        </w:rPr>
        <w:t>.</w:t>
      </w:r>
      <w:r>
        <w:rPr>
          <w:snapToGrid w:val="0"/>
        </w:rPr>
        <w:tab/>
        <w:t>Protection from personal liability</w:t>
      </w:r>
      <w:bookmarkEnd w:id="637"/>
      <w:bookmarkEnd w:id="638"/>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639" w:name="_Toc515437139"/>
      <w:bookmarkStart w:id="640" w:name="_Toc503880784"/>
      <w:r>
        <w:rPr>
          <w:rStyle w:val="CharSectno"/>
        </w:rPr>
        <w:t>107</w:t>
      </w:r>
      <w:r>
        <w:rPr>
          <w:snapToGrid w:val="0"/>
        </w:rPr>
        <w:t>.</w:t>
      </w:r>
      <w:r>
        <w:rPr>
          <w:snapToGrid w:val="0"/>
        </w:rPr>
        <w:tab/>
        <w:t>Vacancy etc. in office etc., directing people to act in case of</w:t>
      </w:r>
      <w:bookmarkEnd w:id="639"/>
      <w:bookmarkEnd w:id="640"/>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w:t>
      </w:r>
      <w:del w:id="641" w:author="svcMRProcess" w:date="2019-05-20T15:05:00Z">
        <w:r>
          <w:delText xml:space="preserve"> by</w:delText>
        </w:r>
      </w:del>
      <w:ins w:id="642" w:author="svcMRProcess" w:date="2019-05-20T15:05:00Z">
        <w:r>
          <w:t>:</w:t>
        </w:r>
      </w:ins>
      <w:r>
        <w:t xml:space="preserve"> No. 39 of 2010 s. 67.]</w:t>
      </w:r>
    </w:p>
    <w:p>
      <w:pPr>
        <w:pStyle w:val="Heading5"/>
      </w:pPr>
      <w:bookmarkStart w:id="643" w:name="_Toc515437140"/>
      <w:bookmarkStart w:id="644" w:name="_Toc503880785"/>
      <w:r>
        <w:rPr>
          <w:rStyle w:val="CharSectno"/>
        </w:rPr>
        <w:t>108A</w:t>
      </w:r>
      <w:r>
        <w:t>.</w:t>
      </w:r>
      <w:r>
        <w:tab/>
        <w:t>Delegation by Minister</w:t>
      </w:r>
      <w:bookmarkEnd w:id="643"/>
      <w:bookmarkEnd w:id="644"/>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w:t>
      </w:r>
      <w:del w:id="645" w:author="svcMRProcess" w:date="2019-05-20T15:05:00Z">
        <w:r>
          <w:delText xml:space="preserve"> by</w:delText>
        </w:r>
      </w:del>
      <w:ins w:id="646" w:author="svcMRProcess" w:date="2019-05-20T15:05:00Z">
        <w:r>
          <w:t>:</w:t>
        </w:r>
      </w:ins>
      <w:r>
        <w:t xml:space="preserve"> No. 39 of 2010 s. 60.]</w:t>
      </w:r>
    </w:p>
    <w:p>
      <w:pPr>
        <w:pStyle w:val="Heading5"/>
        <w:rPr>
          <w:snapToGrid w:val="0"/>
        </w:rPr>
      </w:pPr>
      <w:bookmarkStart w:id="647" w:name="_Toc515437141"/>
      <w:bookmarkStart w:id="648" w:name="_Toc503880786"/>
      <w:r>
        <w:rPr>
          <w:rStyle w:val="CharSectno"/>
        </w:rPr>
        <w:t>108</w:t>
      </w:r>
      <w:r>
        <w:rPr>
          <w:snapToGrid w:val="0"/>
        </w:rPr>
        <w:t>.</w:t>
      </w:r>
      <w:r>
        <w:rPr>
          <w:snapToGrid w:val="0"/>
        </w:rPr>
        <w:tab/>
        <w:t>Regulations</w:t>
      </w:r>
      <w:bookmarkEnd w:id="647"/>
      <w:bookmarkEnd w:id="64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w:t>
      </w:r>
      <w:del w:id="649" w:author="svcMRProcess" w:date="2019-05-20T15:05:00Z">
        <w:r>
          <w:delText xml:space="preserve"> by</w:delText>
        </w:r>
      </w:del>
      <w:ins w:id="650" w:author="svcMRProcess" w:date="2019-05-20T15:05:00Z">
        <w:r>
          <w:t>:</w:t>
        </w:r>
      </w:ins>
      <w:r>
        <w:t xml:space="preserve">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651" w:name="_Toc500423000"/>
      <w:bookmarkStart w:id="652" w:name="_Toc503259384"/>
      <w:bookmarkStart w:id="653" w:name="_Toc503265320"/>
      <w:bookmarkStart w:id="654" w:name="_Toc503880787"/>
      <w:bookmarkStart w:id="655" w:name="_Toc515436313"/>
      <w:bookmarkStart w:id="656" w:name="_Toc515437142"/>
      <w:r>
        <w:rPr>
          <w:rStyle w:val="CharPartNo"/>
        </w:rPr>
        <w:t>Part 9</w:t>
      </w:r>
      <w:r>
        <w:t> — </w:t>
      </w:r>
      <w:r>
        <w:rPr>
          <w:rStyle w:val="CharPartText"/>
        </w:rPr>
        <w:t>Repeal and transitional provisions</w:t>
      </w:r>
      <w:bookmarkEnd w:id="651"/>
      <w:bookmarkEnd w:id="652"/>
      <w:bookmarkEnd w:id="653"/>
      <w:bookmarkEnd w:id="654"/>
      <w:bookmarkEnd w:id="655"/>
      <w:bookmarkEnd w:id="656"/>
      <w:r>
        <w:rPr>
          <w:rStyle w:val="CharPartText"/>
        </w:rPr>
        <w:t xml:space="preserve"> </w:t>
      </w:r>
    </w:p>
    <w:p>
      <w:pPr>
        <w:pStyle w:val="Heading3"/>
        <w:spacing w:before="200"/>
      </w:pPr>
      <w:bookmarkStart w:id="657" w:name="_Toc500423001"/>
      <w:bookmarkStart w:id="658" w:name="_Toc503259385"/>
      <w:bookmarkStart w:id="659" w:name="_Toc503265321"/>
      <w:bookmarkStart w:id="660" w:name="_Toc503880788"/>
      <w:bookmarkStart w:id="661" w:name="_Toc515436314"/>
      <w:bookmarkStart w:id="662" w:name="_Toc515437143"/>
      <w:r>
        <w:rPr>
          <w:rStyle w:val="CharDivNo"/>
        </w:rPr>
        <w:t>Division 1</w:t>
      </w:r>
      <w:r>
        <w:t> — </w:t>
      </w:r>
      <w:r>
        <w:rPr>
          <w:rStyle w:val="CharDivText"/>
          <w:i/>
          <w:iCs/>
        </w:rPr>
        <w:t>Public Service Act 1978</w:t>
      </w:r>
      <w:r>
        <w:rPr>
          <w:rStyle w:val="CharDivText"/>
        </w:rPr>
        <w:t xml:space="preserve"> repeal and transitional provisions</w:t>
      </w:r>
      <w:bookmarkEnd w:id="657"/>
      <w:bookmarkEnd w:id="658"/>
      <w:bookmarkEnd w:id="659"/>
      <w:bookmarkEnd w:id="660"/>
      <w:bookmarkEnd w:id="661"/>
      <w:bookmarkEnd w:id="662"/>
    </w:p>
    <w:p>
      <w:pPr>
        <w:pStyle w:val="Footnoteheading"/>
        <w:spacing w:before="80"/>
      </w:pPr>
      <w:r>
        <w:tab/>
        <w:t>[Heading inserted</w:t>
      </w:r>
      <w:del w:id="663" w:author="svcMRProcess" w:date="2019-05-20T15:05:00Z">
        <w:r>
          <w:delText xml:space="preserve"> by</w:delText>
        </w:r>
      </w:del>
      <w:ins w:id="664" w:author="svcMRProcess" w:date="2019-05-20T15:05:00Z">
        <w:r>
          <w:t>:</w:t>
        </w:r>
      </w:ins>
      <w:r>
        <w:t xml:space="preserve"> No. 39 of 2010 s. 62.]</w:t>
      </w:r>
    </w:p>
    <w:p>
      <w:pPr>
        <w:pStyle w:val="Heading5"/>
        <w:spacing w:before="180"/>
        <w:rPr>
          <w:snapToGrid w:val="0"/>
        </w:rPr>
      </w:pPr>
      <w:bookmarkStart w:id="665" w:name="_Toc515437144"/>
      <w:bookmarkStart w:id="666" w:name="_Toc503880789"/>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665"/>
      <w:bookmarkEnd w:id="666"/>
    </w:p>
    <w:p>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spacing w:before="120"/>
        <w:rPr>
          <w:snapToGrid w:val="0"/>
        </w:rPr>
      </w:pPr>
      <w:r>
        <w:rPr>
          <w:snapToGrid w:val="0"/>
        </w:rPr>
        <w:tab/>
        <w:t>(2)</w:t>
      </w:r>
      <w:r>
        <w:rPr>
          <w:snapToGrid w:val="0"/>
        </w:rPr>
        <w:tab/>
        <w:t>The transitional provisions set out in Schedule 5 have effect.</w:t>
      </w:r>
    </w:p>
    <w:p>
      <w:pPr>
        <w:pStyle w:val="Heading5"/>
        <w:spacing w:before="180"/>
        <w:rPr>
          <w:snapToGrid w:val="0"/>
        </w:rPr>
      </w:pPr>
      <w:bookmarkStart w:id="667" w:name="_Toc515437145"/>
      <w:bookmarkStart w:id="668" w:name="_Toc503880790"/>
      <w:r>
        <w:rPr>
          <w:rStyle w:val="CharSectno"/>
        </w:rPr>
        <w:t>111</w:t>
      </w:r>
      <w:r>
        <w:rPr>
          <w:snapToGrid w:val="0"/>
        </w:rPr>
        <w:t>.</w:t>
      </w:r>
      <w:r>
        <w:rPr>
          <w:snapToGrid w:val="0"/>
        </w:rPr>
        <w:tab/>
        <w:t>Transitional provisions related to Part 4 (Sch. 6)</w:t>
      </w:r>
      <w:bookmarkEnd w:id="667"/>
      <w:bookmarkEnd w:id="668"/>
    </w:p>
    <w:p>
      <w:pPr>
        <w:pStyle w:val="Subsection"/>
        <w:spacing w:before="120"/>
        <w:rPr>
          <w:snapToGrid w:val="0"/>
        </w:rPr>
      </w:pPr>
      <w:r>
        <w:rPr>
          <w:snapToGrid w:val="0"/>
        </w:rPr>
        <w:tab/>
      </w:r>
      <w:r>
        <w:rPr>
          <w:snapToGrid w:val="0"/>
        </w:rPr>
        <w:tab/>
        <w:t>The transitional provisions set out in Schedule 6 have effect.</w:t>
      </w:r>
    </w:p>
    <w:p>
      <w:pPr>
        <w:pStyle w:val="Heading5"/>
        <w:spacing w:before="180"/>
        <w:rPr>
          <w:snapToGrid w:val="0"/>
        </w:rPr>
      </w:pPr>
      <w:bookmarkStart w:id="669" w:name="_Toc515437146"/>
      <w:bookmarkStart w:id="670" w:name="_Toc503880791"/>
      <w:r>
        <w:rPr>
          <w:rStyle w:val="CharSectno"/>
        </w:rPr>
        <w:t>112</w:t>
      </w:r>
      <w:r>
        <w:rPr>
          <w:snapToGrid w:val="0"/>
        </w:rPr>
        <w:t>.</w:t>
      </w:r>
      <w:r>
        <w:rPr>
          <w:snapToGrid w:val="0"/>
        </w:rPr>
        <w:tab/>
        <w:t>Certain words etc. in written laws etc. taken to be amended</w:t>
      </w:r>
      <w:bookmarkEnd w:id="669"/>
      <w:bookmarkEnd w:id="670"/>
    </w:p>
    <w:p>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spacing w:before="80"/>
        <w:ind w:left="890" w:hanging="890"/>
      </w:pPr>
      <w:r>
        <w:tab/>
        <w:t>[Section 112 amended</w:t>
      </w:r>
      <w:del w:id="671" w:author="svcMRProcess" w:date="2019-05-20T15:05:00Z">
        <w:r>
          <w:delText xml:space="preserve"> by</w:delText>
        </w:r>
      </w:del>
      <w:ins w:id="672" w:author="svcMRProcess" w:date="2019-05-20T15:05:00Z">
        <w:r>
          <w:t>:</w:t>
        </w:r>
      </w:ins>
      <w:r>
        <w:t xml:space="preserve"> No. 57 of 1997 s. 99(3).]</w:t>
      </w:r>
    </w:p>
    <w:p>
      <w:pPr>
        <w:pStyle w:val="Heading3"/>
        <w:keepLines/>
        <w:spacing w:before="200"/>
      </w:pPr>
      <w:bookmarkStart w:id="673" w:name="_Toc500423005"/>
      <w:bookmarkStart w:id="674" w:name="_Toc503259389"/>
      <w:bookmarkStart w:id="675" w:name="_Toc503265325"/>
      <w:bookmarkStart w:id="676" w:name="_Toc503880792"/>
      <w:bookmarkStart w:id="677" w:name="_Toc515436318"/>
      <w:bookmarkStart w:id="678" w:name="_Toc515437147"/>
      <w:r>
        <w:rPr>
          <w:rStyle w:val="CharDivNo"/>
        </w:rPr>
        <w:t>Division 2</w:t>
      </w:r>
      <w:r>
        <w:t> — </w:t>
      </w:r>
      <w:r>
        <w:rPr>
          <w:rStyle w:val="CharDivText"/>
          <w:i/>
          <w:iCs/>
        </w:rPr>
        <w:t>Public Sector Reform Act 2010</w:t>
      </w:r>
      <w:r>
        <w:rPr>
          <w:rStyle w:val="CharDivText"/>
        </w:rPr>
        <w:t xml:space="preserve"> Part 2 amendments: transitional provisions</w:t>
      </w:r>
      <w:bookmarkEnd w:id="673"/>
      <w:bookmarkEnd w:id="674"/>
      <w:bookmarkEnd w:id="675"/>
      <w:bookmarkEnd w:id="676"/>
      <w:bookmarkEnd w:id="677"/>
      <w:bookmarkEnd w:id="678"/>
    </w:p>
    <w:p>
      <w:pPr>
        <w:pStyle w:val="Footnoteheading"/>
        <w:keepNext/>
        <w:keepLines/>
        <w:spacing w:before="80"/>
      </w:pPr>
      <w:r>
        <w:tab/>
        <w:t>[Heading inserted</w:t>
      </w:r>
      <w:del w:id="679" w:author="svcMRProcess" w:date="2019-05-20T15:05:00Z">
        <w:r>
          <w:delText xml:space="preserve"> by</w:delText>
        </w:r>
      </w:del>
      <w:ins w:id="680" w:author="svcMRProcess" w:date="2019-05-20T15:05:00Z">
        <w:r>
          <w:t>:</w:t>
        </w:r>
      </w:ins>
      <w:r>
        <w:t xml:space="preserve"> No. 39 of 2010 s. 63.]</w:t>
      </w:r>
    </w:p>
    <w:p>
      <w:pPr>
        <w:pStyle w:val="Heading5"/>
        <w:spacing w:before="180"/>
      </w:pPr>
      <w:bookmarkStart w:id="681" w:name="_Toc515437148"/>
      <w:bookmarkStart w:id="682" w:name="_Toc503880793"/>
      <w:r>
        <w:rPr>
          <w:rStyle w:val="CharSectno"/>
        </w:rPr>
        <w:t>113</w:t>
      </w:r>
      <w:r>
        <w:t>.</w:t>
      </w:r>
      <w:r>
        <w:tab/>
        <w:t xml:space="preserve">Transitional provisions </w:t>
      </w:r>
      <w:r>
        <w:rPr>
          <w:snapToGrid w:val="0"/>
        </w:rPr>
        <w:t>(Sch. 7)</w:t>
      </w:r>
      <w:bookmarkEnd w:id="681"/>
      <w:bookmarkEnd w:id="682"/>
    </w:p>
    <w:p>
      <w:pPr>
        <w:pStyle w:val="Subsection"/>
      </w:pPr>
      <w:r>
        <w:tab/>
      </w:r>
      <w:r>
        <w:tab/>
        <w:t>Schedule 7 sets out transitional provisions.</w:t>
      </w:r>
    </w:p>
    <w:p>
      <w:pPr>
        <w:pStyle w:val="Footnotesection"/>
        <w:spacing w:before="80"/>
        <w:ind w:left="890" w:hanging="890"/>
      </w:pPr>
      <w:r>
        <w:tab/>
        <w:t>[Section 113 inserted</w:t>
      </w:r>
      <w:del w:id="683" w:author="svcMRProcess" w:date="2019-05-20T15:05:00Z">
        <w:r>
          <w:delText xml:space="preserve"> by</w:delText>
        </w:r>
      </w:del>
      <w:ins w:id="684" w:author="svcMRProcess" w:date="2019-05-20T15:05:00Z">
        <w:r>
          <w:t>:</w:t>
        </w:r>
      </w:ins>
      <w:r>
        <w:t xml:space="preserve"> No. 39 of 2010 s. 63.]</w:t>
      </w:r>
    </w:p>
    <w:p>
      <w:pPr>
        <w:pStyle w:val="Heading3"/>
      </w:pPr>
      <w:bookmarkStart w:id="685" w:name="_Toc500423007"/>
      <w:bookmarkStart w:id="686" w:name="_Toc503259391"/>
      <w:bookmarkStart w:id="687" w:name="_Toc503265327"/>
      <w:bookmarkStart w:id="688" w:name="_Toc503880794"/>
      <w:bookmarkStart w:id="689" w:name="_Toc515436320"/>
      <w:bookmarkStart w:id="690" w:name="_Toc515437149"/>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685"/>
      <w:bookmarkEnd w:id="686"/>
      <w:bookmarkEnd w:id="687"/>
      <w:bookmarkEnd w:id="688"/>
      <w:bookmarkEnd w:id="689"/>
      <w:bookmarkEnd w:id="690"/>
    </w:p>
    <w:p>
      <w:pPr>
        <w:pStyle w:val="Footnoteheading"/>
      </w:pPr>
      <w:r>
        <w:tab/>
        <w:t>[Heading inserted</w:t>
      </w:r>
      <w:del w:id="691" w:author="svcMRProcess" w:date="2019-05-20T15:05:00Z">
        <w:r>
          <w:delText xml:space="preserve"> by</w:delText>
        </w:r>
      </w:del>
      <w:ins w:id="692" w:author="svcMRProcess" w:date="2019-05-20T15:05:00Z">
        <w:r>
          <w:t>:</w:t>
        </w:r>
      </w:ins>
      <w:r>
        <w:t xml:space="preserve"> No. 39 of 2010 s. 107.] </w:t>
      </w:r>
    </w:p>
    <w:p>
      <w:pPr>
        <w:pStyle w:val="Heading5"/>
      </w:pPr>
      <w:bookmarkStart w:id="693" w:name="_Toc515437150"/>
      <w:bookmarkStart w:id="694" w:name="_Toc503880795"/>
      <w:r>
        <w:rPr>
          <w:rStyle w:val="CharSectno"/>
        </w:rPr>
        <w:t>114</w:t>
      </w:r>
      <w:r>
        <w:t>.</w:t>
      </w:r>
      <w:r>
        <w:tab/>
        <w:t xml:space="preserve">Transitional provisions </w:t>
      </w:r>
      <w:r>
        <w:rPr>
          <w:snapToGrid w:val="0"/>
        </w:rPr>
        <w:t>(Sch. 8)</w:t>
      </w:r>
      <w:bookmarkEnd w:id="693"/>
      <w:bookmarkEnd w:id="694"/>
    </w:p>
    <w:p>
      <w:pPr>
        <w:pStyle w:val="Subsection"/>
      </w:pPr>
      <w:r>
        <w:tab/>
      </w:r>
      <w:r>
        <w:tab/>
        <w:t>Schedule 8 sets out transitional provisions.</w:t>
      </w:r>
    </w:p>
    <w:p>
      <w:pPr>
        <w:pStyle w:val="Footnotesection"/>
      </w:pPr>
      <w:r>
        <w:tab/>
        <w:t>[Section 114 inserted</w:t>
      </w:r>
      <w:del w:id="695" w:author="svcMRProcess" w:date="2019-05-20T15:05:00Z">
        <w:r>
          <w:delText xml:space="preserve"> by</w:delText>
        </w:r>
      </w:del>
      <w:ins w:id="696" w:author="svcMRProcess" w:date="2019-05-20T15:05:00Z">
        <w:r>
          <w:t>:</w:t>
        </w:r>
      </w:ins>
      <w:r>
        <w:t xml:space="preserve"> No. 39 of 2010 s. 107.]</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697" w:name="_Toc500423009"/>
      <w:bookmarkStart w:id="698" w:name="_Toc503259393"/>
      <w:bookmarkStart w:id="699" w:name="_Toc503265329"/>
      <w:bookmarkStart w:id="700" w:name="_Toc503880796"/>
      <w:bookmarkStart w:id="701" w:name="_Toc515436322"/>
      <w:bookmarkStart w:id="702" w:name="_Toc515437151"/>
      <w:r>
        <w:rPr>
          <w:rStyle w:val="CharSchNo"/>
        </w:rPr>
        <w:t>Schedule 1</w:t>
      </w:r>
      <w:r>
        <w:rPr>
          <w:rStyle w:val="CharSDivNo"/>
        </w:rPr>
        <w:t> </w:t>
      </w:r>
      <w:r>
        <w:t>—</w:t>
      </w:r>
      <w:r>
        <w:rPr>
          <w:rStyle w:val="CharSDivText"/>
        </w:rPr>
        <w:t> </w:t>
      </w:r>
      <w:r>
        <w:rPr>
          <w:rStyle w:val="CharSchText"/>
        </w:rPr>
        <w:t>Entities which are not organisations</w:t>
      </w:r>
      <w:bookmarkEnd w:id="697"/>
      <w:bookmarkEnd w:id="698"/>
      <w:bookmarkEnd w:id="699"/>
      <w:bookmarkEnd w:id="700"/>
      <w:bookmarkEnd w:id="701"/>
      <w:bookmarkEnd w:id="702"/>
    </w:p>
    <w:p>
      <w:pPr>
        <w:pStyle w:val="yShoulderClause"/>
        <w:rPr>
          <w:snapToGrid w:val="0"/>
        </w:rPr>
      </w:pPr>
      <w:r>
        <w:rPr>
          <w:snapToGrid w:val="0"/>
        </w:rPr>
        <w:t>[s. 3 and 108]</w:t>
      </w:r>
    </w:p>
    <w:p>
      <w:pPr>
        <w:pStyle w:val="yFootnoteheading"/>
      </w:pPr>
      <w:r>
        <w:tab/>
        <w:t>[Heading amended</w:t>
      </w:r>
      <w:del w:id="703" w:author="svcMRProcess" w:date="2019-05-20T15:05:00Z">
        <w:r>
          <w:delText xml:space="preserve"> by</w:delText>
        </w:r>
      </w:del>
      <w:ins w:id="704" w:author="svcMRProcess" w:date="2019-05-20T15:05:00Z">
        <w:r>
          <w:t>:</w:t>
        </w:r>
      </w:ins>
      <w:r>
        <w:t xml:space="preserve">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established under the </w:t>
            </w:r>
            <w:r>
              <w:rPr>
                <w:i/>
              </w:rPr>
              <w:t>Curtin University Act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15A</w:t>
            </w:r>
          </w:p>
        </w:tc>
        <w:tc>
          <w:tcPr>
            <w:tcW w:w="5954" w:type="dxa"/>
          </w:tcPr>
          <w:p>
            <w:pPr>
              <w:pStyle w:val="yTableNAm"/>
            </w:pPr>
            <w:r>
              <w:t>Any regional subsidiary or the governing body of a regional subsidiary</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keepLines w:val="0"/>
      </w:pPr>
      <w:r>
        <w:tab/>
        <w:t>[Schedule 1 amended</w:t>
      </w:r>
      <w:del w:id="705" w:author="svcMRProcess" w:date="2019-05-20T15:05:00Z">
        <w:r>
          <w:delText xml:space="preserve"> by</w:delText>
        </w:r>
      </w:del>
      <w:ins w:id="706" w:author="svcMRProcess" w:date="2019-05-20T15:05:00Z">
        <w:r>
          <w:t>:</w:t>
        </w:r>
      </w:ins>
      <w:r>
        <w:t xml:space="preserve"> No. 73 of 1990 s. 22(3)(a)(iii); No. 89 of 1994 s. 109; No. 73 of 1995 s. 188; No. 14 of 1996 s. 4; No. 57 of 1997 s. 99(4); No. 5 of 1999 s. 23; No. 58 of 1999 s. 106; No. 24 of 2000 s. 14(13) and 34(2); No. 35 of 2003 s. 23 and 221(3); No. 67 of 2004 s. 45(2); No. 18 of 2005 s. 139; No. 25 of 2012 s. 224; No. 25 of 2013 s. 44; No. 26 of 2016 s. 87; No. 32 of 2016 s. 190; amended</w:t>
      </w:r>
      <w:del w:id="707" w:author="svcMRProcess" w:date="2019-05-20T15:05:00Z">
        <w:r>
          <w:delText xml:space="preserve"> in</w:delText>
        </w:r>
      </w:del>
      <w:ins w:id="708" w:author="svcMRProcess" w:date="2019-05-20T15:05:00Z">
        <w:r>
          <w:t>:</w:t>
        </w:r>
      </w:ins>
      <w:r>
        <w:t xml:space="preserve"> Gazette 16 Sep 1994 p. 4803; 23 Jun 1995 p. 2508; 3 Nov 1995 p. 5204; 4 Jan 2005 p. 6.] </w:t>
      </w:r>
    </w:p>
    <w:p>
      <w:pPr>
        <w:pStyle w:val="yScheduleHeading"/>
        <w:outlineLvl w:val="0"/>
      </w:pPr>
      <w:bookmarkStart w:id="709" w:name="_Toc500423010"/>
      <w:bookmarkStart w:id="710" w:name="_Toc503259394"/>
      <w:bookmarkStart w:id="711" w:name="_Toc503265330"/>
      <w:bookmarkStart w:id="712" w:name="_Toc503880797"/>
      <w:bookmarkStart w:id="713" w:name="_Toc515436323"/>
      <w:bookmarkStart w:id="714" w:name="_Toc515437152"/>
      <w:r>
        <w:rPr>
          <w:rStyle w:val="CharSchNo"/>
        </w:rPr>
        <w:t>Schedule 2</w:t>
      </w:r>
      <w:r>
        <w:rPr>
          <w:rStyle w:val="CharSDivNo"/>
        </w:rPr>
        <w:t> </w:t>
      </w:r>
      <w:r>
        <w:t>—</w:t>
      </w:r>
      <w:r>
        <w:rPr>
          <w:rStyle w:val="CharSDivText"/>
        </w:rPr>
        <w:t> </w:t>
      </w:r>
      <w:r>
        <w:rPr>
          <w:rStyle w:val="CharSchText"/>
        </w:rPr>
        <w:t>Entities which are SES organisations</w:t>
      </w:r>
      <w:bookmarkEnd w:id="709"/>
      <w:bookmarkEnd w:id="710"/>
      <w:bookmarkEnd w:id="711"/>
      <w:bookmarkEnd w:id="712"/>
      <w:bookmarkEnd w:id="713"/>
      <w:bookmarkEnd w:id="714"/>
    </w:p>
    <w:p>
      <w:pPr>
        <w:pStyle w:val="yShoulderClause"/>
      </w:pPr>
      <w:r>
        <w:t>[s. 3 and 108]</w:t>
      </w:r>
    </w:p>
    <w:p>
      <w:pPr>
        <w:pStyle w:val="yFootnoteheading"/>
      </w:pPr>
      <w:r>
        <w:tab/>
        <w:t>[Heading amended</w:t>
      </w:r>
      <w:del w:id="715" w:author="svcMRProcess" w:date="2019-05-20T15:05:00Z">
        <w:r>
          <w:delText xml:space="preserve"> by</w:delText>
        </w:r>
      </w:del>
      <w:ins w:id="716" w:author="svcMRProcess" w:date="2019-05-20T15:05:00Z">
        <w:r>
          <w:t>:</w:t>
        </w:r>
      </w:ins>
      <w:r>
        <w:t xml:space="preserve">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spacing w:before="80"/>
              <w:jc w:val="center"/>
              <w:rPr>
                <w:b/>
                <w:bCs/>
              </w:rPr>
            </w:pPr>
            <w:r>
              <w:rPr>
                <w:b/>
                <w:bCs/>
              </w:rPr>
              <w:t>Column 1</w:t>
            </w:r>
          </w:p>
          <w:p>
            <w:pPr>
              <w:pStyle w:val="yTableNAm"/>
              <w:spacing w:before="60"/>
              <w:jc w:val="center"/>
              <w:rPr>
                <w:b/>
                <w:bCs/>
              </w:rPr>
            </w:pPr>
            <w:r>
              <w:rPr>
                <w:b/>
                <w:bCs/>
              </w:rPr>
              <w:t>Item</w:t>
            </w:r>
          </w:p>
        </w:tc>
        <w:tc>
          <w:tcPr>
            <w:tcW w:w="6008" w:type="dxa"/>
          </w:tcPr>
          <w:p>
            <w:pPr>
              <w:pStyle w:val="yTableNAm"/>
              <w:spacing w:before="80"/>
              <w:jc w:val="center"/>
              <w:rPr>
                <w:b/>
                <w:bCs/>
              </w:rPr>
            </w:pPr>
            <w:r>
              <w:rPr>
                <w:b/>
                <w:bCs/>
              </w:rPr>
              <w:t>Column 2</w:t>
            </w:r>
          </w:p>
          <w:p>
            <w:pPr>
              <w:pStyle w:val="yTableNAm"/>
              <w:spacing w:before="60"/>
              <w:jc w:val="center"/>
              <w:rPr>
                <w:b/>
                <w:bCs/>
              </w:rPr>
            </w:pPr>
            <w:r>
              <w:rPr>
                <w:b/>
                <w:bCs/>
              </w:rPr>
              <w:t>Entity</w:t>
            </w:r>
          </w:p>
        </w:tc>
      </w:tr>
      <w:tr>
        <w:trPr>
          <w:cantSplit/>
        </w:trPr>
        <w:tc>
          <w:tcPr>
            <w:tcW w:w="1080" w:type="dxa"/>
          </w:tcPr>
          <w:p>
            <w:pPr>
              <w:pStyle w:val="yTableNAm"/>
              <w:spacing w:before="100"/>
              <w:jc w:val="center"/>
            </w:pPr>
            <w:r>
              <w:rPr>
                <w:i/>
              </w:rPr>
              <w:t>[1, 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w:t>
            </w:r>
          </w:p>
        </w:tc>
        <w:tc>
          <w:tcPr>
            <w:tcW w:w="6008" w:type="dxa"/>
          </w:tcPr>
          <w:p>
            <w:pPr>
              <w:pStyle w:val="yTableNAm"/>
              <w:spacing w:before="100"/>
            </w:pPr>
            <w:r>
              <w:t xml:space="preserve">Botanic Gardens and Parks Authority, established under the </w:t>
            </w:r>
            <w:r>
              <w:rPr>
                <w:i/>
              </w:rPr>
              <w:t>Botanic Gardens and Parks Authority Act 1998</w:t>
            </w:r>
          </w:p>
        </w:tc>
      </w:tr>
      <w:tr>
        <w:trPr>
          <w:cantSplit/>
        </w:trPr>
        <w:tc>
          <w:tcPr>
            <w:tcW w:w="1080" w:type="dxa"/>
          </w:tcPr>
          <w:p>
            <w:pPr>
              <w:pStyle w:val="yTableNAm"/>
              <w:spacing w:before="100"/>
              <w:jc w:val="center"/>
              <w:rPr>
                <w:i/>
              </w:rPr>
            </w:pPr>
            <w:r>
              <w:rPr>
                <w:i/>
              </w:rPr>
              <w:t>[3A</w:t>
            </w:r>
            <w:r>
              <w:rPr>
                <w:i/>
              </w:rPr>
              <w:noBreakHyphen/>
              <w:t>3D</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3E</w:t>
            </w:r>
          </w:p>
        </w:tc>
        <w:tc>
          <w:tcPr>
            <w:tcW w:w="6008" w:type="dxa"/>
          </w:tcPr>
          <w:p>
            <w:pPr>
              <w:pStyle w:val="yTableNAm"/>
              <w:spacing w:before="100"/>
            </w:pPr>
            <w:r>
              <w:t xml:space="preserve">Chemistry Centre (WA), established by the </w:t>
            </w:r>
            <w:r>
              <w:rPr>
                <w:i/>
                <w:iCs/>
              </w:rPr>
              <w:t>Chemistry Centre (WA) Act 2007</w:t>
            </w:r>
          </w:p>
        </w:tc>
      </w:tr>
      <w:tr>
        <w:trPr>
          <w:cantSplit/>
        </w:trPr>
        <w:tc>
          <w:tcPr>
            <w:tcW w:w="1080" w:type="dxa"/>
          </w:tcPr>
          <w:p>
            <w:pPr>
              <w:pStyle w:val="yTableNAm"/>
              <w:spacing w:before="100"/>
              <w:jc w:val="center"/>
            </w:pPr>
            <w:r>
              <w:t>3F</w:t>
            </w:r>
          </w:p>
        </w:tc>
        <w:tc>
          <w:tcPr>
            <w:tcW w:w="6008" w:type="dxa"/>
          </w:tcPr>
          <w:p>
            <w:pPr>
              <w:pStyle w:val="yTableNAm"/>
              <w:spacing w:before="100"/>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spacing w:before="100"/>
              <w:jc w:val="center"/>
              <w:rPr>
                <w:i/>
              </w:rPr>
            </w:pPr>
            <w:r>
              <w:rPr>
                <w:i/>
              </w:rPr>
              <w:t>[4</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4A</w:t>
            </w:r>
          </w:p>
        </w:tc>
        <w:tc>
          <w:tcPr>
            <w:tcW w:w="6008" w:type="dxa"/>
          </w:tcPr>
          <w:p>
            <w:pPr>
              <w:pStyle w:val="yTableNAm"/>
              <w:spacing w:before="100"/>
            </w:pPr>
            <w:r>
              <w:t xml:space="preserve">Country Housing Authority, established under the </w:t>
            </w:r>
            <w:r>
              <w:rPr>
                <w:i/>
                <w:iCs/>
              </w:rPr>
              <w:t>Country Housing Act 1998</w:t>
            </w:r>
          </w:p>
        </w:tc>
      </w:tr>
      <w:tr>
        <w:trPr>
          <w:cantSplit/>
        </w:trPr>
        <w:tc>
          <w:tcPr>
            <w:tcW w:w="1080" w:type="dxa"/>
          </w:tcPr>
          <w:p>
            <w:pPr>
              <w:pStyle w:val="yTableNAm"/>
              <w:spacing w:before="100"/>
              <w:jc w:val="center"/>
            </w:pPr>
            <w:r>
              <w:t>5</w:t>
            </w:r>
          </w:p>
        </w:tc>
        <w:tc>
          <w:tcPr>
            <w:tcW w:w="6008" w:type="dxa"/>
          </w:tcPr>
          <w:p>
            <w:pPr>
              <w:pStyle w:val="yTableNAm"/>
              <w:spacing w:before="100"/>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spacing w:before="100"/>
              <w:jc w:val="center"/>
              <w:rPr>
                <w:i/>
              </w:rPr>
            </w:pPr>
            <w:r>
              <w:rPr>
                <w:i/>
              </w:rPr>
              <w:t>[6, 7</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8</w:t>
            </w:r>
          </w:p>
        </w:tc>
        <w:tc>
          <w:tcPr>
            <w:tcW w:w="6008" w:type="dxa"/>
          </w:tcPr>
          <w:p>
            <w:pPr>
              <w:pStyle w:val="yTableNAm"/>
              <w:spacing w:before="100"/>
            </w:pPr>
            <w:r>
              <w:t xml:space="preserve">Disability Services Commission, continued under the </w:t>
            </w:r>
            <w:r>
              <w:rPr>
                <w:i/>
              </w:rPr>
              <w:t>Disability Services Act 1993</w:t>
            </w:r>
          </w:p>
        </w:tc>
      </w:tr>
      <w:tr>
        <w:trPr>
          <w:cantSplit/>
        </w:trPr>
        <w:tc>
          <w:tcPr>
            <w:tcW w:w="1080" w:type="dxa"/>
          </w:tcPr>
          <w:p>
            <w:pPr>
              <w:pStyle w:val="yTableNAm"/>
              <w:spacing w:before="100"/>
              <w:jc w:val="center"/>
              <w:rPr>
                <w:i/>
                <w:iCs/>
              </w:rPr>
            </w:pPr>
            <w:r>
              <w:rPr>
                <w:i/>
                <w:iCs/>
              </w:rPr>
              <w:t>[9, 10</w:t>
            </w:r>
          </w:p>
        </w:tc>
        <w:tc>
          <w:tcPr>
            <w:tcW w:w="6008" w:type="dxa"/>
          </w:tcPr>
          <w:p>
            <w:pPr>
              <w:pStyle w:val="yTableNAm"/>
              <w:spacing w:before="100"/>
              <w:rPr>
                <w:i/>
                <w:iCs/>
              </w:rPr>
            </w:pPr>
            <w:r>
              <w:rPr>
                <w:i/>
                <w:iCs/>
              </w:rPr>
              <w:t>deleted]</w:t>
            </w:r>
          </w:p>
        </w:tc>
      </w:tr>
      <w:tr>
        <w:trPr>
          <w:cantSplit/>
        </w:trPr>
        <w:tc>
          <w:tcPr>
            <w:tcW w:w="1080" w:type="dxa"/>
          </w:tcPr>
          <w:p>
            <w:pPr>
              <w:pStyle w:val="yTableNAm"/>
              <w:spacing w:before="100"/>
              <w:jc w:val="center"/>
            </w:pPr>
            <w:r>
              <w:t>10AA</w:t>
            </w:r>
          </w:p>
        </w:tc>
        <w:tc>
          <w:tcPr>
            <w:tcW w:w="6008" w:type="dxa"/>
          </w:tcPr>
          <w:p>
            <w:pPr>
              <w:pStyle w:val="yTableNAm"/>
              <w:spacing w:before="100"/>
            </w:pPr>
            <w:r>
              <w:t xml:space="preserve">Economic Regulation Authority, established under the </w:t>
            </w:r>
            <w:r>
              <w:rPr>
                <w:i/>
              </w:rPr>
              <w:t>Economic Regulation Authority Act 2003</w:t>
            </w:r>
          </w:p>
        </w:tc>
      </w:tr>
      <w:tr>
        <w:trPr>
          <w:cantSplit/>
        </w:trPr>
        <w:tc>
          <w:tcPr>
            <w:tcW w:w="1080" w:type="dxa"/>
          </w:tcPr>
          <w:p>
            <w:pPr>
              <w:pStyle w:val="yTableNAm"/>
              <w:spacing w:before="100"/>
              <w:jc w:val="center"/>
              <w:rPr>
                <w:i/>
              </w:rPr>
            </w:pPr>
            <w:r>
              <w:rPr>
                <w:i/>
              </w:rPr>
              <w:t>[10A</w:t>
            </w:r>
          </w:p>
        </w:tc>
        <w:tc>
          <w:tcPr>
            <w:tcW w:w="6008" w:type="dxa"/>
          </w:tcPr>
          <w:p>
            <w:pPr>
              <w:pStyle w:val="yTableNAm"/>
              <w:spacing w:before="100"/>
            </w:pPr>
            <w:r>
              <w:rPr>
                <w:i/>
              </w:rPr>
              <w:t>deleted]</w:t>
            </w:r>
          </w:p>
        </w:tc>
      </w:tr>
      <w:tr>
        <w:trPr>
          <w:cantSplit/>
        </w:trPr>
        <w:tc>
          <w:tcPr>
            <w:tcW w:w="1080" w:type="dxa"/>
          </w:tcPr>
          <w:p>
            <w:pPr>
              <w:pStyle w:val="yTableNAm"/>
              <w:spacing w:before="100"/>
              <w:jc w:val="center"/>
              <w:rPr>
                <w:i/>
              </w:rPr>
            </w:pPr>
            <w:r>
              <w:rPr>
                <w:i/>
              </w:rPr>
              <w:t>[11, 12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13</w:t>
            </w:r>
          </w:p>
        </w:tc>
        <w:tc>
          <w:tcPr>
            <w:tcW w:w="6008" w:type="dxa"/>
          </w:tcPr>
          <w:p>
            <w:pPr>
              <w:pStyle w:val="yTableNAm"/>
              <w:spacing w:before="100"/>
            </w:pPr>
            <w:r>
              <w:t xml:space="preserve">Gascoyne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[14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15</w:t>
            </w:r>
          </w:p>
        </w:tc>
        <w:tc>
          <w:tcPr>
            <w:tcW w:w="6008" w:type="dxa"/>
          </w:tcPr>
          <w:p>
            <w:pPr>
              <w:pStyle w:val="yTableNAm"/>
              <w:spacing w:before="100"/>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spacing w:before="100"/>
              <w:jc w:val="center"/>
            </w:pPr>
            <w:r>
              <w:t>16</w:t>
            </w:r>
          </w:p>
        </w:tc>
        <w:tc>
          <w:tcPr>
            <w:tcW w:w="6008" w:type="dxa"/>
          </w:tcPr>
          <w:p>
            <w:pPr>
              <w:pStyle w:val="yTableNAm"/>
              <w:spacing w:before="100"/>
            </w:pPr>
            <w:r>
              <w:t xml:space="preserve">Government Employees Superannuation Board, under the </w:t>
            </w:r>
            <w:r>
              <w:rPr>
                <w:i/>
              </w:rPr>
              <w:t>State Superannuation Act 2000</w:t>
            </w:r>
          </w:p>
        </w:tc>
      </w:tr>
      <w:tr>
        <w:trPr>
          <w:cantSplit/>
        </w:trPr>
        <w:tc>
          <w:tcPr>
            <w:tcW w:w="1080" w:type="dxa"/>
          </w:tcPr>
          <w:p>
            <w:pPr>
              <w:pStyle w:val="yTableNAm"/>
              <w:spacing w:before="100"/>
              <w:jc w:val="center"/>
            </w:pPr>
            <w:r>
              <w:t>17</w:t>
            </w:r>
          </w:p>
        </w:tc>
        <w:tc>
          <w:tcPr>
            <w:tcW w:w="6008" w:type="dxa"/>
          </w:tcPr>
          <w:p>
            <w:pPr>
              <w:pStyle w:val="yTableNAm"/>
              <w:spacing w:before="100"/>
            </w:pPr>
            <w:r>
              <w:t xml:space="preserve">Great Southern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[18, 19</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19A</w:t>
            </w:r>
          </w:p>
        </w:tc>
        <w:tc>
          <w:tcPr>
            <w:tcW w:w="6008" w:type="dxa"/>
          </w:tcPr>
          <w:p>
            <w:pPr>
              <w:pStyle w:val="yTableNAm"/>
              <w:spacing w:before="100"/>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spacing w:before="100"/>
              <w:jc w:val="center"/>
              <w:rPr>
                <w:i/>
              </w:rPr>
            </w:pPr>
            <w:r>
              <w:rPr>
                <w:i/>
              </w:rPr>
              <w:t>[20</w:t>
            </w:r>
            <w:r>
              <w:rPr>
                <w:i/>
              </w:rPr>
              <w:noBreakHyphen/>
              <w:t>22</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23</w:t>
            </w:r>
          </w:p>
        </w:tc>
        <w:tc>
          <w:tcPr>
            <w:tcW w:w="6008" w:type="dxa"/>
          </w:tcPr>
          <w:p>
            <w:pPr>
              <w:pStyle w:val="yTableNAm"/>
              <w:spacing w:before="100"/>
            </w:pPr>
            <w:r>
              <w:t xml:space="preserve">Kimberley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[24, 25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26</w:t>
            </w:r>
          </w:p>
        </w:tc>
        <w:tc>
          <w:tcPr>
            <w:tcW w:w="6008" w:type="dxa"/>
          </w:tcPr>
          <w:p>
            <w:pPr>
              <w:pStyle w:val="yTableNAm"/>
              <w:spacing w:before="100"/>
            </w:pPr>
            <w:r>
              <w:t xml:space="preserve">Lotteries Commission, continued under the </w:t>
            </w:r>
            <w:r>
              <w:rPr>
                <w:i/>
              </w:rPr>
              <w:t>Lotteries Commission Act 1990</w:t>
            </w:r>
          </w:p>
        </w:tc>
      </w:tr>
      <w:tr>
        <w:trPr>
          <w:cantSplit/>
        </w:trPr>
        <w:tc>
          <w:tcPr>
            <w:tcW w:w="1080" w:type="dxa"/>
          </w:tcPr>
          <w:p>
            <w:pPr>
              <w:pStyle w:val="yTableNAm"/>
              <w:spacing w:before="100"/>
              <w:jc w:val="center"/>
            </w:pPr>
            <w:r>
              <w:t>27</w:t>
            </w:r>
          </w:p>
        </w:tc>
        <w:tc>
          <w:tcPr>
            <w:tcW w:w="6008" w:type="dxa"/>
          </w:tcPr>
          <w:p>
            <w:pPr>
              <w:pStyle w:val="yTableNAm"/>
              <w:spacing w:before="100"/>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spacing w:before="100"/>
              <w:jc w:val="center"/>
            </w:pPr>
            <w:r>
              <w:t>28</w:t>
            </w:r>
          </w:p>
        </w:tc>
        <w:tc>
          <w:tcPr>
            <w:tcW w:w="6008" w:type="dxa"/>
          </w:tcPr>
          <w:p>
            <w:pPr>
              <w:pStyle w:val="yTableNAm"/>
              <w:spacing w:before="100"/>
              <w:rPr>
                <w:spacing w:val="-4"/>
              </w:rPr>
            </w:pPr>
            <w:r>
              <w:t>Metropolitan Redevelopment Authority</w:t>
            </w:r>
          </w:p>
        </w:tc>
      </w:tr>
      <w:tr>
        <w:trPr>
          <w:cantSplit/>
        </w:trPr>
        <w:tc>
          <w:tcPr>
            <w:tcW w:w="1080" w:type="dxa"/>
          </w:tcPr>
          <w:p>
            <w:pPr>
              <w:pStyle w:val="yTableNAm"/>
              <w:spacing w:before="100"/>
              <w:jc w:val="center"/>
            </w:pPr>
            <w:r>
              <w:t>29</w:t>
            </w:r>
          </w:p>
        </w:tc>
        <w:tc>
          <w:tcPr>
            <w:tcW w:w="6008" w:type="dxa"/>
          </w:tcPr>
          <w:p>
            <w:pPr>
              <w:pStyle w:val="yTableNAm"/>
              <w:spacing w:before="100"/>
            </w:pPr>
            <w:r>
              <w:t xml:space="preserve">Mid West Development Commission, established under the </w:t>
            </w:r>
            <w:r>
              <w:rPr>
                <w:i/>
              </w:rPr>
              <w:t>Regional Development Commissions Act 1993</w:t>
            </w:r>
          </w:p>
        </w:tc>
      </w:tr>
      <w:tr>
        <w:trPr>
          <w:cantSplit/>
        </w:trPr>
        <w:tc>
          <w:tcPr>
            <w:tcW w:w="1080" w:type="dxa"/>
          </w:tcPr>
          <w:p>
            <w:pPr>
              <w:pStyle w:val="yTableNAm"/>
              <w:spacing w:before="100"/>
              <w:jc w:val="center"/>
            </w:pPr>
            <w:r>
              <w:t>30</w:t>
            </w:r>
          </w:p>
        </w:tc>
        <w:tc>
          <w:tcPr>
            <w:tcW w:w="6008" w:type="dxa"/>
          </w:tcPr>
          <w:p>
            <w:pPr>
              <w:pStyle w:val="yTableNAm"/>
              <w:spacing w:before="100"/>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spacing w:before="100"/>
              <w:jc w:val="center"/>
              <w:rPr>
                <w:i/>
              </w:rPr>
            </w:pPr>
            <w:r>
              <w:rPr>
                <w:i/>
              </w:rPr>
              <w:t>[31</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32</w:t>
            </w:r>
          </w:p>
        </w:tc>
        <w:tc>
          <w:tcPr>
            <w:tcW w:w="6008" w:type="dxa"/>
          </w:tcPr>
          <w:p>
            <w:pPr>
              <w:pStyle w:val="yTableNAm"/>
              <w:spacing w:before="100"/>
            </w:pPr>
            <w:r>
              <w:t xml:space="preserve">Peel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[33, 34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35</w:t>
            </w:r>
          </w:p>
        </w:tc>
        <w:tc>
          <w:tcPr>
            <w:tcW w:w="6008" w:type="dxa"/>
          </w:tcPr>
          <w:p>
            <w:pPr>
              <w:pStyle w:val="yTableNAm"/>
              <w:spacing w:before="100"/>
            </w:pPr>
            <w:r>
              <w:t xml:space="preserve">Perth Theatre Trust, established under the </w:t>
            </w:r>
            <w:r>
              <w:rPr>
                <w:i/>
              </w:rPr>
              <w:t>Perth Theatre Trust Act 1979</w:t>
            </w:r>
          </w:p>
        </w:tc>
      </w:tr>
      <w:tr>
        <w:trPr>
          <w:cantSplit/>
        </w:trPr>
        <w:tc>
          <w:tcPr>
            <w:tcW w:w="1080" w:type="dxa"/>
          </w:tcPr>
          <w:p>
            <w:pPr>
              <w:pStyle w:val="yTableNAm"/>
              <w:spacing w:before="100"/>
              <w:jc w:val="center"/>
            </w:pPr>
            <w:r>
              <w:t>36</w:t>
            </w:r>
          </w:p>
        </w:tc>
        <w:tc>
          <w:tcPr>
            <w:tcW w:w="6008" w:type="dxa"/>
          </w:tcPr>
          <w:p>
            <w:pPr>
              <w:pStyle w:val="yTableNAm"/>
              <w:spacing w:before="100"/>
            </w:pPr>
            <w:r>
              <w:t xml:space="preserve">Pilbara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[37, 37A</w:t>
            </w:r>
          </w:p>
        </w:tc>
        <w:tc>
          <w:tcPr>
            <w:tcW w:w="6008" w:type="dxa"/>
          </w:tcPr>
          <w:p>
            <w:pPr>
              <w:pStyle w:val="yTableNAm"/>
              <w:spacing w:before="100"/>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7088" w:type="dxa"/>
            <w:gridSpan w:val="2"/>
          </w:tcPr>
          <w:p>
            <w:pPr>
              <w:pStyle w:val="yTableNAm"/>
            </w:pPr>
            <w:r>
              <w:rPr>
                <w:i/>
              </w:rPr>
              <w:t xml:space="preserve">    [47B, 47C  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58</w:t>
            </w:r>
          </w:p>
        </w:tc>
        <w:tc>
          <w:tcPr>
            <w:tcW w:w="6008" w:type="dxa"/>
          </w:tcPr>
          <w:p>
            <w:pPr>
              <w:pStyle w:val="yTableNAm"/>
              <w:rPr>
                <w:i/>
              </w:rPr>
            </w:pPr>
            <w:r>
              <w:rPr>
                <w:i/>
              </w:rPr>
              <w:t>deleted]</w:t>
            </w:r>
          </w:p>
        </w:tc>
      </w:tr>
      <w:tr>
        <w:trPr>
          <w:cantSplit/>
        </w:trPr>
        <w:tc>
          <w:tcPr>
            <w:tcW w:w="1080" w:type="dxa"/>
          </w:tcPr>
          <w:p>
            <w:pPr>
              <w:pStyle w:val="yTableNAm"/>
              <w:jc w:val="center"/>
            </w:pPr>
            <w:r>
              <w:t>59A.</w:t>
            </w:r>
          </w:p>
        </w:tc>
        <w:tc>
          <w:tcPr>
            <w:tcW w:w="6008" w:type="dxa"/>
          </w:tcPr>
          <w:p>
            <w:pPr>
              <w:pStyle w:val="yTableNAm"/>
            </w:pPr>
            <w:r>
              <w:t xml:space="preserve">Western Australian Health Promotion Foundation, under the </w:t>
            </w:r>
            <w:r>
              <w:rPr>
                <w:i/>
              </w:rPr>
              <w:t>Western Australian Health Promotion Foundation Act 2016</w:t>
            </w:r>
          </w:p>
        </w:tc>
      </w:tr>
      <w:tr>
        <w:trPr>
          <w:cantSplit/>
        </w:trPr>
        <w:tc>
          <w:tcPr>
            <w:tcW w:w="1080" w:type="dxa"/>
          </w:tcPr>
          <w:p>
            <w:pPr>
              <w:pStyle w:val="yTableNAm"/>
              <w:jc w:val="center"/>
            </w:pPr>
            <w: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[Schedule 2 amended</w:t>
      </w:r>
      <w:del w:id="717" w:author="svcMRProcess" w:date="2019-05-20T15:05:00Z">
        <w:r>
          <w:delText xml:space="preserve"> by</w:delText>
        </w:r>
      </w:del>
      <w:ins w:id="718" w:author="svcMRProcess" w:date="2019-05-20T15:05:00Z">
        <w:r>
          <w:t>:</w:t>
        </w:r>
      </w:ins>
      <w:r>
        <w:t xml:space="preserve">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No. 3 of 2016 s. 53; No. 41 of 2016 s. 23; amended</w:t>
      </w:r>
      <w:del w:id="719" w:author="svcMRProcess" w:date="2019-05-20T15:05:00Z">
        <w:r>
          <w:delText xml:space="preserve"> in</w:delText>
        </w:r>
      </w:del>
      <w:ins w:id="720" w:author="svcMRProcess" w:date="2019-05-20T15:05:00Z">
        <w:r>
          <w:t>:</w:t>
        </w:r>
      </w:ins>
      <w:r>
        <w:t xml:space="preserve">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outlineLvl w:val="0"/>
      </w:pPr>
      <w:bookmarkStart w:id="722" w:name="_Toc500423011"/>
      <w:bookmarkStart w:id="723" w:name="_Toc503259395"/>
      <w:bookmarkStart w:id="724" w:name="_Toc503265331"/>
      <w:bookmarkStart w:id="725" w:name="_Toc503880798"/>
      <w:bookmarkStart w:id="726" w:name="_Toc515436324"/>
      <w:bookmarkStart w:id="727" w:name="_Toc515437153"/>
      <w:r>
        <w:rPr>
          <w:rStyle w:val="CharSchNo"/>
        </w:rPr>
        <w:t>Schedule 3</w:t>
      </w:r>
      <w:r>
        <w:rPr>
          <w:rStyle w:val="CharSDivNo"/>
        </w:rPr>
        <w:t> </w:t>
      </w:r>
      <w:r>
        <w:t>—</w:t>
      </w:r>
      <w:r>
        <w:rPr>
          <w:rStyle w:val="CharSDivText"/>
        </w:rPr>
        <w:t> </w:t>
      </w:r>
      <w:r>
        <w:rPr>
          <w:rStyle w:val="CharSchText"/>
        </w:rPr>
        <w:t>Provisions applicable to and in relation to special inquirers</w:t>
      </w:r>
      <w:bookmarkEnd w:id="722"/>
      <w:bookmarkEnd w:id="723"/>
      <w:bookmarkEnd w:id="724"/>
      <w:bookmarkEnd w:id="725"/>
      <w:bookmarkEnd w:id="726"/>
      <w:bookmarkEnd w:id="727"/>
    </w:p>
    <w:p>
      <w:pPr>
        <w:pStyle w:val="yShoulderClause"/>
        <w:rPr>
          <w:snapToGrid w:val="0"/>
        </w:rPr>
      </w:pPr>
      <w:r>
        <w:t xml:space="preserve">[s. 24I(2), </w:t>
      </w:r>
      <w:r>
        <w:rPr>
          <w:snapToGrid w:val="0"/>
        </w:rPr>
        <w:t>24(1) and 87(1)]</w:t>
      </w:r>
    </w:p>
    <w:p>
      <w:pPr>
        <w:pStyle w:val="yFootnoteheading"/>
      </w:pPr>
      <w:r>
        <w:tab/>
        <w:t>[Heading amended</w:t>
      </w:r>
      <w:del w:id="728" w:author="svcMRProcess" w:date="2019-05-20T15:05:00Z">
        <w:r>
          <w:delText xml:space="preserve"> by</w:delText>
        </w:r>
      </w:del>
      <w:ins w:id="729" w:author="svcMRProcess" w:date="2019-05-20T15:05:00Z">
        <w:r>
          <w:t>:</w:t>
        </w:r>
      </w:ins>
      <w:r>
        <w:t xml:space="preserve"> No. 19 of 2010 s. 4; No. 39 of 2010 s. 69.]</w:t>
      </w:r>
    </w:p>
    <w:p>
      <w:pPr>
        <w:pStyle w:val="yHeading5"/>
      </w:pPr>
      <w:bookmarkStart w:id="730" w:name="_Toc515437154"/>
      <w:bookmarkStart w:id="731" w:name="_Toc503880799"/>
      <w:r>
        <w:rPr>
          <w:rStyle w:val="CharSClsNo"/>
        </w:rPr>
        <w:t>1</w:t>
      </w:r>
      <w:r>
        <w:t xml:space="preserve">. </w:t>
      </w:r>
      <w:r>
        <w:tab/>
        <w:t>Power to summon witnesses and documents</w:t>
      </w:r>
      <w:bookmarkEnd w:id="730"/>
      <w:bookmarkEnd w:id="731"/>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732" w:name="_Toc515437155"/>
      <w:bookmarkStart w:id="733" w:name="_Toc503880800"/>
      <w:r>
        <w:rPr>
          <w:rStyle w:val="CharSClsNo"/>
        </w:rPr>
        <w:t>2</w:t>
      </w:r>
      <w:r>
        <w:rPr>
          <w:snapToGrid w:val="0"/>
        </w:rPr>
        <w:t xml:space="preserve">. </w:t>
      </w:r>
      <w:r>
        <w:rPr>
          <w:snapToGrid w:val="0"/>
        </w:rPr>
        <w:tab/>
        <w:t>Duty of witnesses to continue in attendance</w:t>
      </w:r>
      <w:bookmarkEnd w:id="732"/>
      <w:bookmarkEnd w:id="733"/>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734" w:name="_Toc515437156"/>
      <w:bookmarkStart w:id="735" w:name="_Toc503880801"/>
      <w:r>
        <w:rPr>
          <w:rStyle w:val="CharSClsNo"/>
        </w:rPr>
        <w:t>3</w:t>
      </w:r>
      <w:r>
        <w:rPr>
          <w:snapToGrid w:val="0"/>
        </w:rPr>
        <w:t xml:space="preserve">. </w:t>
      </w:r>
      <w:r>
        <w:rPr>
          <w:snapToGrid w:val="0"/>
        </w:rPr>
        <w:tab/>
      </w:r>
      <w:r>
        <w:t>Power</w:t>
      </w:r>
      <w:r>
        <w:rPr>
          <w:snapToGrid w:val="0"/>
        </w:rPr>
        <w:t xml:space="preserve"> to examine on oath or affirmation</w:t>
      </w:r>
      <w:bookmarkEnd w:id="734"/>
      <w:bookmarkEnd w:id="735"/>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$10 000.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pPr>
      <w:r>
        <w:tab/>
        <w:t>[Clause 3 amended</w:t>
      </w:r>
      <w:del w:id="736" w:author="svcMRProcess" w:date="2019-05-20T15:05:00Z">
        <w:r>
          <w:delText xml:space="preserve"> by</w:delText>
        </w:r>
      </w:del>
      <w:ins w:id="737" w:author="svcMRProcess" w:date="2019-05-20T15:05:00Z">
        <w:r>
          <w:t>:</w:t>
        </w:r>
      </w:ins>
      <w:r>
        <w:t xml:space="preserve"> No. 35 of 2014 s. 37(4).]</w:t>
      </w:r>
    </w:p>
    <w:p>
      <w:pPr>
        <w:pStyle w:val="yHeading5"/>
        <w:rPr>
          <w:snapToGrid w:val="0"/>
        </w:rPr>
      </w:pPr>
      <w:bookmarkStart w:id="738" w:name="_Toc515437157"/>
      <w:bookmarkStart w:id="739" w:name="_Toc503880802"/>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738"/>
      <w:bookmarkEnd w:id="739"/>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$10 000.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w:t>
      </w:r>
      <w:del w:id="740" w:author="svcMRProcess" w:date="2019-05-20T15:05:00Z">
        <w:r>
          <w:delText xml:space="preserve"> by</w:delText>
        </w:r>
      </w:del>
      <w:ins w:id="741" w:author="svcMRProcess" w:date="2019-05-20T15:05:00Z">
        <w:r>
          <w:t>:</w:t>
        </w:r>
      </w:ins>
      <w:r>
        <w:t xml:space="preserve"> No. 84 of 2004 s. 82; No. 35 of 2014 s. 37(5).]</w:t>
      </w:r>
    </w:p>
    <w:p>
      <w:pPr>
        <w:pStyle w:val="yHeading5"/>
        <w:rPr>
          <w:snapToGrid w:val="0"/>
        </w:rPr>
      </w:pPr>
      <w:bookmarkStart w:id="742" w:name="_Toc515437158"/>
      <w:bookmarkStart w:id="743" w:name="_Toc503880803"/>
      <w:r>
        <w:rPr>
          <w:rStyle w:val="CharSClsNo"/>
        </w:rPr>
        <w:t>5</w:t>
      </w:r>
      <w:r>
        <w:rPr>
          <w:snapToGrid w:val="0"/>
        </w:rPr>
        <w:t xml:space="preserve">. </w:t>
      </w:r>
      <w:r>
        <w:rPr>
          <w:snapToGrid w:val="0"/>
        </w:rPr>
        <w:tab/>
      </w:r>
      <w:r>
        <w:t>Hindering</w:t>
      </w:r>
      <w:r>
        <w:rPr>
          <w:snapToGrid w:val="0"/>
        </w:rPr>
        <w:t xml:space="preserve"> or misleading special inquirers</w:t>
      </w:r>
      <w:bookmarkEnd w:id="742"/>
      <w:bookmarkEnd w:id="743"/>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pPr>
        <w:pStyle w:val="yFootnotesection"/>
      </w:pPr>
      <w:r>
        <w:tab/>
        <w:t>[Clause 5 amended</w:t>
      </w:r>
      <w:del w:id="744" w:author="svcMRProcess" w:date="2019-05-20T15:05:00Z">
        <w:r>
          <w:delText xml:space="preserve"> by</w:delText>
        </w:r>
      </w:del>
      <w:ins w:id="745" w:author="svcMRProcess" w:date="2019-05-20T15:05:00Z">
        <w:r>
          <w:t>:</w:t>
        </w:r>
      </w:ins>
      <w:r>
        <w:t xml:space="preserve"> No. 35 of 2014 s. 37(6).]</w:t>
      </w:r>
    </w:p>
    <w:p>
      <w:pPr>
        <w:pStyle w:val="yHeading5"/>
        <w:rPr>
          <w:snapToGrid w:val="0"/>
        </w:rPr>
      </w:pPr>
      <w:bookmarkStart w:id="746" w:name="_Toc515437159"/>
      <w:bookmarkStart w:id="747" w:name="_Toc503880804"/>
      <w:r>
        <w:rPr>
          <w:rStyle w:val="CharSClsNo"/>
        </w:rPr>
        <w:t>6</w:t>
      </w:r>
      <w:r>
        <w:rPr>
          <w:snapToGrid w:val="0"/>
        </w:rPr>
        <w:t xml:space="preserve">. </w:t>
      </w:r>
      <w:r>
        <w:rPr>
          <w:snapToGrid w:val="0"/>
        </w:rPr>
        <w:tab/>
      </w:r>
      <w:r>
        <w:t>Protection</w:t>
      </w:r>
      <w:r>
        <w:rPr>
          <w:snapToGrid w:val="0"/>
        </w:rPr>
        <w:t xml:space="preserve"> to special inquirers and witnesses</w:t>
      </w:r>
      <w:bookmarkEnd w:id="746"/>
      <w:bookmarkEnd w:id="747"/>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748" w:name="_Toc500423018"/>
      <w:bookmarkStart w:id="749" w:name="_Toc503259402"/>
      <w:bookmarkStart w:id="750" w:name="_Toc503265338"/>
      <w:bookmarkStart w:id="751" w:name="_Toc503880805"/>
      <w:bookmarkStart w:id="752" w:name="_Toc515436331"/>
      <w:bookmarkStart w:id="753" w:name="_Toc515437160"/>
      <w:r>
        <w:rPr>
          <w:rStyle w:val="CharSchNo"/>
        </w:rPr>
        <w:t>Schedule 4</w:t>
      </w:r>
      <w:r>
        <w:rPr>
          <w:rStyle w:val="CharSDivNo"/>
        </w:rPr>
        <w:t> </w:t>
      </w:r>
      <w:r>
        <w:t>—</w:t>
      </w:r>
      <w:r>
        <w:rPr>
          <w:rStyle w:val="CharSDivText"/>
        </w:rPr>
        <w:t> </w:t>
      </w:r>
      <w:r>
        <w:rPr>
          <w:rStyle w:val="CharSchText"/>
        </w:rPr>
        <w:t>Form of declaration</w:t>
      </w:r>
      <w:bookmarkEnd w:id="748"/>
      <w:bookmarkEnd w:id="749"/>
      <w:bookmarkEnd w:id="750"/>
      <w:bookmarkEnd w:id="751"/>
      <w:bookmarkEnd w:id="752"/>
      <w:bookmarkEnd w:id="753"/>
    </w:p>
    <w:p>
      <w:pPr>
        <w:pStyle w:val="yShoulderClause"/>
      </w:pPr>
      <w:r>
        <w:t>[s. 17(4)]</w:t>
      </w:r>
    </w:p>
    <w:p>
      <w:pPr>
        <w:pStyle w:val="yFootnoteheading"/>
      </w:pPr>
      <w:r>
        <w:tab/>
        <w:t>[Heading inserted</w:t>
      </w:r>
      <w:del w:id="754" w:author="svcMRProcess" w:date="2019-05-20T15:05:00Z">
        <w:r>
          <w:delText xml:space="preserve"> by</w:delText>
        </w:r>
      </w:del>
      <w:ins w:id="755" w:author="svcMRProcess" w:date="2019-05-20T15:05:00Z">
        <w:r>
          <w:t>:</w:t>
        </w:r>
      </w:ins>
      <w:r>
        <w:t xml:space="preserve">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w:t>
      </w:r>
      <w:del w:id="756" w:author="svcMRProcess" w:date="2019-05-20T15:05:00Z">
        <w:r>
          <w:delText xml:space="preserve"> by</w:delText>
        </w:r>
      </w:del>
      <w:ins w:id="757" w:author="svcMRProcess" w:date="2019-05-20T15:05:00Z">
        <w:r>
          <w:t>:</w:t>
        </w:r>
      </w:ins>
      <w:r>
        <w:t xml:space="preserve"> No. 39 of 2010 s. 64.]</w:t>
      </w:r>
    </w:p>
    <w:p>
      <w:pPr>
        <w:rPr>
          <w:sz w:val="22"/>
        </w:r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outlineLvl w:val="0"/>
      </w:pPr>
      <w:bookmarkStart w:id="758" w:name="_Toc500423019"/>
      <w:bookmarkStart w:id="759" w:name="_Toc503259403"/>
      <w:bookmarkStart w:id="760" w:name="_Toc503265339"/>
      <w:bookmarkStart w:id="761" w:name="_Toc503880806"/>
      <w:bookmarkStart w:id="762" w:name="_Toc515436332"/>
      <w:bookmarkStart w:id="763" w:name="_Toc515437161"/>
      <w:r>
        <w:rPr>
          <w:rStyle w:val="CharSchNo"/>
        </w:rPr>
        <w:t>Schedule 5</w:t>
      </w:r>
      <w:r>
        <w:rPr>
          <w:rStyle w:val="CharSDivNo"/>
        </w:rPr>
        <w:t> </w:t>
      </w:r>
      <w:r>
        <w:t>—</w:t>
      </w:r>
      <w:r>
        <w:rPr>
          <w:rStyle w:val="CharSDivText"/>
        </w:rPr>
        <w:t> </w:t>
      </w:r>
      <w:r>
        <w:rPr>
          <w:rStyle w:val="CharSchText"/>
        </w:rPr>
        <w:t>General transitional provisions</w:t>
      </w:r>
      <w:bookmarkEnd w:id="758"/>
      <w:bookmarkEnd w:id="759"/>
      <w:bookmarkEnd w:id="760"/>
      <w:bookmarkEnd w:id="761"/>
      <w:bookmarkEnd w:id="762"/>
      <w:bookmarkEnd w:id="763"/>
    </w:p>
    <w:p>
      <w:pPr>
        <w:pStyle w:val="yShoulderClause"/>
        <w:rPr>
          <w:snapToGrid w:val="0"/>
        </w:rPr>
      </w:pPr>
      <w:r>
        <w:rPr>
          <w:snapToGrid w:val="0"/>
        </w:rPr>
        <w:t>[s. 108 and 110(2)]</w:t>
      </w:r>
    </w:p>
    <w:p>
      <w:pPr>
        <w:pStyle w:val="yFootnoteheading"/>
        <w:spacing w:before="80"/>
      </w:pPr>
      <w:r>
        <w:tab/>
        <w:t>[Heading amended</w:t>
      </w:r>
      <w:del w:id="764" w:author="svcMRProcess" w:date="2019-05-20T15:05:00Z">
        <w:r>
          <w:delText xml:space="preserve"> by</w:delText>
        </w:r>
      </w:del>
      <w:ins w:id="765" w:author="svcMRProcess" w:date="2019-05-20T15:05:00Z">
        <w:r>
          <w:t>:</w:t>
        </w:r>
      </w:ins>
      <w:r>
        <w:t xml:space="preserve"> No. 19 of 2010 s. 4.]</w:t>
      </w:r>
    </w:p>
    <w:p>
      <w:pPr>
        <w:pStyle w:val="yHeading5"/>
        <w:spacing w:before="180"/>
        <w:rPr>
          <w:snapToGrid w:val="0"/>
        </w:rPr>
      </w:pPr>
      <w:bookmarkStart w:id="766" w:name="_Toc515437162"/>
      <w:bookmarkStart w:id="767" w:name="_Toc503880807"/>
      <w:r>
        <w:rPr>
          <w:rStyle w:val="CharSClsNo"/>
        </w:rPr>
        <w:t>1</w:t>
      </w:r>
      <w:r>
        <w:rPr>
          <w:snapToGrid w:val="0"/>
        </w:rPr>
        <w:t xml:space="preserve">. </w:t>
      </w:r>
      <w:r>
        <w:rPr>
          <w:snapToGrid w:val="0"/>
        </w:rPr>
        <w:tab/>
        <w:t>Interpretation</w:t>
      </w:r>
      <w:bookmarkEnd w:id="766"/>
      <w:bookmarkEnd w:id="767"/>
    </w:p>
    <w:p>
      <w:pPr>
        <w:pStyle w:val="ySubsection"/>
        <w:spacing w:before="12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120"/>
        <w:rPr>
          <w:snapToGrid w:val="0"/>
        </w:rPr>
      </w:pPr>
      <w:r>
        <w:rPr>
          <w:snapToGrid w:val="0"/>
        </w:rPr>
        <w:tab/>
      </w:r>
      <w:r>
        <w:rPr>
          <w:snapToGrid w:val="0"/>
        </w:rPr>
        <w:tab/>
        <w:t>within the meaning of the repealed Act.</w:t>
      </w:r>
    </w:p>
    <w:p>
      <w:pPr>
        <w:pStyle w:val="yHeading5"/>
        <w:spacing w:before="180"/>
        <w:rPr>
          <w:snapToGrid w:val="0"/>
        </w:rPr>
      </w:pPr>
      <w:bookmarkStart w:id="768" w:name="_Toc515437163"/>
      <w:bookmarkStart w:id="769" w:name="_Toc503880808"/>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768"/>
      <w:bookmarkEnd w:id="769"/>
    </w:p>
    <w:p>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spacing w:before="80"/>
      </w:pPr>
      <w:r>
        <w:tab/>
        <w:t>[Clause 2 amended</w:t>
      </w:r>
      <w:del w:id="770" w:author="svcMRProcess" w:date="2019-05-20T15:05:00Z">
        <w:r>
          <w:delText xml:space="preserve"> by</w:delText>
        </w:r>
      </w:del>
      <w:ins w:id="771" w:author="svcMRProcess" w:date="2019-05-20T15:05:00Z">
        <w:r>
          <w:t>:</w:t>
        </w:r>
      </w:ins>
      <w:r>
        <w:t xml:space="preserve"> No. 39 of 2010 s. 65(1).]</w:t>
      </w:r>
    </w:p>
    <w:p>
      <w:pPr>
        <w:pStyle w:val="yHeading5"/>
        <w:spacing w:before="180"/>
        <w:rPr>
          <w:snapToGrid w:val="0"/>
        </w:rPr>
      </w:pPr>
      <w:bookmarkStart w:id="772" w:name="_Toc515437164"/>
      <w:bookmarkStart w:id="773" w:name="_Toc503880809"/>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772"/>
      <w:bookmarkEnd w:id="773"/>
    </w:p>
    <w:p>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774" w:name="_Toc515437165"/>
      <w:bookmarkStart w:id="775" w:name="_Toc503880810"/>
      <w:r>
        <w:rPr>
          <w:rStyle w:val="CharSClsNo"/>
        </w:rPr>
        <w:t>4</w:t>
      </w:r>
      <w:r>
        <w:rPr>
          <w:snapToGrid w:val="0"/>
        </w:rPr>
        <w:t xml:space="preserve">. </w:t>
      </w:r>
      <w:r>
        <w:rPr>
          <w:snapToGrid w:val="0"/>
        </w:rPr>
        <w:tab/>
      </w:r>
      <w:r>
        <w:t>General</w:t>
      </w:r>
      <w:r>
        <w:rPr>
          <w:snapToGrid w:val="0"/>
        </w:rPr>
        <w:t xml:space="preserve"> savings</w:t>
      </w:r>
      <w:bookmarkEnd w:id="774"/>
      <w:bookmarkEnd w:id="775"/>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776" w:name="_Toc515437166"/>
      <w:bookmarkStart w:id="777" w:name="_Toc503880811"/>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776"/>
      <w:bookmarkEnd w:id="777"/>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w:t>
      </w:r>
      <w:del w:id="778" w:author="svcMRProcess" w:date="2019-05-20T15:05:00Z">
        <w:r>
          <w:delText xml:space="preserve"> by</w:delText>
        </w:r>
      </w:del>
      <w:ins w:id="779" w:author="svcMRProcess" w:date="2019-05-20T15:05:00Z">
        <w:r>
          <w:t>:</w:t>
        </w:r>
      </w:ins>
      <w:r>
        <w:t xml:space="preserve"> No. 39 of 2010 s. 65(2) and (3).]</w:t>
      </w:r>
    </w:p>
    <w:p>
      <w:pPr>
        <w:pStyle w:val="yHeading5"/>
        <w:rPr>
          <w:snapToGrid w:val="0"/>
        </w:rPr>
      </w:pPr>
      <w:bookmarkStart w:id="780" w:name="_Toc515437167"/>
      <w:bookmarkStart w:id="781" w:name="_Toc503880812"/>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780"/>
      <w:bookmarkEnd w:id="781"/>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782" w:name="_Toc515437168"/>
      <w:bookmarkStart w:id="783" w:name="_Toc503880813"/>
      <w:r>
        <w:rPr>
          <w:rStyle w:val="CharSClsNo"/>
        </w:rPr>
        <w:t>7</w:t>
      </w:r>
      <w:r>
        <w:rPr>
          <w:snapToGrid w:val="0"/>
        </w:rPr>
        <w:t xml:space="preserve">. </w:t>
      </w:r>
      <w:r>
        <w:rPr>
          <w:snapToGrid w:val="0"/>
        </w:rPr>
        <w:tab/>
      </w:r>
      <w:r>
        <w:t>Absorbed</w:t>
      </w:r>
      <w:r>
        <w:rPr>
          <w:snapToGrid w:val="0"/>
        </w:rPr>
        <w:t xml:space="preserve"> personnel (repealed Act s. 25)</w:t>
      </w:r>
      <w:bookmarkEnd w:id="782"/>
      <w:bookmarkEnd w:id="783"/>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rPr>
      </w:pPr>
      <w:r>
        <w:rPr>
          <w:snapToGrid w:val="0"/>
          <w:spacing w:val="-4"/>
        </w:rPr>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784" w:name="_Toc515437169"/>
      <w:bookmarkStart w:id="785" w:name="_Toc503880814"/>
      <w:r>
        <w:rPr>
          <w:rStyle w:val="CharSClsNo"/>
        </w:rPr>
        <w:t>8</w:t>
      </w:r>
      <w:r>
        <w:rPr>
          <w:snapToGrid w:val="0"/>
        </w:rPr>
        <w:t xml:space="preserve">. </w:t>
      </w:r>
      <w:r>
        <w:rPr>
          <w:snapToGrid w:val="0"/>
        </w:rPr>
        <w:tab/>
      </w:r>
      <w:r>
        <w:t>Proceedings under repealed Act s. 26</w:t>
      </w:r>
      <w:bookmarkEnd w:id="784"/>
      <w:bookmarkEnd w:id="785"/>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786" w:name="_Toc515437170"/>
      <w:bookmarkStart w:id="787" w:name="_Toc503880815"/>
      <w:r>
        <w:rPr>
          <w:rStyle w:val="CharSClsNo"/>
        </w:rPr>
        <w:t>9</w:t>
      </w:r>
      <w:r>
        <w:rPr>
          <w:snapToGrid w:val="0"/>
        </w:rPr>
        <w:t xml:space="preserve">. </w:t>
      </w:r>
      <w:r>
        <w:rPr>
          <w:snapToGrid w:val="0"/>
        </w:rPr>
        <w:tab/>
        <w:t>A</w:t>
      </w:r>
      <w:r>
        <w:t>ppointments</w:t>
      </w:r>
      <w:r>
        <w:rPr>
          <w:snapToGrid w:val="0"/>
        </w:rPr>
        <w:t xml:space="preserve"> etc. under repealed Act s. 30</w:t>
      </w:r>
      <w:bookmarkEnd w:id="786"/>
      <w:bookmarkEnd w:id="787"/>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788" w:name="_Toc515437171"/>
      <w:bookmarkStart w:id="789" w:name="_Toc503880816"/>
      <w:r>
        <w:rPr>
          <w:rStyle w:val="CharSClsNo"/>
        </w:rPr>
        <w:t>10</w:t>
      </w:r>
      <w:r>
        <w:rPr>
          <w:snapToGrid w:val="0"/>
        </w:rPr>
        <w:t xml:space="preserve">. </w:t>
      </w:r>
      <w:r>
        <w:rPr>
          <w:snapToGrid w:val="0"/>
        </w:rPr>
        <w:tab/>
        <w:t>A</w:t>
      </w:r>
      <w:r>
        <w:t>ppointments</w:t>
      </w:r>
      <w:r>
        <w:rPr>
          <w:snapToGrid w:val="0"/>
        </w:rPr>
        <w:t xml:space="preserve"> under repealed Act s. 30A</w:t>
      </w:r>
      <w:bookmarkEnd w:id="788"/>
      <w:bookmarkEnd w:id="789"/>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w:t>
      </w:r>
      <w:del w:id="790" w:author="svcMRProcess" w:date="2019-05-20T15:05:00Z">
        <w:r>
          <w:delText xml:space="preserve"> by</w:delText>
        </w:r>
      </w:del>
      <w:ins w:id="791" w:author="svcMRProcess" w:date="2019-05-20T15:05:00Z">
        <w:r>
          <w:t>:</w:t>
        </w:r>
      </w:ins>
      <w:r>
        <w:t xml:space="preserve"> No. 1 of 1995 s. 35.]</w:t>
      </w:r>
    </w:p>
    <w:p>
      <w:pPr>
        <w:pStyle w:val="yHeading5"/>
        <w:rPr>
          <w:snapToGrid w:val="0"/>
        </w:rPr>
      </w:pPr>
      <w:bookmarkStart w:id="792" w:name="_Toc515437172"/>
      <w:bookmarkStart w:id="793" w:name="_Toc503880817"/>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792"/>
      <w:bookmarkEnd w:id="793"/>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794" w:name="_Toc515437173"/>
      <w:bookmarkStart w:id="795" w:name="_Toc503880818"/>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794"/>
      <w:bookmarkEnd w:id="795"/>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keepNext/>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spacing w:before="180"/>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spacing w:before="180"/>
        <w:rPr>
          <w:snapToGrid w:val="0"/>
        </w:rPr>
      </w:pPr>
      <w:r>
        <w:rPr>
          <w:snapToGrid w:val="0"/>
        </w:rPr>
        <w:tab/>
        <w:t>(14c)</w:t>
      </w:r>
      <w:r>
        <w:rPr>
          <w:snapToGrid w:val="0"/>
        </w:rPr>
        <w:tab/>
        <w:t>Subclause (5) applies to a person who is appointed under a process referred to in subclause (14a).</w:t>
      </w:r>
    </w:p>
    <w:p>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spacing w:before="180"/>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keepNext/>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w:t>
      </w:r>
      <w:del w:id="796" w:author="svcMRProcess" w:date="2019-05-20T15:05:00Z">
        <w:r>
          <w:delText xml:space="preserve"> in</w:delText>
        </w:r>
      </w:del>
      <w:ins w:id="797" w:author="svcMRProcess" w:date="2019-05-20T15:05:00Z">
        <w:r>
          <w:t>:</w:t>
        </w:r>
      </w:ins>
      <w:r>
        <w:t xml:space="preserve"> Gazette 16 Sep 1994 p. 4804; 2 May 1995 p. 1691; 27 Sep 1996 p. 4827; 19 Nov 1999 p. 5795; No. 8 of 2014 s. 17.]</w:t>
      </w:r>
    </w:p>
    <w:p>
      <w:pPr>
        <w:pStyle w:val="yHeading5"/>
        <w:rPr>
          <w:snapToGrid w:val="0"/>
        </w:rPr>
      </w:pPr>
      <w:bookmarkStart w:id="798" w:name="_Toc515437174"/>
      <w:bookmarkStart w:id="799" w:name="_Toc503880819"/>
      <w:r>
        <w:rPr>
          <w:rStyle w:val="CharSClsNo"/>
        </w:rPr>
        <w:t>14</w:t>
      </w:r>
      <w:r>
        <w:rPr>
          <w:snapToGrid w:val="0"/>
        </w:rPr>
        <w:t xml:space="preserve">. </w:t>
      </w:r>
      <w:r>
        <w:rPr>
          <w:snapToGrid w:val="0"/>
        </w:rPr>
        <w:tab/>
        <w:t>Senior officers (repealed Act s. 39)</w:t>
      </w:r>
      <w:bookmarkEnd w:id="798"/>
      <w:bookmarkEnd w:id="799"/>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800" w:name="_Toc515437175"/>
      <w:bookmarkStart w:id="801" w:name="_Toc503880820"/>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800"/>
      <w:bookmarkEnd w:id="801"/>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w:t>
      </w:r>
      <w:del w:id="802" w:author="svcMRProcess" w:date="2019-05-20T15:05:00Z">
        <w:r>
          <w:delText xml:space="preserve"> in</w:delText>
        </w:r>
      </w:del>
      <w:ins w:id="803" w:author="svcMRProcess" w:date="2019-05-20T15:05:00Z">
        <w:r>
          <w:t>:</w:t>
        </w:r>
      </w:ins>
      <w:r>
        <w:t xml:space="preserve"> Gazette 16 Sep 1994 p. 4804; 9 Dec 1994 p. 6715.]</w:t>
      </w:r>
    </w:p>
    <w:p>
      <w:pPr>
        <w:pStyle w:val="yHeading5"/>
        <w:rPr>
          <w:snapToGrid w:val="0"/>
        </w:rPr>
      </w:pPr>
      <w:bookmarkStart w:id="804" w:name="_Toc515437176"/>
      <w:bookmarkStart w:id="805" w:name="_Toc503880821"/>
      <w:r>
        <w:rPr>
          <w:rStyle w:val="CharSClsNo"/>
        </w:rPr>
        <w:t>16</w:t>
      </w:r>
      <w:r>
        <w:rPr>
          <w:snapToGrid w:val="0"/>
        </w:rPr>
        <w:t xml:space="preserve">. </w:t>
      </w:r>
      <w:r>
        <w:rPr>
          <w:snapToGrid w:val="0"/>
        </w:rPr>
        <w:tab/>
      </w:r>
      <w:r>
        <w:t>Long</w:t>
      </w:r>
      <w:r>
        <w:rPr>
          <w:snapToGrid w:val="0"/>
        </w:rPr>
        <w:t xml:space="preserve"> service leave and recreation leave</w:t>
      </w:r>
      <w:bookmarkEnd w:id="804"/>
      <w:bookmarkEnd w:id="805"/>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806" w:name="_Toc515437177"/>
      <w:bookmarkStart w:id="807" w:name="_Toc503880822"/>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806"/>
      <w:bookmarkEnd w:id="807"/>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808" w:name="_Toc515437178"/>
      <w:bookmarkStart w:id="809" w:name="_Toc503880823"/>
      <w:r>
        <w:rPr>
          <w:rStyle w:val="CharSClsNo"/>
        </w:rPr>
        <w:t>18</w:t>
      </w:r>
      <w:r>
        <w:rPr>
          <w:snapToGrid w:val="0"/>
        </w:rPr>
        <w:t xml:space="preserve">. </w:t>
      </w:r>
      <w:r>
        <w:rPr>
          <w:snapToGrid w:val="0"/>
        </w:rPr>
        <w:tab/>
      </w:r>
      <w:r>
        <w:t>Regulations</w:t>
      </w:r>
      <w:bookmarkEnd w:id="808"/>
      <w:bookmarkEnd w:id="809"/>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810" w:name="_Toc515437179"/>
      <w:bookmarkStart w:id="811" w:name="_Toc503880824"/>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810"/>
      <w:bookmarkEnd w:id="811"/>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812" w:name="_Toc515437180"/>
      <w:bookmarkStart w:id="813" w:name="_Toc503880825"/>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812"/>
      <w:bookmarkEnd w:id="813"/>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814" w:name="_Toc515437181"/>
      <w:bookmarkStart w:id="815" w:name="_Toc503880826"/>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814"/>
      <w:bookmarkEnd w:id="815"/>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816" w:name="_Toc500423040"/>
      <w:bookmarkStart w:id="817" w:name="_Toc503259424"/>
      <w:bookmarkStart w:id="818" w:name="_Toc503265360"/>
      <w:bookmarkStart w:id="819" w:name="_Toc503880827"/>
      <w:bookmarkStart w:id="820" w:name="_Toc515436353"/>
      <w:bookmarkStart w:id="821" w:name="_Toc515437182"/>
      <w:r>
        <w:rPr>
          <w:rStyle w:val="CharSchNo"/>
        </w:rPr>
        <w:t>Schedule 6</w:t>
      </w:r>
      <w:r>
        <w:t> — </w:t>
      </w:r>
      <w:r>
        <w:rPr>
          <w:rStyle w:val="CharSchText"/>
        </w:rPr>
        <w:t>Transitional provisions relating to ministerial staff</w:t>
      </w:r>
      <w:bookmarkEnd w:id="816"/>
      <w:bookmarkEnd w:id="817"/>
      <w:bookmarkEnd w:id="818"/>
      <w:bookmarkEnd w:id="819"/>
      <w:bookmarkEnd w:id="820"/>
      <w:bookmarkEnd w:id="821"/>
    </w:p>
    <w:p>
      <w:pPr>
        <w:pStyle w:val="yShoulderClause"/>
        <w:rPr>
          <w:snapToGrid w:val="0"/>
        </w:rPr>
      </w:pPr>
      <w:r>
        <w:rPr>
          <w:snapToGrid w:val="0"/>
        </w:rPr>
        <w:t>[s. 108 and 111]</w:t>
      </w:r>
    </w:p>
    <w:p>
      <w:pPr>
        <w:pStyle w:val="yFootnoteheading"/>
      </w:pPr>
      <w:r>
        <w:tab/>
        <w:t>[Heading amended</w:t>
      </w:r>
      <w:del w:id="822" w:author="svcMRProcess" w:date="2019-05-20T15:05:00Z">
        <w:r>
          <w:delText xml:space="preserve"> by</w:delText>
        </w:r>
      </w:del>
      <w:ins w:id="823" w:author="svcMRProcess" w:date="2019-05-20T15:05:00Z">
        <w:r>
          <w:t>:</w:t>
        </w:r>
      </w:ins>
      <w:r>
        <w:t xml:space="preserve"> No. 19 of 2010 s. 4.]</w:t>
      </w:r>
    </w:p>
    <w:p>
      <w:pPr>
        <w:pStyle w:val="yHeading5"/>
        <w:spacing w:before="180"/>
        <w:rPr>
          <w:snapToGrid w:val="0"/>
        </w:rPr>
      </w:pPr>
      <w:bookmarkStart w:id="824" w:name="_Toc515437183"/>
      <w:bookmarkStart w:id="825" w:name="_Toc503880828"/>
      <w:r>
        <w:rPr>
          <w:rStyle w:val="CharSClsNo"/>
        </w:rPr>
        <w:t>1</w:t>
      </w:r>
      <w:r>
        <w:rPr>
          <w:snapToGrid w:val="0"/>
        </w:rPr>
        <w:t xml:space="preserve">. </w:t>
      </w:r>
      <w:r>
        <w:rPr>
          <w:snapToGrid w:val="0"/>
        </w:rPr>
        <w:tab/>
      </w:r>
      <w:r>
        <w:t>Ministerial</w:t>
      </w:r>
      <w:r>
        <w:rPr>
          <w:snapToGrid w:val="0"/>
        </w:rPr>
        <w:t xml:space="preserve"> staff</w:t>
      </w:r>
      <w:bookmarkEnd w:id="824"/>
      <w:bookmarkEnd w:id="825"/>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w:t>
      </w:r>
      <w:del w:id="826" w:author="svcMRProcess" w:date="2019-05-20T15:05:00Z">
        <w:r>
          <w:delText xml:space="preserve"> in</w:delText>
        </w:r>
      </w:del>
      <w:ins w:id="827" w:author="svcMRProcess" w:date="2019-05-20T15:05:00Z">
        <w:r>
          <w:t>:</w:t>
        </w:r>
      </w:ins>
      <w:r>
        <w:t xml:space="preserve"> Gazette 5 Jul 1996 p. 3252.]</w:t>
      </w:r>
    </w:p>
    <w:p>
      <w:pPr>
        <w:pStyle w:val="yHeading5"/>
        <w:rPr>
          <w:snapToGrid w:val="0"/>
        </w:rPr>
      </w:pPr>
      <w:bookmarkStart w:id="828" w:name="_Toc515437184"/>
      <w:bookmarkStart w:id="829" w:name="_Toc503880829"/>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828"/>
      <w:bookmarkEnd w:id="829"/>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w:t>
      </w:r>
      <w:del w:id="830" w:author="svcMRProcess" w:date="2019-05-20T15:05:00Z">
        <w:r>
          <w:delText xml:space="preserve"> by</w:delText>
        </w:r>
      </w:del>
      <w:ins w:id="831" w:author="svcMRProcess" w:date="2019-05-20T15:05:00Z">
        <w:r>
          <w:t>:</w:t>
        </w:r>
      </w:ins>
      <w:r>
        <w:t xml:space="preserve"> No. 57 of 1997 s. 99(5); amended</w:t>
      </w:r>
      <w:del w:id="832" w:author="svcMRProcess" w:date="2019-05-20T15:05:00Z">
        <w:r>
          <w:delText xml:space="preserve"> in</w:delText>
        </w:r>
      </w:del>
      <w:ins w:id="833" w:author="svcMRProcess" w:date="2019-05-20T15:05:00Z">
        <w:r>
          <w:t>:</w:t>
        </w:r>
      </w:ins>
      <w:r>
        <w:t xml:space="preserve"> Gazette 5 Jul 1996 p. 3252.]</w:t>
      </w:r>
    </w:p>
    <w:p>
      <w:pPr>
        <w:pStyle w:val="yHeading5"/>
        <w:rPr>
          <w:snapToGrid w:val="0"/>
        </w:rPr>
      </w:pPr>
      <w:bookmarkStart w:id="834" w:name="_Toc515437185"/>
      <w:bookmarkStart w:id="835" w:name="_Toc503880830"/>
      <w:r>
        <w:rPr>
          <w:rStyle w:val="CharSClsNo"/>
        </w:rPr>
        <w:t>3</w:t>
      </w:r>
      <w:r>
        <w:rPr>
          <w:snapToGrid w:val="0"/>
        </w:rPr>
        <w:t xml:space="preserve">. </w:t>
      </w:r>
      <w:r>
        <w:rPr>
          <w:snapToGrid w:val="0"/>
        </w:rPr>
        <w:tab/>
        <w:t xml:space="preserve">Restriction on subsequent employment in departments or </w:t>
      </w:r>
      <w:r>
        <w:t>organisations</w:t>
      </w:r>
      <w:bookmarkEnd w:id="834"/>
      <w:bookmarkEnd w:id="835"/>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w:t>
      </w:r>
      <w:del w:id="836" w:author="svcMRProcess" w:date="2019-05-20T15:05:00Z">
        <w:r>
          <w:delText xml:space="preserve"> in</w:delText>
        </w:r>
      </w:del>
      <w:ins w:id="837" w:author="svcMRProcess" w:date="2019-05-20T15:05:00Z">
        <w:r>
          <w:t>:</w:t>
        </w:r>
      </w:ins>
      <w:r>
        <w:t xml:space="preserve"> Gazette 5 Jul 1996 p. 3252.]</w:t>
      </w:r>
    </w:p>
    <w:p>
      <w:pPr>
        <w:pStyle w:val="yHeading5"/>
        <w:rPr>
          <w:snapToGrid w:val="0"/>
        </w:rPr>
      </w:pPr>
      <w:bookmarkStart w:id="838" w:name="_Toc515437186"/>
      <w:bookmarkStart w:id="839" w:name="_Toc503880831"/>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838"/>
      <w:bookmarkEnd w:id="839"/>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840" w:name="_Toc500423045"/>
      <w:bookmarkStart w:id="841" w:name="_Toc503259429"/>
      <w:bookmarkStart w:id="842" w:name="_Toc503265365"/>
      <w:bookmarkStart w:id="843" w:name="_Toc503880832"/>
      <w:bookmarkStart w:id="844" w:name="_Toc515436358"/>
      <w:bookmarkStart w:id="845" w:name="_Toc515437187"/>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840"/>
      <w:bookmarkEnd w:id="841"/>
      <w:bookmarkEnd w:id="842"/>
      <w:bookmarkEnd w:id="843"/>
      <w:bookmarkEnd w:id="844"/>
      <w:bookmarkEnd w:id="845"/>
    </w:p>
    <w:p>
      <w:pPr>
        <w:pStyle w:val="yShoulderClause"/>
      </w:pPr>
      <w:r>
        <w:t>[s. 113]</w:t>
      </w:r>
    </w:p>
    <w:p>
      <w:pPr>
        <w:pStyle w:val="yFootnoteheading"/>
      </w:pPr>
      <w:r>
        <w:tab/>
        <w:t>[Heading inserted</w:t>
      </w:r>
      <w:del w:id="846" w:author="svcMRProcess" w:date="2019-05-20T15:05:00Z">
        <w:r>
          <w:delText xml:space="preserve"> by</w:delText>
        </w:r>
      </w:del>
      <w:ins w:id="847" w:author="svcMRProcess" w:date="2019-05-20T15:05:00Z">
        <w:r>
          <w:t>:</w:t>
        </w:r>
      </w:ins>
      <w:r>
        <w:t xml:space="preserve"> No. 39 of 2010 s. 66.]</w:t>
      </w:r>
    </w:p>
    <w:p>
      <w:pPr>
        <w:pStyle w:val="yHeading5"/>
      </w:pPr>
      <w:bookmarkStart w:id="848" w:name="_Toc515437188"/>
      <w:bookmarkStart w:id="849" w:name="_Toc503880833"/>
      <w:r>
        <w:rPr>
          <w:rStyle w:val="CharSClsNo"/>
        </w:rPr>
        <w:t>1</w:t>
      </w:r>
      <w:r>
        <w:t>.</w:t>
      </w:r>
      <w:r>
        <w:rPr>
          <w:b w:val="0"/>
        </w:rPr>
        <w:tab/>
      </w:r>
      <w:r>
        <w:t>Terms used</w:t>
      </w:r>
      <w:bookmarkEnd w:id="848"/>
      <w:bookmarkEnd w:id="849"/>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w:t>
      </w:r>
      <w:del w:id="850" w:author="svcMRProcess" w:date="2019-05-20T15:05:00Z">
        <w:r>
          <w:delText xml:space="preserve"> by</w:delText>
        </w:r>
      </w:del>
      <w:ins w:id="851" w:author="svcMRProcess" w:date="2019-05-20T15:05:00Z">
        <w:r>
          <w:t>:</w:t>
        </w:r>
      </w:ins>
      <w:r>
        <w:t xml:space="preserve"> No. 39 of 2010 s. 66.]</w:t>
      </w:r>
    </w:p>
    <w:p>
      <w:pPr>
        <w:pStyle w:val="yHeading5"/>
      </w:pPr>
      <w:bookmarkStart w:id="852" w:name="_Toc515437189"/>
      <w:bookmarkStart w:id="853" w:name="_Toc503880834"/>
      <w:r>
        <w:rPr>
          <w:rStyle w:val="CharSClsNo"/>
        </w:rPr>
        <w:t>2</w:t>
      </w:r>
      <w:r>
        <w:t>.</w:t>
      </w:r>
      <w:r>
        <w:rPr>
          <w:b w:val="0"/>
        </w:rPr>
        <w:tab/>
      </w:r>
      <w:r>
        <w:t>Incumbent CEO remains in office as Public Sector Commissioner</w:t>
      </w:r>
      <w:bookmarkEnd w:id="852"/>
      <w:bookmarkEnd w:id="853"/>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w:t>
      </w:r>
      <w:del w:id="854" w:author="svcMRProcess" w:date="2019-05-20T15:05:00Z">
        <w:r>
          <w:delText xml:space="preserve"> by</w:delText>
        </w:r>
      </w:del>
      <w:ins w:id="855" w:author="svcMRProcess" w:date="2019-05-20T15:05:00Z">
        <w:r>
          <w:t>:</w:t>
        </w:r>
      </w:ins>
      <w:r>
        <w:t xml:space="preserve"> No. 39 of 2010 s. 66.]</w:t>
      </w:r>
    </w:p>
    <w:p>
      <w:pPr>
        <w:pStyle w:val="yHeading5"/>
      </w:pPr>
      <w:bookmarkStart w:id="856" w:name="_Toc515437190"/>
      <w:bookmarkStart w:id="857" w:name="_Toc503880835"/>
      <w:r>
        <w:rPr>
          <w:rStyle w:val="CharSClsNo"/>
        </w:rPr>
        <w:t>3</w:t>
      </w:r>
      <w:r>
        <w:t>.</w:t>
      </w:r>
      <w:r>
        <w:rPr>
          <w:b w:val="0"/>
        </w:rPr>
        <w:tab/>
      </w:r>
      <w:r>
        <w:t>Commissioner for Public Sector Standards, entitlement of</w:t>
      </w:r>
      <w:bookmarkEnd w:id="856"/>
      <w:bookmarkEnd w:id="857"/>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w:t>
      </w:r>
      <w:del w:id="858" w:author="svcMRProcess" w:date="2019-05-20T15:05:00Z">
        <w:r>
          <w:delText xml:space="preserve"> by</w:delText>
        </w:r>
      </w:del>
      <w:ins w:id="859" w:author="svcMRProcess" w:date="2019-05-20T15:05:00Z">
        <w:r>
          <w:t>:</w:t>
        </w:r>
      </w:ins>
      <w:r>
        <w:t xml:space="preserve"> No. 39 of 2010 s. 66.]</w:t>
      </w:r>
    </w:p>
    <w:p>
      <w:pPr>
        <w:pStyle w:val="yHeading5"/>
      </w:pPr>
      <w:bookmarkStart w:id="860" w:name="_Toc515437191"/>
      <w:bookmarkStart w:id="861" w:name="_Toc503880836"/>
      <w:r>
        <w:rPr>
          <w:rStyle w:val="CharSClsNo"/>
        </w:rPr>
        <w:t>4</w:t>
      </w:r>
      <w:r>
        <w:t>.</w:t>
      </w:r>
      <w:r>
        <w:rPr>
          <w:b w:val="0"/>
        </w:rPr>
        <w:tab/>
      </w:r>
      <w:r>
        <w:t>Approved procedures and other instruments</w:t>
      </w:r>
      <w:bookmarkEnd w:id="860"/>
      <w:bookmarkEnd w:id="861"/>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w:t>
      </w:r>
      <w:del w:id="862" w:author="svcMRProcess" w:date="2019-05-20T15:05:00Z">
        <w:r>
          <w:delText xml:space="preserve"> by</w:delText>
        </w:r>
      </w:del>
      <w:ins w:id="863" w:author="svcMRProcess" w:date="2019-05-20T15:05:00Z">
        <w:r>
          <w:t>:</w:t>
        </w:r>
      </w:ins>
      <w:r>
        <w:t xml:space="preserve"> No. 39 of 2010 s. 66.]</w:t>
      </w:r>
    </w:p>
    <w:p>
      <w:pPr>
        <w:pStyle w:val="yHeading5"/>
      </w:pPr>
      <w:bookmarkStart w:id="864" w:name="_Toc515437192"/>
      <w:bookmarkStart w:id="865" w:name="_Toc503880837"/>
      <w:r>
        <w:rPr>
          <w:rStyle w:val="CharSClsNo"/>
        </w:rPr>
        <w:t>5</w:t>
      </w:r>
      <w:r>
        <w:t>.</w:t>
      </w:r>
      <w:r>
        <w:rPr>
          <w:b w:val="0"/>
        </w:rPr>
        <w:tab/>
      </w:r>
      <w:r>
        <w:t>Reviews, special inquiries and investigations</w:t>
      </w:r>
      <w:bookmarkEnd w:id="864"/>
      <w:bookmarkEnd w:id="865"/>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w:t>
      </w:r>
      <w:del w:id="866" w:author="svcMRProcess" w:date="2019-05-20T15:05:00Z">
        <w:r>
          <w:delText xml:space="preserve"> by</w:delText>
        </w:r>
      </w:del>
      <w:ins w:id="867" w:author="svcMRProcess" w:date="2019-05-20T15:05:00Z">
        <w:r>
          <w:t>:</w:t>
        </w:r>
      </w:ins>
      <w:r>
        <w:t xml:space="preserve"> No. 39 of 2010 s. 66.]</w:t>
      </w:r>
    </w:p>
    <w:p>
      <w:pPr>
        <w:pStyle w:val="yHeading5"/>
        <w:keepLines w:val="0"/>
      </w:pPr>
      <w:bookmarkStart w:id="868" w:name="_Toc515437193"/>
      <w:bookmarkStart w:id="869" w:name="_Toc503880838"/>
      <w:r>
        <w:rPr>
          <w:rStyle w:val="CharSClsNo"/>
        </w:rPr>
        <w:t>6</w:t>
      </w:r>
      <w:r>
        <w:t>.</w:t>
      </w:r>
      <w:r>
        <w:rPr>
          <w:b w:val="0"/>
        </w:rPr>
        <w:tab/>
      </w:r>
      <w:r>
        <w:t>Special offices</w:t>
      </w:r>
      <w:bookmarkEnd w:id="868"/>
      <w:bookmarkEnd w:id="869"/>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w:t>
      </w:r>
      <w:del w:id="870" w:author="svcMRProcess" w:date="2019-05-20T15:05:00Z">
        <w:r>
          <w:delText xml:space="preserve"> by</w:delText>
        </w:r>
      </w:del>
      <w:ins w:id="871" w:author="svcMRProcess" w:date="2019-05-20T15:05:00Z">
        <w:r>
          <w:t>:</w:t>
        </w:r>
      </w:ins>
      <w:r>
        <w:t xml:space="preserve"> No. 39 of 2010 s. 66.]</w:t>
      </w:r>
    </w:p>
    <w:p>
      <w:pPr>
        <w:pStyle w:val="yHeading5"/>
      </w:pPr>
      <w:bookmarkStart w:id="872" w:name="_Toc515437194"/>
      <w:bookmarkStart w:id="873" w:name="_Toc503880839"/>
      <w:r>
        <w:rPr>
          <w:rStyle w:val="CharSClsNo"/>
        </w:rPr>
        <w:t>7</w:t>
      </w:r>
      <w:r>
        <w:t>.</w:t>
      </w:r>
      <w:r>
        <w:rPr>
          <w:b w:val="0"/>
        </w:rPr>
        <w:tab/>
      </w:r>
      <w:r>
        <w:t>Provisions affecting employment of CEOs</w:t>
      </w:r>
      <w:bookmarkEnd w:id="872"/>
      <w:bookmarkEnd w:id="873"/>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w:t>
      </w:r>
      <w:del w:id="874" w:author="svcMRProcess" w:date="2019-05-20T15:05:00Z">
        <w:r>
          <w:delText xml:space="preserve"> by</w:delText>
        </w:r>
      </w:del>
      <w:ins w:id="875" w:author="svcMRProcess" w:date="2019-05-20T15:05:00Z">
        <w:r>
          <w:t>:</w:t>
        </w:r>
      </w:ins>
      <w:r>
        <w:t xml:space="preserve"> No. 39 of 2010 s. 66.]</w:t>
      </w:r>
    </w:p>
    <w:p>
      <w:pPr>
        <w:pStyle w:val="yHeading5"/>
        <w:spacing w:before="180"/>
      </w:pPr>
      <w:bookmarkStart w:id="876" w:name="_Toc515437195"/>
      <w:bookmarkStart w:id="877" w:name="_Toc503880840"/>
      <w:r>
        <w:rPr>
          <w:rStyle w:val="CharSClsNo"/>
        </w:rPr>
        <w:t>8</w:t>
      </w:r>
      <w:r>
        <w:t>.</w:t>
      </w:r>
      <w:r>
        <w:rPr>
          <w:b w:val="0"/>
        </w:rPr>
        <w:tab/>
      </w:r>
      <w:r>
        <w:t>Continuing effect of things done under s. 97</w:t>
      </w:r>
      <w:bookmarkEnd w:id="876"/>
      <w:bookmarkEnd w:id="877"/>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w:t>
      </w:r>
      <w:del w:id="878" w:author="svcMRProcess" w:date="2019-05-20T15:05:00Z">
        <w:r>
          <w:delText xml:space="preserve"> by</w:delText>
        </w:r>
      </w:del>
      <w:ins w:id="879" w:author="svcMRProcess" w:date="2019-05-20T15:05:00Z">
        <w:r>
          <w:t>:</w:t>
        </w:r>
      </w:ins>
      <w:r>
        <w:t xml:space="preserve"> No. 39 of 2010 s. 66.]</w:t>
      </w:r>
    </w:p>
    <w:p>
      <w:pPr>
        <w:pStyle w:val="yHeading5"/>
      </w:pPr>
      <w:bookmarkStart w:id="880" w:name="_Toc515437196"/>
      <w:bookmarkStart w:id="881" w:name="_Toc503880841"/>
      <w:r>
        <w:rPr>
          <w:rStyle w:val="CharSClsNo"/>
        </w:rPr>
        <w:t>9</w:t>
      </w:r>
      <w:r>
        <w:t>.</w:t>
      </w:r>
      <w:r>
        <w:rPr>
          <w:b w:val="0"/>
        </w:rPr>
        <w:tab/>
      </w:r>
      <w:r>
        <w:t>Directions under s. 107</w:t>
      </w:r>
      <w:bookmarkEnd w:id="880"/>
      <w:bookmarkEnd w:id="881"/>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w:t>
      </w:r>
      <w:del w:id="882" w:author="svcMRProcess" w:date="2019-05-20T15:05:00Z">
        <w:r>
          <w:delText xml:space="preserve"> by</w:delText>
        </w:r>
      </w:del>
      <w:ins w:id="883" w:author="svcMRProcess" w:date="2019-05-20T15:05:00Z">
        <w:r>
          <w:t>:</w:t>
        </w:r>
      </w:ins>
      <w:r>
        <w:t xml:space="preserve"> No. 39 of 2010 s. 66.]</w:t>
      </w:r>
    </w:p>
    <w:p>
      <w:pPr>
        <w:pStyle w:val="yHeading5"/>
      </w:pPr>
      <w:bookmarkStart w:id="884" w:name="_Toc515437197"/>
      <w:bookmarkStart w:id="885" w:name="_Toc503880842"/>
      <w:r>
        <w:rPr>
          <w:rStyle w:val="CharSClsNo"/>
        </w:rPr>
        <w:t>10</w:t>
      </w:r>
      <w:r>
        <w:t>.</w:t>
      </w:r>
      <w:r>
        <w:tab/>
        <w:t>General savings as to acts of Commissioner</w:t>
      </w:r>
      <w:bookmarkEnd w:id="884"/>
      <w:bookmarkEnd w:id="885"/>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w:t>
      </w:r>
      <w:del w:id="886" w:author="svcMRProcess" w:date="2019-05-20T15:05:00Z">
        <w:r>
          <w:delText xml:space="preserve"> by</w:delText>
        </w:r>
      </w:del>
      <w:ins w:id="887" w:author="svcMRProcess" w:date="2019-05-20T15:05:00Z">
        <w:r>
          <w:t>:</w:t>
        </w:r>
      </w:ins>
      <w:r>
        <w:t xml:space="preserve"> No. 39 of 2010 s. 66.]</w:t>
      </w:r>
    </w:p>
    <w:p>
      <w:pPr>
        <w:pStyle w:val="yHeading5"/>
      </w:pPr>
      <w:bookmarkStart w:id="888" w:name="_Toc515437198"/>
      <w:bookmarkStart w:id="889" w:name="_Toc503880843"/>
      <w:r>
        <w:rPr>
          <w:rStyle w:val="CharSClsNo"/>
        </w:rPr>
        <w:t>11</w:t>
      </w:r>
      <w:r>
        <w:t>.</w:t>
      </w:r>
      <w:r>
        <w:rPr>
          <w:b w:val="0"/>
        </w:rPr>
        <w:tab/>
      </w:r>
      <w:r>
        <w:t>Power to amend subsidiary legislation</w:t>
      </w:r>
      <w:bookmarkEnd w:id="888"/>
      <w:bookmarkEnd w:id="889"/>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w:t>
      </w:r>
      <w:del w:id="890" w:author="svcMRProcess" w:date="2019-05-20T15:05:00Z">
        <w:r>
          <w:delText xml:space="preserve"> by</w:delText>
        </w:r>
      </w:del>
      <w:ins w:id="891" w:author="svcMRProcess" w:date="2019-05-20T15:05:00Z">
        <w:r>
          <w:t>:</w:t>
        </w:r>
      </w:ins>
      <w:r>
        <w:t xml:space="preserve"> No. 39 of 2010 s. 66.]</w:t>
      </w:r>
    </w:p>
    <w:p>
      <w:pPr>
        <w:pStyle w:val="yHeading5"/>
      </w:pPr>
      <w:bookmarkStart w:id="892" w:name="_Toc515437199"/>
      <w:bookmarkStart w:id="893" w:name="_Toc503880844"/>
      <w:r>
        <w:rPr>
          <w:rStyle w:val="CharSClsNo"/>
        </w:rPr>
        <w:t>12</w:t>
      </w:r>
      <w:r>
        <w:t>.</w:t>
      </w:r>
      <w:r>
        <w:rPr>
          <w:b w:val="0"/>
        </w:rPr>
        <w:tab/>
      </w:r>
      <w:r>
        <w:t>Transitional regulations</w:t>
      </w:r>
      <w:bookmarkEnd w:id="892"/>
      <w:bookmarkEnd w:id="893"/>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w:t>
      </w:r>
      <w:del w:id="894" w:author="svcMRProcess" w:date="2019-05-20T15:05:00Z">
        <w:r>
          <w:delText xml:space="preserve"> by</w:delText>
        </w:r>
      </w:del>
      <w:ins w:id="895" w:author="svcMRProcess" w:date="2019-05-20T15:05:00Z">
        <w:r>
          <w:t>:</w:t>
        </w:r>
      </w:ins>
      <w:r>
        <w:t xml:space="preserve"> No. 39 of 2010 s. 66.]</w:t>
      </w:r>
    </w:p>
    <w:p>
      <w:pPr>
        <w:pStyle w:val="yHeading5"/>
      </w:pPr>
      <w:bookmarkStart w:id="896" w:name="_Toc515437200"/>
      <w:bookmarkStart w:id="897" w:name="_Toc503880845"/>
      <w:r>
        <w:rPr>
          <w:rStyle w:val="CharSClsNo"/>
        </w:rPr>
        <w:t>13</w:t>
      </w:r>
      <w:r>
        <w:t>.</w:t>
      </w:r>
      <w:r>
        <w:rPr>
          <w:b w:val="0"/>
        </w:rPr>
        <w:tab/>
      </w:r>
      <w:r>
        <w:rPr>
          <w:i/>
          <w:iCs/>
        </w:rPr>
        <w:t>Interpretation Act 1984</w:t>
      </w:r>
      <w:r>
        <w:t xml:space="preserve"> not affected</w:t>
      </w:r>
      <w:bookmarkEnd w:id="896"/>
      <w:bookmarkEnd w:id="897"/>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w:t>
      </w:r>
      <w:del w:id="898" w:author="svcMRProcess" w:date="2019-05-20T15:05:00Z">
        <w:r>
          <w:delText xml:space="preserve"> by</w:delText>
        </w:r>
      </w:del>
      <w:ins w:id="899" w:author="svcMRProcess" w:date="2019-05-20T15:05:00Z">
        <w:r>
          <w:t>:</w:t>
        </w:r>
      </w:ins>
      <w:r>
        <w:t xml:space="preserve"> No. 39 of 2010 s. 66.]</w:t>
      </w:r>
    </w:p>
    <w:p>
      <w:pPr>
        <w:pStyle w:val="yScheduleHeading"/>
      </w:pPr>
      <w:bookmarkStart w:id="900" w:name="_Toc500423059"/>
      <w:bookmarkStart w:id="901" w:name="_Toc503259443"/>
      <w:bookmarkStart w:id="902" w:name="_Toc503265379"/>
      <w:bookmarkStart w:id="903" w:name="_Toc503880846"/>
      <w:bookmarkStart w:id="904" w:name="_Toc515436372"/>
      <w:bookmarkStart w:id="905" w:name="_Toc515437201"/>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900"/>
      <w:bookmarkEnd w:id="901"/>
      <w:bookmarkEnd w:id="902"/>
      <w:bookmarkEnd w:id="903"/>
      <w:bookmarkEnd w:id="904"/>
      <w:bookmarkEnd w:id="905"/>
    </w:p>
    <w:p>
      <w:pPr>
        <w:pStyle w:val="yShoulderClause"/>
      </w:pPr>
      <w:r>
        <w:t>[s. 114]</w:t>
      </w:r>
    </w:p>
    <w:p>
      <w:pPr>
        <w:pStyle w:val="Footnoteheading"/>
      </w:pPr>
      <w:r>
        <w:tab/>
        <w:t>[Heading inserted</w:t>
      </w:r>
      <w:del w:id="906" w:author="svcMRProcess" w:date="2019-05-20T15:05:00Z">
        <w:r>
          <w:delText xml:space="preserve"> by</w:delText>
        </w:r>
      </w:del>
      <w:ins w:id="907" w:author="svcMRProcess" w:date="2019-05-20T15:05:00Z">
        <w:r>
          <w:t>:</w:t>
        </w:r>
      </w:ins>
      <w:r>
        <w:t xml:space="preserve"> No. 39 of 2010 s. 108.] </w:t>
      </w:r>
    </w:p>
    <w:p>
      <w:pPr>
        <w:pStyle w:val="yHeading5"/>
      </w:pPr>
      <w:bookmarkStart w:id="908" w:name="_Toc515437202"/>
      <w:bookmarkStart w:id="909" w:name="_Toc503880847"/>
      <w:r>
        <w:rPr>
          <w:rStyle w:val="CharSClsNo"/>
        </w:rPr>
        <w:t>1</w:t>
      </w:r>
      <w:r>
        <w:t>.</w:t>
      </w:r>
      <w:r>
        <w:rPr>
          <w:b w:val="0"/>
        </w:rPr>
        <w:tab/>
      </w:r>
      <w:r>
        <w:t>Term used: commencement day</w:t>
      </w:r>
      <w:bookmarkEnd w:id="908"/>
      <w:bookmarkEnd w:id="909"/>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p>
    <w:p>
      <w:pPr>
        <w:pStyle w:val="yFootnotesection"/>
      </w:pPr>
      <w:r>
        <w:tab/>
        <w:t>[Clause 1 inserted</w:t>
      </w:r>
      <w:del w:id="910" w:author="svcMRProcess" w:date="2019-05-20T15:05:00Z">
        <w:r>
          <w:delText xml:space="preserve"> by</w:delText>
        </w:r>
      </w:del>
      <w:ins w:id="911" w:author="svcMRProcess" w:date="2019-05-20T15:05:00Z">
        <w:r>
          <w:t>:</w:t>
        </w:r>
      </w:ins>
      <w:r>
        <w:t xml:space="preserve"> No. 39 of 2010 s. 108.]</w:t>
      </w:r>
    </w:p>
    <w:p>
      <w:pPr>
        <w:pStyle w:val="yHeading5"/>
      </w:pPr>
      <w:bookmarkStart w:id="912" w:name="_Toc515437203"/>
      <w:bookmarkStart w:id="913" w:name="_Toc503880848"/>
      <w:r>
        <w:rPr>
          <w:rStyle w:val="CharSClsNo"/>
        </w:rPr>
        <w:t>2</w:t>
      </w:r>
      <w:r>
        <w:t>.</w:t>
      </w:r>
      <w:r>
        <w:rPr>
          <w:b w:val="0"/>
        </w:rPr>
        <w:tab/>
      </w:r>
      <w:r>
        <w:t>Disciplinary proceedings under Part 5 Div. 3</w:t>
      </w:r>
      <w:bookmarkEnd w:id="912"/>
      <w:bookmarkEnd w:id="913"/>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w:t>
      </w:r>
      <w:del w:id="914" w:author="svcMRProcess" w:date="2019-05-20T15:05:00Z">
        <w:r>
          <w:delText xml:space="preserve"> by</w:delText>
        </w:r>
      </w:del>
      <w:ins w:id="915" w:author="svcMRProcess" w:date="2019-05-20T15:05:00Z">
        <w:r>
          <w:t>:</w:t>
        </w:r>
      </w:ins>
      <w:r>
        <w:t xml:space="preserve"> No. 39 of 2010 s. 108.]</w:t>
      </w:r>
    </w:p>
    <w:p>
      <w:pPr>
        <w:pStyle w:val="yHeading5"/>
      </w:pPr>
      <w:bookmarkStart w:id="916" w:name="_Toc515437204"/>
      <w:bookmarkStart w:id="917" w:name="_Toc503880849"/>
      <w:r>
        <w:rPr>
          <w:rStyle w:val="CharSClsNo"/>
        </w:rPr>
        <w:t>3</w:t>
      </w:r>
      <w:r>
        <w:t>.</w:t>
      </w:r>
      <w:r>
        <w:rPr>
          <w:b w:val="0"/>
        </w:rPr>
        <w:tab/>
      </w:r>
      <w:r>
        <w:t>Suspensions under s. 82</w:t>
      </w:r>
      <w:bookmarkEnd w:id="916"/>
      <w:bookmarkEnd w:id="917"/>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w:t>
      </w:r>
      <w:del w:id="918" w:author="svcMRProcess" w:date="2019-05-20T15:05:00Z">
        <w:r>
          <w:delText xml:space="preserve"> by</w:delText>
        </w:r>
      </w:del>
      <w:ins w:id="919" w:author="svcMRProcess" w:date="2019-05-20T15:05:00Z">
        <w:r>
          <w:t>:</w:t>
        </w:r>
      </w:ins>
      <w:r>
        <w:t xml:space="preserve"> No. 39 of 2010 s. 108.]</w:t>
      </w:r>
    </w:p>
    <w:p>
      <w:pPr>
        <w:pStyle w:val="yHeading5"/>
      </w:pPr>
      <w:bookmarkStart w:id="920" w:name="_Toc515437205"/>
      <w:bookmarkStart w:id="921" w:name="_Toc503880850"/>
      <w:r>
        <w:rPr>
          <w:rStyle w:val="CharSClsNo"/>
        </w:rPr>
        <w:t>4</w:t>
      </w:r>
      <w:r>
        <w:t>.</w:t>
      </w:r>
      <w:r>
        <w:rPr>
          <w:b w:val="0"/>
        </w:rPr>
        <w:tab/>
      </w:r>
      <w:r>
        <w:t>Appeals under s. 78</w:t>
      </w:r>
      <w:bookmarkEnd w:id="920"/>
      <w:bookmarkEnd w:id="921"/>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w:t>
      </w:r>
      <w:del w:id="922" w:author="svcMRProcess" w:date="2019-05-20T15:05:00Z">
        <w:r>
          <w:delText xml:space="preserve"> by</w:delText>
        </w:r>
      </w:del>
      <w:ins w:id="923" w:author="svcMRProcess" w:date="2019-05-20T15:05:00Z">
        <w:r>
          <w:t>:</w:t>
        </w:r>
      </w:ins>
      <w:r>
        <w:t xml:space="preserve"> No. 39 of 2010 s. 108.]</w:t>
      </w:r>
    </w:p>
    <w:p>
      <w:pPr>
        <w:pStyle w:val="yHeading5"/>
      </w:pPr>
      <w:bookmarkStart w:id="924" w:name="_Toc515437206"/>
      <w:bookmarkStart w:id="925" w:name="_Toc503880851"/>
      <w:r>
        <w:rPr>
          <w:rStyle w:val="CharSClsNo"/>
        </w:rPr>
        <w:t>5</w:t>
      </w:r>
      <w:r>
        <w:t>.</w:t>
      </w:r>
      <w:r>
        <w:rPr>
          <w:b w:val="0"/>
        </w:rPr>
        <w:tab/>
      </w:r>
      <w:r>
        <w:t>Power to amend subsidiary legislation</w:t>
      </w:r>
      <w:bookmarkEnd w:id="924"/>
      <w:bookmarkEnd w:id="925"/>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w:t>
      </w:r>
      <w:del w:id="926" w:author="svcMRProcess" w:date="2019-05-20T15:05:00Z">
        <w:r>
          <w:delText xml:space="preserve"> by</w:delText>
        </w:r>
      </w:del>
      <w:ins w:id="927" w:author="svcMRProcess" w:date="2019-05-20T15:05:00Z">
        <w:r>
          <w:t>:</w:t>
        </w:r>
      </w:ins>
      <w:r>
        <w:t xml:space="preserve"> No. 39 of 2010 s. 108.]</w:t>
      </w:r>
    </w:p>
    <w:p>
      <w:pPr>
        <w:pStyle w:val="yHeading5"/>
      </w:pPr>
      <w:bookmarkStart w:id="928" w:name="_Toc515437207"/>
      <w:bookmarkStart w:id="929" w:name="_Toc503880852"/>
      <w:r>
        <w:rPr>
          <w:rStyle w:val="CharSClsNo"/>
        </w:rPr>
        <w:t>6</w:t>
      </w:r>
      <w:r>
        <w:t>.</w:t>
      </w:r>
      <w:r>
        <w:rPr>
          <w:b w:val="0"/>
        </w:rPr>
        <w:tab/>
      </w:r>
      <w:r>
        <w:t>Transitional regulations</w:t>
      </w:r>
      <w:bookmarkEnd w:id="928"/>
      <w:bookmarkEnd w:id="929"/>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w:t>
      </w:r>
      <w:del w:id="930" w:author="svcMRProcess" w:date="2019-05-20T15:05:00Z">
        <w:r>
          <w:delText xml:space="preserve"> by</w:delText>
        </w:r>
      </w:del>
      <w:ins w:id="931" w:author="svcMRProcess" w:date="2019-05-20T15:05:00Z">
        <w:r>
          <w:t>:</w:t>
        </w:r>
      </w:ins>
      <w:r>
        <w:t xml:space="preserve"> No. 39 of 2010 s. 108.]</w:t>
      </w:r>
    </w:p>
    <w:p>
      <w:pPr>
        <w:pStyle w:val="yHeading5"/>
      </w:pPr>
      <w:bookmarkStart w:id="932" w:name="_Toc515437208"/>
      <w:bookmarkStart w:id="933" w:name="_Toc503880853"/>
      <w:r>
        <w:rPr>
          <w:rStyle w:val="CharSClsNo"/>
        </w:rPr>
        <w:t>7</w:t>
      </w:r>
      <w:r>
        <w:t>.</w:t>
      </w:r>
      <w:r>
        <w:rPr>
          <w:b w:val="0"/>
        </w:rPr>
        <w:tab/>
      </w:r>
      <w:r>
        <w:rPr>
          <w:i/>
          <w:iCs/>
        </w:rPr>
        <w:t>Interpretation Act 1984</w:t>
      </w:r>
      <w:r>
        <w:t xml:space="preserve"> not affected</w:t>
      </w:r>
      <w:bookmarkEnd w:id="932"/>
      <w:bookmarkEnd w:id="933"/>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w:t>
      </w:r>
      <w:del w:id="934" w:author="svcMRProcess" w:date="2019-05-20T15:05:00Z">
        <w:r>
          <w:delText xml:space="preserve"> by</w:delText>
        </w:r>
      </w:del>
      <w:ins w:id="935" w:author="svcMRProcess" w:date="2019-05-20T15:05:00Z">
        <w:r>
          <w:t>:</w:t>
        </w:r>
      </w:ins>
      <w:r>
        <w:t xml:space="preserve"> No. 39 of 2010 s. 108.]</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nHeading2"/>
        <w:outlineLvl w:val="0"/>
      </w:pPr>
      <w:bookmarkStart w:id="936" w:name="_Toc500423067"/>
      <w:bookmarkStart w:id="937" w:name="_Toc503259451"/>
      <w:bookmarkStart w:id="938" w:name="_Toc503265387"/>
      <w:bookmarkStart w:id="939" w:name="_Toc503880854"/>
      <w:bookmarkStart w:id="940" w:name="_Toc515436380"/>
      <w:bookmarkStart w:id="941" w:name="_Toc515437209"/>
      <w:r>
        <w:t>Notes</w:t>
      </w:r>
      <w:bookmarkEnd w:id="936"/>
      <w:bookmarkEnd w:id="937"/>
      <w:bookmarkEnd w:id="938"/>
      <w:bookmarkEnd w:id="939"/>
      <w:bookmarkEnd w:id="940"/>
      <w:bookmarkEnd w:id="941"/>
    </w:p>
    <w:p>
      <w:pPr>
        <w:pStyle w:val="nSubsection"/>
      </w:pPr>
      <w:r>
        <w:rPr>
          <w:vertAlign w:val="superscript"/>
        </w:rPr>
        <w:t>1</w:t>
      </w:r>
      <w:r>
        <w:tab/>
        <w:t xml:space="preserve">This </w:t>
      </w:r>
      <w:del w:id="942" w:author="svcMRProcess" w:date="2019-05-20T15:05:00Z">
        <w:r>
          <w:delText xml:space="preserve">reprint </w:delText>
        </w:r>
      </w:del>
      <w:r>
        <w:t>is a compilation</w:t>
      </w:r>
      <w:del w:id="943" w:author="svcMRProcess" w:date="2019-05-20T15:05:00Z">
        <w:r>
          <w:delText xml:space="preserve"> as at 12 January 2018</w:delText>
        </w:r>
      </w:del>
      <w:r>
        <w:t xml:space="preserve"> of the </w:t>
      </w:r>
      <w:r>
        <w:rPr>
          <w:i/>
          <w:noProof/>
        </w:rPr>
        <w:t>Public Sector Management Act 1994</w:t>
      </w:r>
      <w:r>
        <w:t xml:space="preserve"> and includes the amendments made by the other written laws referred to in the following table</w:t>
      </w:r>
      <w:r>
        <w:rPr>
          <w:vertAlign w:val="superscript"/>
        </w:rPr>
        <w:t> 1a,</w:t>
      </w:r>
      <w:del w:id="944" w:author="svcMRProcess" w:date="2019-05-20T15:05:00Z">
        <w:r>
          <w:rPr>
            <w:vertAlign w:val="superscript"/>
          </w:rPr>
          <w:delText xml:space="preserve"> </w:delText>
        </w:r>
      </w:del>
      <w:ins w:id="945" w:author="svcMRProcess" w:date="2019-05-20T15:05:00Z">
        <w:r>
          <w:rPr>
            <w:vertAlign w:val="superscript"/>
          </w:rPr>
          <w:t> </w:t>
        </w:r>
      </w:ins>
      <w:r>
        <w:rPr>
          <w:vertAlign w:val="superscript"/>
        </w:rPr>
        <w:t>5,</w:t>
      </w:r>
      <w:del w:id="946" w:author="svcMRProcess" w:date="2019-05-20T15:05:00Z">
        <w:r>
          <w:rPr>
            <w:vertAlign w:val="superscript"/>
          </w:rPr>
          <w:delText xml:space="preserve"> </w:delText>
        </w:r>
      </w:del>
      <w:ins w:id="947" w:author="svcMRProcess" w:date="2019-05-20T15:05:00Z">
        <w:r>
          <w:rPr>
            <w:vertAlign w:val="superscript"/>
          </w:rPr>
          <w:t> </w:t>
        </w:r>
      </w:ins>
      <w:r>
        <w:rPr>
          <w:vertAlign w:val="superscript"/>
        </w:rPr>
        <w:t>6</w:t>
      </w:r>
      <w:r>
        <w:t>.  The table also contains information about any reprint.</w:t>
      </w:r>
    </w:p>
    <w:p>
      <w:pPr>
        <w:pStyle w:val="nHeading3"/>
        <w:rPr>
          <w:snapToGrid w:val="0"/>
        </w:rPr>
      </w:pPr>
      <w:bookmarkStart w:id="948" w:name="_Toc515437210"/>
      <w:bookmarkStart w:id="949" w:name="_Toc503880855"/>
      <w:r>
        <w:rPr>
          <w:snapToGrid w:val="0"/>
        </w:rPr>
        <w:t>Compilation table</w:t>
      </w:r>
      <w:bookmarkEnd w:id="948"/>
      <w:bookmarkEnd w:id="94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Public Sector Management Act 1994</w:t>
            </w:r>
          </w:p>
        </w:tc>
        <w:tc>
          <w:tcPr>
            <w:tcW w:w="1134" w:type="dxa"/>
          </w:tcPr>
          <w:p>
            <w:pPr>
              <w:pStyle w:val="nTable"/>
              <w:spacing w:after="40"/>
            </w:pPr>
            <w:r>
              <w:t>31 of 1994</w:t>
            </w:r>
          </w:p>
        </w:tc>
        <w:tc>
          <w:tcPr>
            <w:tcW w:w="1134" w:type="dxa"/>
          </w:tcPr>
          <w:p>
            <w:pPr>
              <w:pStyle w:val="nTable"/>
              <w:spacing w:after="40"/>
            </w:pPr>
            <w:r>
              <w:t>8 Jul 1994</w:t>
            </w:r>
          </w:p>
        </w:tc>
        <w:tc>
          <w:tcPr>
            <w:tcW w:w="2551" w:type="dxa"/>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1" w:type="dxa"/>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1" w:type="dxa"/>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1" w:type="dxa"/>
          </w:tcPr>
          <w:p>
            <w:pPr>
              <w:pStyle w:val="nTable"/>
              <w:spacing w:after="40"/>
            </w:pPr>
            <w: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1" w:type="dxa"/>
          </w:tcPr>
          <w:p>
            <w:pPr>
              <w:pStyle w:val="nTable"/>
              <w:spacing w:after="40"/>
            </w:pPr>
            <w:r>
              <w:t>9 Dec 1994</w:t>
            </w:r>
          </w:p>
        </w:tc>
      </w:tr>
      <w:tr>
        <w:trPr>
          <w:cantSplit/>
        </w:trPr>
        <w:tc>
          <w:tcPr>
            <w:tcW w:w="2268" w:type="dxa"/>
          </w:tcPr>
          <w:p>
            <w:pPr>
              <w:pStyle w:val="nTable"/>
              <w:spacing w:after="40"/>
            </w:pPr>
            <w:r>
              <w:rPr>
                <w:i/>
              </w:rPr>
              <w:t xml:space="preserve">Energy Corporations (Transitional and Consequential Provisions) Act 1994 </w:t>
            </w:r>
            <w:r>
              <w:t>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1" w:type="dxa"/>
            <w:tcBorders>
              <w:top w:val="nil"/>
              <w:bottom w:val="nil"/>
            </w:tcBorders>
          </w:tcPr>
          <w:p>
            <w:pPr>
              <w:pStyle w:val="nTable"/>
              <w:spacing w:after="40"/>
            </w:pPr>
            <w:r>
              <w:t>23 Dec 1994</w:t>
            </w:r>
          </w:p>
        </w:tc>
      </w:tr>
      <w:tr>
        <w:trPr>
          <w:cantSplit/>
        </w:trPr>
        <w:tc>
          <w:tcPr>
            <w:tcW w:w="2268" w:type="dxa"/>
          </w:tcPr>
          <w:p>
            <w:pPr>
              <w:pStyle w:val="nTable"/>
              <w:spacing w:after="40"/>
            </w:pPr>
            <w:r>
              <w:rPr>
                <w:i/>
              </w:rPr>
              <w:t xml:space="preserve">State Supply Commission Amendment Act (No. 2) 1994 </w:t>
            </w:r>
            <w:r>
              <w:t>s. 16</w:t>
            </w:r>
          </w:p>
        </w:tc>
        <w:tc>
          <w:tcPr>
            <w:tcW w:w="1134" w:type="dxa"/>
          </w:tcPr>
          <w:p>
            <w:pPr>
              <w:pStyle w:val="nTable"/>
              <w:spacing w:after="40"/>
            </w:pPr>
            <w:r>
              <w:t>97 of 1994</w:t>
            </w:r>
          </w:p>
        </w:tc>
        <w:tc>
          <w:tcPr>
            <w:tcW w:w="1134" w:type="dxa"/>
          </w:tcPr>
          <w:p>
            <w:pPr>
              <w:pStyle w:val="nTable"/>
              <w:spacing w:after="40"/>
            </w:pPr>
            <w:r>
              <w:t>30 Dec 1994</w:t>
            </w:r>
          </w:p>
        </w:tc>
        <w:tc>
          <w:tcPr>
            <w:tcW w:w="2551" w:type="dxa"/>
          </w:tcPr>
          <w:p>
            <w:pPr>
              <w:pStyle w:val="nTable"/>
              <w:spacing w:after="40"/>
            </w:pPr>
            <w:r>
              <w:t xml:space="preserve">18 Mar 1995 (see s. 2(2) and </w:t>
            </w:r>
            <w:r>
              <w:rPr>
                <w:i/>
              </w:rPr>
              <w:t>Gazette</w:t>
            </w:r>
            <w:r>
              <w:t xml:space="preserve"> 17 Mar 1995 p. 1011)</w:t>
            </w:r>
          </w:p>
        </w:tc>
      </w:tr>
      <w:tr>
        <w:trPr>
          <w:cantSplit/>
        </w:trPr>
        <w:tc>
          <w:tcPr>
            <w:tcW w:w="2268" w:type="dxa"/>
          </w:tcPr>
          <w:p>
            <w:pPr>
              <w:pStyle w:val="nTable"/>
              <w:spacing w:after="40"/>
            </w:pPr>
            <w:r>
              <w:rPr>
                <w:i/>
              </w:rPr>
              <w:t xml:space="preserve">Hospitals Amendment Act 1994 </w:t>
            </w:r>
            <w:r>
              <w:t xml:space="preserve">s. 18 </w:t>
            </w:r>
          </w:p>
        </w:tc>
        <w:tc>
          <w:tcPr>
            <w:tcW w:w="1134" w:type="dxa"/>
          </w:tcPr>
          <w:p>
            <w:pPr>
              <w:pStyle w:val="nTable"/>
              <w:spacing w:after="40"/>
            </w:pPr>
            <w:r>
              <w:t>103 of 1994</w:t>
            </w:r>
          </w:p>
        </w:tc>
        <w:tc>
          <w:tcPr>
            <w:tcW w:w="1134" w:type="dxa"/>
          </w:tcPr>
          <w:p>
            <w:pPr>
              <w:pStyle w:val="nTable"/>
              <w:spacing w:after="40"/>
            </w:pPr>
            <w:r>
              <w:t>11 Jan 1995</w:t>
            </w:r>
          </w:p>
        </w:tc>
        <w:tc>
          <w:tcPr>
            <w:tcW w:w="2551" w:type="dxa"/>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1" w:type="dxa"/>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1" w:type="dxa"/>
            <w:tcBorders>
              <w:top w:val="nil"/>
            </w:tcBorders>
          </w:tcPr>
          <w:p>
            <w:pPr>
              <w:pStyle w:val="nTable"/>
              <w:spacing w:after="40"/>
            </w:pPr>
            <w:r>
              <w:t>2 May 1995</w:t>
            </w:r>
          </w:p>
        </w:tc>
      </w:tr>
      <w:tr>
        <w:trPr>
          <w:cantSplit/>
        </w:trPr>
        <w:tc>
          <w:tcPr>
            <w:tcW w:w="2268" w:type="dxa"/>
          </w:tcPr>
          <w:p>
            <w:pPr>
              <w:pStyle w:val="nTable"/>
              <w:spacing w:after="40"/>
            </w:pPr>
            <w:r>
              <w:rPr>
                <w:i/>
              </w:rPr>
              <w:t xml:space="preserve">Industrial Legislation Amendment Act 1995 </w:t>
            </w:r>
            <w:r>
              <w:t>s. 35</w:t>
            </w:r>
          </w:p>
        </w:tc>
        <w:tc>
          <w:tcPr>
            <w:tcW w:w="1134" w:type="dxa"/>
          </w:tcPr>
          <w:p>
            <w:pPr>
              <w:pStyle w:val="nTable"/>
              <w:spacing w:after="40"/>
            </w:pPr>
            <w:r>
              <w:t>1 of 1995</w:t>
            </w:r>
          </w:p>
        </w:tc>
        <w:tc>
          <w:tcPr>
            <w:tcW w:w="1134" w:type="dxa"/>
          </w:tcPr>
          <w:p>
            <w:pPr>
              <w:pStyle w:val="nTable"/>
              <w:spacing w:after="40"/>
            </w:pPr>
            <w:r>
              <w:t>9 May 1995</w:t>
            </w:r>
          </w:p>
        </w:tc>
        <w:tc>
          <w:tcPr>
            <w:tcW w:w="2551" w:type="dxa"/>
          </w:tcPr>
          <w:p>
            <w:pPr>
              <w:pStyle w:val="nTable"/>
              <w:spacing w:after="40"/>
            </w:pPr>
            <w:r>
              <w:t xml:space="preserve">1 Jan 1996 (see s. 2(2) and </w:t>
            </w:r>
            <w:r>
              <w:rPr>
                <w:i/>
              </w:rPr>
              <w:t>Gazette</w:t>
            </w:r>
            <w:r>
              <w:t xml:space="preserve"> 24 Nov 1995 p. 5389)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1" w:type="dxa"/>
          </w:tcPr>
          <w:p>
            <w:pPr>
              <w:pStyle w:val="nTable"/>
              <w:spacing w:after="40"/>
            </w:pPr>
            <w: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1" w:type="dxa"/>
          </w:tcPr>
          <w:p>
            <w:pPr>
              <w:pStyle w:val="nTable"/>
              <w:spacing w:after="40"/>
            </w:pPr>
            <w:r>
              <w:t>23 Jun 1995</w:t>
            </w:r>
          </w:p>
        </w:tc>
      </w:tr>
      <w:tr>
        <w:trPr>
          <w:cantSplit/>
        </w:trPr>
        <w:tc>
          <w:tcPr>
            <w:tcW w:w="2268" w:type="dxa"/>
          </w:tcPr>
          <w:p>
            <w:pPr>
              <w:pStyle w:val="nTable"/>
              <w:spacing w:after="40"/>
            </w:pPr>
            <w:r>
              <w:rPr>
                <w:i/>
              </w:rPr>
              <w:t xml:space="preserve">Occupational Safety and Health Legislation Amendment Act 1995 </w:t>
            </w:r>
            <w:r>
              <w:t>s. 48</w:t>
            </w:r>
          </w:p>
        </w:tc>
        <w:tc>
          <w:tcPr>
            <w:tcW w:w="1134" w:type="dxa"/>
          </w:tcPr>
          <w:p>
            <w:pPr>
              <w:pStyle w:val="nTable"/>
              <w:spacing w:after="40"/>
            </w:pPr>
            <w:r>
              <w:t>30 of 1995</w:t>
            </w:r>
          </w:p>
        </w:tc>
        <w:tc>
          <w:tcPr>
            <w:tcW w:w="1134" w:type="dxa"/>
          </w:tcPr>
          <w:p>
            <w:pPr>
              <w:pStyle w:val="nTable"/>
              <w:spacing w:after="40"/>
            </w:pPr>
            <w:r>
              <w:t>11 Sep 1995</w:t>
            </w:r>
          </w:p>
        </w:tc>
        <w:tc>
          <w:tcPr>
            <w:tcW w:w="2551" w:type="dxa"/>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1" w:type="dxa"/>
            <w:tcBorders>
              <w:bottom w:val="nil"/>
            </w:tcBorders>
          </w:tcPr>
          <w:p>
            <w:pPr>
              <w:pStyle w:val="nTable"/>
              <w:spacing w:after="40"/>
            </w:pPr>
            <w:r>
              <w:t>3 Nov 1995</w:t>
            </w:r>
          </w:p>
        </w:tc>
      </w:tr>
      <w:tr>
        <w:trPr>
          <w:cantSplit/>
        </w:trPr>
        <w:tc>
          <w:tcPr>
            <w:tcW w:w="2268" w:type="dxa"/>
          </w:tcPr>
          <w:p>
            <w:pPr>
              <w:pStyle w:val="nTable"/>
              <w:spacing w:after="40"/>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1" w:type="dxa"/>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6" w:type="dxa"/>
            <w:gridSpan w:val="3"/>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1" w:type="dxa"/>
          </w:tcPr>
          <w:p>
            <w:pPr>
              <w:pStyle w:val="nTable"/>
              <w:spacing w:after="40"/>
            </w:pPr>
            <w:r>
              <w:t>20 Aug 1996</w:t>
            </w:r>
          </w:p>
        </w:tc>
      </w:tr>
      <w:tr>
        <w:trPr>
          <w:cantSplit/>
        </w:trPr>
        <w:tc>
          <w:tcPr>
            <w:tcW w:w="4536" w:type="dxa"/>
            <w:gridSpan w:val="3"/>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1" w:type="dxa"/>
          </w:tcPr>
          <w:p>
            <w:pPr>
              <w:pStyle w:val="nTable"/>
              <w:spacing w:after="40"/>
            </w:pPr>
            <w:r>
              <w:t>27 Sep 1996</w:t>
            </w:r>
          </w:p>
        </w:tc>
      </w:tr>
      <w:tr>
        <w:trPr>
          <w:cantSplit/>
        </w:trPr>
        <w:tc>
          <w:tcPr>
            <w:tcW w:w="2268" w:type="dxa"/>
          </w:tcPr>
          <w:p>
            <w:pPr>
              <w:pStyle w:val="nTable"/>
              <w:spacing w:after="40"/>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Amendment Act 1996 </w:t>
            </w:r>
            <w:r>
              <w:t>s. 29</w:t>
            </w:r>
          </w:p>
        </w:tc>
        <w:tc>
          <w:tcPr>
            <w:tcW w:w="1134" w:type="dxa"/>
          </w:tcPr>
          <w:p>
            <w:pPr>
              <w:pStyle w:val="nTable"/>
              <w:spacing w:after="40"/>
            </w:pPr>
            <w:r>
              <w:t>35 of 1996</w:t>
            </w:r>
          </w:p>
        </w:tc>
        <w:tc>
          <w:tcPr>
            <w:tcW w:w="1134" w:type="dxa"/>
          </w:tcPr>
          <w:p>
            <w:pPr>
              <w:pStyle w:val="nTable"/>
              <w:spacing w:after="40"/>
            </w:pPr>
            <w:r>
              <w:t>27 Sep 1996</w:t>
            </w:r>
          </w:p>
        </w:tc>
        <w:tc>
          <w:tcPr>
            <w:tcW w:w="2551" w:type="dxa"/>
          </w:tcPr>
          <w:p>
            <w:pPr>
              <w:pStyle w:val="nTable"/>
              <w:spacing w:after="40"/>
            </w:pPr>
            <w:r>
              <w:t xml:space="preserve">13 Nov 1996 (see s. 2(2) and </w:t>
            </w:r>
            <w:r>
              <w:rPr>
                <w:i/>
              </w:rPr>
              <w:t>Gazette</w:t>
            </w:r>
            <w:r>
              <w:t xml:space="preserve"> 12 Nov 1996 p. 6301)</w:t>
            </w:r>
          </w:p>
        </w:tc>
      </w:tr>
      <w:tr>
        <w:trPr>
          <w:cantSplit/>
        </w:trPr>
        <w:tc>
          <w:tcPr>
            <w:tcW w:w="2268" w:type="dxa"/>
          </w:tcPr>
          <w:p>
            <w:pPr>
              <w:pStyle w:val="nTable"/>
              <w:spacing w:after="40"/>
            </w:pPr>
            <w:r>
              <w:rPr>
                <w:i/>
              </w:rPr>
              <w:t xml:space="preserve">Vocational Education and Training Act 1996 </w:t>
            </w:r>
            <w:r>
              <w:t>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tcPr>
          <w:p>
            <w:pPr>
              <w:pStyle w:val="nTable"/>
              <w:spacing w:after="40"/>
            </w:pPr>
            <w:r>
              <w:t>1 Jan 1997 (see s. 2 and </w:t>
            </w:r>
            <w:r>
              <w:rPr>
                <w:i/>
              </w:rPr>
              <w:t>Gazette</w:t>
            </w:r>
            <w:r>
              <w:t xml:space="preserve"> 12 Nov 1996 p. 6301)</w:t>
            </w:r>
          </w:p>
        </w:tc>
      </w:tr>
      <w:tr>
        <w:trPr>
          <w:cantSplit/>
        </w:trPr>
        <w:tc>
          <w:tcPr>
            <w:tcW w:w="2268" w:type="dxa"/>
          </w:tcPr>
          <w:p>
            <w:pPr>
              <w:pStyle w:val="nTable"/>
              <w:spacing w:after="40"/>
            </w:pPr>
            <w:r>
              <w:rPr>
                <w:i/>
              </w:rPr>
              <w:t xml:space="preserve">Acts Amendment (ICWA) Act 1996 </w:t>
            </w:r>
            <w:r>
              <w:t>s. 38</w:t>
            </w:r>
          </w:p>
        </w:tc>
        <w:tc>
          <w:tcPr>
            <w:tcW w:w="1134" w:type="dxa"/>
          </w:tcPr>
          <w:p>
            <w:pPr>
              <w:pStyle w:val="nTable"/>
              <w:spacing w:after="40"/>
            </w:pPr>
            <w:r>
              <w:t>45 of 1996</w:t>
            </w:r>
          </w:p>
        </w:tc>
        <w:tc>
          <w:tcPr>
            <w:tcW w:w="1134" w:type="dxa"/>
          </w:tcPr>
          <w:p>
            <w:pPr>
              <w:pStyle w:val="nTable"/>
              <w:spacing w:after="40"/>
            </w:pPr>
            <w:r>
              <w:t>25 Oct 1996</w:t>
            </w:r>
          </w:p>
        </w:tc>
        <w:tc>
          <w:tcPr>
            <w:tcW w:w="2551" w:type="dxa"/>
          </w:tcPr>
          <w:p>
            <w:pPr>
              <w:pStyle w:val="nTable"/>
              <w:spacing w:after="40"/>
            </w:pPr>
            <w:r>
              <w:t xml:space="preserve">1 Oct 1997 (see s. 2 and </w:t>
            </w:r>
            <w:r>
              <w:rPr>
                <w:i/>
              </w:rPr>
              <w:t>Gazette</w:t>
            </w:r>
            <w:r>
              <w:t xml:space="preserve"> 23 Sep 1997 p. 5357)</w:t>
            </w:r>
          </w:p>
        </w:tc>
      </w:tr>
      <w:tr>
        <w:trPr>
          <w:cantSplit/>
        </w:trPr>
        <w:tc>
          <w:tcPr>
            <w:tcW w:w="2268" w:type="dxa"/>
          </w:tcPr>
          <w:p>
            <w:pPr>
              <w:pStyle w:val="nTable"/>
              <w:spacing w:after="40"/>
            </w:pPr>
            <w:r>
              <w:rPr>
                <w:i/>
              </w:rPr>
              <w:t xml:space="preserve">Financial Legislation Amendment Act 1996 </w:t>
            </w:r>
            <w:r>
              <w:t>s. 58</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1" w:type="dxa"/>
            <w:tcBorders>
              <w:top w:val="nil"/>
            </w:tcBorders>
          </w:tcPr>
          <w:p>
            <w:pPr>
              <w:pStyle w:val="nTable"/>
              <w:spacing w:after="40"/>
            </w:pPr>
            <w:r>
              <w:t>28 Feb 1997</w:t>
            </w:r>
          </w:p>
        </w:tc>
      </w:tr>
      <w:tr>
        <w:trPr>
          <w:cantSplit/>
        </w:trPr>
        <w:tc>
          <w:tcPr>
            <w:tcW w:w="2268" w:type="dxa"/>
          </w:tcPr>
          <w:p>
            <w:pPr>
              <w:pStyle w:val="nTable"/>
              <w:spacing w:after="40"/>
            </w:pPr>
            <w:r>
              <w:rPr>
                <w:i/>
              </w:rPr>
              <w:t>Curriculum Council Act 1997</w:t>
            </w:r>
            <w:r>
              <w:t xml:space="preserve"> s. 35</w:t>
            </w:r>
          </w:p>
        </w:tc>
        <w:tc>
          <w:tcPr>
            <w:tcW w:w="1134" w:type="dxa"/>
          </w:tcPr>
          <w:p>
            <w:pPr>
              <w:pStyle w:val="nTable"/>
              <w:spacing w:after="40"/>
            </w:pPr>
            <w:r>
              <w:t>17 of 1997</w:t>
            </w:r>
          </w:p>
        </w:tc>
        <w:tc>
          <w:tcPr>
            <w:tcW w:w="1134" w:type="dxa"/>
          </w:tcPr>
          <w:p>
            <w:pPr>
              <w:pStyle w:val="nTable"/>
              <w:spacing w:after="40"/>
            </w:pPr>
            <w:r>
              <w:t>8 Jul 1997</w:t>
            </w:r>
          </w:p>
        </w:tc>
        <w:tc>
          <w:tcPr>
            <w:tcW w:w="2551" w:type="dxa"/>
          </w:tcPr>
          <w:p>
            <w:pPr>
              <w:pStyle w:val="nTable"/>
              <w:spacing w:after="40"/>
            </w:pPr>
            <w:r>
              <w:t xml:space="preserve">1 Aug 1997 (see s. 2 and </w:t>
            </w:r>
            <w:r>
              <w:rPr>
                <w:i/>
              </w:rPr>
              <w:t>Gazette</w:t>
            </w:r>
            <w:r>
              <w:t xml:space="preserve"> 25 Jul 1997 p. 3907)</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8" w:type="dxa"/>
          </w:tcPr>
          <w:p>
            <w:pPr>
              <w:pStyle w:val="nTable"/>
              <w:spacing w:after="40"/>
            </w:pPr>
            <w:r>
              <w:rPr>
                <w:i/>
              </w:rPr>
              <w:t xml:space="preserve">Professional Standards Act 1997 </w:t>
            </w:r>
            <w:r>
              <w:t>s. 58</w:t>
            </w:r>
          </w:p>
        </w:tc>
        <w:tc>
          <w:tcPr>
            <w:tcW w:w="1134" w:type="dxa"/>
          </w:tcPr>
          <w:p>
            <w:pPr>
              <w:pStyle w:val="nTable"/>
              <w:spacing w:after="40"/>
            </w:pPr>
            <w:r>
              <w:t>22 of 1997</w:t>
            </w:r>
          </w:p>
        </w:tc>
        <w:tc>
          <w:tcPr>
            <w:tcW w:w="1134" w:type="dxa"/>
          </w:tcPr>
          <w:p>
            <w:pPr>
              <w:pStyle w:val="nTable"/>
              <w:spacing w:after="40"/>
            </w:pPr>
            <w:r>
              <w:t>18 Sep 1997</w:t>
            </w:r>
          </w:p>
        </w:tc>
        <w:tc>
          <w:tcPr>
            <w:tcW w:w="2551" w:type="dxa"/>
          </w:tcPr>
          <w:p>
            <w:pPr>
              <w:pStyle w:val="nTable"/>
              <w:spacing w:after="40"/>
            </w:pPr>
            <w:r>
              <w:t xml:space="preserve">18 Apr 1998 (see s. 2 and </w:t>
            </w:r>
            <w:r>
              <w:rPr>
                <w:i/>
              </w:rPr>
              <w:t>Gazette</w:t>
            </w:r>
            <w:r>
              <w:t xml:space="preserve"> 17 Apr 1998 p. 2045)</w:t>
            </w:r>
          </w:p>
        </w:tc>
      </w:tr>
      <w:tr>
        <w:trPr>
          <w:cantSplit/>
        </w:trPr>
        <w:tc>
          <w:tcPr>
            <w:tcW w:w="2268" w:type="dxa"/>
          </w:tcPr>
          <w:p>
            <w:pPr>
              <w:pStyle w:val="nTable"/>
              <w:spacing w:after="40"/>
            </w:pPr>
            <w:r>
              <w:rPr>
                <w:i/>
              </w:rPr>
              <w:t xml:space="preserve">Statutes (Repeals and Minor Amendments) Act 1997 </w:t>
            </w:r>
            <w:r>
              <w:t>s. 99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1" w:type="dxa"/>
          </w:tcPr>
          <w:p>
            <w:pPr>
              <w:pStyle w:val="nTable"/>
              <w:spacing w:after="40"/>
            </w:pPr>
            <w: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1" w:type="dxa"/>
          </w:tcPr>
          <w:p>
            <w:pPr>
              <w:pStyle w:val="nTable"/>
              <w:spacing w:after="40"/>
            </w:pPr>
            <w:r>
              <w:t>17 Jul 1998</w:t>
            </w:r>
          </w:p>
        </w:tc>
      </w:tr>
      <w:tr>
        <w:trPr>
          <w:cantSplit/>
        </w:trPr>
        <w:tc>
          <w:tcPr>
            <w:tcW w:w="2268" w:type="dxa"/>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 </w:t>
            </w:r>
            <w:r>
              <w:t>s. 38</w:t>
            </w:r>
          </w:p>
        </w:tc>
        <w:tc>
          <w:tcPr>
            <w:tcW w:w="1134" w:type="dxa"/>
          </w:tcPr>
          <w:p>
            <w:pPr>
              <w:pStyle w:val="nTable"/>
              <w:spacing w:after="40"/>
            </w:pPr>
            <w:r>
              <w:t>42 of 1998</w:t>
            </w:r>
          </w:p>
        </w:tc>
        <w:tc>
          <w:tcPr>
            <w:tcW w:w="1134" w:type="dxa"/>
          </w:tcPr>
          <w:p>
            <w:pPr>
              <w:pStyle w:val="nTable"/>
              <w:spacing w:after="40"/>
            </w:pPr>
            <w:r>
              <w:t>4 Nov 1998</w:t>
            </w:r>
          </w:p>
        </w:tc>
        <w:tc>
          <w:tcPr>
            <w:tcW w:w="2551" w:type="dxa"/>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1" w:type="dxa"/>
            <w:tcBorders>
              <w:top w:val="nil"/>
              <w:bottom w:val="nil"/>
            </w:tcBorders>
          </w:tcPr>
          <w:p>
            <w:pPr>
              <w:pStyle w:val="nTable"/>
              <w:spacing w:after="40"/>
            </w:pPr>
            <w:r>
              <w:t>24 Nov 1998</w:t>
            </w:r>
          </w:p>
        </w:tc>
      </w:tr>
      <w:tr>
        <w:trPr>
          <w:cantSplit/>
        </w:trPr>
        <w:tc>
          <w:tcPr>
            <w:tcW w:w="2268" w:type="dxa"/>
          </w:tcPr>
          <w:p>
            <w:pPr>
              <w:pStyle w:val="nTable"/>
              <w:spacing w:after="40"/>
            </w:pPr>
            <w:r>
              <w:rPr>
                <w:i/>
              </w:rPr>
              <w:t xml:space="preserve">Botanic Gardens and Parks Authority Act 1998 </w:t>
            </w:r>
            <w:r>
              <w:t>s. 56</w:t>
            </w:r>
          </w:p>
        </w:tc>
        <w:tc>
          <w:tcPr>
            <w:tcW w:w="1134" w:type="dxa"/>
          </w:tcPr>
          <w:p>
            <w:pPr>
              <w:pStyle w:val="nTable"/>
              <w:spacing w:after="40"/>
            </w:pPr>
            <w:r>
              <w:t>53 of 1998</w:t>
            </w:r>
          </w:p>
        </w:tc>
        <w:tc>
          <w:tcPr>
            <w:tcW w:w="1134" w:type="dxa"/>
          </w:tcPr>
          <w:p>
            <w:pPr>
              <w:pStyle w:val="nTable"/>
              <w:spacing w:after="40"/>
            </w:pPr>
            <w:r>
              <w:t>7 Dec 1998</w:t>
            </w:r>
          </w:p>
        </w:tc>
        <w:tc>
          <w:tcPr>
            <w:tcW w:w="2551" w:type="dxa"/>
          </w:tcPr>
          <w:p>
            <w:pPr>
              <w:pStyle w:val="nTable"/>
              <w:spacing w:after="40"/>
            </w:pPr>
            <w:r>
              <w:t xml:space="preserve">1 Jul 1999 (see s. 2 and </w:t>
            </w:r>
            <w:r>
              <w:rPr>
                <w:i/>
              </w:rPr>
              <w:t>Gazette</w:t>
            </w:r>
            <w:r>
              <w:t xml:space="preserve"> 30 Jun 1999 p. 2879)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8" w:type="dxa"/>
          </w:tcPr>
          <w:p>
            <w:pPr>
              <w:pStyle w:val="nTable"/>
              <w:spacing w:after="40"/>
            </w:pPr>
            <w:r>
              <w:rPr>
                <w:i/>
              </w:rPr>
              <w:t xml:space="preserve">Port Authorities (Consequential Provisions) Act 1999 </w:t>
            </w:r>
            <w:r>
              <w:t>s. 21 and 23</w:t>
            </w:r>
          </w:p>
        </w:tc>
        <w:tc>
          <w:tcPr>
            <w:tcW w:w="1134" w:type="dxa"/>
          </w:tcPr>
          <w:p>
            <w:pPr>
              <w:pStyle w:val="nTable"/>
              <w:spacing w:after="40"/>
            </w:pPr>
            <w:r>
              <w:t>5 of 1999</w:t>
            </w:r>
          </w:p>
        </w:tc>
        <w:tc>
          <w:tcPr>
            <w:tcW w:w="1134" w:type="dxa"/>
          </w:tcPr>
          <w:p>
            <w:pPr>
              <w:pStyle w:val="nTable"/>
              <w:spacing w:after="40"/>
            </w:pPr>
            <w:r>
              <w:t>13 Apr 1999</w:t>
            </w:r>
          </w:p>
        </w:tc>
        <w:tc>
          <w:tcPr>
            <w:tcW w:w="2551" w:type="dxa"/>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1" w:type="dxa"/>
          </w:tcPr>
          <w:p>
            <w:pPr>
              <w:pStyle w:val="nTable"/>
              <w:spacing w:after="40"/>
            </w:pPr>
            <w: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1" w:type="dxa"/>
          </w:tcPr>
          <w:p>
            <w:pPr>
              <w:pStyle w:val="nTable"/>
              <w:spacing w:after="40"/>
            </w:pPr>
            <w: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1" w:type="dxa"/>
          </w:tcPr>
          <w:p>
            <w:pPr>
              <w:pStyle w:val="nTable"/>
              <w:spacing w:after="40"/>
            </w:pPr>
            <w:r>
              <w:t>24 Sep 1999</w:t>
            </w:r>
          </w:p>
        </w:tc>
      </w:tr>
      <w:tr>
        <w:trPr>
          <w:cantSplit/>
        </w:trPr>
        <w:tc>
          <w:tcPr>
            <w:tcW w:w="2268" w:type="dxa"/>
          </w:tcPr>
          <w:p>
            <w:pPr>
              <w:pStyle w:val="nTable"/>
              <w:spacing w:after="40"/>
            </w:pPr>
            <w:r>
              <w:rPr>
                <w:i/>
              </w:rPr>
              <w:t>Midland Redevelopment Act 1999</w:t>
            </w:r>
            <w:r>
              <w:t xml:space="preserve"> s. 75</w:t>
            </w:r>
          </w:p>
        </w:tc>
        <w:tc>
          <w:tcPr>
            <w:tcW w:w="1134" w:type="dxa"/>
          </w:tcPr>
          <w:p>
            <w:pPr>
              <w:pStyle w:val="nTable"/>
              <w:spacing w:after="40"/>
            </w:pPr>
            <w:r>
              <w:t>38 of 1999</w:t>
            </w:r>
          </w:p>
        </w:tc>
        <w:tc>
          <w:tcPr>
            <w:tcW w:w="1134" w:type="dxa"/>
          </w:tcPr>
          <w:p>
            <w:pPr>
              <w:pStyle w:val="nTable"/>
              <w:spacing w:after="40"/>
            </w:pPr>
            <w:r>
              <w:t>11 Nov 1999</w:t>
            </w:r>
          </w:p>
        </w:tc>
        <w:tc>
          <w:tcPr>
            <w:tcW w:w="2551" w:type="dxa"/>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1" w:type="dxa"/>
          </w:tcPr>
          <w:p>
            <w:pPr>
              <w:pStyle w:val="nTable"/>
              <w:spacing w:after="40"/>
            </w:pPr>
            <w:r>
              <w:t>19 Nov 1999</w:t>
            </w:r>
          </w:p>
        </w:tc>
      </w:tr>
      <w:tr>
        <w:trPr>
          <w:cantSplit/>
        </w:trPr>
        <w:tc>
          <w:tcPr>
            <w:tcW w:w="2268" w:type="dxa"/>
          </w:tcPr>
          <w:p>
            <w:pPr>
              <w:pStyle w:val="nTable"/>
              <w:spacing w:after="40"/>
            </w:pPr>
            <w:r>
              <w:rPr>
                <w:i/>
              </w:rPr>
              <w:t xml:space="preserve">Gas Corporation (Business Disposal) Act 1999 </w:t>
            </w:r>
            <w:r>
              <w:t>s. 106</w:t>
            </w:r>
          </w:p>
        </w:tc>
        <w:tc>
          <w:tcPr>
            <w:tcW w:w="1134" w:type="dxa"/>
          </w:tcPr>
          <w:p>
            <w:pPr>
              <w:pStyle w:val="nTable"/>
              <w:spacing w:after="40"/>
            </w:pPr>
            <w:r>
              <w:t>58 of 1999</w:t>
            </w:r>
          </w:p>
        </w:tc>
        <w:tc>
          <w:tcPr>
            <w:tcW w:w="1134"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1" w:type="dxa"/>
          </w:tcPr>
          <w:p>
            <w:pPr>
              <w:pStyle w:val="nTable"/>
              <w:spacing w:after="40"/>
            </w:pPr>
            <w: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1" w:type="dxa"/>
          </w:tcPr>
          <w:p>
            <w:pPr>
              <w:pStyle w:val="nTable"/>
              <w:spacing w:after="40"/>
            </w:pPr>
            <w:r>
              <w:t>9 May 2000</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8" w:type="dxa"/>
          </w:tcPr>
          <w:p>
            <w:pPr>
              <w:pStyle w:val="nTable"/>
              <w:spacing w:after="40"/>
            </w:pPr>
            <w:r>
              <w:rPr>
                <w:i/>
              </w:rPr>
              <w:t>Statutes (Repeals and Minor Amendments) Act 2000</w:t>
            </w:r>
            <w:r>
              <w:t xml:space="preserve"> s. 14(13) and 34</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pPr>
            <w:r>
              <w:rPr>
                <w:i/>
              </w:rPr>
              <w:t>Dairy Industry and Herd Improvement Legislation Repeal Act 2000</w:t>
            </w:r>
            <w:r>
              <w:t xml:space="preserve"> s. 20 and 34</w:t>
            </w:r>
          </w:p>
        </w:tc>
        <w:tc>
          <w:tcPr>
            <w:tcW w:w="1134" w:type="dxa"/>
          </w:tcPr>
          <w:p>
            <w:pPr>
              <w:pStyle w:val="nTable"/>
              <w:spacing w:after="40"/>
            </w:pPr>
            <w:r>
              <w:t>25 of 2000</w:t>
            </w:r>
          </w:p>
        </w:tc>
        <w:tc>
          <w:tcPr>
            <w:tcW w:w="1134" w:type="dxa"/>
          </w:tcPr>
          <w:p>
            <w:pPr>
              <w:pStyle w:val="nTable"/>
              <w:spacing w:after="40"/>
            </w:pPr>
            <w:r>
              <w:t>5 Jul 2000</w:t>
            </w:r>
          </w:p>
        </w:tc>
        <w:tc>
          <w:tcPr>
            <w:tcW w:w="2551" w:type="dxa"/>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1" w:type="dxa"/>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1" w:type="dxa"/>
            <w:tcBorders>
              <w:top w:val="nil"/>
              <w:bottom w:val="nil"/>
            </w:tcBorders>
          </w:tcPr>
          <w:p>
            <w:pPr>
              <w:pStyle w:val="nTable"/>
              <w:spacing w:after="40"/>
            </w:pPr>
            <w:r>
              <w:t>15 Sep 2000</w:t>
            </w:r>
          </w:p>
        </w:tc>
      </w:tr>
      <w:tr>
        <w:trPr>
          <w:cantSplit/>
        </w:trPr>
        <w:tc>
          <w:tcPr>
            <w:tcW w:w="2268" w:type="dxa"/>
          </w:tcPr>
          <w:p>
            <w:pPr>
              <w:pStyle w:val="nTable"/>
              <w:spacing w:after="40"/>
            </w:pPr>
            <w:r>
              <w:rPr>
                <w:i/>
              </w:rPr>
              <w:t xml:space="preserve">Electoral Amendment Act 2000 </w:t>
            </w:r>
            <w:r>
              <w:t>s. 24</w:t>
            </w:r>
          </w:p>
        </w:tc>
        <w:tc>
          <w:tcPr>
            <w:tcW w:w="1134" w:type="dxa"/>
          </w:tcPr>
          <w:p>
            <w:pPr>
              <w:pStyle w:val="nTable"/>
              <w:spacing w:after="40"/>
            </w:pPr>
            <w:r>
              <w:t>36 of 2000</w:t>
            </w:r>
          </w:p>
        </w:tc>
        <w:tc>
          <w:tcPr>
            <w:tcW w:w="1134" w:type="dxa"/>
          </w:tcPr>
          <w:p>
            <w:pPr>
              <w:pStyle w:val="nTable"/>
              <w:spacing w:after="40"/>
            </w:pPr>
            <w:r>
              <w:t>10 Oct 2000</w:t>
            </w:r>
          </w:p>
        </w:tc>
        <w:tc>
          <w:tcPr>
            <w:tcW w:w="2551" w:type="dxa"/>
          </w:tcPr>
          <w:p>
            <w:pPr>
              <w:pStyle w:val="nTable"/>
              <w:spacing w:after="40"/>
            </w:pPr>
            <w:r>
              <w:t xml:space="preserve">21 Oct 2000 (see s. 2 and </w:t>
            </w:r>
            <w:r>
              <w:rPr>
                <w:i/>
              </w:rPr>
              <w:t>Gazette</w:t>
            </w:r>
            <w:r>
              <w:t xml:space="preserve"> 20 Oct 2000 p. 5899)</w:t>
            </w:r>
          </w:p>
        </w:tc>
      </w:tr>
      <w:tr>
        <w:trPr>
          <w:cantSplit/>
        </w:trPr>
        <w:tc>
          <w:tcPr>
            <w:tcW w:w="2268" w:type="dxa"/>
          </w:tcPr>
          <w:p>
            <w:pPr>
              <w:pStyle w:val="nTable"/>
              <w:spacing w:after="40"/>
            </w:pPr>
            <w:r>
              <w:rPr>
                <w:i/>
              </w:rPr>
              <w:t xml:space="preserve">State Superannuation (Transitional and Consequential Provisions) Act 2000 </w:t>
            </w:r>
            <w:r>
              <w:t>s. 59(b)</w:t>
            </w:r>
          </w:p>
        </w:tc>
        <w:tc>
          <w:tcPr>
            <w:tcW w:w="1134" w:type="dxa"/>
          </w:tcPr>
          <w:p>
            <w:pPr>
              <w:pStyle w:val="nTable"/>
              <w:spacing w:after="40"/>
            </w:pPr>
            <w:r>
              <w:t>43 of 2000</w:t>
            </w:r>
          </w:p>
        </w:tc>
        <w:tc>
          <w:tcPr>
            <w:tcW w:w="1134" w:type="dxa"/>
          </w:tcPr>
          <w:p>
            <w:pPr>
              <w:pStyle w:val="nTable"/>
              <w:spacing w:after="40"/>
            </w:pPr>
            <w:r>
              <w:t>2 Nov 2000</w:t>
            </w:r>
          </w:p>
        </w:tc>
        <w:tc>
          <w:tcPr>
            <w:tcW w:w="2551" w:type="dxa"/>
          </w:tcPr>
          <w:p>
            <w:pPr>
              <w:pStyle w:val="nTable"/>
              <w:spacing w:after="40"/>
            </w:pPr>
            <w:r>
              <w:t xml:space="preserve">17 Feb 2001 (see s. 2(1) and </w:t>
            </w:r>
            <w:r>
              <w:rPr>
                <w:i/>
              </w:rPr>
              <w:t>Gazette</w:t>
            </w:r>
            <w:r>
              <w:t xml:space="preserve"> 16 Feb 2001 p. 903)</w:t>
            </w:r>
          </w:p>
        </w:tc>
      </w:tr>
      <w:tr>
        <w:trPr>
          <w:cantSplit/>
        </w:trPr>
        <w:tc>
          <w:tcPr>
            <w:tcW w:w="2268" w:type="dxa"/>
          </w:tcPr>
          <w:p>
            <w:pPr>
              <w:pStyle w:val="nTable"/>
              <w:spacing w:after="40"/>
            </w:pPr>
            <w:r>
              <w:rPr>
                <w:i/>
              </w:rPr>
              <w:t xml:space="preserve">State Records (Consequential Provisions) Act 2000 </w:t>
            </w:r>
            <w:r>
              <w:t>Pt. 8</w:t>
            </w:r>
          </w:p>
        </w:tc>
        <w:tc>
          <w:tcPr>
            <w:tcW w:w="1134" w:type="dxa"/>
          </w:tcPr>
          <w:p>
            <w:pPr>
              <w:pStyle w:val="nTable"/>
              <w:spacing w:after="40"/>
            </w:pPr>
            <w:r>
              <w:t>53 of 2000</w:t>
            </w:r>
          </w:p>
        </w:tc>
        <w:tc>
          <w:tcPr>
            <w:tcW w:w="1134" w:type="dxa"/>
          </w:tcPr>
          <w:p>
            <w:pPr>
              <w:pStyle w:val="nTable"/>
              <w:spacing w:after="40"/>
            </w:pPr>
            <w:r>
              <w:t>28 Nov 2000</w:t>
            </w:r>
          </w:p>
        </w:tc>
        <w:tc>
          <w:tcPr>
            <w:tcW w:w="2551" w:type="dxa"/>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pPr>
            <w:r>
              <w:rPr>
                <w:i/>
              </w:rPr>
              <w:t xml:space="preserve">Rural Business Development Corporation Act 2000 </w:t>
            </w:r>
            <w:r>
              <w:t>s. 44</w:t>
            </w:r>
          </w:p>
        </w:tc>
        <w:tc>
          <w:tcPr>
            <w:tcW w:w="1134" w:type="dxa"/>
          </w:tcPr>
          <w:p>
            <w:pPr>
              <w:pStyle w:val="nTable"/>
              <w:spacing w:after="40"/>
            </w:pPr>
            <w:r>
              <w:t>72 of 2000</w:t>
            </w:r>
          </w:p>
        </w:tc>
        <w:tc>
          <w:tcPr>
            <w:tcW w:w="1134" w:type="dxa"/>
          </w:tcPr>
          <w:p>
            <w:pPr>
              <w:pStyle w:val="nTable"/>
              <w:spacing w:after="40"/>
            </w:pPr>
            <w:r>
              <w:t>6 Dec 2000</w:t>
            </w:r>
          </w:p>
        </w:tc>
        <w:tc>
          <w:tcPr>
            <w:tcW w:w="2551" w:type="dxa"/>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1" w:type="dxa"/>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1" w:type="dxa"/>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1" w:type="dxa"/>
            <w:tcBorders>
              <w:top w:val="nil"/>
              <w:bottom w:val="nil"/>
            </w:tcBorders>
          </w:tcPr>
          <w:p>
            <w:pPr>
              <w:pStyle w:val="nTable"/>
              <w:spacing w:after="40"/>
            </w:pPr>
            <w:r>
              <w:t>9 Feb 2001</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8" w:type="dxa"/>
          </w:tcPr>
          <w:p>
            <w:pPr>
              <w:pStyle w:val="nTable"/>
              <w:spacing w:after="40"/>
            </w:pPr>
            <w:r>
              <w:rPr>
                <w:i/>
              </w:rPr>
              <w:t xml:space="preserve">Zoological Parks Authority Act 2001 </w:t>
            </w:r>
            <w:r>
              <w:t>s. 47</w:t>
            </w:r>
          </w:p>
        </w:tc>
        <w:tc>
          <w:tcPr>
            <w:tcW w:w="1134" w:type="dxa"/>
          </w:tcPr>
          <w:p>
            <w:pPr>
              <w:pStyle w:val="nTable"/>
              <w:spacing w:after="40"/>
            </w:pPr>
            <w:r>
              <w:t>24 of 2001</w:t>
            </w:r>
          </w:p>
        </w:tc>
        <w:tc>
          <w:tcPr>
            <w:tcW w:w="1134" w:type="dxa"/>
          </w:tcPr>
          <w:p>
            <w:pPr>
              <w:pStyle w:val="nTable"/>
              <w:spacing w:after="40"/>
            </w:pPr>
            <w:r>
              <w:t>26 Nov 2001</w:t>
            </w:r>
          </w:p>
        </w:tc>
        <w:tc>
          <w:tcPr>
            <w:tcW w:w="2551" w:type="dxa"/>
          </w:tcPr>
          <w:p>
            <w:pPr>
              <w:pStyle w:val="nTable"/>
              <w:spacing w:after="40"/>
              <w:rPr>
                <w:b/>
              </w:rPr>
            </w:pPr>
            <w:r>
              <w:t xml:space="preserve">22 May 2002 (see s. 2 and </w:t>
            </w:r>
            <w:r>
              <w:rPr>
                <w:i/>
              </w:rPr>
              <w:t>Gazette</w:t>
            </w:r>
            <w:r>
              <w:t xml:space="preserve"> 10 May 2002 p. 2445)</w:t>
            </w:r>
          </w:p>
        </w:tc>
      </w:tr>
      <w:tr>
        <w:trPr>
          <w:cantSplit/>
        </w:trPr>
        <w:tc>
          <w:tcPr>
            <w:tcW w:w="2268" w:type="dxa"/>
          </w:tcPr>
          <w:p>
            <w:pPr>
              <w:pStyle w:val="nTable"/>
              <w:spacing w:after="40"/>
            </w:pPr>
            <w:r>
              <w:rPr>
                <w:i/>
              </w:rPr>
              <w:t>Labour Relations Reform Act 2002</w:t>
            </w:r>
            <w:r>
              <w:t xml:space="preserve"> s. 25</w:t>
            </w:r>
          </w:p>
        </w:tc>
        <w:tc>
          <w:tcPr>
            <w:tcW w:w="1134" w:type="dxa"/>
          </w:tcPr>
          <w:p>
            <w:pPr>
              <w:pStyle w:val="nTable"/>
              <w:spacing w:after="40"/>
            </w:pPr>
            <w:r>
              <w:t>20 of 2002</w:t>
            </w:r>
          </w:p>
        </w:tc>
        <w:tc>
          <w:tcPr>
            <w:tcW w:w="1134" w:type="dxa"/>
          </w:tcPr>
          <w:p>
            <w:pPr>
              <w:pStyle w:val="nTable"/>
              <w:spacing w:after="40"/>
            </w:pPr>
            <w:r>
              <w:t>8 Jul 2002</w:t>
            </w:r>
          </w:p>
        </w:tc>
        <w:tc>
          <w:tcPr>
            <w:tcW w:w="2551" w:type="dxa"/>
          </w:tcPr>
          <w:p>
            <w:pPr>
              <w:pStyle w:val="nTable"/>
              <w:spacing w:after="40"/>
              <w:rPr>
                <w:b/>
              </w:rPr>
            </w:pPr>
            <w:r>
              <w:t xml:space="preserve">15 Sep 2002 (see s. 2(1) and </w:t>
            </w:r>
            <w:r>
              <w:rPr>
                <w:i/>
              </w:rPr>
              <w:t>Gazette</w:t>
            </w:r>
            <w:r>
              <w:t xml:space="preserve"> 6 Sep 2002 p. 4487)</w:t>
            </w:r>
          </w:p>
        </w:tc>
      </w:tr>
      <w:tr>
        <w:trPr>
          <w:cantSplit/>
        </w:trPr>
        <w:tc>
          <w:tcPr>
            <w:tcW w:w="2268" w:type="dxa"/>
          </w:tcPr>
          <w:p>
            <w:pPr>
              <w:pStyle w:val="nTable"/>
              <w:spacing w:after="40"/>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27 Jun 2003 p. 2383)</w:t>
            </w:r>
          </w:p>
        </w:tc>
      </w:tr>
      <w:tr>
        <w:trPr>
          <w:cantSplit/>
        </w:trPr>
        <w:tc>
          <w:tcPr>
            <w:tcW w:w="2268" w:type="dxa"/>
          </w:tcPr>
          <w:p>
            <w:pPr>
              <w:pStyle w:val="nTable"/>
              <w:spacing w:after="40"/>
            </w:pPr>
            <w:r>
              <w:rPr>
                <w:i/>
              </w:rPr>
              <w:t>Public Transport Authority Act 2003</w:t>
            </w:r>
            <w:r>
              <w:t xml:space="preserve"> s. 207</w:t>
            </w:r>
          </w:p>
        </w:tc>
        <w:tc>
          <w:tcPr>
            <w:tcW w:w="1134" w:type="dxa"/>
          </w:tcPr>
          <w:p>
            <w:pPr>
              <w:pStyle w:val="nTable"/>
              <w:spacing w:after="40"/>
            </w:pPr>
            <w:r>
              <w:t>31 of 2003</w:t>
            </w:r>
          </w:p>
        </w:tc>
        <w:tc>
          <w:tcPr>
            <w:tcW w:w="1134"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pPr>
            <w:r>
              <w:rPr>
                <w:i/>
              </w:rPr>
              <w:t>Racing and Gambling Legislation Amendment and Repeal Act 2003</w:t>
            </w:r>
            <w:r>
              <w:t xml:space="preserve"> s. 23 and 221(3)</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1 Aug 2003 (see s. 2 and </w:t>
            </w:r>
            <w:r>
              <w:rPr>
                <w:i/>
              </w:rPr>
              <w:t>Gazette</w:t>
            </w:r>
            <w:r>
              <w:t xml:space="preserve"> 29 Jul 2003 p. 3259)</w:t>
            </w:r>
          </w:p>
        </w:tc>
      </w:tr>
      <w:tr>
        <w:trPr>
          <w:cantSplit/>
        </w:trPr>
        <w:tc>
          <w:tcPr>
            <w:tcW w:w="4536" w:type="dxa"/>
            <w:gridSpan w:val="3"/>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1" w:type="dxa"/>
          </w:tcPr>
          <w:p>
            <w:pPr>
              <w:pStyle w:val="nTable"/>
              <w:spacing w:after="40" w:line="190" w:lineRule="exact"/>
            </w:pPr>
            <w:r>
              <w:t>15 Sep 2003 (see r. 2)</w:t>
            </w:r>
          </w:p>
        </w:tc>
      </w:tr>
      <w:tr>
        <w:trPr>
          <w:cantSplit/>
        </w:trPr>
        <w:tc>
          <w:tcPr>
            <w:tcW w:w="2268" w:type="dxa"/>
          </w:tcPr>
          <w:p>
            <w:pPr>
              <w:pStyle w:val="nTable"/>
              <w:spacing w:after="40"/>
            </w:pPr>
            <w:r>
              <w:rPr>
                <w:i/>
              </w:rPr>
              <w:t>Economic Regulation Authority Act 2003</w:t>
            </w:r>
            <w:r>
              <w:t xml:space="preserve"> Sch. 2 Div. 11</w:t>
            </w:r>
          </w:p>
        </w:tc>
        <w:tc>
          <w:tcPr>
            <w:tcW w:w="1134" w:type="dxa"/>
          </w:tcPr>
          <w:p>
            <w:pPr>
              <w:pStyle w:val="nTable"/>
              <w:spacing w:after="40"/>
            </w:pPr>
            <w:r>
              <w:t>67 of 2003</w:t>
            </w:r>
          </w:p>
        </w:tc>
        <w:tc>
          <w:tcPr>
            <w:tcW w:w="1134" w:type="dxa"/>
          </w:tcPr>
          <w:p>
            <w:pPr>
              <w:pStyle w:val="nTable"/>
              <w:spacing w:after="40"/>
            </w:pPr>
            <w:r>
              <w:t>5 Dec 2003</w:t>
            </w:r>
          </w:p>
        </w:tc>
        <w:tc>
          <w:tcPr>
            <w:tcW w:w="2551" w:type="dxa"/>
          </w:tcPr>
          <w:p>
            <w:pPr>
              <w:pStyle w:val="nTable"/>
              <w:spacing w:after="40"/>
              <w:rPr>
                <w:b/>
              </w:rPr>
            </w:pPr>
            <w:r>
              <w:t xml:space="preserve">1 Jan 2004 (see s. 2(1) and </w:t>
            </w:r>
            <w:r>
              <w:rPr>
                <w:i/>
              </w:rPr>
              <w:t>Gazette</w:t>
            </w:r>
            <w:r>
              <w:t xml:space="preserve"> 30 Dec 2003 p. 5723)</w:t>
            </w:r>
          </w:p>
        </w:tc>
      </w:tr>
      <w:tr>
        <w:trPr>
          <w:cantSplit/>
        </w:trPr>
        <w:tc>
          <w:tcPr>
            <w:tcW w:w="2268" w:type="dxa"/>
          </w:tcPr>
          <w:p>
            <w:pPr>
              <w:pStyle w:val="nTable"/>
              <w:spacing w:after="40"/>
            </w:pPr>
            <w:r>
              <w:rPr>
                <w:i/>
              </w:rPr>
              <w:t>Statutes (Repeals and Minor Amendments) Act 2003</w:t>
            </w:r>
            <w:r>
              <w:t xml:space="preserve"> s. 97</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7087" w:type="dxa"/>
            <w:gridSpan w:val="4"/>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8" w:type="dxa"/>
          </w:tcPr>
          <w:p>
            <w:pPr>
              <w:pStyle w:val="nTable"/>
              <w:spacing w:after="40"/>
              <w:ind w:right="113"/>
              <w:rPr>
                <w:i/>
              </w:rPr>
            </w:pPr>
            <w:r>
              <w:rPr>
                <w:i/>
                <w:iCs/>
                <w:snapToGrid w:val="0"/>
              </w:rPr>
              <w:t>Workers’ Compensation Reform Act 2004</w:t>
            </w:r>
            <w:r>
              <w:rPr>
                <w:snapToGrid w:val="0"/>
              </w:rPr>
              <w:t xml:space="preserve"> s. 168</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6" w:type="dxa"/>
            <w:gridSpan w:val="3"/>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1" w:type="dxa"/>
          </w:tcPr>
          <w:p>
            <w:pPr>
              <w:pStyle w:val="nTable"/>
              <w:spacing w:after="40"/>
            </w:pPr>
            <w:r>
              <w:t>26 Nov 2004</w:t>
            </w:r>
          </w:p>
        </w:tc>
      </w:tr>
      <w:tr>
        <w:trPr>
          <w:cantSplit/>
        </w:trPr>
        <w:tc>
          <w:tcPr>
            <w:tcW w:w="2268" w:type="dxa"/>
          </w:tcPr>
          <w:p>
            <w:pPr>
              <w:pStyle w:val="nTable"/>
              <w:spacing w:after="40"/>
            </w:pP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Amendment Act 2004</w:t>
            </w:r>
            <w:r>
              <w:t xml:space="preserve"> s. 45</w:t>
            </w:r>
          </w:p>
        </w:tc>
        <w:tc>
          <w:tcPr>
            <w:tcW w:w="1134" w:type="dxa"/>
          </w:tcPr>
          <w:p>
            <w:pPr>
              <w:pStyle w:val="nTable"/>
              <w:spacing w:after="40"/>
            </w:pPr>
            <w:r>
              <w:t>67 of 2004</w:t>
            </w:r>
          </w:p>
        </w:tc>
        <w:tc>
          <w:tcPr>
            <w:tcW w:w="1134" w:type="dxa"/>
          </w:tcPr>
          <w:p>
            <w:pPr>
              <w:pStyle w:val="nTable"/>
              <w:spacing w:after="40"/>
            </w:pPr>
            <w:r>
              <w:t>8 Dec 2004</w:t>
            </w:r>
          </w:p>
        </w:tc>
        <w:tc>
          <w:tcPr>
            <w:tcW w:w="2551" w:type="dxa"/>
          </w:tcPr>
          <w:p>
            <w:pPr>
              <w:pStyle w:val="nTable"/>
              <w:spacing w:after="40"/>
            </w:pPr>
            <w:r>
              <w:t xml:space="preserve">25 Dec 2004 (see s. 2 and </w:t>
            </w:r>
            <w:r>
              <w:rPr>
                <w:i/>
                <w:iCs/>
              </w:rPr>
              <w:t>Gazette</w:t>
            </w:r>
            <w:r>
              <w:t xml:space="preserve"> 24 Dec 2004 p. 6247)</w:t>
            </w:r>
          </w:p>
        </w:tc>
      </w:tr>
      <w:tr>
        <w:trPr>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6" w:type="dxa"/>
            <w:gridSpan w:val="3"/>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1" w:type="dxa"/>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rPr>
                <w:snapToGrid w:val="0"/>
              </w:rPr>
            </w:pPr>
            <w:r>
              <w:t>27 Jun 2005</w:t>
            </w:r>
          </w:p>
        </w:tc>
        <w:tc>
          <w:tcPr>
            <w:tcW w:w="2551"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4" w:type="dxa"/>
            <w:tcBorders>
              <w:top w:val="nil"/>
              <w:bottom w:val="nil"/>
            </w:tcBorders>
          </w:tcPr>
          <w:p>
            <w:pPr>
              <w:pStyle w:val="nTable"/>
              <w:spacing w:after="40"/>
              <w:rPr>
                <w:snapToGrid w:val="0"/>
              </w:rPr>
            </w:pPr>
            <w:r>
              <w:rPr>
                <w:snapToGrid w:val="0"/>
              </w:rPr>
              <w:t>18 of 2005</w:t>
            </w:r>
          </w:p>
        </w:tc>
        <w:tc>
          <w:tcPr>
            <w:tcW w:w="1134" w:type="dxa"/>
            <w:tcBorders>
              <w:top w:val="nil"/>
              <w:bottom w:val="nil"/>
            </w:tcBorders>
          </w:tcPr>
          <w:p>
            <w:pPr>
              <w:pStyle w:val="nTable"/>
              <w:spacing w:after="40"/>
            </w:pPr>
            <w:r>
              <w:t>13 Oct 2005</w:t>
            </w:r>
          </w:p>
        </w:tc>
        <w:tc>
          <w:tcPr>
            <w:tcW w:w="2551" w:type="dxa"/>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4" w:type="dxa"/>
            <w:tcBorders>
              <w:top w:val="nil"/>
              <w:bottom w:val="nil"/>
            </w:tcBorders>
          </w:tcPr>
          <w:p>
            <w:pPr>
              <w:pStyle w:val="nTable"/>
              <w:spacing w:after="40"/>
              <w:rPr>
                <w:snapToGrid w:val="0"/>
              </w:rPr>
            </w:pPr>
            <w:r>
              <w:rPr>
                <w:snapToGrid w:val="0"/>
              </w:rPr>
              <w:t>28 of 2006</w:t>
            </w:r>
          </w:p>
        </w:tc>
        <w:tc>
          <w:tcPr>
            <w:tcW w:w="1134"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4" w:type="dxa"/>
            <w:tcBorders>
              <w:top w:val="nil"/>
              <w:bottom w:val="nil"/>
            </w:tcBorders>
          </w:tcPr>
          <w:p>
            <w:pPr>
              <w:pStyle w:val="nTable"/>
              <w:spacing w:after="40"/>
              <w:rPr>
                <w:snapToGrid w:val="0"/>
              </w:rPr>
            </w:pPr>
            <w:r>
              <w:rPr>
                <w:snapToGrid w:val="0"/>
              </w:rPr>
              <w:t>60 of 2006</w:t>
            </w:r>
          </w:p>
        </w:tc>
        <w:tc>
          <w:tcPr>
            <w:tcW w:w="1134"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rPr>
                <w:snapToGrid w:val="0"/>
              </w:rPr>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34" w:type="dxa"/>
            <w:tcBorders>
              <w:top w:val="nil"/>
              <w:bottom w:val="nil"/>
            </w:tcBorders>
          </w:tcPr>
          <w:p>
            <w:pPr>
              <w:pStyle w:val="nTable"/>
              <w:spacing w:after="40"/>
              <w:rPr>
                <w:snapToGrid w:val="0"/>
              </w:rPr>
            </w:pPr>
            <w:r>
              <w:t>10 of 2007</w:t>
            </w:r>
          </w:p>
        </w:tc>
        <w:tc>
          <w:tcPr>
            <w:tcW w:w="1134" w:type="dxa"/>
            <w:tcBorders>
              <w:top w:val="nil"/>
              <w:bottom w:val="nil"/>
            </w:tcBorders>
          </w:tcPr>
          <w:p>
            <w:pPr>
              <w:pStyle w:val="nTable"/>
              <w:spacing w:after="40"/>
              <w:rPr>
                <w:snapToGrid w:val="0"/>
              </w:rPr>
            </w:pPr>
            <w:r>
              <w:t>29 Jun 2007</w:t>
            </w:r>
          </w:p>
        </w:tc>
        <w:tc>
          <w:tcPr>
            <w:tcW w:w="2551"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4" w:type="dxa"/>
            <w:tcBorders>
              <w:top w:val="nil"/>
              <w:bottom w:val="nil"/>
            </w:tcBorders>
          </w:tcPr>
          <w:p>
            <w:pPr>
              <w:pStyle w:val="nTable"/>
              <w:spacing w:after="40"/>
            </w:pPr>
            <w:r>
              <w:t>24 of 2007</w:t>
            </w:r>
          </w:p>
        </w:tc>
        <w:tc>
          <w:tcPr>
            <w:tcW w:w="1134" w:type="dxa"/>
            <w:tcBorders>
              <w:top w:val="nil"/>
              <w:bottom w:val="nil"/>
            </w:tcBorders>
          </w:tcPr>
          <w:p>
            <w:pPr>
              <w:pStyle w:val="nTable"/>
              <w:spacing w:after="40"/>
            </w:pPr>
            <w:r>
              <w:rPr>
                <w:snapToGrid w:val="0"/>
              </w:rPr>
              <w:t>12 Oct 2007</w:t>
            </w:r>
          </w:p>
        </w:tc>
        <w:tc>
          <w:tcPr>
            <w:tcW w:w="2551" w:type="dxa"/>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87" w:type="dxa"/>
            <w:gridSpan w:val="4"/>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6" w:type="dxa"/>
            <w:gridSpan w:val="3"/>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1" w:type="dxa"/>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71</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4536" w:type="dxa"/>
            <w:gridSpan w:val="3"/>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1" w:type="dxa"/>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 </w:t>
            </w:r>
            <w:r>
              <w:rPr>
                <w:iCs/>
                <w:snapToGrid w:val="0"/>
                <w:vertAlign w:val="superscript"/>
              </w:rPr>
              <w:t>7</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7" w:type="dxa"/>
            <w:gridSpan w:val="4"/>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3</w:t>
            </w:r>
          </w:p>
        </w:tc>
        <w:tc>
          <w:tcPr>
            <w:tcW w:w="1134" w:type="dxa"/>
          </w:tcPr>
          <w:p>
            <w:pPr>
              <w:pStyle w:val="nTable"/>
              <w:spacing w:after="40"/>
              <w:rPr>
                <w:snapToGrid w:val="0"/>
              </w:rPr>
            </w:pPr>
            <w:r>
              <w:rPr>
                <w:snapToGrid w:val="0"/>
              </w:rPr>
              <w:t>37 of 2011</w:t>
            </w:r>
          </w:p>
        </w:tc>
        <w:tc>
          <w:tcPr>
            <w:tcW w:w="1134" w:type="dxa"/>
          </w:tcPr>
          <w:p>
            <w:pPr>
              <w:pStyle w:val="nTable"/>
              <w:spacing w:after="40"/>
            </w:pPr>
            <w:r>
              <w:t>13 Sep 2011</w:t>
            </w:r>
          </w:p>
        </w:tc>
        <w:tc>
          <w:tcPr>
            <w:tcW w:w="2551"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Pr>
          <w:p>
            <w:pPr>
              <w:pStyle w:val="nTable"/>
              <w:spacing w:after="40"/>
              <w:ind w:right="113"/>
              <w:rPr>
                <w:i/>
                <w:snapToGrid w:val="0"/>
              </w:rPr>
            </w:pPr>
            <w:r>
              <w:rPr>
                <w:i/>
                <w:snapToGrid w:val="0"/>
              </w:rPr>
              <w:t>Metropolitan Redevelopment Authority Act 2011</w:t>
            </w:r>
            <w:r>
              <w:rPr>
                <w:snapToGrid w:val="0"/>
              </w:rPr>
              <w:t xml:space="preserve"> s. 142</w:t>
            </w:r>
          </w:p>
        </w:tc>
        <w:tc>
          <w:tcPr>
            <w:tcW w:w="1134" w:type="dxa"/>
          </w:tcPr>
          <w:p>
            <w:pPr>
              <w:pStyle w:val="nTable"/>
              <w:spacing w:after="40"/>
              <w:rPr>
                <w:snapToGrid w:val="0"/>
              </w:rPr>
            </w:pPr>
            <w:r>
              <w:rPr>
                <w:snapToGrid w:val="0"/>
              </w:rPr>
              <w:t>45 of 2011</w:t>
            </w:r>
          </w:p>
        </w:tc>
        <w:tc>
          <w:tcPr>
            <w:tcW w:w="1134" w:type="dxa"/>
          </w:tcPr>
          <w:p>
            <w:pPr>
              <w:pStyle w:val="nTable"/>
              <w:spacing w:after="40"/>
            </w:pPr>
            <w:r>
              <w:t>12 Oct 2011</w:t>
            </w:r>
          </w:p>
        </w:tc>
        <w:tc>
          <w:tcPr>
            <w:tcW w:w="2551" w:type="dxa"/>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
                <w:snapToGrid w:val="0"/>
              </w:rPr>
            </w:pPr>
            <w:r>
              <w:rPr>
                <w:i/>
              </w:rPr>
              <w:t>Fire and Emergency Services Legislation Amendment Act 2012</w:t>
            </w:r>
            <w:r>
              <w:t xml:space="preserve"> Pt. 7 Div. 11</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rPr>
              <w:t>Water Services Legislation Amendment and Repeal Act 2012</w:t>
            </w:r>
            <w:r>
              <w:t xml:space="preserve"> s. 224</w:t>
            </w:r>
          </w:p>
        </w:tc>
        <w:tc>
          <w:tcPr>
            <w:tcW w:w="1134" w:type="dxa"/>
          </w:tcPr>
          <w:p>
            <w:pPr>
              <w:pStyle w:val="nTable"/>
              <w:spacing w:after="40"/>
              <w:rPr>
                <w:snapToGrid w:val="0"/>
              </w:rPr>
            </w:pPr>
            <w:r>
              <w:t>25 of 2012</w:t>
            </w:r>
          </w:p>
        </w:tc>
        <w:tc>
          <w:tcPr>
            <w:tcW w:w="1134" w:type="dxa"/>
          </w:tcPr>
          <w:p>
            <w:pPr>
              <w:pStyle w:val="nTable"/>
              <w:spacing w:after="40"/>
            </w:pPr>
            <w: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4"/>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8" w:type="dxa"/>
          </w:tcPr>
          <w:p>
            <w:pPr>
              <w:pStyle w:val="nTable"/>
              <w:spacing w:after="40"/>
              <w:ind w:right="113"/>
              <w:rPr>
                <w:i/>
                <w:snapToGrid w:val="0"/>
              </w:rPr>
            </w:pPr>
            <w:r>
              <w:rPr>
                <w:i/>
                <w:snapToGrid w:val="0"/>
              </w:rPr>
              <w:t>Minerals Research Institute of Western Australia Act 2013 </w:t>
            </w:r>
            <w:r>
              <w:rPr>
                <w:snapToGrid w:val="0"/>
              </w:rPr>
              <w:t>s. 78</w:t>
            </w:r>
          </w:p>
        </w:tc>
        <w:tc>
          <w:tcPr>
            <w:tcW w:w="1134" w:type="dxa"/>
          </w:tcPr>
          <w:p>
            <w:pPr>
              <w:pStyle w:val="nTable"/>
              <w:spacing w:after="40"/>
              <w:rPr>
                <w:snapToGrid w:val="0"/>
              </w:rPr>
            </w:pPr>
            <w:r>
              <w:t>23 of 2013</w:t>
            </w:r>
          </w:p>
        </w:tc>
        <w:tc>
          <w:tcPr>
            <w:tcW w:w="1134" w:type="dxa"/>
          </w:tcPr>
          <w:p>
            <w:pPr>
              <w:pStyle w:val="nTable"/>
              <w:spacing w:after="40"/>
              <w:rPr>
                <w:snapToGrid w:val="0"/>
              </w:rPr>
            </w:pPr>
            <w:r>
              <w:t>18 Dec 2013</w:t>
            </w:r>
          </w:p>
        </w:tc>
        <w:tc>
          <w:tcPr>
            <w:tcW w:w="2551" w:type="dxa"/>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44</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1"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8" w:type="dxa"/>
          </w:tcPr>
          <w:p>
            <w:pPr>
              <w:pStyle w:val="nTable"/>
              <w:spacing w:after="40"/>
              <w:ind w:right="113"/>
              <w:rPr>
                <w:i/>
                <w:snapToGrid w:val="0"/>
              </w:rPr>
            </w:pPr>
            <w:r>
              <w:rPr>
                <w:i/>
                <w:snapToGrid w:val="0"/>
              </w:rPr>
              <w:t xml:space="preserve">Workforce Reform Act 2014 </w:t>
            </w:r>
            <w:r>
              <w:rPr>
                <w:snapToGrid w:val="0"/>
              </w:rPr>
              <w:t>Pt. 3</w:t>
            </w:r>
          </w:p>
        </w:tc>
        <w:tc>
          <w:tcPr>
            <w:tcW w:w="1134" w:type="dxa"/>
          </w:tcPr>
          <w:p>
            <w:pPr>
              <w:pStyle w:val="nTable"/>
              <w:spacing w:after="40"/>
              <w:rPr>
                <w:snapToGrid w:val="0"/>
              </w:rPr>
            </w:pPr>
            <w:r>
              <w:rPr>
                <w:snapToGrid w:val="0"/>
              </w:rPr>
              <w:t>8 of 2014</w:t>
            </w:r>
          </w:p>
        </w:tc>
        <w:tc>
          <w:tcPr>
            <w:tcW w:w="1134" w:type="dxa"/>
          </w:tcPr>
          <w:p>
            <w:pPr>
              <w:pStyle w:val="nTable"/>
              <w:spacing w:after="40"/>
              <w:rPr>
                <w:snapToGrid w:val="0"/>
              </w:rPr>
            </w:pPr>
            <w:r>
              <w:rPr>
                <w:snapToGrid w:val="0"/>
              </w:rPr>
              <w:t>20 May 2014</w:t>
            </w:r>
          </w:p>
        </w:tc>
        <w:tc>
          <w:tcPr>
            <w:tcW w:w="2551" w:type="dxa"/>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4" w:type="dxa"/>
          </w:tcPr>
          <w:p>
            <w:pPr>
              <w:pStyle w:val="nTable"/>
              <w:spacing w:after="40"/>
              <w:rPr>
                <w:snapToGrid w:val="0"/>
              </w:rPr>
            </w:pPr>
            <w:r>
              <w:rPr>
                <w:snapToGrid w:val="0"/>
              </w:rPr>
              <w:t>35 of 2014</w:t>
            </w:r>
          </w:p>
        </w:tc>
        <w:tc>
          <w:tcPr>
            <w:tcW w:w="1134" w:type="dxa"/>
          </w:tcPr>
          <w:p>
            <w:pPr>
              <w:pStyle w:val="nTable"/>
              <w:spacing w:after="40"/>
              <w:rPr>
                <w:snapToGrid w:val="0"/>
              </w:rPr>
            </w:pPr>
            <w:r>
              <w:t>9 Dec 2014</w:t>
            </w:r>
          </w:p>
        </w:tc>
        <w:tc>
          <w:tcPr>
            <w:tcW w:w="2551" w:type="dxa"/>
          </w:tcPr>
          <w:p>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trPr>
          <w:cantSplit/>
        </w:trPr>
        <w:tc>
          <w:tcPr>
            <w:tcW w:w="2268"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17</w:t>
            </w:r>
          </w:p>
        </w:tc>
        <w:tc>
          <w:tcPr>
            <w:tcW w:w="1134" w:type="dxa"/>
            <w:shd w:val="clear" w:color="auto" w:fill="auto"/>
          </w:tcPr>
          <w:p>
            <w:pPr>
              <w:pStyle w:val="nTable"/>
              <w:spacing w:after="40"/>
              <w:rPr>
                <w:snapToGrid w:val="0"/>
              </w:rPr>
            </w:pPr>
            <w:r>
              <w:t>3 of 2015</w:t>
            </w:r>
          </w:p>
        </w:tc>
        <w:tc>
          <w:tcPr>
            <w:tcW w:w="1134" w:type="dxa"/>
            <w:shd w:val="clear" w:color="auto" w:fill="auto"/>
          </w:tcPr>
          <w:p>
            <w:pPr>
              <w:pStyle w:val="nTable"/>
              <w:spacing w:after="40"/>
              <w:rPr>
                <w:snapToGrid w:val="0"/>
              </w:rPr>
            </w:pPr>
            <w:r>
              <w:t>25 Feb 2015</w:t>
            </w:r>
          </w:p>
        </w:tc>
        <w:tc>
          <w:tcPr>
            <w:tcW w:w="2551" w:type="dxa"/>
            <w:shd w:val="clear" w:color="auto" w:fill="auto"/>
          </w:tcPr>
          <w:p>
            <w:pPr>
              <w:pStyle w:val="nTable"/>
              <w:spacing w:after="40"/>
              <w:rPr>
                <w:snapToGrid w:val="0"/>
                <w:color w:val="000000"/>
              </w:rPr>
            </w:pPr>
            <w:r>
              <w:t xml:space="preserve">1 Jul 2015 (see s. 2(b) and </w:t>
            </w:r>
            <w:r>
              <w:rPr>
                <w:i/>
              </w:rPr>
              <w:t>Gazette</w:t>
            </w:r>
            <w:r>
              <w:t xml:space="preserve"> 10 Apr 2015 p. 1249)</w:t>
            </w:r>
          </w:p>
        </w:tc>
      </w:tr>
      <w:tr>
        <w:trPr>
          <w:cantSplit/>
        </w:trPr>
        <w:tc>
          <w:tcPr>
            <w:tcW w:w="7087" w:type="dxa"/>
            <w:gridSpan w:val="4"/>
            <w:shd w:val="clear" w:color="auto" w:fill="auto"/>
          </w:tcPr>
          <w:p>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vertAlign w:val="superscript"/>
              </w:rPr>
            </w:pPr>
            <w:r>
              <w:rPr>
                <w:i/>
                <w:noProof/>
              </w:rPr>
              <w:t xml:space="preserve">Western Australian Health Promotion Foundation Act 2016 </w:t>
            </w:r>
            <w:r>
              <w:rPr>
                <w:noProof/>
              </w:rPr>
              <w:t>Pt. 8 Div. 2</w:t>
            </w:r>
          </w:p>
        </w:tc>
        <w:tc>
          <w:tcPr>
            <w:tcW w:w="1134" w:type="dxa"/>
            <w:tcBorders>
              <w:top w:val="nil"/>
              <w:bottom w:val="nil"/>
            </w:tcBorders>
          </w:tcPr>
          <w:p>
            <w:pPr>
              <w:pStyle w:val="nTable"/>
              <w:spacing w:after="40"/>
            </w:pPr>
            <w:r>
              <w:t>3 of 2016</w:t>
            </w:r>
          </w:p>
        </w:tc>
        <w:tc>
          <w:tcPr>
            <w:tcW w:w="1134" w:type="dxa"/>
            <w:tcBorders>
              <w:top w:val="nil"/>
              <w:bottom w:val="nil"/>
            </w:tcBorders>
          </w:tcPr>
          <w:p>
            <w:pPr>
              <w:pStyle w:val="nTable"/>
              <w:spacing w:after="40"/>
            </w:pPr>
            <w:r>
              <w:t>21 Mar 2016</w:t>
            </w:r>
          </w:p>
        </w:tc>
        <w:tc>
          <w:tcPr>
            <w:tcW w:w="2551" w:type="dxa"/>
            <w:tcBorders>
              <w:top w:val="nil"/>
              <w:bottom w:val="nil"/>
            </w:tcBorders>
          </w:tcPr>
          <w:p>
            <w:pPr>
              <w:pStyle w:val="nTable"/>
              <w:spacing w:after="40"/>
            </w:pPr>
            <w:r>
              <w:t xml:space="preserve">1 Sep 2016 (see s. 2(b) and </w:t>
            </w:r>
            <w:r>
              <w:rPr>
                <w:i/>
              </w:rPr>
              <w:t>Gazette</w:t>
            </w:r>
            <w:r>
              <w:t xml:space="preserve"> 26 Jul 2016 p. 3145)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shd w:val="clear" w:color="auto" w:fill="auto"/>
          </w:tcPr>
          <w:p>
            <w:pPr>
              <w:pStyle w:val="nTable"/>
              <w:spacing w:after="40"/>
              <w:rPr>
                <w:i/>
                <w:noProof/>
              </w:rPr>
            </w:pPr>
            <w:r>
              <w:rPr>
                <w:i/>
                <w:snapToGrid w:val="0"/>
                <w:szCs w:val="19"/>
              </w:rPr>
              <w:t>Local Government Legislation Amendment Act 2016</w:t>
            </w:r>
            <w:r>
              <w:rPr>
                <w:snapToGrid w:val="0"/>
                <w:szCs w:val="19"/>
              </w:rPr>
              <w:t xml:space="preserve"> Pt. 3 Div. 30</w:t>
            </w:r>
          </w:p>
        </w:tc>
        <w:tc>
          <w:tcPr>
            <w:tcW w:w="1134" w:type="dxa"/>
            <w:tcBorders>
              <w:top w:val="nil"/>
              <w:left w:val="nil"/>
              <w:bottom w:val="nil"/>
              <w:right w:val="nil"/>
            </w:tcBorders>
            <w:shd w:val="clear" w:color="auto" w:fill="auto"/>
          </w:tcPr>
          <w:p>
            <w:pPr>
              <w:pStyle w:val="nTable"/>
              <w:spacing w:after="40"/>
            </w:pPr>
            <w:r>
              <w:t>26 of 2016</w:t>
            </w:r>
          </w:p>
        </w:tc>
        <w:tc>
          <w:tcPr>
            <w:tcW w:w="1134" w:type="dxa"/>
            <w:tcBorders>
              <w:top w:val="nil"/>
              <w:left w:val="nil"/>
              <w:bottom w:val="nil"/>
              <w:right w:val="nil"/>
            </w:tcBorders>
            <w:shd w:val="clear" w:color="auto" w:fill="auto"/>
          </w:tcPr>
          <w:p>
            <w:pPr>
              <w:pStyle w:val="nTable"/>
              <w:spacing w:after="40"/>
            </w:pPr>
            <w:r>
              <w:t>21 Sep 2016</w:t>
            </w:r>
          </w:p>
        </w:tc>
        <w:tc>
          <w:tcPr>
            <w:tcW w:w="2551" w:type="dxa"/>
            <w:tcBorders>
              <w:top w:val="nil"/>
              <w:left w:val="nil"/>
              <w:bottom w:val="nil"/>
            </w:tcBorders>
            <w:shd w:val="clear" w:color="auto" w:fill="auto"/>
          </w:tcPr>
          <w:p>
            <w:pPr>
              <w:pStyle w:val="nTable"/>
              <w:spacing w:after="40"/>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shd w:val="clear" w:color="auto" w:fill="auto"/>
          </w:tcPr>
          <w:p>
            <w:pPr>
              <w:pStyle w:val="nTable"/>
              <w:spacing w:after="40"/>
              <w:rPr>
                <w:noProof/>
              </w:rPr>
            </w:pPr>
            <w:r>
              <w:rPr>
                <w:i/>
                <w:noProof/>
              </w:rPr>
              <w:t xml:space="preserve">Universities Legislation Amendment Act 2016 </w:t>
            </w:r>
            <w:r>
              <w:rPr>
                <w:i/>
                <w:noProof/>
              </w:rPr>
              <w:br/>
            </w:r>
            <w:r>
              <w:rPr>
                <w:noProof/>
              </w:rPr>
              <w:t>Pt. 7 Div. 7</w:t>
            </w:r>
          </w:p>
        </w:tc>
        <w:tc>
          <w:tcPr>
            <w:tcW w:w="1134" w:type="dxa"/>
            <w:tcBorders>
              <w:top w:val="nil"/>
              <w:left w:val="nil"/>
              <w:bottom w:val="nil"/>
              <w:right w:val="nil"/>
            </w:tcBorders>
            <w:shd w:val="clear" w:color="auto" w:fill="auto"/>
          </w:tcPr>
          <w:p>
            <w:pPr>
              <w:pStyle w:val="nTable"/>
              <w:spacing w:after="40"/>
            </w:pPr>
            <w:r>
              <w:t>32 of 2016</w:t>
            </w:r>
          </w:p>
        </w:tc>
        <w:tc>
          <w:tcPr>
            <w:tcW w:w="1134" w:type="dxa"/>
            <w:tcBorders>
              <w:top w:val="nil"/>
              <w:left w:val="nil"/>
              <w:bottom w:val="nil"/>
              <w:right w:val="nil"/>
            </w:tcBorders>
            <w:shd w:val="clear" w:color="auto" w:fill="auto"/>
          </w:tcPr>
          <w:p>
            <w:pPr>
              <w:pStyle w:val="nTable"/>
              <w:spacing w:after="40"/>
            </w:pPr>
            <w:r>
              <w:t>19 Oct 2016</w:t>
            </w:r>
          </w:p>
        </w:tc>
        <w:tc>
          <w:tcPr>
            <w:tcW w:w="2551" w:type="dxa"/>
            <w:tcBorders>
              <w:top w:val="nil"/>
              <w:left w:val="nil"/>
              <w:bottom w:val="nil"/>
            </w:tcBorders>
            <w:shd w:val="clear" w:color="auto" w:fill="auto"/>
          </w:tcPr>
          <w:p>
            <w:pPr>
              <w:pStyle w:val="nTable"/>
              <w:spacing w:after="40"/>
            </w:pPr>
            <w:r>
              <w:t>2 Jan 2017 (see s. 2(b) and Gazette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shd w:val="clear" w:color="auto" w:fill="auto"/>
          </w:tcPr>
          <w:p>
            <w:pPr>
              <w:pStyle w:val="nTable"/>
              <w:spacing w:after="40"/>
              <w:rPr>
                <w:i/>
                <w:noProof/>
              </w:rPr>
            </w:pPr>
            <w:r>
              <w:rPr>
                <w:i/>
                <w:noProof/>
              </w:rPr>
              <w:t xml:space="preserve">School Boarding Facilities Legislation Amendment and Repeal Act 2016 </w:t>
            </w:r>
            <w:r>
              <w:rPr>
                <w:noProof/>
              </w:rPr>
              <w:t>s. 23</w:t>
            </w:r>
          </w:p>
        </w:tc>
        <w:tc>
          <w:tcPr>
            <w:tcW w:w="1134" w:type="dxa"/>
            <w:tcBorders>
              <w:top w:val="nil"/>
              <w:left w:val="nil"/>
              <w:bottom w:val="nil"/>
              <w:right w:val="nil"/>
            </w:tcBorders>
            <w:shd w:val="clear" w:color="auto" w:fill="auto"/>
          </w:tcPr>
          <w:p>
            <w:pPr>
              <w:pStyle w:val="nTable"/>
              <w:spacing w:after="40"/>
            </w:pPr>
            <w:r>
              <w:t>41 of 2016</w:t>
            </w:r>
          </w:p>
        </w:tc>
        <w:tc>
          <w:tcPr>
            <w:tcW w:w="1134" w:type="dxa"/>
            <w:tcBorders>
              <w:top w:val="nil"/>
              <w:left w:val="nil"/>
              <w:bottom w:val="nil"/>
              <w:right w:val="nil"/>
            </w:tcBorders>
            <w:shd w:val="clear" w:color="auto" w:fill="auto"/>
          </w:tcPr>
          <w:p>
            <w:pPr>
              <w:pStyle w:val="nTable"/>
              <w:spacing w:after="40"/>
            </w:pPr>
            <w:r>
              <w:t>28 Nov 2016</w:t>
            </w:r>
          </w:p>
        </w:tc>
        <w:tc>
          <w:tcPr>
            <w:tcW w:w="2551" w:type="dxa"/>
            <w:tcBorders>
              <w:top w:val="nil"/>
              <w:left w:val="nil"/>
              <w:bottom w:val="nil"/>
            </w:tcBorders>
            <w:shd w:val="clear" w:color="auto" w:fill="auto"/>
          </w:tcPr>
          <w:p>
            <w:pPr>
              <w:pStyle w:val="nTable"/>
              <w:spacing w:after="40"/>
            </w:pPr>
            <w:r>
              <w:t xml:space="preserve">1 Jul 2017 (see s. 2(b) and </w:t>
            </w:r>
            <w:r>
              <w:rPr>
                <w:i/>
              </w:rPr>
              <w:t xml:space="preserve">Gazette </w:t>
            </w:r>
            <w:r>
              <w:t>23 Jun 2017 p. 3173)</w:t>
            </w:r>
          </w:p>
        </w:tc>
      </w:tr>
      <w:tr>
        <w:tblPrEx>
          <w:tblBorders>
            <w:top w:val="single" w:sz="8" w:space="0" w:color="auto"/>
            <w:bottom w:val="single" w:sz="8" w:space="0" w:color="auto"/>
            <w:insideH w:val="single" w:sz="8" w:space="0" w:color="auto"/>
          </w:tblBorders>
        </w:tblPrEx>
        <w:tc>
          <w:tcPr>
            <w:tcW w:w="7087" w:type="dxa"/>
            <w:gridSpan w:val="4"/>
            <w:tcBorders>
              <w:top w:val="nil"/>
              <w:bottom w:val="single" w:sz="8" w:space="0" w:color="auto"/>
            </w:tcBorders>
            <w:shd w:val="clear" w:color="auto" w:fill="auto"/>
          </w:tcPr>
          <w:p>
            <w:pPr>
              <w:pStyle w:val="nTable"/>
              <w:spacing w:after="40"/>
            </w:pPr>
            <w:r>
              <w:rPr>
                <w:b/>
              </w:rPr>
              <w:t xml:space="preserve">Reprint 12: The </w:t>
            </w:r>
            <w:r>
              <w:rPr>
                <w:b/>
                <w:i/>
                <w:noProof/>
              </w:rPr>
              <w:t>Public Sector Management Act 1994</w:t>
            </w:r>
            <w:r>
              <w:rPr>
                <w:b/>
              </w:rPr>
              <w:t xml:space="preserve"> as at 12 Jan 2018</w:t>
            </w:r>
            <w:r>
              <w:t xml:space="preserve"> (includes amendments listed above)</w:t>
            </w:r>
          </w:p>
        </w:tc>
      </w:tr>
    </w:tbl>
    <w:p>
      <w:pPr>
        <w:pStyle w:val="nSubsection"/>
        <w:spacing w:before="360"/>
      </w:pPr>
      <w:r>
        <w:rPr>
          <w:vertAlign w:val="superscript"/>
        </w:rPr>
        <w:t>1a</w:t>
      </w:r>
      <w:r>
        <w:rPr>
          <w:snapToGrid w:val="0"/>
        </w:rPr>
        <w:tab/>
        <w:t xml:space="preserve">On the date as at which this </w:t>
      </w:r>
      <w:del w:id="950" w:author="svcMRProcess" w:date="2019-05-20T15:05:00Z">
        <w:r>
          <w:rPr>
            <w:snapToGrid w:val="0"/>
          </w:rPr>
          <w:delText>reprint</w:delText>
        </w:r>
      </w:del>
      <w:ins w:id="951" w:author="svcMRProcess" w:date="2019-05-20T15:05:00Z">
        <w:r>
          <w:rPr>
            <w:snapToGrid w:val="0"/>
          </w:rPr>
          <w:t>compilation</w:t>
        </w:r>
      </w:ins>
      <w:r>
        <w:rPr>
          <w:snapToGrid w:val="0"/>
        </w:rPr>
        <w:t xml:space="preserve"> was prepared, provisions referred to in the following table had not come into operation and were therefore not included in this </w:t>
      </w:r>
      <w:del w:id="952" w:author="svcMRProcess" w:date="2019-05-20T15:05:00Z">
        <w:r>
          <w:rPr>
            <w:snapToGrid w:val="0"/>
          </w:rPr>
          <w:delText>reprint</w:delText>
        </w:r>
      </w:del>
      <w:ins w:id="953" w:author="svcMRProcess" w:date="2019-05-20T15:05:00Z">
        <w:r>
          <w:rPr>
            <w:snapToGrid w:val="0"/>
          </w:rPr>
          <w:t>compilation</w:t>
        </w:r>
      </w:ins>
      <w:r>
        <w:rPr>
          <w:snapToGrid w:val="0"/>
        </w:rPr>
        <w:t>.  For the text of the provisions see the endnotes referred to in the table.</w:t>
      </w:r>
    </w:p>
    <w:p>
      <w:pPr>
        <w:pStyle w:val="nHeading3"/>
        <w:keepLines/>
        <w:rPr>
          <w:snapToGrid w:val="0"/>
        </w:rPr>
      </w:pPr>
      <w:bookmarkStart w:id="954" w:name="_Toc515437211"/>
      <w:bookmarkStart w:id="955" w:name="_Toc503880856"/>
      <w:r>
        <w:rPr>
          <w:snapToGrid w:val="0"/>
        </w:rPr>
        <w:t>Provisions that have not come into operation</w:t>
      </w:r>
      <w:bookmarkEnd w:id="954"/>
      <w:bookmarkEnd w:id="955"/>
    </w:p>
    <w:tbl>
      <w:tblPr>
        <w:tblW w:w="7085" w:type="dxa"/>
        <w:tblInd w:w="28" w:type="dxa"/>
        <w:tblLayout w:type="fixed"/>
        <w:tblCellMar>
          <w:left w:w="56" w:type="dxa"/>
          <w:right w:w="56" w:type="dxa"/>
        </w:tblCellMar>
        <w:tblLook w:val="0000" w:firstRow="0" w:lastRow="0" w:firstColumn="0" w:lastColumn="0" w:noHBand="0" w:noVBand="0"/>
      </w:tblPr>
      <w:tblGrid>
        <w:gridCol w:w="2260"/>
        <w:gridCol w:w="1140"/>
        <w:gridCol w:w="1135"/>
        <w:gridCol w:w="2550"/>
      </w:tblGrid>
      <w:tr>
        <w:trPr>
          <w:cantSplit/>
          <w:tblHeader/>
        </w:trPr>
        <w:tc>
          <w:tcPr>
            <w:tcW w:w="2260"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40"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0"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0" w:type="dxa"/>
            <w:tcBorders>
              <w:top w:val="single" w:sz="8" w:space="0" w:color="auto"/>
            </w:tcBorders>
            <w:shd w:val="clear" w:color="auto" w:fill="auto"/>
          </w:tcPr>
          <w:p>
            <w:pPr>
              <w:pStyle w:val="nTable"/>
              <w:spacing w:after="40"/>
              <w:ind w:right="113"/>
              <w:rPr>
                <w:vertAlign w:val="superscript"/>
              </w:rPr>
            </w:pPr>
            <w:r>
              <w:rPr>
                <w:i/>
              </w:rPr>
              <w:t>State Superannuation (Transitional and Consequential Provisions) Act 2000</w:t>
            </w:r>
            <w:r>
              <w:t xml:space="preserve"> s. 59(a) </w:t>
            </w:r>
            <w:r>
              <w:rPr>
                <w:vertAlign w:val="superscript"/>
              </w:rPr>
              <w:t>8</w:t>
            </w:r>
          </w:p>
        </w:tc>
        <w:tc>
          <w:tcPr>
            <w:tcW w:w="1140" w:type="dxa"/>
            <w:tcBorders>
              <w:top w:val="single" w:sz="8" w:space="0" w:color="auto"/>
            </w:tcBorders>
            <w:shd w:val="clear" w:color="auto" w:fill="auto"/>
          </w:tcPr>
          <w:p>
            <w:pPr>
              <w:pStyle w:val="nTable"/>
              <w:spacing w:after="40"/>
            </w:pPr>
            <w:r>
              <w:t>43 of 2000</w:t>
            </w:r>
          </w:p>
        </w:tc>
        <w:tc>
          <w:tcPr>
            <w:tcW w:w="1135" w:type="dxa"/>
            <w:tcBorders>
              <w:top w:val="single" w:sz="8" w:space="0" w:color="auto"/>
            </w:tcBorders>
            <w:shd w:val="clear" w:color="auto" w:fill="auto"/>
          </w:tcPr>
          <w:p>
            <w:pPr>
              <w:pStyle w:val="nTable"/>
              <w:spacing w:after="40"/>
            </w:pPr>
            <w:r>
              <w:t>2 Nov 2000</w:t>
            </w:r>
          </w:p>
        </w:tc>
        <w:tc>
          <w:tcPr>
            <w:tcW w:w="2550" w:type="dxa"/>
            <w:tcBorders>
              <w:top w:val="single" w:sz="8" w:space="0" w:color="auto"/>
            </w:tcBorders>
            <w:shd w:val="clear" w:color="auto" w:fill="auto"/>
          </w:tcPr>
          <w:p>
            <w:pPr>
              <w:pStyle w:val="nTable"/>
              <w:spacing w:after="40"/>
            </w:pPr>
            <w:r>
              <w:t>To be proclaimed (see s. 2(2))</w:t>
            </w:r>
          </w:p>
        </w:tc>
      </w:tr>
      <w:tr>
        <w:trPr>
          <w:cantSplit/>
          <w:ins w:id="956" w:author="svcMRProcess" w:date="2019-05-20T15:05:00Z"/>
        </w:trPr>
        <w:tc>
          <w:tcPr>
            <w:tcW w:w="4535" w:type="dxa"/>
            <w:gridSpan w:val="3"/>
            <w:tcBorders>
              <w:bottom w:val="single" w:sz="8" w:space="0" w:color="auto"/>
            </w:tcBorders>
            <w:shd w:val="clear" w:color="auto" w:fill="auto"/>
          </w:tcPr>
          <w:p>
            <w:pPr>
              <w:pStyle w:val="nTable"/>
              <w:spacing w:after="40"/>
              <w:rPr>
                <w:ins w:id="957" w:author="svcMRProcess" w:date="2019-05-20T15:05:00Z"/>
              </w:rPr>
            </w:pPr>
            <w:ins w:id="958" w:author="svcMRProcess" w:date="2019-05-20T15:05:00Z">
              <w:r>
                <w:rPr>
                  <w:i/>
                </w:rPr>
                <w:t>Public Sector Management (Act Amendment) Regulations 2018</w:t>
              </w:r>
              <w:r>
                <w:t xml:space="preserve"> r. 3</w:t>
              </w:r>
              <w:r>
                <w:noBreakHyphen/>
                <w:t xml:space="preserve">4 published in </w:t>
              </w:r>
              <w:r>
                <w:rPr>
                  <w:i/>
                </w:rPr>
                <w:t>Gazette</w:t>
              </w:r>
              <w:r>
                <w:t xml:space="preserve"> 29 May 2018 p. 1736</w:t>
              </w:r>
              <w:r>
                <w:rPr>
                  <w:vertAlign w:val="superscript"/>
                </w:rPr>
                <w:t> 9</w:t>
              </w:r>
            </w:ins>
          </w:p>
        </w:tc>
        <w:tc>
          <w:tcPr>
            <w:tcW w:w="2550" w:type="dxa"/>
            <w:tcBorders>
              <w:bottom w:val="single" w:sz="8" w:space="0" w:color="auto"/>
            </w:tcBorders>
            <w:shd w:val="clear" w:color="auto" w:fill="auto"/>
          </w:tcPr>
          <w:p>
            <w:pPr>
              <w:pStyle w:val="nTable"/>
              <w:spacing w:after="40"/>
              <w:rPr>
                <w:ins w:id="959" w:author="svcMRProcess" w:date="2019-05-20T15:05:00Z"/>
              </w:rPr>
            </w:pPr>
            <w:ins w:id="960" w:author="svcMRProcess" w:date="2019-05-20T15:05:00Z">
              <w:r>
                <w:t xml:space="preserve">Operative on a day after the day fixed by a notice published in the </w:t>
              </w:r>
              <w:r>
                <w:rPr>
                  <w:i/>
                </w:rPr>
                <w:t>Gazette</w:t>
              </w:r>
              <w:r>
                <w:t xml:space="preserve"> under the </w:t>
              </w:r>
              <w:r>
                <w:rPr>
                  <w:i/>
                  <w:iCs/>
                </w:rPr>
                <w:t xml:space="preserve">Electricity Industry (Independent Market Operator) Repeal Regulations 2018 </w:t>
              </w:r>
              <w:r>
                <w:t>r. 12</w:t>
              </w:r>
            </w:ins>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Under the </w:t>
      </w:r>
      <w:r>
        <w:rPr>
          <w:i/>
          <w:snapToGrid w:val="0"/>
        </w:rPr>
        <w:t>R &amp; I Holdings Act 1990</w:t>
      </w:r>
      <w:r>
        <w:rPr>
          <w:snapToGrid w:val="0"/>
        </w:rPr>
        <w:t xml:space="preserve"> s. 22(2) that Act was repealed on 26 Jun 2001, see </w:t>
      </w:r>
      <w:r>
        <w:rPr>
          <w:i/>
          <w:snapToGrid w:val="0"/>
        </w:rPr>
        <w:t>Gazette</w:t>
      </w:r>
      <w:r>
        <w:rPr>
          <w:snapToGrid w:val="0"/>
        </w:rPr>
        <w:t xml:space="preserve"> 26 Jun 2001 p. 3063.</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(Sch. 1 cl. 5) is not included because of an error in the reference to the item to be amended.</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came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w:t>
      </w:r>
      <w:del w:id="961" w:author="svcMRProcess" w:date="2019-05-20T15:05:00Z">
        <w:r>
          <w:rPr>
            <w:snapToGrid w:val="0"/>
          </w:rPr>
          <w:delText>reprint</w:delText>
        </w:r>
      </w:del>
      <w:ins w:id="962" w:author="svcMRProcess" w:date="2019-05-20T15:05:00Z">
        <w:r>
          <w:rPr>
            <w:snapToGrid w:val="0"/>
          </w:rPr>
          <w:t>compilation</w:t>
        </w:r>
      </w:ins>
      <w:r>
        <w:rPr>
          <w:snapToGrid w:val="0"/>
        </w:rPr>
        <w:t xml:space="preserve">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rPr>
          <w:ins w:id="963" w:author="svcMRProcess" w:date="2019-05-20T15:05:00Z"/>
        </w:rPr>
      </w:pPr>
      <w:ins w:id="964" w:author="svcMRProcess" w:date="2019-05-20T15:05:00Z">
        <w:r>
          <w:rPr>
            <w:vertAlign w:val="superscript"/>
          </w:rPr>
          <w:t>9</w:t>
        </w:r>
        <w:r>
          <w:tab/>
        </w:r>
        <w:r>
          <w:rPr>
            <w:snapToGrid w:val="0"/>
          </w:rPr>
          <w:t xml:space="preserve">On the date as at which this compilation was prepared, </w:t>
        </w:r>
        <w:r>
          <w:t xml:space="preserve">the </w:t>
        </w:r>
        <w:r>
          <w:rPr>
            <w:i/>
          </w:rPr>
          <w:t>Public Sector Management (Act Amendment) Regulations 2018</w:t>
        </w:r>
        <w:r>
          <w:t xml:space="preserve"> r. 3</w:t>
        </w:r>
        <w:r>
          <w:noBreakHyphen/>
          <w:t>4 had not come into operation.  They read as follows:</w:t>
        </w:r>
      </w:ins>
    </w:p>
    <w:p>
      <w:pPr>
        <w:pStyle w:val="BlankOpen"/>
        <w:rPr>
          <w:ins w:id="965" w:author="svcMRProcess" w:date="2019-05-20T15:05:00Z"/>
        </w:rPr>
      </w:pPr>
    </w:p>
    <w:p>
      <w:pPr>
        <w:pStyle w:val="nzHeading5"/>
        <w:rPr>
          <w:ins w:id="966" w:author="svcMRProcess" w:date="2019-05-20T15:05:00Z"/>
          <w:snapToGrid w:val="0"/>
        </w:rPr>
      </w:pPr>
      <w:bookmarkStart w:id="967" w:name="_Toc511028376"/>
      <w:ins w:id="968" w:author="svcMRProcess" w:date="2019-05-20T15:05:00Z">
        <w:r>
          <w:rPr>
            <w:rStyle w:val="CharSectno"/>
          </w:rPr>
          <w:t>3</w:t>
        </w:r>
        <w:r>
          <w:rPr>
            <w:snapToGrid w:val="0"/>
          </w:rPr>
          <w:t>.</w:t>
        </w:r>
        <w:r>
          <w:rPr>
            <w:snapToGrid w:val="0"/>
          </w:rPr>
          <w:tab/>
          <w:t>Act amended</w:t>
        </w:r>
        <w:bookmarkEnd w:id="967"/>
      </w:ins>
    </w:p>
    <w:p>
      <w:pPr>
        <w:pStyle w:val="nzSubsection"/>
        <w:rPr>
          <w:ins w:id="969" w:author="svcMRProcess" w:date="2019-05-20T15:05:00Z"/>
        </w:rPr>
      </w:pPr>
      <w:ins w:id="970" w:author="svcMRProcess" w:date="2019-05-20T15:05:00Z">
        <w:r>
          <w:tab/>
        </w:r>
        <w:r>
          <w:tab/>
          <w:t xml:space="preserve">These </w:t>
        </w:r>
        <w:r>
          <w:rPr>
            <w:spacing w:val="-2"/>
          </w:rPr>
          <w:t>regulations amend</w:t>
        </w:r>
        <w:r>
          <w:t xml:space="preserve"> the </w:t>
        </w:r>
        <w:r>
          <w:rPr>
            <w:i/>
          </w:rPr>
          <w:t>Public Sector Management Act 1994</w:t>
        </w:r>
        <w:r>
          <w:t>.</w:t>
        </w:r>
      </w:ins>
    </w:p>
    <w:p>
      <w:pPr>
        <w:pStyle w:val="nzHeading5"/>
        <w:rPr>
          <w:ins w:id="971" w:author="svcMRProcess" w:date="2019-05-20T15:05:00Z"/>
        </w:rPr>
      </w:pPr>
      <w:bookmarkStart w:id="972" w:name="_Toc511028377"/>
      <w:ins w:id="973" w:author="svcMRProcess" w:date="2019-05-20T15:05:00Z">
        <w:r>
          <w:rPr>
            <w:rStyle w:val="CharSectno"/>
          </w:rPr>
          <w:t>4</w:t>
        </w:r>
        <w:r>
          <w:t>.</w:t>
        </w:r>
        <w:r>
          <w:tab/>
          <w:t>Schedule 1 amended</w:t>
        </w:r>
        <w:bookmarkEnd w:id="972"/>
      </w:ins>
    </w:p>
    <w:p>
      <w:pPr>
        <w:pStyle w:val="nzSubsection"/>
        <w:rPr>
          <w:ins w:id="974" w:author="svcMRProcess" w:date="2019-05-20T15:05:00Z"/>
        </w:rPr>
      </w:pPr>
      <w:ins w:id="975" w:author="svcMRProcess" w:date="2019-05-20T15:05:00Z">
        <w:r>
          <w:tab/>
        </w:r>
        <w:r>
          <w:tab/>
          <w:t>Delete Schedule 1 item 12.</w:t>
        </w:r>
      </w:ins>
    </w:p>
    <w:p>
      <w:pPr>
        <w:pStyle w:val="BlankClose"/>
        <w:rPr>
          <w:ins w:id="976" w:author="svcMRProcess" w:date="2019-05-20T15:05:00Z"/>
        </w:rPr>
      </w:pPr>
    </w:p>
    <w:p/>
    <w:p>
      <w:pPr>
        <w:sectPr>
          <w:headerReference w:type="even" r:id="rId33"/>
          <w:headerReference w:type="default" r:id="rId34"/>
          <w:headerReference w:type="first" r:id="rId35"/>
          <w:pgSz w:w="11907" w:h="16840" w:code="9"/>
          <w:pgMar w:top="2381" w:right="2410" w:bottom="3544" w:left="2410"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77" w:name="Compilation"/>
    <w:bookmarkEnd w:id="97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78" w:name="Coversheet"/>
    <w:bookmarkEnd w:id="97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21" w:name="Schedule"/>
    <w:bookmarkEnd w:id="72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lvlText w:val="%1."/>
      <w:lvlJc w:val="left"/>
      <w:pPr>
        <w:tabs>
          <w:tab w:val="num" w:pos="1800"/>
        </w:tabs>
        <w:ind w:left="1800" w:hanging="360"/>
      </w:pPr>
    </w:lvl>
  </w:abstractNum>
  <w:abstractNum w:abstractNumId="1">
    <w:nsid w:val="FFFFFF7D"/>
    <w:multiLevelType w:val="singleLevel"/>
    <w:tmpl w:val="59CA095C"/>
    <w:lvl w:ilvl="0">
      <w:start w:val="1"/>
      <w:numFmt w:val="decimal"/>
      <w:lvlText w:val="%1."/>
      <w:lvlJc w:val="left"/>
      <w:pPr>
        <w:tabs>
          <w:tab w:val="num" w:pos="1440"/>
        </w:tabs>
        <w:ind w:left="1440" w:hanging="360"/>
      </w:pPr>
    </w:lvl>
  </w:abstractNum>
  <w:abstractNum w:abstractNumId="2">
    <w:nsid w:val="FFFFFF7E"/>
    <w:multiLevelType w:val="singleLevel"/>
    <w:tmpl w:val="948E922E"/>
    <w:lvl w:ilvl="0">
      <w:start w:val="1"/>
      <w:numFmt w:val="decimal"/>
      <w:lvlText w:val="%1."/>
      <w:lvlJc w:val="left"/>
      <w:pPr>
        <w:tabs>
          <w:tab w:val="num" w:pos="1080"/>
        </w:tabs>
        <w:ind w:left="1080" w:hanging="360"/>
      </w:pPr>
    </w:lvl>
  </w:abstractNum>
  <w:abstractNum w:abstractNumId="3">
    <w:nsid w:val="FFFFFF7F"/>
    <w:multiLevelType w:val="singleLevel"/>
    <w:tmpl w:val="6A0EFC02"/>
    <w:lvl w:ilvl="0">
      <w:start w:val="1"/>
      <w:numFmt w:val="decimal"/>
      <w:lvlText w:val="%1."/>
      <w:lvlJc w:val="left"/>
      <w:pPr>
        <w:tabs>
          <w:tab w:val="num" w:pos="720"/>
        </w:tabs>
        <w:ind w:left="720" w:hanging="360"/>
      </w:pPr>
    </w:lvl>
  </w:abstractNum>
  <w:abstractNum w:abstractNumId="4">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lvlText w:val="%1."/>
      <w:lvlJc w:val="left"/>
      <w:pPr>
        <w:tabs>
          <w:tab w:val="num" w:pos="360"/>
        </w:tabs>
        <w:ind w:left="360" w:hanging="360"/>
      </w:pPr>
    </w:lvl>
  </w:abstractNum>
  <w:abstractNum w:abstractNumId="9">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7">
    <w:nsid w:val="402A3AD8"/>
    <w:multiLevelType w:val="multilevel"/>
    <w:tmpl w:val="652CD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07144008"/>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 w:name="WAFER_20170821100738" w:val="RemoveTocBookmarks,RemoveUnusedBookmarks,RemoveLanguageTags,UsedStyles,ResetPageSize,RemoveCustomizations"/>
    <w:docVar w:name="WAFER_20170821100738_GUID" w:val="ef5beb11-9ee7-4f79-9fa9-8ac194e6c8a8"/>
    <w:docVar w:name="WAFER_20171207143952" w:val="RemoveTocBookmarks,RemoveUnusedBookmarks,RemoveLanguageTags,UsedStyles,RemoveTrackChanges"/>
    <w:docVar w:name="WAFER_20171207143952_GUID" w:val="f8d91126-7851-4986-8d9e-e3463d8047ba"/>
    <w:docVar w:name="WAFER_20171207144008" w:val="RemoveTocBookmarks,RemoveLanguageTags,RemoveTrackChanges,RunningHeaders"/>
    <w:docVar w:name="WAFER_20171207144008_GUID" w:val="744a51ff-7238-4e70-bdbe-fc8650a720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3.png"/><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BBCCC-CC95-4BC2-A5C8-EBCF1FE5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40765</Words>
  <Characters>200567</Characters>
  <Application>Microsoft Office Word</Application>
  <DocSecurity>0</DocSecurity>
  <Lines>5420</Lines>
  <Paragraphs>2839</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238493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12-a0-00 - 12-b0-04</dc:title>
  <dc:subject/>
  <dc:creator/>
  <cp:keywords/>
  <dc:description/>
  <cp:lastModifiedBy>svcMRProcess</cp:lastModifiedBy>
  <cp:revision>2</cp:revision>
  <cp:lastPrinted>2018-05-30T04:50:00Z</cp:lastPrinted>
  <dcterms:created xsi:type="dcterms:W3CDTF">2019-05-20T07:05:00Z</dcterms:created>
  <dcterms:modified xsi:type="dcterms:W3CDTF">2019-05-20T07:05:00Z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2018-01-11T16:00:00Z</vt:filetime>
  </property>
  <property fmtid="{D5CDD505-2E9C-101B-9397-08002B2CF9AE}" pid="7" name="ReprintNo">
    <vt:lpwstr>12</vt:lpwstr>
  </property>
  <property fmtid="{D5CDD505-2E9C-101B-9397-08002B2CF9AE}" pid="8" name="CommencementDate">
    <vt:lpwstr>20180529</vt:lpwstr>
  </property>
  <property fmtid="{D5CDD505-2E9C-101B-9397-08002B2CF9AE}" pid="9" name="FromSuffix">
    <vt:lpwstr>12-a0-00</vt:lpwstr>
  </property>
  <property fmtid="{D5CDD505-2E9C-101B-9397-08002B2CF9AE}" pid="10" name="FromAsAtDate">
    <vt:lpwstr>12 Jan 2018</vt:lpwstr>
  </property>
  <property fmtid="{D5CDD505-2E9C-101B-9397-08002B2CF9AE}" pid="11" name="ToSuffix">
    <vt:lpwstr>12-b0-04</vt:lpwstr>
  </property>
  <property fmtid="{D5CDD505-2E9C-101B-9397-08002B2CF9AE}" pid="12" name="ToAsAtDate">
    <vt:lpwstr>29 May 2018</vt:lpwstr>
  </property>
</Properties>
</file>