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Evidence Act 1906</w:t>
      </w:r>
    </w:p>
    <w:p>
      <w:pPr>
        <w:pStyle w:val="NameofActReg"/>
      </w:pPr>
      <w:r>
        <w:t>Evidence (Video and Audio Links Fees and Expenses) Regulations 1999</w:t>
      </w:r>
    </w:p>
    <w:p>
      <w:pPr>
        <w:pStyle w:val="Heading5"/>
      </w:pPr>
      <w:bookmarkStart w:id="1" w:name="_Toc516819909"/>
      <w:bookmarkStart w:id="2" w:name="_Toc487189898"/>
      <w:r>
        <w:rPr>
          <w:rStyle w:val="CharSectno"/>
        </w:rPr>
        <w:t>1</w:t>
      </w:r>
      <w:bookmarkStart w:id="3" w:name="_GoBack"/>
      <w:bookmarkEnd w:id="3"/>
      <w:r>
        <w:t>.</w:t>
      </w:r>
      <w:r>
        <w:tab/>
        <w:t>Citation</w:t>
      </w:r>
      <w:bookmarkEnd w:id="1"/>
      <w:bookmarkEnd w:id="2"/>
    </w:p>
    <w:p>
      <w:pPr>
        <w:pStyle w:val="Subsection"/>
        <w:rPr>
          <w:i/>
        </w:rPr>
      </w:pPr>
      <w:r>
        <w:tab/>
      </w:r>
      <w:r>
        <w:tab/>
        <w:t xml:space="preserve">These regulations may be cited as the </w:t>
      </w:r>
      <w:r>
        <w:rPr>
          <w:i/>
        </w:rPr>
        <w:t>Evidence (Video and Audio Links Fees and Expenses) Regulations 1999</w:t>
      </w:r>
      <w:r>
        <w:rPr>
          <w:iCs/>
          <w:vertAlign w:val="superscript"/>
        </w:rPr>
        <w:t> 1</w:t>
      </w:r>
      <w:r>
        <w:rPr>
          <w:i/>
        </w:rPr>
        <w:t>.</w:t>
      </w:r>
    </w:p>
    <w:p>
      <w:pPr>
        <w:pStyle w:val="Heading5"/>
      </w:pPr>
      <w:bookmarkStart w:id="4" w:name="_Toc516819910"/>
      <w:bookmarkStart w:id="5" w:name="_Toc487189899"/>
      <w:r>
        <w:rPr>
          <w:rStyle w:val="CharSectno"/>
        </w:rPr>
        <w:t>2</w:t>
      </w:r>
      <w:r>
        <w:t>.</w:t>
      </w:r>
      <w:r>
        <w:tab/>
        <w:t>Booking fee</w:t>
      </w:r>
      <w:bookmarkEnd w:id="4"/>
      <w:bookmarkEnd w:id="5"/>
    </w:p>
    <w:p>
      <w:pPr>
        <w:pStyle w:val="Subsection"/>
      </w:pPr>
      <w:r>
        <w:tab/>
        <w:t>(1)</w:t>
      </w:r>
      <w:r>
        <w:tab/>
        <w:t>Except as provided in subregulation (2), if, on an application by a party to a civil proceeding in or before a court, the court directs —</w:t>
      </w:r>
    </w:p>
    <w:p>
      <w:pPr>
        <w:pStyle w:val="Indenta"/>
      </w:pPr>
      <w:r>
        <w:tab/>
        <w:t>(a)</w:t>
      </w:r>
      <w:r>
        <w:tab/>
        <w:t>that the evidence of a witness called by the party be taken by a video link; or</w:t>
      </w:r>
    </w:p>
    <w:p>
      <w:pPr>
        <w:pStyle w:val="Indenta"/>
      </w:pPr>
      <w:r>
        <w:tab/>
        <w:t>(b)</w:t>
      </w:r>
      <w:r>
        <w:tab/>
        <w:t>that a submission on behalf of the party be received by a video link,</w:t>
      </w:r>
    </w:p>
    <w:p>
      <w:pPr>
        <w:pStyle w:val="Subsection"/>
      </w:pPr>
      <w:r>
        <w:tab/>
      </w:r>
      <w:r>
        <w:tab/>
        <w:t>the party must pay to the court the relevant fee specified in item 1 of Schedule 1 to book that link.</w:t>
      </w:r>
    </w:p>
    <w:p>
      <w:pPr>
        <w:pStyle w:val="Subsection"/>
      </w:pPr>
      <w:r>
        <w:tab/>
        <w:t>(2)</w:t>
      </w:r>
      <w:r>
        <w:tab/>
        <w:t>If the same video link can be used by more than one party making an application, each of those parties must pay to the court an equal portion of the fee concerned.</w:t>
      </w:r>
    </w:p>
    <w:p>
      <w:pPr>
        <w:pStyle w:val="Footnotesection"/>
      </w:pPr>
      <w:r>
        <w:tab/>
        <w:t>[Regulation 2 amended in Gazette 9 Mar 2012 p. 931</w:t>
      </w:r>
      <w:r>
        <w:noBreakHyphen/>
        <w:t>2.]</w:t>
      </w:r>
    </w:p>
    <w:p>
      <w:pPr>
        <w:pStyle w:val="Heading5"/>
      </w:pPr>
      <w:bookmarkStart w:id="6" w:name="_Toc516819911"/>
      <w:bookmarkStart w:id="7" w:name="_Toc487189900"/>
      <w:r>
        <w:rPr>
          <w:rStyle w:val="CharSectno"/>
        </w:rPr>
        <w:lastRenderedPageBreak/>
        <w:t>3</w:t>
      </w:r>
      <w:r>
        <w:t>.</w:t>
      </w:r>
      <w:r>
        <w:tab/>
        <w:t>Hourly fee</w:t>
      </w:r>
      <w:bookmarkEnd w:id="6"/>
      <w:bookmarkEnd w:id="7"/>
    </w:p>
    <w:p>
      <w:pPr>
        <w:pStyle w:val="Subsection"/>
      </w:pPr>
      <w:r>
        <w:tab/>
      </w:r>
      <w:r>
        <w:tab/>
        <w:t>A party must, within 30 days after the use of a video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Footnotesection"/>
      </w:pPr>
      <w:r>
        <w:tab/>
        <w:t>[Regulation 3 amended in Gazette 9 Mar 2012 p. 932.]</w:t>
      </w:r>
    </w:p>
    <w:p>
      <w:pPr>
        <w:pStyle w:val="Heading5"/>
      </w:pPr>
      <w:bookmarkStart w:id="8" w:name="_Toc516819912"/>
      <w:bookmarkStart w:id="9" w:name="_Toc487189901"/>
      <w:r>
        <w:rPr>
          <w:rStyle w:val="CharSectno"/>
        </w:rPr>
        <w:t>4</w:t>
      </w:r>
      <w:r>
        <w:t>.</w:t>
      </w:r>
      <w:r>
        <w:tab/>
        <w:t>Telecommunications charges</w:t>
      </w:r>
      <w:bookmarkEnd w:id="8"/>
      <w:bookmarkEnd w:id="9"/>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10" w:name="_Toc516819913"/>
      <w:bookmarkStart w:id="11" w:name="_Toc487189902"/>
      <w:r>
        <w:rPr>
          <w:rStyle w:val="CharSectno"/>
        </w:rPr>
        <w:t>5</w:t>
      </w:r>
      <w:r>
        <w:t>.</w:t>
      </w:r>
      <w:r>
        <w:tab/>
        <w:t>Fees and expenses to be recoverable as debts due to the Crown</w:t>
      </w:r>
      <w:bookmarkEnd w:id="10"/>
      <w:bookmarkEnd w:id="11"/>
    </w:p>
    <w:p>
      <w:pPr>
        <w:pStyle w:val="Subsection"/>
      </w:pPr>
      <w:r>
        <w:tab/>
      </w:r>
      <w:r>
        <w:tab/>
        <w:t>A fee or expense payable under these regulations is a debt due to the Crown and is recoverable in a court of competent jurisdiction.</w:t>
      </w:r>
    </w:p>
    <w:p>
      <w:pPr>
        <w:pStyle w:val="Heading5"/>
      </w:pPr>
      <w:bookmarkStart w:id="12" w:name="_Toc516819914"/>
      <w:bookmarkStart w:id="13" w:name="_Toc487189903"/>
      <w:r>
        <w:rPr>
          <w:rStyle w:val="CharSectno"/>
        </w:rPr>
        <w:t>6</w:t>
      </w:r>
      <w:r>
        <w:t>.</w:t>
      </w:r>
      <w:r>
        <w:tab/>
        <w:t>Court may waive fees and expenses in a particular case</w:t>
      </w:r>
      <w:bookmarkEnd w:id="12"/>
      <w:bookmarkEnd w:id="13"/>
    </w:p>
    <w:p>
      <w:pPr>
        <w:pStyle w:val="Subsection"/>
      </w:pPr>
      <w:r>
        <w:tab/>
      </w:r>
      <w:r>
        <w:tab/>
        <w:t>A court may, in a particular case, waive a fee or expense payable under these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4" w:name="_Toc516819915"/>
      <w:bookmarkStart w:id="15" w:name="_Toc455127500"/>
      <w:bookmarkStart w:id="16" w:name="_Toc455569523"/>
      <w:bookmarkStart w:id="17" w:name="_Toc487188322"/>
      <w:bookmarkStart w:id="18" w:name="_Toc487189904"/>
      <w:r>
        <w:rPr>
          <w:rStyle w:val="CharSchNo"/>
        </w:rPr>
        <w:t>Schedule 1</w:t>
      </w:r>
      <w:r>
        <w:rPr>
          <w:rStyle w:val="CharSDivNo"/>
        </w:rPr>
        <w:t> </w:t>
      </w:r>
      <w:r>
        <w:t>—</w:t>
      </w:r>
      <w:r>
        <w:rPr>
          <w:rStyle w:val="CharSDivNo"/>
        </w:rPr>
        <w:t> </w:t>
      </w:r>
      <w:r>
        <w:rPr>
          <w:rStyle w:val="CharSchText"/>
        </w:rPr>
        <w:t>Fees</w:t>
      </w:r>
      <w:bookmarkEnd w:id="14"/>
      <w:bookmarkEnd w:id="15"/>
      <w:bookmarkEnd w:id="16"/>
      <w:bookmarkEnd w:id="17"/>
      <w:bookmarkEnd w:id="18"/>
    </w:p>
    <w:p>
      <w:pPr>
        <w:pStyle w:val="yShoulderClause"/>
      </w:pPr>
      <w:r>
        <w:t>[r. 2 and 3]</w:t>
      </w:r>
    </w:p>
    <w:p>
      <w:pPr>
        <w:pStyle w:val="yFootnoteheading"/>
      </w:pPr>
      <w:r>
        <w:tab/>
        <w:t>[Heading inserted in Gazette 19 Jun 2015 p. 2122.]</w:t>
      </w:r>
    </w:p>
    <w:p>
      <w:pPr>
        <w:pStyle w:val="yHeading5"/>
      </w:pPr>
      <w:bookmarkStart w:id="19" w:name="_Toc516819916"/>
      <w:bookmarkStart w:id="20" w:name="_Toc487189905"/>
      <w:r>
        <w:rPr>
          <w:rStyle w:val="CharSClsNo"/>
        </w:rPr>
        <w:t>1</w:t>
      </w:r>
      <w:r>
        <w:t>.</w:t>
      </w:r>
      <w:r>
        <w:tab/>
        <w:t>Booking fee</w:t>
      </w:r>
      <w:bookmarkEnd w:id="19"/>
      <w:bookmarkEnd w:id="20"/>
    </w:p>
    <w:p>
      <w:pPr>
        <w:pStyle w:val="ySubsection"/>
      </w:pPr>
      <w:r>
        <w:tab/>
        <w:t>(a)</w:t>
      </w:r>
      <w:r>
        <w:tab/>
        <w:t>Intrastate link ..............................................</w:t>
      </w:r>
      <w:r>
        <w:tab/>
        <w:t>$110.00</w:t>
      </w:r>
    </w:p>
    <w:p>
      <w:pPr>
        <w:pStyle w:val="ySubsection"/>
      </w:pPr>
      <w:r>
        <w:tab/>
        <w:t>(b)</w:t>
      </w:r>
      <w:r>
        <w:tab/>
        <w:t>Interstate or overseas link ...........................</w:t>
      </w:r>
      <w:r>
        <w:tab/>
        <w:t>$163.50</w:t>
      </w:r>
    </w:p>
    <w:p>
      <w:pPr>
        <w:pStyle w:val="yFootnotesection"/>
      </w:pPr>
      <w:r>
        <w:tab/>
        <w:t>[Clause 1 inserted in Gazette 19 Jun 2015 p. 2122; amended in Gazette 14 Jun 2016 p. 1906; 7 Jul 2017 p. 3751.]</w:t>
      </w:r>
    </w:p>
    <w:p>
      <w:pPr>
        <w:pStyle w:val="yHeading5"/>
      </w:pPr>
      <w:bookmarkStart w:id="21" w:name="_Toc516819917"/>
      <w:bookmarkStart w:id="22" w:name="_Toc487189906"/>
      <w:r>
        <w:rPr>
          <w:rStyle w:val="CharSClsNo"/>
        </w:rPr>
        <w:t>2</w:t>
      </w:r>
      <w:r>
        <w:t>.</w:t>
      </w:r>
      <w:r>
        <w:tab/>
        <w:t>Hourly fee</w:t>
      </w:r>
      <w:bookmarkEnd w:id="21"/>
      <w:bookmarkEnd w:id="22"/>
    </w:p>
    <w:p>
      <w:pPr>
        <w:pStyle w:val="ySubsection"/>
      </w:pPr>
      <w:r>
        <w:tab/>
      </w:r>
      <w:r>
        <w:tab/>
        <w:t>Per hour or part of an hour .........................</w:t>
      </w:r>
      <w:r>
        <w:tab/>
        <w:t>$86.00</w:t>
      </w:r>
    </w:p>
    <w:p>
      <w:pPr>
        <w:pStyle w:val="yFootnotesection"/>
      </w:pPr>
      <w:r>
        <w:tab/>
        <w:t>[Clause 2 inserted in Gazette 19 Jun 2015 p. 2123; amended in Gazette 14 Jun 2016 p. 1906; 7 Jul 2017 p. 3751.]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4" w:name="_Toc516819918"/>
      <w:bookmarkStart w:id="25" w:name="_Toc455127503"/>
      <w:bookmarkStart w:id="26" w:name="_Toc455569526"/>
      <w:bookmarkStart w:id="27" w:name="_Toc487188325"/>
      <w:bookmarkStart w:id="28" w:name="_Toc487189907"/>
      <w:r>
        <w:t>Notes</w:t>
      </w:r>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w:t>
      </w:r>
      <w:ins w:id="29" w:author="Master Repository Process" w:date="2021-08-01T12:38:00Z">
        <w:r>
          <w:rPr>
            <w:snapToGrid w:val="0"/>
          </w:rPr>
          <w:t> </w:t>
        </w:r>
        <w:r>
          <w:rPr>
            <w:snapToGrid w:val="0"/>
            <w:vertAlign w:val="superscript"/>
          </w:rPr>
          <w:t>1a</w:t>
        </w:r>
      </w:ins>
      <w:r>
        <w:rPr>
          <w:snapToGrid w:val="0"/>
        </w:rPr>
        <w:t>.  The table also contains information about any reprint.</w:t>
      </w:r>
    </w:p>
    <w:p>
      <w:pPr>
        <w:pStyle w:val="nHeading3"/>
      </w:pPr>
      <w:bookmarkStart w:id="30" w:name="_Toc516819919"/>
      <w:bookmarkStart w:id="31" w:name="_Toc487189908"/>
      <w:r>
        <w:t>Compilation table</w:t>
      </w:r>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Evidence (Video and Audio Links Fees and Expenses) Regulations 1999</w:t>
            </w:r>
          </w:p>
        </w:tc>
        <w:tc>
          <w:tcPr>
            <w:tcW w:w="1276" w:type="dxa"/>
            <w:tcBorders>
              <w:top w:val="single" w:sz="8" w:space="0" w:color="auto"/>
            </w:tcBorders>
          </w:tcPr>
          <w:p>
            <w:pPr>
              <w:pStyle w:val="nTable"/>
            </w:pPr>
            <w:r>
              <w:t>7 Dec 1999 p. 5995</w:t>
            </w:r>
            <w:r>
              <w:noBreakHyphen/>
              <w:t>6</w:t>
            </w:r>
          </w:p>
        </w:tc>
        <w:tc>
          <w:tcPr>
            <w:tcW w:w="2694" w:type="dxa"/>
            <w:gridSpan w:val="2"/>
            <w:tcBorders>
              <w:top w:val="single" w:sz="8" w:space="0" w:color="auto"/>
            </w:tcBorders>
          </w:tcPr>
          <w:p>
            <w:pPr>
              <w:pStyle w:val="nTable"/>
            </w:pPr>
            <w:r>
              <w:t>7 Dec 1999</w:t>
            </w:r>
          </w:p>
        </w:tc>
      </w:tr>
      <w:tr>
        <w:tc>
          <w:tcPr>
            <w:tcW w:w="3118" w:type="dxa"/>
          </w:tcPr>
          <w:p>
            <w:pPr>
              <w:pStyle w:val="nTable"/>
              <w:spacing w:after="40"/>
              <w:rPr>
                <w:i/>
              </w:rPr>
            </w:pPr>
            <w:r>
              <w:rPr>
                <w:i/>
              </w:rPr>
              <w:t>Evidence (Video and Audio Links Fees and Expenses) Amendment Regulations 2003</w:t>
            </w:r>
          </w:p>
        </w:tc>
        <w:tc>
          <w:tcPr>
            <w:tcW w:w="1276" w:type="dxa"/>
          </w:tcPr>
          <w:p>
            <w:pPr>
              <w:pStyle w:val="nTable"/>
            </w:pPr>
            <w:r>
              <w:t>30 Dec 2003 p. 5718</w:t>
            </w:r>
          </w:p>
        </w:tc>
        <w:tc>
          <w:tcPr>
            <w:tcW w:w="2694" w:type="dxa"/>
            <w:gridSpan w:val="2"/>
          </w:tcPr>
          <w:p>
            <w:pPr>
              <w:pStyle w:val="nTable"/>
            </w:pPr>
            <w:r>
              <w:t>1 Jan 2004 (see r. 2)</w:t>
            </w:r>
          </w:p>
        </w:tc>
      </w:tr>
      <w:tr>
        <w:trPr>
          <w:cantSplit/>
        </w:trPr>
        <w:tc>
          <w:tcPr>
            <w:tcW w:w="7088" w:type="dxa"/>
            <w:gridSpan w:val="4"/>
          </w:tcPr>
          <w:p>
            <w:pPr>
              <w:pStyle w:val="nTable"/>
              <w:spacing w:after="40"/>
            </w:pPr>
            <w:r>
              <w:rPr>
                <w:b/>
                <w:bCs/>
              </w:rPr>
              <w:t xml:space="preserve">Reprint 1: The </w:t>
            </w:r>
            <w:r>
              <w:rPr>
                <w:b/>
                <w:bCs/>
                <w:i/>
              </w:rPr>
              <w:t>Evidence (Video and Audio Links Fees and Expenses) Regulations 1999</w:t>
            </w:r>
            <w:r>
              <w:rPr>
                <w:b/>
                <w:bCs/>
              </w:rPr>
              <w:t xml:space="preserve"> as at 6 Aug 2004</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2005</w:t>
            </w:r>
          </w:p>
        </w:tc>
        <w:tc>
          <w:tcPr>
            <w:tcW w:w="1276" w:type="dxa"/>
          </w:tcPr>
          <w:p>
            <w:pPr>
              <w:pStyle w:val="nTable"/>
            </w:pPr>
            <w:r>
              <w:t>23 Jun 2005 p. 2689</w:t>
            </w:r>
          </w:p>
        </w:tc>
        <w:tc>
          <w:tcPr>
            <w:tcW w:w="2694" w:type="dxa"/>
            <w:gridSpan w:val="2"/>
          </w:tcPr>
          <w:p>
            <w:pPr>
              <w:pStyle w:val="nTable"/>
            </w:pPr>
            <w:r>
              <w:t>1 Jul 2005 (see r. 2)</w:t>
            </w:r>
          </w:p>
        </w:tc>
      </w:tr>
      <w:tr>
        <w:trPr>
          <w:cantSplit/>
        </w:trPr>
        <w:tc>
          <w:tcPr>
            <w:tcW w:w="3118" w:type="dxa"/>
          </w:tcPr>
          <w:p>
            <w:pPr>
              <w:pStyle w:val="nTable"/>
              <w:spacing w:after="40"/>
              <w:rPr>
                <w:i/>
                <w:iCs/>
              </w:rPr>
            </w:pPr>
            <w:r>
              <w:rPr>
                <w:i/>
                <w:iCs/>
              </w:rPr>
              <w:t>Evidence (Video and Audio Links Fees and Expenses) Amendment Regulations 2006</w:t>
            </w:r>
          </w:p>
        </w:tc>
        <w:tc>
          <w:tcPr>
            <w:tcW w:w="1276" w:type="dxa"/>
          </w:tcPr>
          <w:p>
            <w:pPr>
              <w:pStyle w:val="nTable"/>
            </w:pPr>
            <w:r>
              <w:t>23 Jun 2006 p. 2190</w:t>
            </w:r>
          </w:p>
        </w:tc>
        <w:tc>
          <w:tcPr>
            <w:tcW w:w="2694" w:type="dxa"/>
            <w:gridSpan w:val="2"/>
          </w:tcPr>
          <w:p>
            <w:pPr>
              <w:pStyle w:val="nTable"/>
            </w:pPr>
            <w:r>
              <w:t>1 Jul 2006 (see r. 2)</w:t>
            </w:r>
          </w:p>
        </w:tc>
      </w:tr>
      <w:tr>
        <w:trPr>
          <w:cantSplit/>
        </w:trPr>
        <w:tc>
          <w:tcPr>
            <w:tcW w:w="3118" w:type="dxa"/>
          </w:tcPr>
          <w:p>
            <w:pPr>
              <w:pStyle w:val="nTable"/>
              <w:spacing w:after="40"/>
              <w:rPr>
                <w:i/>
                <w:iCs/>
              </w:rPr>
            </w:pPr>
            <w:r>
              <w:rPr>
                <w:i/>
                <w:iCs/>
              </w:rPr>
              <w:t>Evidence (Video and Audio Links Fees and Expenses) Amendment Regulations 2007</w:t>
            </w:r>
          </w:p>
        </w:tc>
        <w:tc>
          <w:tcPr>
            <w:tcW w:w="1276" w:type="dxa"/>
          </w:tcPr>
          <w:p>
            <w:pPr>
              <w:pStyle w:val="nTable"/>
            </w:pPr>
            <w:r>
              <w:t>26 Jun 2007 p. 3030-1</w:t>
            </w:r>
          </w:p>
        </w:tc>
        <w:tc>
          <w:tcPr>
            <w:tcW w:w="2694" w:type="dxa"/>
            <w:gridSpan w:val="2"/>
          </w:tcPr>
          <w:p>
            <w:pPr>
              <w:pStyle w:val="nTable"/>
            </w:pPr>
            <w:r>
              <w:t>r. 1 and 2: 26 Jun 2007 (see r. 2(a));</w:t>
            </w:r>
            <w:r>
              <w:br/>
              <w:t>Regulations other than r. 1 and 2: 1 Jul 2007 (see r. 2(b))</w:t>
            </w:r>
          </w:p>
        </w:tc>
      </w:tr>
      <w:tr>
        <w:trPr>
          <w:cantSplit/>
        </w:trPr>
        <w:tc>
          <w:tcPr>
            <w:tcW w:w="3118" w:type="dxa"/>
          </w:tcPr>
          <w:p>
            <w:pPr>
              <w:pStyle w:val="nTable"/>
              <w:spacing w:after="40"/>
              <w:rPr>
                <w:i/>
                <w:iCs/>
              </w:rPr>
            </w:pPr>
            <w:r>
              <w:rPr>
                <w:i/>
                <w:iCs/>
              </w:rPr>
              <w:t>Evidence (Video and Audio Links Fees and Expenses) Amendment Regulations 2008</w:t>
            </w:r>
          </w:p>
        </w:tc>
        <w:tc>
          <w:tcPr>
            <w:tcW w:w="1276" w:type="dxa"/>
          </w:tcPr>
          <w:p>
            <w:pPr>
              <w:pStyle w:val="nTable"/>
            </w:pPr>
            <w:r>
              <w:t>27 Jun 2008 p. 3072-3</w:t>
            </w:r>
          </w:p>
        </w:tc>
        <w:tc>
          <w:tcPr>
            <w:tcW w:w="2694" w:type="dxa"/>
            <w:gridSpan w:val="2"/>
          </w:tcPr>
          <w:p>
            <w:pPr>
              <w:pStyle w:val="nTable"/>
            </w:pPr>
            <w:r>
              <w:t>r. 1 and 2: 27 Jun 2008 (see r. 2(a));</w:t>
            </w:r>
            <w:r>
              <w:br/>
              <w:t>Regulations other than r. 1 and 2: 1 Jul 2008 (see r. 2(b))</w:t>
            </w:r>
          </w:p>
        </w:tc>
      </w:tr>
      <w:tr>
        <w:trPr>
          <w:cantSplit/>
        </w:trPr>
        <w:tc>
          <w:tcPr>
            <w:tcW w:w="7088" w:type="dxa"/>
            <w:gridSpan w:val="4"/>
          </w:tcPr>
          <w:p>
            <w:pPr>
              <w:pStyle w:val="nTable"/>
              <w:spacing w:after="40"/>
              <w:rPr>
                <w:snapToGrid w:val="0"/>
              </w:rPr>
            </w:pPr>
            <w:r>
              <w:rPr>
                <w:b/>
                <w:bCs/>
              </w:rPr>
              <w:t xml:space="preserve">Reprint 2: The </w:t>
            </w:r>
            <w:r>
              <w:rPr>
                <w:b/>
                <w:bCs/>
                <w:i/>
              </w:rPr>
              <w:t>Evidence (Video and Audio Links Fees and Expenses) Regulations 1999</w:t>
            </w:r>
            <w:r>
              <w:rPr>
                <w:b/>
                <w:bCs/>
              </w:rPr>
              <w:t xml:space="preserve"> as at 7 Nov 2008</w:t>
            </w:r>
            <w:r>
              <w:t xml:space="preserve"> (includes amendments listed above)</w:t>
            </w:r>
          </w:p>
        </w:tc>
      </w:tr>
      <w:tr>
        <w:trPr>
          <w:cantSplit/>
        </w:trPr>
        <w:tc>
          <w:tcPr>
            <w:tcW w:w="3118" w:type="dxa"/>
          </w:tcPr>
          <w:p>
            <w:pPr>
              <w:pStyle w:val="nTable"/>
              <w:spacing w:after="40"/>
              <w:rPr>
                <w:i/>
                <w:iCs/>
              </w:rPr>
            </w:pPr>
            <w:r>
              <w:rPr>
                <w:i/>
                <w:iCs/>
              </w:rPr>
              <w:t>Evidence (Video and Audio Links Fees and Expenses) Amendment Regulations 2009</w:t>
            </w:r>
          </w:p>
        </w:tc>
        <w:tc>
          <w:tcPr>
            <w:tcW w:w="1276" w:type="dxa"/>
          </w:tcPr>
          <w:p>
            <w:pPr>
              <w:pStyle w:val="nTable"/>
              <w:spacing w:after="40"/>
            </w:pPr>
            <w:r>
              <w:t>4 Sep 2009 p. 3494</w:t>
            </w:r>
          </w:p>
        </w:tc>
        <w:tc>
          <w:tcPr>
            <w:tcW w:w="2694" w:type="dxa"/>
            <w:gridSpan w:val="2"/>
          </w:tcPr>
          <w:p>
            <w:pPr>
              <w:pStyle w:val="nTable"/>
              <w:spacing w:after="40"/>
            </w:pPr>
            <w:r>
              <w:rPr>
                <w:snapToGrid w:val="0"/>
              </w:rPr>
              <w:t>r. 1 and 2: 4 Sep 2009 (see r. 2(a));</w:t>
            </w:r>
            <w:r>
              <w:rPr>
                <w:snapToGrid w:val="0"/>
              </w:rPr>
              <w:br/>
              <w:t>Regulations other than r. 1 and 2: 5 Sep 2009 (see r. 2(b))</w:t>
            </w:r>
          </w:p>
        </w:tc>
      </w:tr>
      <w:tr>
        <w:trPr>
          <w:cantSplit/>
        </w:trPr>
        <w:tc>
          <w:tcPr>
            <w:tcW w:w="3118" w:type="dxa"/>
          </w:tcPr>
          <w:p>
            <w:pPr>
              <w:pStyle w:val="nTable"/>
              <w:spacing w:after="40"/>
              <w:rPr>
                <w:i/>
                <w:iCs/>
              </w:rPr>
            </w:pPr>
            <w:r>
              <w:rPr>
                <w:i/>
                <w:iCs/>
              </w:rPr>
              <w:t>Evidence (Video and Audio Links Fees and Expenses) Amendment Regulations 2011</w:t>
            </w:r>
          </w:p>
        </w:tc>
        <w:tc>
          <w:tcPr>
            <w:tcW w:w="1276" w:type="dxa"/>
          </w:tcPr>
          <w:p>
            <w:pPr>
              <w:pStyle w:val="nTable"/>
              <w:spacing w:after="40"/>
            </w:pPr>
            <w:r>
              <w:t>8 Mar 2011 p. 798</w:t>
            </w:r>
            <w:r>
              <w:noBreakHyphen/>
              <w:t>9</w:t>
            </w:r>
          </w:p>
        </w:tc>
        <w:tc>
          <w:tcPr>
            <w:tcW w:w="2694"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iCs/>
              </w:rPr>
            </w:pPr>
            <w:r>
              <w:rPr>
                <w:i/>
                <w:iCs/>
              </w:rPr>
              <w:t>Evidence (Video and Audio Links Fees and Expenses) Amendment Regulations (No. 2) 2011</w:t>
            </w:r>
          </w:p>
        </w:tc>
        <w:tc>
          <w:tcPr>
            <w:tcW w:w="1276" w:type="dxa"/>
          </w:tcPr>
          <w:p>
            <w:pPr>
              <w:pStyle w:val="nTable"/>
              <w:spacing w:after="40"/>
            </w:pPr>
            <w:r>
              <w:t>20 Dec 2011 p. 5395</w:t>
            </w:r>
            <w:r>
              <w:noBreakHyphen/>
              <w:t>6</w:t>
            </w:r>
          </w:p>
        </w:tc>
        <w:tc>
          <w:tcPr>
            <w:tcW w:w="2694"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iCs/>
              </w:rPr>
            </w:pPr>
            <w:r>
              <w:rPr>
                <w:i/>
                <w:iCs/>
              </w:rPr>
              <w:t>Evidence (Video and Audio Links Fees and Expenses) Amendment Regulations 2012</w:t>
            </w:r>
          </w:p>
        </w:tc>
        <w:tc>
          <w:tcPr>
            <w:tcW w:w="1276" w:type="dxa"/>
          </w:tcPr>
          <w:p>
            <w:pPr>
              <w:pStyle w:val="nTable"/>
              <w:spacing w:after="40"/>
            </w:pPr>
            <w:r>
              <w:t>9 Mar 2012 p. 931</w:t>
            </w:r>
            <w:r>
              <w:noBreakHyphen/>
              <w:t>2</w:t>
            </w:r>
          </w:p>
        </w:tc>
        <w:tc>
          <w:tcPr>
            <w:tcW w:w="2694" w:type="dxa"/>
            <w:gridSpan w:val="2"/>
          </w:tcPr>
          <w:p>
            <w:pPr>
              <w:pStyle w:val="nTable"/>
              <w:spacing w:after="40"/>
              <w:rPr>
                <w:snapToGrid w:val="0"/>
              </w:rPr>
            </w:pPr>
            <w:r>
              <w:rPr>
                <w:snapToGrid w:val="0"/>
              </w:rPr>
              <w:t>r. 1 and 2: 9 Mar 2012 (see r. 2(a));</w:t>
            </w:r>
            <w:r>
              <w:rPr>
                <w:snapToGrid w:val="0"/>
              </w:rPr>
              <w:br/>
              <w:t>Regulations other than r. 1 and 2: 10 Mar 2012 (see r. 2(b))</w:t>
            </w:r>
          </w:p>
        </w:tc>
      </w:tr>
      <w:tr>
        <w:trPr>
          <w:cantSplit/>
        </w:trPr>
        <w:tc>
          <w:tcPr>
            <w:tcW w:w="3118" w:type="dxa"/>
          </w:tcPr>
          <w:p>
            <w:pPr>
              <w:pStyle w:val="nTable"/>
              <w:spacing w:after="40"/>
              <w:rPr>
                <w:i/>
                <w:iCs/>
              </w:rPr>
            </w:pPr>
            <w:r>
              <w:rPr>
                <w:i/>
                <w:iCs/>
              </w:rPr>
              <w:t>Evidence (Video and Audio Links Fees and Expenses) Amendment Regulations (No. 2) 2012</w:t>
            </w:r>
          </w:p>
        </w:tc>
        <w:tc>
          <w:tcPr>
            <w:tcW w:w="1276" w:type="dxa"/>
          </w:tcPr>
          <w:p>
            <w:pPr>
              <w:pStyle w:val="nTable"/>
              <w:spacing w:after="40"/>
            </w:pPr>
            <w:r>
              <w:t>30 Nov 2012 p. 5800</w:t>
            </w:r>
          </w:p>
        </w:tc>
        <w:tc>
          <w:tcPr>
            <w:tcW w:w="2694"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2013</w:t>
            </w:r>
          </w:p>
        </w:tc>
        <w:tc>
          <w:tcPr>
            <w:tcW w:w="1276" w:type="dxa"/>
            <w:shd w:val="clear" w:color="auto" w:fill="auto"/>
          </w:tcPr>
          <w:p>
            <w:pPr>
              <w:pStyle w:val="nTable"/>
              <w:spacing w:after="40"/>
            </w:pPr>
            <w:r>
              <w:t>15 Nov 2013 p. 5256</w:t>
            </w:r>
          </w:p>
        </w:tc>
        <w:tc>
          <w:tcPr>
            <w:tcW w:w="2694" w:type="dxa"/>
            <w:gridSpan w:val="2"/>
            <w:shd w:val="clear" w:color="auto" w:fill="auto"/>
          </w:tcPr>
          <w:p>
            <w:pPr>
              <w:pStyle w:val="nTable"/>
              <w:spacing w:after="40"/>
              <w:rPr>
                <w:snapToGrid w:val="0"/>
              </w:rPr>
            </w:pPr>
            <w:r>
              <w:rPr>
                <w:bCs/>
                <w:snapToGrid w:val="0"/>
              </w:rPr>
              <w:t>r. 1 and 2: 15 Nov 2013 (see r. 2(a));</w:t>
            </w:r>
            <w:r>
              <w:rPr>
                <w:bCs/>
                <w:snapToGrid w:val="0"/>
              </w:rPr>
              <w:br/>
              <w:t>Regulations other than r. 1 and 2: 16 Nov 2013 (see r. 2(b))</w:t>
            </w:r>
          </w:p>
        </w:tc>
      </w:tr>
      <w:tr>
        <w:trPr>
          <w:cantSplit/>
        </w:trPr>
        <w:tc>
          <w:tcPr>
            <w:tcW w:w="7088" w:type="dxa"/>
            <w:gridSpan w:val="4"/>
            <w:shd w:val="clear" w:color="auto" w:fill="auto"/>
          </w:tcPr>
          <w:p>
            <w:pPr>
              <w:pStyle w:val="nTable"/>
              <w:spacing w:after="40"/>
              <w:rPr>
                <w:bCs/>
                <w:snapToGrid w:val="0"/>
              </w:rPr>
            </w:pPr>
            <w:r>
              <w:rPr>
                <w:b/>
                <w:bCs/>
              </w:rPr>
              <w:t xml:space="preserve">Reprint 3: The </w:t>
            </w:r>
            <w:r>
              <w:rPr>
                <w:b/>
                <w:bCs/>
                <w:i/>
              </w:rPr>
              <w:t>Evidence (Video and Audio Links Fees and Expenses) Regulations 1999</w:t>
            </w:r>
            <w:r>
              <w:rPr>
                <w:b/>
                <w:bCs/>
              </w:rPr>
              <w:t xml:space="preserve"> as at 14 Feb 2014</w:t>
            </w:r>
            <w:r>
              <w:t xml:space="preserve"> (includes amendments listed above)</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2014</w:t>
            </w:r>
          </w:p>
        </w:tc>
        <w:tc>
          <w:tcPr>
            <w:tcW w:w="1276" w:type="dxa"/>
            <w:shd w:val="clear" w:color="auto" w:fill="auto"/>
          </w:tcPr>
          <w:p>
            <w:pPr>
              <w:pStyle w:val="nTable"/>
              <w:spacing w:after="40"/>
            </w:pPr>
            <w:r>
              <w:t>27 Jun 2014 p. 2341</w:t>
            </w:r>
          </w:p>
        </w:tc>
        <w:tc>
          <w:tcPr>
            <w:tcW w:w="2694" w:type="dxa"/>
            <w:gridSpan w:val="2"/>
            <w:shd w:val="clear" w:color="auto" w:fill="auto"/>
          </w:tcPr>
          <w:p>
            <w:pPr>
              <w:pStyle w:val="nTable"/>
              <w:spacing w:after="40"/>
              <w:rPr>
                <w:snapToGrid w:val="0"/>
              </w:rPr>
            </w:pPr>
            <w:r>
              <w:rPr>
                <w:bCs/>
                <w:snapToGrid w:val="0"/>
              </w:rPr>
              <w:t>r. 1 and 2: 27 Jun 2014 (see r. 2(a));</w:t>
            </w:r>
            <w:r>
              <w:rPr>
                <w:bCs/>
                <w:snapToGrid w:val="0"/>
              </w:rPr>
              <w:br/>
              <w:t>Regulations other than r. 1 and 2: 1 Jul 2014 (see r. 2(b)(i))</w:t>
            </w:r>
          </w:p>
        </w:tc>
      </w:tr>
      <w:tr>
        <w:trPr>
          <w:cantSplit/>
        </w:trPr>
        <w:tc>
          <w:tcPr>
            <w:tcW w:w="3118" w:type="dxa"/>
            <w:shd w:val="clear" w:color="auto" w:fill="auto"/>
          </w:tcPr>
          <w:p>
            <w:pPr>
              <w:pStyle w:val="nTable"/>
              <w:spacing w:after="40"/>
              <w:rPr>
                <w:i/>
                <w:iCs/>
              </w:rPr>
            </w:pPr>
            <w:r>
              <w:rPr>
                <w:i/>
                <w:iCs/>
              </w:rPr>
              <w:t>Evidence (Video and Audio Links Fees and Expenses) Amendment Regulations 2015</w:t>
            </w:r>
          </w:p>
        </w:tc>
        <w:tc>
          <w:tcPr>
            <w:tcW w:w="1276" w:type="dxa"/>
            <w:shd w:val="clear" w:color="auto" w:fill="auto"/>
          </w:tcPr>
          <w:p>
            <w:pPr>
              <w:pStyle w:val="nTable"/>
              <w:spacing w:after="40"/>
            </w:pPr>
            <w:r>
              <w:t>19 Jun 2015 p. 2122</w:t>
            </w:r>
            <w:r>
              <w:noBreakHyphen/>
              <w:t>3</w:t>
            </w:r>
          </w:p>
        </w:tc>
        <w:tc>
          <w:tcPr>
            <w:tcW w:w="2694" w:type="dxa"/>
            <w:gridSpan w:val="2"/>
            <w:shd w:val="clear" w:color="auto" w:fill="auto"/>
          </w:tcPr>
          <w:p>
            <w:pPr>
              <w:pStyle w:val="nTable"/>
              <w:spacing w:after="40"/>
              <w:rPr>
                <w:bCs/>
                <w:snapToGrid w:val="0"/>
              </w:rPr>
            </w:pPr>
            <w:r>
              <w:rPr>
                <w:bCs/>
                <w:snapToGrid w:val="0"/>
              </w:rPr>
              <w:t xml:space="preserve">r. 1 and 2: </w:t>
            </w:r>
            <w:r>
              <w:t>19 Jun 2015</w:t>
            </w:r>
            <w:r>
              <w:rPr>
                <w:bCs/>
                <w:snapToGrid w:val="0"/>
              </w:rPr>
              <w:t xml:space="preserve"> (see r. 2(a));</w:t>
            </w:r>
            <w:r>
              <w:rPr>
                <w:bCs/>
                <w:snapToGrid w:val="0"/>
              </w:rPr>
              <w:br/>
              <w:t>Regulations other than r. 1 and 2: 1 Jul 2015 (see r. 2(b)(i))</w:t>
            </w:r>
          </w:p>
        </w:tc>
      </w:tr>
      <w:tr>
        <w:trPr>
          <w:cantSplit/>
        </w:trPr>
        <w:tc>
          <w:tcPr>
            <w:tcW w:w="3118" w:type="dxa"/>
            <w:shd w:val="clear" w:color="auto" w:fill="auto"/>
          </w:tcPr>
          <w:p>
            <w:pPr>
              <w:pStyle w:val="nTable"/>
              <w:spacing w:after="40"/>
              <w:rPr>
                <w:i/>
                <w:iCs/>
              </w:rPr>
            </w:pPr>
            <w:r>
              <w:rPr>
                <w:i/>
              </w:rPr>
              <w:t>Attorney General Regulations Amendment (Fees) Regulations 2016</w:t>
            </w:r>
            <w:r>
              <w:t xml:space="preserve"> Pt. 6</w:t>
            </w:r>
          </w:p>
        </w:tc>
        <w:tc>
          <w:tcPr>
            <w:tcW w:w="1276" w:type="dxa"/>
            <w:shd w:val="clear" w:color="auto" w:fill="auto"/>
          </w:tcPr>
          <w:p>
            <w:pPr>
              <w:pStyle w:val="nTable"/>
              <w:spacing w:after="40"/>
            </w:pPr>
            <w:r>
              <w:t>14 Jun 2016 p. 1849</w:t>
            </w:r>
            <w:r>
              <w:noBreakHyphen/>
              <w:t>986</w:t>
            </w:r>
          </w:p>
        </w:tc>
        <w:tc>
          <w:tcPr>
            <w:tcW w:w="2694" w:type="dxa"/>
            <w:gridSpan w:val="2"/>
            <w:shd w:val="clear" w:color="auto" w:fill="auto"/>
          </w:tcPr>
          <w:p>
            <w:pPr>
              <w:pStyle w:val="nTable"/>
              <w:spacing w:after="40"/>
              <w:rPr>
                <w:bCs/>
                <w:snapToGrid w:val="0"/>
              </w:rPr>
            </w:pPr>
            <w:r>
              <w:t>4 Jul 2016 (see r. 2(b))</w:t>
            </w:r>
          </w:p>
        </w:tc>
      </w:tr>
      <w:tr>
        <w:trPr>
          <w:gridAfter w:val="1"/>
          <w:wAfter w:w="29" w:type="dxa"/>
        </w:trPr>
        <w:tc>
          <w:tcPr>
            <w:tcW w:w="3118"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6</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tabs>
          <w:tab w:val="clear" w:pos="454"/>
          <w:tab w:val="left" w:pos="567"/>
        </w:tabs>
        <w:spacing w:before="120"/>
        <w:ind w:left="567" w:hanging="567"/>
        <w:rPr>
          <w:ins w:id="32" w:author="Master Repository Process" w:date="2021-08-01T12:38:00Z"/>
          <w:snapToGrid w:val="0"/>
        </w:rPr>
      </w:pPr>
      <w:ins w:id="33" w:author="Master Repository Process" w:date="2021-08-01T12: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 w:author="Master Repository Process" w:date="2021-08-01T12:38:00Z"/>
        </w:rPr>
      </w:pPr>
      <w:bookmarkStart w:id="35" w:name="_Toc516819920"/>
      <w:ins w:id="36" w:author="Master Repository Process" w:date="2021-08-01T12:38:00Z">
        <w:r>
          <w:t>Provisions that have not come into operation</w:t>
        </w:r>
        <w:bookmarkEnd w:id="35"/>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7" w:author="Master Repository Process" w:date="2021-08-01T12:38:00Z"/>
        </w:trPr>
        <w:tc>
          <w:tcPr>
            <w:tcW w:w="3119" w:type="dxa"/>
            <w:tcBorders>
              <w:top w:val="single" w:sz="8" w:space="0" w:color="auto"/>
              <w:bottom w:val="single" w:sz="8" w:space="0" w:color="auto"/>
            </w:tcBorders>
          </w:tcPr>
          <w:p>
            <w:pPr>
              <w:pStyle w:val="nTable"/>
              <w:keepNext/>
              <w:spacing w:after="40"/>
              <w:ind w:right="113"/>
              <w:rPr>
                <w:ins w:id="38" w:author="Master Repository Process" w:date="2021-08-01T12:38:00Z"/>
                <w:b/>
              </w:rPr>
            </w:pPr>
            <w:ins w:id="39" w:author="Master Repository Process" w:date="2021-08-01T12:38:00Z">
              <w:r>
                <w:rPr>
                  <w:b/>
                </w:rPr>
                <w:t>Citation</w:t>
              </w:r>
            </w:ins>
          </w:p>
        </w:tc>
        <w:tc>
          <w:tcPr>
            <w:tcW w:w="1276" w:type="dxa"/>
            <w:tcBorders>
              <w:top w:val="single" w:sz="8" w:space="0" w:color="auto"/>
              <w:bottom w:val="single" w:sz="8" w:space="0" w:color="auto"/>
            </w:tcBorders>
          </w:tcPr>
          <w:p>
            <w:pPr>
              <w:pStyle w:val="nTable"/>
              <w:keepNext/>
              <w:spacing w:after="40"/>
              <w:rPr>
                <w:ins w:id="40" w:author="Master Repository Process" w:date="2021-08-01T12:38:00Z"/>
                <w:b/>
              </w:rPr>
            </w:pPr>
            <w:ins w:id="41" w:author="Master Repository Process" w:date="2021-08-01T12:38:00Z">
              <w:r>
                <w:rPr>
                  <w:b/>
                </w:rPr>
                <w:t>Gazettal</w:t>
              </w:r>
            </w:ins>
          </w:p>
        </w:tc>
        <w:tc>
          <w:tcPr>
            <w:tcW w:w="2693" w:type="dxa"/>
            <w:tcBorders>
              <w:top w:val="single" w:sz="8" w:space="0" w:color="auto"/>
              <w:bottom w:val="single" w:sz="8" w:space="0" w:color="auto"/>
            </w:tcBorders>
          </w:tcPr>
          <w:p>
            <w:pPr>
              <w:pStyle w:val="nTable"/>
              <w:keepNext/>
              <w:spacing w:after="40"/>
              <w:rPr>
                <w:ins w:id="42" w:author="Master Repository Process" w:date="2021-08-01T12:38:00Z"/>
                <w:b/>
              </w:rPr>
            </w:pPr>
            <w:ins w:id="43" w:author="Master Repository Process" w:date="2021-08-01T12:38:00Z">
              <w:r>
                <w:rPr>
                  <w:b/>
                </w:rPr>
                <w:t>Commencement</w:t>
              </w:r>
            </w:ins>
          </w:p>
        </w:tc>
      </w:tr>
      <w:tr>
        <w:trPr>
          <w:cantSplit/>
          <w:ins w:id="44" w:author="Master Repository Process" w:date="2021-08-01T12:38:00Z"/>
        </w:trPr>
        <w:tc>
          <w:tcPr>
            <w:tcW w:w="3119" w:type="dxa"/>
            <w:tcBorders>
              <w:top w:val="single" w:sz="8" w:space="0" w:color="auto"/>
              <w:bottom w:val="single" w:sz="8" w:space="0" w:color="auto"/>
            </w:tcBorders>
          </w:tcPr>
          <w:p>
            <w:pPr>
              <w:pStyle w:val="nTable"/>
              <w:spacing w:after="40"/>
              <w:ind w:right="113"/>
              <w:rPr>
                <w:ins w:id="45" w:author="Master Repository Process" w:date="2021-08-01T12:38:00Z"/>
                <w:vertAlign w:val="superscript"/>
              </w:rPr>
            </w:pPr>
            <w:ins w:id="46" w:author="Master Repository Process" w:date="2021-08-01T12:38:00Z">
              <w:r>
                <w:rPr>
                  <w:i/>
                </w:rPr>
                <w:t>Attorney General Regulations Amendment (Fees and Charges) Regulations 2018 </w:t>
              </w:r>
              <w:r>
                <w:t>Pt. 6 </w:t>
              </w:r>
              <w:r>
                <w:rPr>
                  <w:vertAlign w:val="superscript"/>
                </w:rPr>
                <w:t>2</w:t>
              </w:r>
            </w:ins>
          </w:p>
        </w:tc>
        <w:tc>
          <w:tcPr>
            <w:tcW w:w="1276" w:type="dxa"/>
            <w:tcBorders>
              <w:top w:val="single" w:sz="8" w:space="0" w:color="auto"/>
              <w:bottom w:val="single" w:sz="8" w:space="0" w:color="auto"/>
            </w:tcBorders>
          </w:tcPr>
          <w:p>
            <w:pPr>
              <w:pStyle w:val="nTable"/>
              <w:spacing w:after="40"/>
              <w:rPr>
                <w:ins w:id="47" w:author="Master Repository Process" w:date="2021-08-01T12:38:00Z"/>
              </w:rPr>
            </w:pPr>
            <w:ins w:id="48" w:author="Master Repository Process" w:date="2021-08-01T12:38:00Z">
              <w:r>
                <w:t>15 Jun 2018 p. 1963</w:t>
              </w:r>
              <w:r>
                <w:noBreakHyphen/>
                <w:t>2049</w:t>
              </w:r>
            </w:ins>
          </w:p>
        </w:tc>
        <w:tc>
          <w:tcPr>
            <w:tcW w:w="2693" w:type="dxa"/>
            <w:tcBorders>
              <w:top w:val="single" w:sz="8" w:space="0" w:color="auto"/>
              <w:bottom w:val="single" w:sz="8" w:space="0" w:color="auto"/>
            </w:tcBorders>
          </w:tcPr>
          <w:p>
            <w:pPr>
              <w:pStyle w:val="nTable"/>
              <w:spacing w:after="40"/>
              <w:rPr>
                <w:ins w:id="49" w:author="Master Repository Process" w:date="2021-08-01T12:38:00Z"/>
              </w:rPr>
            </w:pPr>
            <w:ins w:id="50" w:author="Master Repository Process" w:date="2021-08-01T12:38:00Z">
              <w:r>
                <w:t>1 Jul 2018 (see r. 2(b))</w:t>
              </w:r>
            </w:ins>
          </w:p>
        </w:tc>
      </w:tr>
    </w:tbl>
    <w:p>
      <w:pPr>
        <w:pStyle w:val="nSubsection"/>
        <w:spacing w:before="200"/>
        <w:rPr>
          <w:ins w:id="51" w:author="Master Repository Process" w:date="2021-08-01T12:38:00Z"/>
          <w:snapToGrid w:val="0"/>
        </w:rPr>
      </w:pPr>
      <w:ins w:id="52" w:author="Master Repository Process" w:date="2021-08-01T12:38: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6</w:t>
        </w:r>
        <w:r>
          <w:rPr>
            <w:i/>
          </w:rPr>
          <w:t xml:space="preserve"> </w:t>
        </w:r>
        <w:r>
          <w:rPr>
            <w:snapToGrid w:val="0"/>
          </w:rPr>
          <w:t>had not come into operation.  It reads as follows:</w:t>
        </w:r>
      </w:ins>
    </w:p>
    <w:p>
      <w:pPr>
        <w:pStyle w:val="BlankOpen"/>
        <w:rPr>
          <w:ins w:id="53" w:author="Master Repository Process" w:date="2021-08-01T12:38:00Z"/>
          <w:snapToGrid w:val="0"/>
        </w:rPr>
      </w:pPr>
    </w:p>
    <w:p>
      <w:pPr>
        <w:pStyle w:val="nzHeading2"/>
        <w:rPr>
          <w:ins w:id="54" w:author="Master Repository Process" w:date="2021-08-01T12:38:00Z"/>
        </w:rPr>
      </w:pPr>
      <w:bookmarkStart w:id="55" w:name="_Toc514321222"/>
      <w:bookmarkStart w:id="56" w:name="_Toc514321287"/>
      <w:bookmarkStart w:id="57" w:name="_Toc514330281"/>
      <w:bookmarkStart w:id="58" w:name="_Toc514334946"/>
      <w:bookmarkStart w:id="59" w:name="_Toc514336295"/>
      <w:bookmarkStart w:id="60" w:name="_Toc514336497"/>
      <w:bookmarkStart w:id="61" w:name="_Toc514414471"/>
      <w:bookmarkStart w:id="62" w:name="_Toc514414536"/>
      <w:bookmarkStart w:id="63" w:name="_Toc514657446"/>
      <w:bookmarkStart w:id="64" w:name="_Toc514666267"/>
      <w:ins w:id="65" w:author="Master Repository Process" w:date="2021-08-01T12:38:00Z">
        <w:r>
          <w:rPr>
            <w:rStyle w:val="CharPartNo"/>
          </w:rPr>
          <w:t>Part 6</w:t>
        </w:r>
        <w:r>
          <w:rPr>
            <w:rStyle w:val="CharDivNo"/>
          </w:rPr>
          <w:t> </w:t>
        </w:r>
        <w:r>
          <w:t>—</w:t>
        </w:r>
        <w:r>
          <w:rPr>
            <w:rStyle w:val="CharDivText"/>
          </w:rPr>
          <w:t> </w:t>
        </w:r>
        <w:r>
          <w:rPr>
            <w:rStyle w:val="CharPartText"/>
            <w:i/>
          </w:rPr>
          <w:t>Evidence (Video and Audio Links Fees and Expenses) Regulations 1999</w:t>
        </w:r>
        <w:r>
          <w:rPr>
            <w:rStyle w:val="CharPartText"/>
          </w:rPr>
          <w:t> amended</w:t>
        </w:r>
        <w:bookmarkEnd w:id="55"/>
        <w:bookmarkEnd w:id="56"/>
        <w:bookmarkEnd w:id="57"/>
        <w:bookmarkEnd w:id="58"/>
        <w:bookmarkEnd w:id="59"/>
        <w:bookmarkEnd w:id="60"/>
        <w:bookmarkEnd w:id="61"/>
        <w:bookmarkEnd w:id="62"/>
        <w:bookmarkEnd w:id="63"/>
        <w:bookmarkEnd w:id="64"/>
      </w:ins>
    </w:p>
    <w:p>
      <w:pPr>
        <w:pStyle w:val="nzHeading5"/>
        <w:rPr>
          <w:ins w:id="66" w:author="Master Repository Process" w:date="2021-08-01T12:38:00Z"/>
        </w:rPr>
      </w:pPr>
      <w:bookmarkStart w:id="67" w:name="_Toc514414472"/>
      <w:bookmarkStart w:id="68" w:name="_Toc514666268"/>
      <w:ins w:id="69" w:author="Master Repository Process" w:date="2021-08-01T12:38:00Z">
        <w:r>
          <w:rPr>
            <w:rStyle w:val="CharSectno"/>
          </w:rPr>
          <w:t>14</w:t>
        </w:r>
        <w:r>
          <w:t>.</w:t>
        </w:r>
        <w:r>
          <w:tab/>
          <w:t>Regulations amended</w:t>
        </w:r>
        <w:bookmarkEnd w:id="67"/>
        <w:bookmarkEnd w:id="68"/>
      </w:ins>
    </w:p>
    <w:p>
      <w:pPr>
        <w:pStyle w:val="nzSubsection"/>
        <w:rPr>
          <w:ins w:id="70" w:author="Master Repository Process" w:date="2021-08-01T12:38:00Z"/>
          <w:rStyle w:val="CharDivText"/>
        </w:rPr>
      </w:pPr>
      <w:ins w:id="71" w:author="Master Repository Process" w:date="2021-08-01T12:38:00Z">
        <w:r>
          <w:tab/>
        </w:r>
        <w:r>
          <w:tab/>
          <w:t xml:space="preserve">This Part amends the </w:t>
        </w:r>
        <w:r>
          <w:rPr>
            <w:rStyle w:val="CharDivText"/>
            <w:i/>
          </w:rPr>
          <w:t>Evidence (Video and Audio Links Fees and Expenses) Regulations 1999</w:t>
        </w:r>
        <w:r>
          <w:rPr>
            <w:rStyle w:val="CharDivText"/>
          </w:rPr>
          <w:t>.</w:t>
        </w:r>
      </w:ins>
    </w:p>
    <w:p>
      <w:pPr>
        <w:pStyle w:val="nzHeading5"/>
        <w:rPr>
          <w:ins w:id="72" w:author="Master Repository Process" w:date="2021-08-01T12:38:00Z"/>
        </w:rPr>
      </w:pPr>
      <w:bookmarkStart w:id="73" w:name="_Toc514414473"/>
      <w:bookmarkStart w:id="74" w:name="_Toc514666269"/>
      <w:ins w:id="75" w:author="Master Repository Process" w:date="2021-08-01T12:38:00Z">
        <w:r>
          <w:rPr>
            <w:rStyle w:val="CharSectno"/>
          </w:rPr>
          <w:t>15</w:t>
        </w:r>
        <w:r>
          <w:t>.</w:t>
        </w:r>
        <w:r>
          <w:tab/>
          <w:t>Schedule 1 replaced</w:t>
        </w:r>
        <w:bookmarkEnd w:id="73"/>
        <w:bookmarkEnd w:id="74"/>
      </w:ins>
    </w:p>
    <w:p>
      <w:pPr>
        <w:pStyle w:val="nzSubsection"/>
        <w:rPr>
          <w:ins w:id="76" w:author="Master Repository Process" w:date="2021-08-01T12:38:00Z"/>
        </w:rPr>
      </w:pPr>
      <w:ins w:id="77" w:author="Master Repository Process" w:date="2021-08-01T12:38:00Z">
        <w:r>
          <w:tab/>
        </w:r>
        <w:r>
          <w:tab/>
          <w:t>Delete Schedule 1 and insert:</w:t>
        </w:r>
      </w:ins>
    </w:p>
    <w:p>
      <w:pPr>
        <w:pStyle w:val="BlankOpen"/>
        <w:rPr>
          <w:ins w:id="78" w:author="Master Repository Process" w:date="2021-08-01T12:38:00Z"/>
        </w:rPr>
      </w:pPr>
    </w:p>
    <w:p>
      <w:pPr>
        <w:pStyle w:val="zyHeading2"/>
        <w:rPr>
          <w:ins w:id="79" w:author="Master Repository Process" w:date="2021-08-01T12:38:00Z"/>
        </w:rPr>
      </w:pPr>
      <w:bookmarkStart w:id="80" w:name="_Toc514321225"/>
      <w:bookmarkStart w:id="81" w:name="_Toc514321290"/>
      <w:bookmarkStart w:id="82" w:name="_Toc514330284"/>
      <w:bookmarkStart w:id="83" w:name="_Toc514334949"/>
      <w:bookmarkStart w:id="84" w:name="_Toc514336298"/>
      <w:bookmarkStart w:id="85" w:name="_Toc514336500"/>
      <w:bookmarkStart w:id="86" w:name="_Toc514414474"/>
      <w:bookmarkStart w:id="87" w:name="_Toc514414539"/>
      <w:bookmarkStart w:id="88" w:name="_Toc514657449"/>
      <w:bookmarkStart w:id="89" w:name="_Toc514666270"/>
      <w:bookmarkStart w:id="90" w:name="_Toc516819921"/>
      <w:ins w:id="91" w:author="Master Repository Process" w:date="2021-08-01T12:38:00Z">
        <w:r>
          <w:rPr>
            <w:rStyle w:val="CharSchNo"/>
          </w:rPr>
          <w:t>Schedule 1</w:t>
        </w:r>
        <w:r>
          <w:rPr>
            <w:rStyle w:val="CharSDivNo"/>
          </w:rPr>
          <w:t> </w:t>
        </w:r>
        <w:r>
          <w:t>—</w:t>
        </w:r>
        <w:r>
          <w:rPr>
            <w:rStyle w:val="CharSDivNo"/>
          </w:rPr>
          <w:t> </w:t>
        </w:r>
        <w:r>
          <w:rPr>
            <w:rStyle w:val="CharSchText"/>
          </w:rPr>
          <w:t>Fees</w:t>
        </w:r>
        <w:bookmarkEnd w:id="80"/>
        <w:bookmarkEnd w:id="81"/>
        <w:bookmarkEnd w:id="82"/>
        <w:bookmarkEnd w:id="83"/>
        <w:bookmarkEnd w:id="84"/>
        <w:bookmarkEnd w:id="85"/>
        <w:bookmarkEnd w:id="86"/>
        <w:bookmarkEnd w:id="87"/>
        <w:bookmarkEnd w:id="88"/>
        <w:bookmarkEnd w:id="89"/>
        <w:bookmarkEnd w:id="90"/>
      </w:ins>
    </w:p>
    <w:p>
      <w:pPr>
        <w:pStyle w:val="zyShoulderClause"/>
        <w:rPr>
          <w:ins w:id="92" w:author="Master Repository Process" w:date="2021-08-01T12:38:00Z"/>
        </w:rPr>
      </w:pPr>
      <w:ins w:id="93" w:author="Master Repository Process" w:date="2021-08-01T12:38:00Z">
        <w:r>
          <w:t>[r. 2 and 3]</w:t>
        </w:r>
      </w:ins>
    </w:p>
    <w:p>
      <w:pPr>
        <w:pStyle w:val="zyHeading5"/>
        <w:rPr>
          <w:ins w:id="94" w:author="Master Repository Process" w:date="2021-08-01T12:38:00Z"/>
          <w:sz w:val="20"/>
        </w:rPr>
      </w:pPr>
      <w:bookmarkStart w:id="95" w:name="_Toc514414475"/>
      <w:bookmarkStart w:id="96" w:name="_Toc514666271"/>
      <w:bookmarkStart w:id="97" w:name="_Toc516819922"/>
      <w:ins w:id="98" w:author="Master Repository Process" w:date="2021-08-01T12:38:00Z">
        <w:r>
          <w:rPr>
            <w:rStyle w:val="CharSClsNo"/>
            <w:sz w:val="20"/>
          </w:rPr>
          <w:t>1</w:t>
        </w:r>
        <w:r>
          <w:rPr>
            <w:sz w:val="20"/>
          </w:rPr>
          <w:t>.</w:t>
        </w:r>
        <w:r>
          <w:rPr>
            <w:sz w:val="20"/>
          </w:rPr>
          <w:tab/>
          <w:t>Booking fee</w:t>
        </w:r>
        <w:bookmarkEnd w:id="95"/>
        <w:bookmarkEnd w:id="96"/>
        <w:bookmarkEnd w:id="97"/>
      </w:ins>
    </w:p>
    <w:p>
      <w:pPr>
        <w:pStyle w:val="zyIndenta"/>
        <w:rPr>
          <w:ins w:id="99" w:author="Master Repository Process" w:date="2021-08-01T12:38:00Z"/>
          <w:sz w:val="20"/>
        </w:rPr>
      </w:pPr>
      <w:ins w:id="100" w:author="Master Repository Process" w:date="2021-08-01T12:38:00Z">
        <w:r>
          <w:rPr>
            <w:sz w:val="20"/>
          </w:rPr>
          <w:tab/>
          <w:t>(a)</w:t>
        </w:r>
        <w:r>
          <w:rPr>
            <w:sz w:val="20"/>
          </w:rPr>
          <w:tab/>
          <w:t xml:space="preserve">Intrastate link </w:t>
        </w:r>
        <w:r>
          <w:rPr>
            <w:sz w:val="20"/>
          </w:rPr>
          <w:tab/>
        </w:r>
        <w:r>
          <w:rPr>
            <w:sz w:val="20"/>
          </w:rPr>
          <w:tab/>
        </w:r>
        <w:r>
          <w:rPr>
            <w:sz w:val="20"/>
          </w:rPr>
          <w:tab/>
          <w:t>$118.50</w:t>
        </w:r>
      </w:ins>
    </w:p>
    <w:p>
      <w:pPr>
        <w:pStyle w:val="zyIndenta"/>
        <w:rPr>
          <w:ins w:id="101" w:author="Master Repository Process" w:date="2021-08-01T12:38:00Z"/>
          <w:sz w:val="20"/>
        </w:rPr>
      </w:pPr>
      <w:ins w:id="102" w:author="Master Repository Process" w:date="2021-08-01T12:38:00Z">
        <w:r>
          <w:rPr>
            <w:sz w:val="20"/>
          </w:rPr>
          <w:tab/>
          <w:t>(b)</w:t>
        </w:r>
        <w:r>
          <w:rPr>
            <w:sz w:val="20"/>
          </w:rPr>
          <w:tab/>
          <w:t xml:space="preserve">Interstate or overseas link </w:t>
        </w:r>
        <w:r>
          <w:rPr>
            <w:sz w:val="20"/>
          </w:rPr>
          <w:tab/>
        </w:r>
        <w:r>
          <w:rPr>
            <w:sz w:val="20"/>
          </w:rPr>
          <w:tab/>
          <w:t>$176.00</w:t>
        </w:r>
      </w:ins>
    </w:p>
    <w:p>
      <w:pPr>
        <w:pStyle w:val="zyHeading5"/>
        <w:rPr>
          <w:ins w:id="103" w:author="Master Repository Process" w:date="2021-08-01T12:38:00Z"/>
          <w:sz w:val="20"/>
        </w:rPr>
      </w:pPr>
      <w:bookmarkStart w:id="104" w:name="_Toc514414476"/>
      <w:bookmarkStart w:id="105" w:name="_Toc514666272"/>
      <w:bookmarkStart w:id="106" w:name="_Toc516819923"/>
      <w:ins w:id="107" w:author="Master Repository Process" w:date="2021-08-01T12:38:00Z">
        <w:r>
          <w:rPr>
            <w:sz w:val="20"/>
          </w:rPr>
          <w:t>2.</w:t>
        </w:r>
        <w:r>
          <w:rPr>
            <w:sz w:val="20"/>
          </w:rPr>
          <w:tab/>
          <w:t>Hourly fee</w:t>
        </w:r>
        <w:bookmarkEnd w:id="104"/>
        <w:bookmarkEnd w:id="105"/>
        <w:bookmarkEnd w:id="106"/>
      </w:ins>
    </w:p>
    <w:p>
      <w:pPr>
        <w:pStyle w:val="zySubsection"/>
        <w:rPr>
          <w:ins w:id="108" w:author="Master Repository Process" w:date="2021-08-01T12:38:00Z"/>
          <w:sz w:val="20"/>
        </w:rPr>
      </w:pPr>
      <w:ins w:id="109" w:author="Master Repository Process" w:date="2021-08-01T12:38:00Z">
        <w:r>
          <w:rPr>
            <w:sz w:val="20"/>
          </w:rPr>
          <w:tab/>
        </w:r>
        <w:r>
          <w:rPr>
            <w:sz w:val="20"/>
          </w:rPr>
          <w:tab/>
          <w:t xml:space="preserve">Per hour or part of an hour </w:t>
        </w:r>
        <w:r>
          <w:rPr>
            <w:sz w:val="20"/>
          </w:rPr>
          <w:tab/>
        </w:r>
        <w:r>
          <w:rPr>
            <w:sz w:val="20"/>
          </w:rPr>
          <w:tab/>
          <w:t>$92.50</w:t>
        </w:r>
      </w:ins>
    </w:p>
    <w:p>
      <w:pPr>
        <w:pStyle w:val="BlankClose"/>
        <w:rPr>
          <w:ins w:id="110" w:author="Master Repository Process" w:date="2021-08-01T12:38:00Z"/>
          <w:sz w:val="20"/>
          <w:szCs w:val="20"/>
        </w:rPr>
      </w:pPr>
    </w:p>
    <w:p>
      <w:pPr>
        <w:pStyle w:val="BlankClose"/>
        <w:rPr>
          <w:ins w:id="111" w:author="Master Repository Process" w:date="2021-08-01T12:38: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851" w:right="2404" w:bottom="851" w:left="2404"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(Video and Audio Links Fees and Expenses)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0188A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835"/>
    <w:docVar w:name="WAFER_20131219103953" w:val="RemoveTocBookmarks,RemoveUnusedBookmarks,RemoveLanguageTags,UsedStyles,ResetPageSize"/>
    <w:docVar w:name="WAFER_20131219103953_GUID" w:val="2a3da9c5-d5e5-4b36-b36e-b480ab71ca84"/>
    <w:docVar w:name="WAFER_20131224085324" w:val="UpdateArrangement"/>
    <w:docVar w:name="WAFER_20131224085324_GUID" w:val="d9594626-3b5c-4c7b-b29e-3e12b57138c3"/>
    <w:docVar w:name="WAFER_20140207142458" w:val="RemoveTocBookmarks,RemoveUnusedBookmarks,RemoveLanguageTags,UsedStyles,RemoveTrackChanges"/>
    <w:docVar w:name="WAFER_20140207142458_GUID" w:val="b356371b-4b19-43ef-b6fd-eee491ddaed6"/>
    <w:docVar w:name="WAFER_20140207142519" w:val="RemoveTocBookmarks,RemoveLanguageTags,RemoveTrackChanges,RunningHeaders"/>
    <w:docVar w:name="WAFER_20140207142519_GUID" w:val="f274cb4e-2590-493f-ac88-f0e2ed451d2b"/>
    <w:docVar w:name="WAFER_20140228153002" w:val="RemoveTocBookmarks,RemoveLanguageTags,RemoveTrackChanges,RunningHeaders"/>
    <w:docVar w:name="WAFER_20140228153002_GUID" w:val="50c5745e-2ee6-4076-9c55-f5cb97d7c684"/>
    <w:docVar w:name="WAFER_20140630171410" w:val="RemoveTocBookmarks,RunningHeaders"/>
    <w:docVar w:name="WAFER_20140630171410_GUID" w:val="6739a08a-763a-4c2d-95d7-b9fa703e67cb"/>
    <w:docVar w:name="WAFER_20150429111455" w:val="ResetPageSize,UpdateArrangement,UpdateNTable"/>
    <w:docVar w:name="WAFER_20150429111455_GUID" w:val="65cbba7c-e041-4d47-bcb7-33c4093c6d9b"/>
    <w:docVar w:name="WAFER_20151105125050" w:val="UpdateStyles,UsedStyles"/>
    <w:docVar w:name="WAFER_20151105125050_GUID" w:val="ba795edc-316c-4256-a48b-1dd72307f672"/>
    <w:docVar w:name="WAFER_20160701090324" w:val="RemoveTocBookmarks,RemoveUnusedBookmarks,RemoveLanguageTags,UsedStyles,ResetPageSize"/>
    <w:docVar w:name="WAFER_20160701090324_GUID" w:val="8e020d44-c89e-4923-afd2-5aab345f43fb"/>
    <w:docVar w:name="WAFER_20160701090351" w:val="RemoveTocBookmarks,RemoveUnusedBookmarks,RemoveLanguageTags,UsedStyles,ResetPageSize"/>
    <w:docVar w:name="WAFER_20160701090351_GUID" w:val="55925ea2-1994-4390-bc3f-320bc23b5ec0"/>
    <w:docVar w:name="WAFER_20180614130835" w:val="RemoveTocBookmarks,RemoveUnusedBookmarks,RemoveLanguageTags,UsedStyles,ResetPageSize"/>
    <w:docVar w:name="WAFER_20180614130835_GUID" w:val="ce183d7b-b137-4059-bdb6-dbfd38f1a3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903CFF-5EBE-4BE3-8FD5-7F33D4FA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5972</Characters>
  <Application>Microsoft Office Word</Application>
  <DocSecurity>0</DocSecurity>
  <Lines>259</Lines>
  <Paragraphs>143</Paragraphs>
  <ScaleCrop>false</ScaleCrop>
  <HeadingPairs>
    <vt:vector size="2" baseType="variant">
      <vt:variant>
        <vt:lpstr>Title</vt:lpstr>
      </vt:variant>
      <vt:variant>
        <vt:i4>1</vt:i4>
      </vt:variant>
    </vt:vector>
  </HeadingPairs>
  <TitlesOfParts>
    <vt:vector size="1" baseType="lpstr">
      <vt:lpstr>Evidence (Video and Audio Links Fees and Expenses) Regulations 1999 - 03-b0-00</vt:lpstr>
    </vt:vector>
  </TitlesOfParts>
  <Manager/>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03-f0-01 - 03-g0-00</dc:title>
  <dc:subject/>
  <dc:creator/>
  <cp:keywords/>
  <dc:description/>
  <cp:lastModifiedBy>Master Repository Process</cp:lastModifiedBy>
  <cp:revision>2</cp:revision>
  <cp:lastPrinted>2015-07-16T04:23:00Z</cp:lastPrinted>
  <dcterms:created xsi:type="dcterms:W3CDTF">2021-08-01T04:38:00Z</dcterms:created>
  <dcterms:modified xsi:type="dcterms:W3CDTF">2021-08-01T04:38:00Z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DocumentType">
    <vt:lpwstr>Reg</vt:lpwstr>
  </property>
  <property fmtid="{D5CDD505-2E9C-101B-9397-08002B2CF9AE}" pid="4" name="OwlsUID">
    <vt:i4>1191</vt:i4>
  </property>
  <property fmtid="{D5CDD505-2E9C-101B-9397-08002B2CF9AE}" pid="5" name="ReprintNo">
    <vt:lpwstr>3</vt:lpwstr>
  </property>
  <property fmtid="{D5CDD505-2E9C-101B-9397-08002B2CF9AE}" pid="6" name="ReprintedAsAt">
    <vt:filetime>2014-02-13T16:00:00Z</vt:filetime>
  </property>
  <property fmtid="{D5CDD505-2E9C-101B-9397-08002B2CF9AE}" pid="7" name="CommencementDate">
    <vt:lpwstr>20180615</vt:lpwstr>
  </property>
  <property fmtid="{D5CDD505-2E9C-101B-9397-08002B2CF9AE}" pid="8" name="FromSuffix">
    <vt:lpwstr>03-f0-01</vt:lpwstr>
  </property>
  <property fmtid="{D5CDD505-2E9C-101B-9397-08002B2CF9AE}" pid="9" name="FromAsAtDate">
    <vt:lpwstr>08 Jul 2017</vt:lpwstr>
  </property>
  <property fmtid="{D5CDD505-2E9C-101B-9397-08002B2CF9AE}" pid="10" name="ToSuffix">
    <vt:lpwstr>03-g0-00</vt:lpwstr>
  </property>
  <property fmtid="{D5CDD505-2E9C-101B-9397-08002B2CF9AE}" pid="11" name="ToAsAtDate">
    <vt:lpwstr>15 Jun 2018</vt:lpwstr>
  </property>
</Properties>
</file>