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2018</w:t>
      </w:r>
      <w:r>
        <w:fldChar w:fldCharType="end"/>
      </w:r>
      <w:r>
        <w:t xml:space="preserve">, </w:t>
      </w:r>
      <w:r>
        <w:fldChar w:fldCharType="begin"/>
      </w:r>
      <w:r>
        <w:instrText xml:space="preserve"> DocProperty FromSuffix </w:instrText>
      </w:r>
      <w:r>
        <w:fldChar w:fldCharType="separate"/>
      </w:r>
      <w:r>
        <w:t>00-r0-00</w:t>
      </w:r>
      <w:r>
        <w:fldChar w:fldCharType="end"/>
      </w:r>
      <w:r>
        <w:t>] and [</w:t>
      </w:r>
      <w:r>
        <w:fldChar w:fldCharType="begin"/>
      </w:r>
      <w:r>
        <w:instrText xml:space="preserve"> DocProperty ToAsAtDate</w:instrText>
      </w:r>
      <w:r>
        <w:fldChar w:fldCharType="separate"/>
      </w:r>
      <w:r>
        <w:t>30 Jun 2018</w:t>
      </w:r>
      <w:r>
        <w:fldChar w:fldCharType="end"/>
      </w:r>
      <w:r>
        <w:t xml:space="preserve">, </w:t>
      </w:r>
      <w:r>
        <w:fldChar w:fldCharType="begin"/>
      </w:r>
      <w:r>
        <w:instrText xml:space="preserve"> DocProperty ToSuffix</w:instrText>
      </w:r>
      <w:r>
        <w:fldChar w:fldCharType="separate"/>
      </w:r>
      <w:r>
        <w:t>00-s0-00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1" w:name="_Toc517966040"/>
      <w:bookmarkStart w:id="2" w:name="_Toc517688355"/>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517966041"/>
      <w:bookmarkStart w:id="6" w:name="_Toc517688356"/>
      <w:r>
        <w:rPr>
          <w:rStyle w:val="CharSectno"/>
        </w:rPr>
        <w:t>2</w:t>
      </w:r>
      <w:r>
        <w:t>.</w:t>
      </w:r>
      <w:r>
        <w:tab/>
        <w:t>Commencement</w:t>
      </w:r>
      <w:bookmarkEnd w:id="5"/>
      <w:bookmarkEnd w:id="6"/>
    </w:p>
    <w:p>
      <w:pPr>
        <w:pStyle w:val="Subsection"/>
      </w:pPr>
      <w:r>
        <w:tab/>
      </w:r>
      <w:r>
        <w:tab/>
        <w:t>This order comes into operation on 1 January 2006.</w:t>
      </w:r>
    </w:p>
    <w:p>
      <w:pPr>
        <w:pStyle w:val="Heading5"/>
        <w:tabs>
          <w:tab w:val="left" w:pos="683"/>
        </w:tabs>
      </w:pPr>
      <w:bookmarkStart w:id="7" w:name="_Toc517966042"/>
      <w:bookmarkStart w:id="8" w:name="_Toc517688357"/>
      <w:r>
        <w:rPr>
          <w:rStyle w:val="CharSectno"/>
        </w:rPr>
        <w:t>3A</w:t>
      </w:r>
      <w:r>
        <w:t>.</w:t>
      </w:r>
      <w:ins w:id="9" w:author="Master Repository Process" w:date="2021-08-01T13:15:00Z">
        <w:r>
          <w:tab/>
        </w:r>
      </w:ins>
      <w:r>
        <w:tab/>
        <w:t>Terms used</w:t>
      </w:r>
      <w:bookmarkEnd w:id="7"/>
      <w:bookmarkEnd w:id="8"/>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pPr>
      <w:r>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lastRenderedPageBreak/>
        <w:tab/>
      </w:r>
      <w:r>
        <w:rPr>
          <w:rStyle w:val="CharDefText"/>
        </w:rPr>
        <w:t>SWIS</w:t>
      </w:r>
      <w:r>
        <w:t xml:space="preserve"> means the South West interconnected system.</w:t>
      </w:r>
    </w:p>
    <w:p>
      <w:pPr>
        <w:pStyle w:val="Footnotesection"/>
      </w:pPr>
      <w:r>
        <w:tab/>
        <w:t>[Clause 3A inserted in Gazette 9 Oct 2009 p. 3992; amended in Gazette 29 Jun 2012 p. 2933; 23 Dec 2016 p. 5894-5.]</w:t>
      </w:r>
    </w:p>
    <w:p>
      <w:pPr>
        <w:pStyle w:val="Heading5"/>
      </w:pPr>
      <w:bookmarkStart w:id="10" w:name="_Toc517966043"/>
      <w:bookmarkStart w:id="11" w:name="_Toc517688358"/>
      <w:r>
        <w:rPr>
          <w:rStyle w:val="CharSectno"/>
        </w:rPr>
        <w:t>3B</w:t>
      </w:r>
      <w:r>
        <w:t>.</w:t>
      </w:r>
      <w:r>
        <w:tab/>
        <w:t>Application of order</w:t>
      </w:r>
      <w:bookmarkEnd w:id="10"/>
      <w:bookmarkEnd w:id="11"/>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in Gazette 23 Dec 2016 p. 5895.]</w:t>
      </w:r>
    </w:p>
    <w:p>
      <w:pPr>
        <w:pStyle w:val="Heading5"/>
      </w:pPr>
      <w:bookmarkStart w:id="12" w:name="_Toc517966044"/>
      <w:bookmarkStart w:id="13" w:name="_Toc517688359"/>
      <w:r>
        <w:rPr>
          <w:rStyle w:val="CharSectno"/>
        </w:rPr>
        <w:t>3</w:t>
      </w:r>
      <w:r>
        <w:t>.</w:t>
      </w:r>
      <w:r>
        <w:tab/>
        <w:t>Exemption for generating works under 30 MW</w:t>
      </w:r>
      <w:bookmarkEnd w:id="12"/>
      <w:bookmarkEnd w:id="13"/>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14" w:name="_Toc517966045"/>
      <w:bookmarkStart w:id="15" w:name="_Toc517688360"/>
      <w:r>
        <w:rPr>
          <w:rStyle w:val="CharSectno"/>
        </w:rPr>
        <w:t>4A</w:t>
      </w:r>
      <w:r>
        <w:t>.</w:t>
      </w:r>
      <w:r>
        <w:tab/>
        <w:t>Exemptions for supply to non residential property on which generating works are located</w:t>
      </w:r>
      <w:bookmarkEnd w:id="14"/>
      <w:bookmarkEnd w:id="15"/>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in Gazette 29 Jun 2012 p. 2934; amended in Gazette 14 Dec 2012 p. 6199; 23 Dec 2016 p. 5895</w:t>
      </w:r>
      <w:r>
        <w:noBreakHyphen/>
        <w:t>6.]</w:t>
      </w:r>
    </w:p>
    <w:p>
      <w:pPr>
        <w:pStyle w:val="Heading5"/>
      </w:pPr>
      <w:bookmarkStart w:id="16" w:name="_Toc517966046"/>
      <w:bookmarkStart w:id="17" w:name="_Toc517688361"/>
      <w:r>
        <w:rPr>
          <w:rStyle w:val="CharSectno"/>
        </w:rPr>
        <w:t>4B</w:t>
      </w:r>
      <w:r>
        <w:t>.</w:t>
      </w:r>
      <w:r>
        <w:tab/>
        <w:t>Exemption for supply to non residential property occupied by supplier</w:t>
      </w:r>
      <w:bookmarkEnd w:id="16"/>
      <w:bookmarkEnd w:id="17"/>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in Gazette 26 Jun 2015 p. 2253; amended in Gazette 23 Dec 2016 p. 5896.]</w:t>
      </w:r>
    </w:p>
    <w:p>
      <w:pPr>
        <w:pStyle w:val="Heading5"/>
      </w:pPr>
      <w:bookmarkStart w:id="18" w:name="_Toc517966047"/>
      <w:bookmarkStart w:id="19" w:name="_Toc517688362"/>
      <w:r>
        <w:rPr>
          <w:rStyle w:val="CharSectno"/>
        </w:rPr>
        <w:t>4</w:t>
      </w:r>
      <w:r>
        <w:t>.</w:t>
      </w:r>
      <w:r>
        <w:tab/>
        <w:t>Exemptions for on</w:t>
      </w:r>
      <w:r>
        <w:noBreakHyphen/>
        <w:t>supply</w:t>
      </w:r>
      <w:bookmarkEnd w:id="18"/>
      <w:bookmarkEnd w:id="19"/>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 xml:space="preserve">are subject to the conditions set out in clause 6; and </w:t>
      </w:r>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 in Gazette 23 Dec 2016 p. 5896</w:t>
      </w:r>
      <w:r>
        <w:noBreakHyphen/>
        <w:t>7.]</w:t>
      </w:r>
    </w:p>
    <w:p>
      <w:pPr>
        <w:pStyle w:val="Ednotesection"/>
      </w:pPr>
      <w:r>
        <w:t>[</w:t>
      </w:r>
      <w:r>
        <w:rPr>
          <w:b/>
        </w:rPr>
        <w:t>5.</w:t>
      </w:r>
      <w:r>
        <w:tab/>
        <w:t>Deleted in Gazette 23 Dec 2016 p. 5897.]</w:t>
      </w:r>
    </w:p>
    <w:p>
      <w:pPr>
        <w:pStyle w:val="Heading5"/>
      </w:pPr>
      <w:bookmarkStart w:id="20" w:name="_Toc517966048"/>
      <w:bookmarkStart w:id="21" w:name="_Toc517688363"/>
      <w:r>
        <w:rPr>
          <w:rStyle w:val="CharSectno"/>
        </w:rPr>
        <w:t>6</w:t>
      </w:r>
      <w:r>
        <w:t>.</w:t>
      </w:r>
      <w:r>
        <w:tab/>
        <w:t>Conditions applying to exemptions under clause 4</w:t>
      </w:r>
      <w:bookmarkEnd w:id="20"/>
      <w:bookmarkEnd w:id="21"/>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in Gazette 8 May 2009 p. 1498-9; 27 Dec 2013 p. 6475; 23 Dec 2016 p. 5897</w:t>
      </w:r>
      <w:r>
        <w:noBreakHyphen/>
        <w:t>9.]</w:t>
      </w:r>
    </w:p>
    <w:p>
      <w:pPr>
        <w:pStyle w:val="Heading5"/>
      </w:pPr>
      <w:bookmarkStart w:id="22" w:name="_Toc517966049"/>
      <w:bookmarkStart w:id="23" w:name="_Toc517688364"/>
      <w:r>
        <w:rPr>
          <w:rStyle w:val="CharSectno"/>
        </w:rPr>
        <w:t>7</w:t>
      </w:r>
      <w:r>
        <w:t>.</w:t>
      </w:r>
      <w:r>
        <w:tab/>
        <w:t>Exemptions for supply to Aboriginal communities</w:t>
      </w:r>
      <w:bookmarkEnd w:id="22"/>
      <w:bookmarkEnd w:id="23"/>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24" w:name="_Toc517966050"/>
      <w:bookmarkStart w:id="25" w:name="_Toc517688365"/>
      <w:r>
        <w:rPr>
          <w:rStyle w:val="CharSectno"/>
        </w:rPr>
        <w:t>8</w:t>
      </w:r>
      <w:r>
        <w:t>.</w:t>
      </w:r>
      <w:r>
        <w:tab/>
        <w:t>Exemptions for operations under Pilbara Energy Project Agreement</w:t>
      </w:r>
      <w:bookmarkEnd w:id="24"/>
      <w:bookmarkEnd w:id="25"/>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6" w:name="_Toc517966051"/>
      <w:bookmarkStart w:id="27" w:name="_Toc517688366"/>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6"/>
      <w:bookmarkEnd w:id="27"/>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8" w:name="_Toc517966052"/>
      <w:bookmarkStart w:id="29" w:name="_Toc517688367"/>
      <w:r>
        <w:rPr>
          <w:rStyle w:val="CharSectno"/>
        </w:rPr>
        <w:t>10</w:t>
      </w:r>
      <w:r>
        <w:t>.</w:t>
      </w:r>
      <w:r>
        <w:tab/>
        <w:t>Exemptions for operations under various government agreements</w:t>
      </w:r>
      <w:bookmarkEnd w:id="28"/>
      <w:bookmarkEnd w:id="29"/>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30" w:name="_Toc517966053"/>
      <w:bookmarkStart w:id="31" w:name="_Toc517688368"/>
      <w:r>
        <w:rPr>
          <w:rStyle w:val="CharSectno"/>
        </w:rPr>
        <w:t>11</w:t>
      </w:r>
      <w:r>
        <w:t>.</w:t>
      </w:r>
      <w:r>
        <w:tab/>
        <w:t>Conditions applying to exemptions under clause 10</w:t>
      </w:r>
      <w:bookmarkEnd w:id="30"/>
      <w:bookmarkEnd w:id="31"/>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32" w:name="_Toc517966054"/>
      <w:bookmarkStart w:id="33" w:name="_Toc517688369"/>
      <w:r>
        <w:rPr>
          <w:rStyle w:val="CharSectno"/>
        </w:rPr>
        <w:t>12</w:t>
      </w:r>
      <w:r>
        <w:t>.</w:t>
      </w:r>
      <w:r>
        <w:tab/>
        <w:t>Exemptions for operations in DBNGP corridor</w:t>
      </w:r>
      <w:bookmarkEnd w:id="32"/>
      <w:bookmarkEnd w:id="33"/>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34" w:name="_Toc517966055"/>
      <w:bookmarkStart w:id="35" w:name="_Toc517688370"/>
      <w:r>
        <w:rPr>
          <w:rStyle w:val="CharSectno"/>
        </w:rPr>
        <w:t>13</w:t>
      </w:r>
      <w:r>
        <w:t>.</w:t>
      </w:r>
      <w:r>
        <w:tab/>
        <w:t>Exemptions for Electricity Generation and Retail Corporation</w:t>
      </w:r>
      <w:bookmarkEnd w:id="34"/>
      <w:bookmarkEnd w:id="35"/>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36" w:name="_Toc517966056"/>
      <w:bookmarkStart w:id="37" w:name="_Toc517688371"/>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36"/>
      <w:bookmarkEnd w:id="37"/>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38" w:name="_Toc517966057"/>
      <w:bookmarkStart w:id="39" w:name="_Toc517688372"/>
      <w:r>
        <w:rPr>
          <w:rStyle w:val="CharSectno"/>
        </w:rPr>
        <w:t>15</w:t>
      </w:r>
      <w:r>
        <w:t>.</w:t>
      </w:r>
      <w:r>
        <w:tab/>
        <w:t>Exemptions for supply in Eucla</w:t>
      </w:r>
      <w:bookmarkEnd w:id="38"/>
      <w:bookmarkEnd w:id="39"/>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40" w:name="_Toc517966058"/>
      <w:bookmarkStart w:id="41" w:name="_Toc517688373"/>
      <w:r>
        <w:rPr>
          <w:rStyle w:val="CharSectno"/>
        </w:rPr>
        <w:t>16</w:t>
      </w:r>
      <w:r>
        <w:t>.</w:t>
      </w:r>
      <w:r>
        <w:tab/>
        <w:t>Exemption for distribution systems of less than 1 km connecting to network other than SWIS</w:t>
      </w:r>
      <w:bookmarkEnd w:id="40"/>
      <w:bookmarkEnd w:id="41"/>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42" w:name="_Toc517966059"/>
      <w:bookmarkStart w:id="43" w:name="_Toc517688374"/>
      <w:r>
        <w:rPr>
          <w:rStyle w:val="CharSectno"/>
        </w:rPr>
        <w:t>17</w:t>
      </w:r>
      <w:r>
        <w:t>.</w:t>
      </w:r>
      <w:r>
        <w:tab/>
        <w:t>Exemptions for holders of generation licence connecting to SWIS</w:t>
      </w:r>
      <w:bookmarkEnd w:id="42"/>
      <w:bookmarkEnd w:id="43"/>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44" w:name="_Toc517966060"/>
      <w:bookmarkStart w:id="45" w:name="_Toc517688375"/>
      <w:r>
        <w:rPr>
          <w:rStyle w:val="CharSectno"/>
        </w:rPr>
        <w:t>18</w:t>
      </w:r>
      <w:r>
        <w:t>.</w:t>
      </w:r>
      <w:r>
        <w:tab/>
        <w:t>Exemption for EDL NGD (WA)</w:t>
      </w:r>
      <w:bookmarkEnd w:id="44"/>
      <w:bookmarkEnd w:id="45"/>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46" w:name="_Toc517966061"/>
      <w:bookmarkStart w:id="47" w:name="_Toc517688376"/>
      <w:r>
        <w:rPr>
          <w:rStyle w:val="CharSectno"/>
        </w:rPr>
        <w:t>19</w:t>
      </w:r>
      <w:r>
        <w:t>.</w:t>
      </w:r>
      <w:r>
        <w:tab/>
        <w:t>Exemptions for electric vehicle charging stations</w:t>
      </w:r>
      <w:bookmarkEnd w:id="46"/>
      <w:bookmarkEnd w:id="47"/>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2020.</w:t>
      </w:r>
    </w:p>
    <w:p>
      <w:pPr>
        <w:pStyle w:val="Footnotesection"/>
      </w:pPr>
      <w:r>
        <w:tab/>
        <w:t>[Clause 19 inserted in Gazette 29 Jun 2012 p. 2934</w:t>
      </w:r>
      <w:r>
        <w:noBreakHyphen/>
        <w:t>5; amended in Gazette 26 Jun 2015 p. 2254; 26 Jun 2018 p. 2361.]</w:t>
      </w:r>
    </w:p>
    <w:p>
      <w:pPr>
        <w:pStyle w:val="Heading5"/>
      </w:pPr>
      <w:bookmarkStart w:id="48" w:name="_Toc517966062"/>
      <w:bookmarkStart w:id="49" w:name="_Toc517688377"/>
      <w:r>
        <w:rPr>
          <w:rStyle w:val="CharSectno"/>
        </w:rPr>
        <w:t>20</w:t>
      </w:r>
      <w:r>
        <w:t>.</w:t>
      </w:r>
      <w:r>
        <w:tab/>
        <w:t>Exemptions for Blair Fox — Karakin Wind Farm</w:t>
      </w:r>
      <w:bookmarkEnd w:id="48"/>
      <w:bookmarkEnd w:id="49"/>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50" w:name="_Toc517966063"/>
      <w:bookmarkStart w:id="51" w:name="_Toc517688378"/>
      <w:r>
        <w:rPr>
          <w:rStyle w:val="CharSectno"/>
        </w:rPr>
        <w:t>21</w:t>
      </w:r>
      <w:r>
        <w:t>.</w:t>
      </w:r>
      <w:r>
        <w:tab/>
        <w:t xml:space="preserve">Exemptions for </w:t>
      </w:r>
      <w:del w:id="52" w:author="Master Repository Process" w:date="2021-08-01T13:15:00Z">
        <w:r>
          <w:delText>MMG</w:delText>
        </w:r>
      </w:del>
      <w:ins w:id="53" w:author="Master Repository Process" w:date="2021-08-01T13:15:00Z">
        <w:r>
          <w:t>EMR</w:t>
        </w:r>
      </w:ins>
      <w:r>
        <w:t xml:space="preserve"> Golden Grove</w:t>
      </w:r>
      <w:del w:id="54" w:author="Master Repository Process" w:date="2021-08-01T13:15:00Z">
        <w:r>
          <w:delText> </w:delText>
        </w:r>
      </w:del>
      <w:ins w:id="55" w:author="Master Repository Process" w:date="2021-08-01T13:15:00Z">
        <w:r>
          <w:t xml:space="preserve"> and Minjar Gold </w:t>
        </w:r>
      </w:ins>
      <w:r>
        <w:t>— supply to Minjar Gold</w:t>
      </w:r>
      <w:bookmarkEnd w:id="50"/>
      <w:bookmarkEnd w:id="51"/>
    </w:p>
    <w:p>
      <w:pPr>
        <w:pStyle w:val="Subsection"/>
      </w:pPr>
      <w:r>
        <w:tab/>
        <w:t>(1)</w:t>
      </w:r>
      <w:r>
        <w:tab/>
        <w:t xml:space="preserve">In this clause — </w:t>
      </w:r>
    </w:p>
    <w:p>
      <w:pPr>
        <w:pStyle w:val="Defstart"/>
        <w:rPr>
          <w:ins w:id="56" w:author="Master Repository Process" w:date="2021-08-01T13:15:00Z"/>
        </w:rPr>
      </w:pPr>
      <w:ins w:id="57" w:author="Master Repository Process" w:date="2021-08-01T13:15:00Z">
        <w:r>
          <w:tab/>
        </w:r>
        <w:r>
          <w:rPr>
            <w:rStyle w:val="CharDefText"/>
          </w:rPr>
          <w:t>EMR Golden Grove</w:t>
        </w:r>
        <w:r>
          <w:t xml:space="preserve"> means EMR Golden Grove Pty Ltd (ACN 114 868 325);</w:t>
        </w:r>
      </w:ins>
    </w:p>
    <w:p>
      <w:pPr>
        <w:pStyle w:val="Defstart"/>
      </w:pPr>
      <w:r>
        <w:tab/>
      </w:r>
      <w:r>
        <w:rPr>
          <w:rStyle w:val="CharDefText"/>
        </w:rPr>
        <w:t>Minjar Gold</w:t>
      </w:r>
      <w:r>
        <w:t xml:space="preserve"> means Minjar Gold Pty Ltd (ACN 119 514 528</w:t>
      </w:r>
      <w:del w:id="58" w:author="Master Repository Process" w:date="2021-08-01T13:15:00Z">
        <w:r>
          <w:delText>);</w:delText>
        </w:r>
      </w:del>
      <w:ins w:id="59" w:author="Master Repository Process" w:date="2021-08-01T13:15:00Z">
        <w:r>
          <w:t>).</w:t>
        </w:r>
      </w:ins>
    </w:p>
    <w:p>
      <w:pPr>
        <w:pStyle w:val="Defstart"/>
        <w:rPr>
          <w:del w:id="60" w:author="Master Repository Process" w:date="2021-08-01T13:15:00Z"/>
        </w:rPr>
      </w:pPr>
      <w:del w:id="61" w:author="Master Repository Process" w:date="2021-08-01T13:15:00Z">
        <w:r>
          <w:tab/>
        </w:r>
        <w:r>
          <w:rPr>
            <w:rStyle w:val="CharDefText"/>
          </w:rPr>
          <w:delText>MMG Golden Grove</w:delText>
        </w:r>
        <w:r>
          <w:delText xml:space="preserve"> means MMG Golden Grove Pty Ltd (ACN 114 868 325).</w:delText>
        </w:r>
      </w:del>
    </w:p>
    <w:p>
      <w:pPr>
        <w:pStyle w:val="Subsection"/>
      </w:pPr>
      <w:r>
        <w:tab/>
        <w:t>(2)</w:t>
      </w:r>
      <w:r>
        <w:tab/>
      </w:r>
      <w:del w:id="62" w:author="Master Repository Process" w:date="2021-08-01T13:15:00Z">
        <w:r>
          <w:delText>MMG Golden Grove</w:delText>
        </w:r>
      </w:del>
      <w:ins w:id="63" w:author="Master Repository Process" w:date="2021-08-01T13:15:00Z">
        <w:r>
          <w:t>Minjar Gold</w:t>
        </w:r>
      </w:ins>
      <w:r>
        <w:t xml:space="preser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r>
      <w:del w:id="64" w:author="Master Repository Process" w:date="2021-08-01T13:15:00Z">
        <w:r>
          <w:delText>MMG</w:delText>
        </w:r>
      </w:del>
      <w:ins w:id="65" w:author="Master Repository Process" w:date="2021-08-01T13:15:00Z">
        <w:r>
          <w:t>EMR</w:t>
        </w:r>
      </w:ins>
      <w:r>
        <w:t xml:space="preserve">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w:t>
      </w:r>
      <w:del w:id="66" w:author="Master Repository Process" w:date="2021-08-01T13:15:00Z">
        <w:r>
          <w:delText>2018</w:delText>
        </w:r>
      </w:del>
      <w:ins w:id="67" w:author="Master Repository Process" w:date="2021-08-01T13:15:00Z">
        <w:r>
          <w:t>2021</w:t>
        </w:r>
      </w:ins>
      <w:r>
        <w:t>.</w:t>
      </w:r>
    </w:p>
    <w:p>
      <w:pPr>
        <w:pStyle w:val="Footnotesection"/>
      </w:pPr>
      <w:r>
        <w:tab/>
        <w:t>[Clause 21 inserted in Gazette 29 Jun 2012 p. 2935</w:t>
      </w:r>
      <w:r>
        <w:noBreakHyphen/>
        <w:t>6; amended in Gazette 8 Sep 2015 p. 3719</w:t>
      </w:r>
      <w:ins w:id="68" w:author="Master Repository Process" w:date="2021-08-01T13:15:00Z">
        <w:r>
          <w:t>; 29 Jun 2018 p. 2435</w:t>
        </w:r>
      </w:ins>
      <w:r>
        <w:t>.]</w:t>
      </w:r>
    </w:p>
    <w:p>
      <w:pPr>
        <w:pStyle w:val="Heading5"/>
      </w:pPr>
      <w:bookmarkStart w:id="69" w:name="_Toc517966064"/>
      <w:bookmarkStart w:id="70" w:name="_Toc517688379"/>
      <w:r>
        <w:rPr>
          <w:rStyle w:val="CharSectno"/>
        </w:rPr>
        <w:t>22</w:t>
      </w:r>
      <w:r>
        <w:t>.</w:t>
      </w:r>
      <w:r>
        <w:tab/>
        <w:t>Exemption for Power Rental Op Co Australia — South Hedland Power Station</w:t>
      </w:r>
      <w:bookmarkEnd w:id="69"/>
      <w:bookmarkEnd w:id="70"/>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71" w:name="_Toc517966065"/>
      <w:bookmarkStart w:id="72" w:name="_Toc517688380"/>
      <w:r>
        <w:rPr>
          <w:rStyle w:val="CharSectno"/>
        </w:rPr>
        <w:t>23</w:t>
      </w:r>
      <w:r>
        <w:t>.</w:t>
      </w:r>
      <w:r>
        <w:tab/>
        <w:t>Exemption for CSBP — Kwinana manufacturing facility</w:t>
      </w:r>
      <w:bookmarkEnd w:id="71"/>
      <w:bookmarkEnd w:id="72"/>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pStyle w:val="Heading5"/>
      </w:pPr>
      <w:bookmarkStart w:id="73" w:name="_Toc517966066"/>
      <w:bookmarkStart w:id="74" w:name="_Toc517688381"/>
      <w:r>
        <w:rPr>
          <w:rStyle w:val="CharSectno"/>
        </w:rPr>
        <w:t>24</w:t>
      </w:r>
      <w:r>
        <w:t>.</w:t>
      </w:r>
      <w:r>
        <w:tab/>
        <w:t>Exemption for Kwinana WTE Project — Kwinana power station</w:t>
      </w:r>
      <w:bookmarkEnd w:id="73"/>
      <w:bookmarkEnd w:id="74"/>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pPr>
        <w:pStyle w:val="Footnotesection"/>
      </w:pPr>
      <w:r>
        <w:tab/>
        <w:t>[Clause 24 inserted in Gazette 8 Jan 2016 p. 19</w:t>
      </w:r>
      <w:r>
        <w:noBreakHyphen/>
        <w:t>20; amended in Gazette 26 Jun 2018 p. 2360.]</w:t>
      </w:r>
    </w:p>
    <w:p>
      <w:pPr>
        <w:pStyle w:val="Heading5"/>
      </w:pPr>
      <w:bookmarkStart w:id="75" w:name="_Toc517966067"/>
      <w:bookmarkStart w:id="76" w:name="_Toc517688382"/>
      <w:r>
        <w:rPr>
          <w:rStyle w:val="CharSectno"/>
        </w:rPr>
        <w:t>25</w:t>
      </w:r>
      <w:r>
        <w:t>.</w:t>
      </w:r>
      <w:r>
        <w:tab/>
        <w:t>Exemptions for Eastern Metropolitan Regional Council: supply to Perth Airport</w:t>
      </w:r>
      <w:bookmarkEnd w:id="75"/>
      <w:bookmarkEnd w:id="76"/>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in Gazette 23 Dec 2016 p. 5899</w:t>
      </w:r>
      <w:r>
        <w:noBreakHyphen/>
        <w:t>900.]</w:t>
      </w:r>
    </w:p>
    <w:p>
      <w:pPr>
        <w:pStyle w:val="Heading5"/>
      </w:pPr>
      <w:bookmarkStart w:id="77" w:name="_Toc517966068"/>
      <w:bookmarkStart w:id="78" w:name="_Toc487465512"/>
      <w:bookmarkStart w:id="79" w:name="_Toc487465595"/>
      <w:bookmarkStart w:id="80" w:name="_Toc487465933"/>
      <w:bookmarkStart w:id="81" w:name="_Toc487465963"/>
      <w:bookmarkStart w:id="82" w:name="_Toc517688383"/>
      <w:r>
        <w:rPr>
          <w:rStyle w:val="CharSectno"/>
        </w:rPr>
        <w:t>26</w:t>
      </w:r>
      <w:r>
        <w:t>.</w:t>
      </w:r>
      <w:r>
        <w:tab/>
        <w:t>Exemption for certain connections to internet networks</w:t>
      </w:r>
      <w:bookmarkEnd w:id="77"/>
      <w:bookmarkEnd w:id="78"/>
      <w:bookmarkEnd w:id="79"/>
      <w:bookmarkEnd w:id="80"/>
      <w:bookmarkEnd w:id="81"/>
      <w:bookmarkEnd w:id="82"/>
    </w:p>
    <w:p>
      <w:pPr>
        <w:pStyle w:val="Subsection"/>
      </w:pPr>
      <w:r>
        <w:tab/>
        <w:t>(1)</w:t>
      </w:r>
      <w:r>
        <w:tab/>
        <w:t xml:space="preserve">In this clause — </w:t>
      </w:r>
    </w:p>
    <w:p>
      <w:pPr>
        <w:pStyle w:val="Defstart"/>
      </w:pPr>
      <w:r>
        <w:tab/>
      </w:r>
      <w:r>
        <w:rPr>
          <w:rStyle w:val="CharDefText"/>
        </w:rPr>
        <w:t>internet network</w:t>
      </w:r>
      <w:r>
        <w:t xml:space="preserve"> means a network, comprised at least in part by fibre optic cable, used or to be used for providing access to the internet.</w:t>
      </w:r>
    </w:p>
    <w:p>
      <w:pPr>
        <w:pStyle w:val="Subsection"/>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in Gazette 22 Aug 2017 p. 4502.]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3" w:name="_Toc517966069"/>
      <w:bookmarkStart w:id="84" w:name="_Toc491157579"/>
      <w:bookmarkStart w:id="85" w:name="_Toc491157658"/>
      <w:bookmarkStart w:id="86" w:name="_Toc517688384"/>
      <w:r>
        <w:rPr>
          <w:rStyle w:val="CharSchNo"/>
        </w:rPr>
        <w:t>Schedule 1</w:t>
      </w:r>
      <w:r>
        <w:rPr>
          <w:rStyle w:val="CharSDivNo"/>
        </w:rPr>
        <w:t> </w:t>
      </w:r>
      <w:r>
        <w:t>—</w:t>
      </w:r>
      <w:r>
        <w:rPr>
          <w:rStyle w:val="CharSDivText"/>
        </w:rPr>
        <w:t> </w:t>
      </w:r>
      <w:r>
        <w:rPr>
          <w:rStyle w:val="CharSchText"/>
        </w:rPr>
        <w:t>Depiction of EDL NGD (WA) exempt distribution system</w:t>
      </w:r>
      <w:bookmarkEnd w:id="83"/>
      <w:bookmarkEnd w:id="84"/>
      <w:bookmarkEnd w:id="85"/>
      <w:bookmarkEnd w:id="86"/>
    </w:p>
    <w:p>
      <w:pPr>
        <w:pStyle w:val="yShoulderClause"/>
      </w:pPr>
      <w:r>
        <w:t>[cl. 18]</w:t>
      </w:r>
    </w:p>
    <w:p>
      <w:pPr>
        <w:pStyle w:val="yFootnoteheading"/>
      </w:pPr>
      <w:r>
        <w:tab/>
        <w:t>[Heading inserted in Gazette 9 Oct 2009 p. 3994.]</w:t>
      </w:r>
    </w:p>
    <w:p>
      <w:pPr>
        <w:pStyle w:val="yHeading3"/>
      </w:pPr>
      <w:bookmarkStart w:id="87" w:name="_Toc517966070"/>
      <w:bookmarkStart w:id="88" w:name="_Toc491157580"/>
      <w:bookmarkStart w:id="89" w:name="_Toc491157659"/>
      <w:bookmarkStart w:id="90" w:name="_Toc517688385"/>
      <w:r>
        <w:t>EDL NGD (WA) — HV Cabling Route</w:t>
      </w:r>
      <w:bookmarkEnd w:id="87"/>
      <w:bookmarkEnd w:id="88"/>
      <w:bookmarkEnd w:id="89"/>
      <w:bookmarkEnd w:id="90"/>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pStyle w:val="yScheduleHeading"/>
      </w:pPr>
      <w:bookmarkStart w:id="91" w:name="_Toc517966071"/>
      <w:bookmarkStart w:id="92" w:name="_Toc491157581"/>
      <w:bookmarkStart w:id="93" w:name="_Toc491157660"/>
      <w:bookmarkStart w:id="94" w:name="_Toc517688386"/>
      <w:r>
        <w:rPr>
          <w:rStyle w:val="CharSchNo"/>
        </w:rPr>
        <w:t>Schedule 2</w:t>
      </w:r>
      <w:r>
        <w:rPr>
          <w:rStyle w:val="CharSDivNo"/>
        </w:rPr>
        <w:t> </w:t>
      </w:r>
      <w:r>
        <w:t>—</w:t>
      </w:r>
      <w:r>
        <w:rPr>
          <w:rStyle w:val="CharSDivText"/>
        </w:rPr>
        <w:t> </w:t>
      </w:r>
      <w:r>
        <w:rPr>
          <w:rStyle w:val="CharSchText"/>
        </w:rPr>
        <w:t>Description of Kwinana site boundary line</w:t>
      </w:r>
      <w:bookmarkEnd w:id="91"/>
      <w:bookmarkEnd w:id="92"/>
      <w:bookmarkEnd w:id="93"/>
      <w:bookmarkEnd w:id="94"/>
    </w:p>
    <w:p>
      <w:pPr>
        <w:pStyle w:val="yShoulderClause"/>
      </w:pPr>
      <w:r>
        <w:t>[cl. 24(1)]</w:t>
      </w:r>
    </w:p>
    <w:p>
      <w:pPr>
        <w:pStyle w:val="yFootnoteheading"/>
      </w:pPr>
      <w:r>
        <w:tab/>
        <w:t>[Heading inserted in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in Gazette 8 Jan 2016 p. 20.]</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96" w:name="_Toc517966072"/>
      <w:bookmarkStart w:id="97" w:name="_Toc491157582"/>
      <w:bookmarkStart w:id="98" w:name="_Toc491157661"/>
      <w:bookmarkStart w:id="99" w:name="_Toc517688387"/>
      <w:r>
        <w:t>Notes</w:t>
      </w:r>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100" w:name="_Toc517966073"/>
      <w:bookmarkStart w:id="101" w:name="_Toc517688388"/>
      <w:r>
        <w:t>Compilation table</w:t>
      </w:r>
      <w:bookmarkEnd w:id="100"/>
      <w:bookmarkEnd w:id="1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keepNext/>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ins w:id="102" w:author="Master Repository Process" w:date="2021-08-01T13:15:00Z"/>
        </w:trPr>
        <w:tc>
          <w:tcPr>
            <w:tcW w:w="3118" w:type="dxa"/>
            <w:tcBorders>
              <w:top w:val="nil"/>
              <w:bottom w:val="single" w:sz="4" w:space="0" w:color="auto"/>
            </w:tcBorders>
          </w:tcPr>
          <w:p>
            <w:pPr>
              <w:pStyle w:val="nTable"/>
              <w:keepNext/>
              <w:spacing w:after="40"/>
              <w:rPr>
                <w:ins w:id="103" w:author="Master Repository Process" w:date="2021-08-01T13:15:00Z"/>
                <w:i/>
              </w:rPr>
            </w:pPr>
            <w:ins w:id="104" w:author="Master Repository Process" w:date="2021-08-01T13:15:00Z">
              <w:r>
                <w:rPr>
                  <w:i/>
                </w:rPr>
                <w:t>Electricity Industry Exemption Amendment Order (No. 5) 2018</w:t>
              </w:r>
            </w:ins>
          </w:p>
        </w:tc>
        <w:tc>
          <w:tcPr>
            <w:tcW w:w="1276" w:type="dxa"/>
            <w:tcBorders>
              <w:top w:val="nil"/>
              <w:bottom w:val="single" w:sz="4" w:space="0" w:color="auto"/>
            </w:tcBorders>
          </w:tcPr>
          <w:p>
            <w:pPr>
              <w:pStyle w:val="nTable"/>
              <w:keepNext/>
              <w:spacing w:after="40"/>
              <w:rPr>
                <w:ins w:id="105" w:author="Master Repository Process" w:date="2021-08-01T13:15:00Z"/>
              </w:rPr>
            </w:pPr>
            <w:ins w:id="106" w:author="Master Repository Process" w:date="2021-08-01T13:15:00Z">
              <w:r>
                <w:t>29 Jun 2018 p. 2434</w:t>
              </w:r>
              <w:r>
                <w:noBreakHyphen/>
                <w:t>5</w:t>
              </w:r>
            </w:ins>
          </w:p>
        </w:tc>
        <w:tc>
          <w:tcPr>
            <w:tcW w:w="2693" w:type="dxa"/>
            <w:tcBorders>
              <w:top w:val="nil"/>
              <w:bottom w:val="single" w:sz="4" w:space="0" w:color="auto"/>
            </w:tcBorders>
          </w:tcPr>
          <w:p>
            <w:pPr>
              <w:pStyle w:val="nTable"/>
              <w:keepNext/>
              <w:spacing w:after="40"/>
              <w:rPr>
                <w:ins w:id="107" w:author="Master Repository Process" w:date="2021-08-01T13:15:00Z"/>
                <w:snapToGrid w:val="0"/>
                <w:spacing w:val="-2"/>
              </w:rPr>
            </w:pPr>
            <w:ins w:id="108" w:author="Master Repository Process" w:date="2021-08-01T13:15:00Z">
              <w:r>
                <w:rPr>
                  <w:snapToGrid w:val="0"/>
                  <w:spacing w:val="-2"/>
                </w:rPr>
                <w:t>cl. 1 and 2: 29 Jun 2018 (see cl. 2(a));</w:t>
              </w:r>
              <w:r>
                <w:rPr>
                  <w:snapToGrid w:val="0"/>
                  <w:spacing w:val="-2"/>
                </w:rPr>
                <w:br/>
                <w:t>Order other than cl. 1 and 2: 30 Jun 2018 (see cl.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3B</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95" w:name="Schedule"/>
    <w:bookmarkEnd w:id="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50907"/>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FDBF82DF-9700-4348-B368-1CC18DF2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831B-A6AC-4332-BB3B-E3850720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5487</Words>
  <Characters>26946</Characters>
  <Application>Microsoft Office Word</Application>
  <DocSecurity>0</DocSecurity>
  <Lines>792</Lines>
  <Paragraphs>415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00-r0-00 - 00-s0-00</dc:title>
  <dc:subject/>
  <dc:creator/>
  <cp:keywords/>
  <dc:description/>
  <cp:lastModifiedBy>Master Repository Process</cp:lastModifiedBy>
  <cp:revision>2</cp:revision>
  <cp:lastPrinted>2017-02-10T03:48:00Z</cp:lastPrinted>
  <dcterms:created xsi:type="dcterms:W3CDTF">2021-08-01T05:15:00Z</dcterms:created>
  <dcterms:modified xsi:type="dcterms:W3CDTF">2021-08-01T05:15:00Z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20180630</vt:lpwstr>
  </property>
  <property fmtid="{D5CDD505-2E9C-101B-9397-08002B2CF9AE}" pid="6" name="FromSuffix">
    <vt:lpwstr>00-r0-00</vt:lpwstr>
  </property>
  <property fmtid="{D5CDD505-2E9C-101B-9397-08002B2CF9AE}" pid="7" name="FromAsAtDate">
    <vt:lpwstr>27 Jun 2018</vt:lpwstr>
  </property>
  <property fmtid="{D5CDD505-2E9C-101B-9397-08002B2CF9AE}" pid="8" name="ToSuffix">
    <vt:lpwstr>00-s0-00</vt:lpwstr>
  </property>
  <property fmtid="{D5CDD505-2E9C-101B-9397-08002B2CF9AE}" pid="9" name="ToAsAtDate">
    <vt:lpwstr>30 Jun 2018</vt:lpwstr>
  </property>
</Properties>
</file>