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2016</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Duties Act 2008</w:t>
      </w:r>
    </w:p>
    <w:p>
      <w:pPr>
        <w:pStyle w:val="NameofActReg"/>
      </w:pPr>
      <w:r>
        <w:t>Duties Regulations 2008</w:t>
      </w:r>
    </w:p>
    <w:p>
      <w:pPr>
        <w:pStyle w:val="Heading5"/>
      </w:pPr>
      <w:bookmarkStart w:id="1" w:name="_Toc517950380"/>
      <w:bookmarkStart w:id="2" w:name="_Toc377373947"/>
      <w:bookmarkStart w:id="3" w:name="_Toc451848365"/>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Duties Regulations 2008</w:t>
      </w:r>
      <w:r>
        <w:rPr>
          <w:vertAlign w:val="superscript"/>
        </w:rPr>
        <w:t> 1</w:t>
      </w:r>
      <w:r>
        <w:t>.</w:t>
      </w:r>
    </w:p>
    <w:p>
      <w:pPr>
        <w:pStyle w:val="Heading5"/>
        <w:rPr>
          <w:spacing w:val="-2"/>
        </w:rPr>
      </w:pPr>
      <w:bookmarkStart w:id="6" w:name="_Toc517950381"/>
      <w:bookmarkStart w:id="7" w:name="_Toc377373948"/>
      <w:bookmarkStart w:id="8" w:name="_Toc451848366"/>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rPr>
          <w:vertAlign w:val="superscript"/>
        </w:rPr>
        <w:t> 1</w:t>
      </w:r>
      <w:r>
        <w:t>;</w:t>
      </w:r>
    </w:p>
    <w:p>
      <w:pPr>
        <w:pStyle w:val="Indenta"/>
      </w:pPr>
      <w:r>
        <w:tab/>
        <w:t>(b)</w:t>
      </w:r>
      <w:r>
        <w:tab/>
        <w:t>the rest of the regulations — on 1 July 2008.</w:t>
      </w:r>
    </w:p>
    <w:p>
      <w:pPr>
        <w:pStyle w:val="Heading5"/>
      </w:pPr>
      <w:bookmarkStart w:id="9" w:name="_Toc517950382"/>
      <w:bookmarkStart w:id="10" w:name="_Toc377373949"/>
      <w:bookmarkStart w:id="11" w:name="_Toc451848367"/>
      <w:r>
        <w:rPr>
          <w:rStyle w:val="CharSectno"/>
        </w:rPr>
        <w:t>3</w:t>
      </w:r>
      <w:r>
        <w:t>.</w:t>
      </w:r>
      <w:r>
        <w:tab/>
        <w:t>Financial markets prescribed (Act s. 3)</w:t>
      </w:r>
      <w:bookmarkEnd w:id="9"/>
      <w:bookmarkEnd w:id="10"/>
      <w:bookmarkEnd w:id="11"/>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12" w:name="_Toc517950383"/>
      <w:bookmarkStart w:id="13" w:name="_Toc377373950"/>
      <w:bookmarkStart w:id="14" w:name="_Toc451848368"/>
      <w:r>
        <w:t>4.</w:t>
      </w:r>
      <w:r>
        <w:tab/>
        <w:t>Excluded transactions prescribed (Act s. 11(2))</w:t>
      </w:r>
      <w:bookmarkEnd w:id="12"/>
      <w:bookmarkEnd w:id="13"/>
      <w:bookmarkEnd w:id="14"/>
    </w:p>
    <w:p>
      <w:pPr>
        <w:pStyle w:val="Subsection"/>
        <w:keepLines/>
      </w:pPr>
      <w:r>
        <w:tab/>
        <w:t>(1)</w:t>
      </w:r>
      <w:r>
        <w:tab/>
        <w:t xml:space="preserve">For the purposes of section 11 of the Act, each of the following transactions is prescribed as an excluded transaction — </w:t>
      </w:r>
    </w:p>
    <w:p>
      <w:pPr>
        <w:pStyle w:val="Indenta"/>
      </w:pPr>
      <w:r>
        <w:lastRenderedPageBreak/>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w:t>
      </w:r>
      <w:del w:id="15" w:author="Master Repository Process" w:date="2021-08-01T03:53:00Z">
        <w:r>
          <w:delText xml:space="preserve"> in</w:delText>
        </w:r>
      </w:del>
      <w:ins w:id="16" w:author="Master Repository Process" w:date="2021-08-01T03:53:00Z">
        <w:r>
          <w:t>:</w:t>
        </w:r>
      </w:ins>
      <w:r>
        <w:t xml:space="preserve"> Gazette 20 Sep 2013 p. 4363</w:t>
      </w:r>
      <w:r>
        <w:noBreakHyphen/>
        <w:t>4; amended</w:t>
      </w:r>
      <w:del w:id="17" w:author="Master Repository Process" w:date="2021-08-01T03:53:00Z">
        <w:r>
          <w:delText xml:space="preserve"> in</w:delText>
        </w:r>
      </w:del>
      <w:ins w:id="18" w:author="Master Repository Process" w:date="2021-08-01T03:53:00Z">
        <w:r>
          <w:t>:</w:t>
        </w:r>
      </w:ins>
      <w:r>
        <w:t xml:space="preserve"> Gazette 24 May 2016 p. 1536.]</w:t>
      </w:r>
    </w:p>
    <w:p>
      <w:pPr>
        <w:pStyle w:val="Heading5"/>
      </w:pPr>
      <w:bookmarkStart w:id="19" w:name="_Toc517950384"/>
      <w:bookmarkStart w:id="20" w:name="_Toc377373951"/>
      <w:bookmarkStart w:id="21" w:name="_Toc451848369"/>
      <w:r>
        <w:rPr>
          <w:rStyle w:val="CharSectno"/>
        </w:rPr>
        <w:t>5A</w:t>
      </w:r>
      <w:r>
        <w:t>.</w:t>
      </w:r>
      <w:r>
        <w:tab/>
        <w:t>Dutiable property prescribed (Act s. 18(h))</w:t>
      </w:r>
      <w:bookmarkEnd w:id="19"/>
      <w:bookmarkEnd w:id="20"/>
      <w:bookmarkEnd w:id="21"/>
    </w:p>
    <w:p>
      <w:pPr>
        <w:pStyle w:val="Subsection"/>
      </w:pPr>
      <w:r>
        <w:tab/>
      </w:r>
      <w:r>
        <w:tab/>
        <w:t>For the purposes of section 18 of the Act, dutiable property that is a profit à prendre is prescribed as special dutiable property.</w:t>
      </w:r>
    </w:p>
    <w:p>
      <w:pPr>
        <w:pStyle w:val="Footnotesection"/>
        <w:ind w:left="890" w:hanging="890"/>
      </w:pPr>
      <w:r>
        <w:tab/>
        <w:t>[Regulation 5A inserted</w:t>
      </w:r>
      <w:del w:id="22" w:author="Master Repository Process" w:date="2021-08-01T03:53:00Z">
        <w:r>
          <w:delText xml:space="preserve"> in</w:delText>
        </w:r>
      </w:del>
      <w:ins w:id="23" w:author="Master Repository Process" w:date="2021-08-01T03:53:00Z">
        <w:r>
          <w:t>:</w:t>
        </w:r>
      </w:ins>
      <w:r>
        <w:t xml:space="preserve"> Gazette 15 May 2009 p. 1639.]</w:t>
      </w:r>
    </w:p>
    <w:p>
      <w:pPr>
        <w:pStyle w:val="Heading5"/>
        <w:spacing w:before="180"/>
      </w:pPr>
      <w:bookmarkStart w:id="24" w:name="_Toc517950385"/>
      <w:bookmarkStart w:id="25" w:name="_Toc377373952"/>
      <w:bookmarkStart w:id="26" w:name="_Toc451848370"/>
      <w:r>
        <w:rPr>
          <w:rStyle w:val="CharSectno"/>
        </w:rPr>
        <w:t>5B</w:t>
      </w:r>
      <w:r>
        <w:t>.</w:t>
      </w:r>
      <w:r>
        <w:tab/>
        <w:t>Dutiable transactions prescribed (Act s. 140)</w:t>
      </w:r>
      <w:bookmarkEnd w:id="24"/>
      <w:bookmarkEnd w:id="25"/>
      <w:bookmarkEnd w:id="26"/>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spacing w:before="100"/>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spacing w:before="100"/>
      </w:pPr>
      <w:r>
        <w:tab/>
        <w:t>(iii)</w:t>
      </w:r>
      <w:r>
        <w:tab/>
        <w:t>the same person who has, or persons who have, the benefit of the old profit à prendre will have the benefit of the new profit à prendre;</w:t>
      </w:r>
    </w:p>
    <w:p>
      <w:pPr>
        <w:pStyle w:val="Indenti"/>
        <w:spacing w:before="100"/>
      </w:pPr>
      <w:r>
        <w:tab/>
        <w:t>(iv)</w:t>
      </w:r>
      <w:r>
        <w:tab/>
        <w:t>no consideration is provided in relation to the surrender;</w:t>
      </w:r>
    </w:p>
    <w:p>
      <w:pPr>
        <w:pStyle w:val="Indenta"/>
        <w:spacing w:before="100"/>
      </w:pPr>
      <w:r>
        <w:tab/>
        <w:t>(b)</w:t>
      </w:r>
      <w:r>
        <w:tab/>
        <w:t xml:space="preserve">the acquisition of new dutiable property by the creation of a profit à prendre in the following circumstances — </w:t>
      </w:r>
    </w:p>
    <w:p>
      <w:pPr>
        <w:pStyle w:val="Indenti"/>
        <w:spacing w:before="100"/>
      </w:pPr>
      <w:r>
        <w:tab/>
        <w:t>(i)</w:t>
      </w:r>
      <w:r>
        <w:tab/>
        <w:t>the profit à prendre is a new profit à prendre as defined in paragraph (a)(ii);</w:t>
      </w:r>
    </w:p>
    <w:p>
      <w:pPr>
        <w:pStyle w:val="Indenti"/>
        <w:spacing w:before="100"/>
      </w:pPr>
      <w:r>
        <w:tab/>
        <w:t>(ii)</w:t>
      </w:r>
      <w:r>
        <w:tab/>
        <w:t>the circumstances described in paragraph (a)(ii) and (iii) apply in relation to the new profit à prendre;</w:t>
      </w:r>
    </w:p>
    <w:p>
      <w:pPr>
        <w:pStyle w:val="Indenti"/>
        <w:spacing w:before="100"/>
      </w:pPr>
      <w:r>
        <w:tab/>
        <w:t>(iii)</w:t>
      </w:r>
      <w:r>
        <w:tab/>
        <w:t>no consideration is provided in relation to the acquisition.</w:t>
      </w:r>
    </w:p>
    <w:p>
      <w:pPr>
        <w:pStyle w:val="Subsection"/>
        <w:spacing w:before="180"/>
      </w:pPr>
      <w:r>
        <w:tab/>
        <w:t>(3)</w:t>
      </w:r>
      <w:r>
        <w:tab/>
        <w:t>This regulation does not have the effect of making the surrender of a profit à prendre before 16 May 2009 dutiable.</w:t>
      </w:r>
    </w:p>
    <w:p>
      <w:pPr>
        <w:pStyle w:val="Footnotesection"/>
        <w:spacing w:before="140"/>
        <w:ind w:left="890" w:hanging="890"/>
      </w:pPr>
      <w:r>
        <w:tab/>
        <w:t>[Regulation 5B inserted</w:t>
      </w:r>
      <w:del w:id="27" w:author="Master Repository Process" w:date="2021-08-01T03:53:00Z">
        <w:r>
          <w:delText xml:space="preserve"> in</w:delText>
        </w:r>
      </w:del>
      <w:ins w:id="28" w:author="Master Repository Process" w:date="2021-08-01T03:53:00Z">
        <w:r>
          <w:t>:</w:t>
        </w:r>
      </w:ins>
      <w:r>
        <w:t xml:space="preserve"> Gazette 15 Nov 2011 p. 4795</w:t>
      </w:r>
      <w:r>
        <w:noBreakHyphen/>
        <w:t>6.]</w:t>
      </w:r>
    </w:p>
    <w:p>
      <w:pPr>
        <w:pStyle w:val="Heading5"/>
      </w:pPr>
      <w:bookmarkStart w:id="29" w:name="_Toc517950386"/>
      <w:bookmarkStart w:id="30" w:name="_Toc377373953"/>
      <w:bookmarkStart w:id="31" w:name="_Toc451848371"/>
      <w:r>
        <w:rPr>
          <w:rStyle w:val="CharSectno"/>
        </w:rPr>
        <w:t>5</w:t>
      </w:r>
      <w:r>
        <w:t>.</w:t>
      </w:r>
      <w:r>
        <w:tab/>
        <w:t>Information and particulars prescribed (Act s. 203(1)(b))</w:t>
      </w:r>
      <w:bookmarkEnd w:id="29"/>
      <w:bookmarkEnd w:id="30"/>
      <w:bookmarkEnd w:id="31"/>
    </w:p>
    <w:p>
      <w:pPr>
        <w:pStyle w:val="Subsection"/>
        <w:keepNext/>
        <w:keepLines/>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32" w:name="_Toc517950387"/>
      <w:bookmarkStart w:id="33" w:name="_Toc377373954"/>
      <w:bookmarkStart w:id="34" w:name="_Toc451848372"/>
      <w:r>
        <w:rPr>
          <w:rStyle w:val="CharSectno"/>
        </w:rPr>
        <w:t>6</w:t>
      </w:r>
      <w:r>
        <w:t>.</w:t>
      </w:r>
      <w:r>
        <w:tab/>
        <w:t>Classes of new vehicles prescribed (Act s. 237(1)(b))</w:t>
      </w:r>
      <w:bookmarkEnd w:id="32"/>
      <w:bookmarkEnd w:id="33"/>
      <w:bookmarkEnd w:id="34"/>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w:t>
      </w:r>
      <w:del w:id="35" w:author="Master Repository Process" w:date="2021-08-01T03:53:00Z">
        <w:r>
          <w:delText xml:space="preserve"> in</w:delText>
        </w:r>
      </w:del>
      <w:ins w:id="36" w:author="Master Repository Process" w:date="2021-08-01T03:53:00Z">
        <w:r>
          <w:t>:</w:t>
        </w:r>
      </w:ins>
      <w:r>
        <w:t xml:space="preserve"> Gazette 1 Apr 2010 p. 1341</w:t>
      </w:r>
      <w:r>
        <w:noBreakHyphen/>
        <w:t>2.]</w:t>
      </w:r>
    </w:p>
    <w:p>
      <w:pPr>
        <w:pStyle w:val="Heading5"/>
      </w:pPr>
      <w:bookmarkStart w:id="37" w:name="_Toc517950388"/>
      <w:bookmarkStart w:id="38" w:name="_Toc377373955"/>
      <w:bookmarkStart w:id="39" w:name="_Toc451848373"/>
      <w:r>
        <w:t>7.</w:t>
      </w:r>
      <w:r>
        <w:tab/>
        <w:t>Classes of vehicles</w:t>
      </w:r>
      <w:del w:id="40" w:author="Master Repository Process" w:date="2021-08-01T03:53:00Z">
        <w:r>
          <w:delText xml:space="preserve"> and</w:delText>
        </w:r>
      </w:del>
      <w:ins w:id="41" w:author="Master Repository Process" w:date="2021-08-01T03:53:00Z">
        <w:r>
          <w:t>,</w:t>
        </w:r>
      </w:ins>
      <w:r>
        <w:t xml:space="preserve"> persons</w:t>
      </w:r>
      <w:del w:id="42" w:author="Master Repository Process" w:date="2021-08-01T03:53:00Z">
        <w:r>
          <w:delText>,</w:delText>
        </w:r>
      </w:del>
      <w:r>
        <w:t xml:space="preserve"> and purposes</w:t>
      </w:r>
      <w:del w:id="43" w:author="Master Repository Process" w:date="2021-08-01T03:53:00Z">
        <w:r>
          <w:delText>,</w:delText>
        </w:r>
      </w:del>
      <w:r>
        <w:t xml:space="preserve"> prescribed (Act s. 244)</w:t>
      </w:r>
      <w:bookmarkEnd w:id="37"/>
      <w:bookmarkEnd w:id="38"/>
      <w:bookmarkEnd w:id="39"/>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rPr>
          <w:ins w:id="44" w:author="Master Repository Process" w:date="2021-08-01T03:53:00Z"/>
        </w:rPr>
      </w:pPr>
      <w:ins w:id="45" w:author="Master Repository Process" w:date="2021-08-01T03:53:00Z">
        <w:r>
          <w:tab/>
        </w:r>
        <w:r>
          <w:rPr>
            <w:rStyle w:val="CharDefText"/>
          </w:rPr>
          <w:t>carriage of passengers or goods between prescribed places</w:t>
        </w:r>
        <w:r>
          <w:t xml:space="preserve"> has the meaning given in the </w:t>
        </w:r>
        <w:r>
          <w:rPr>
            <w:i/>
          </w:rPr>
          <w:t xml:space="preserve">Interstate Road Transport Act </w:t>
        </w:r>
        <w:r>
          <w:t>section 3(1);</w:t>
        </w:r>
      </w:ins>
    </w:p>
    <w:p>
      <w:pPr>
        <w:pStyle w:val="Defstart"/>
      </w:pPr>
      <w:r>
        <w:rPr>
          <w:b/>
        </w:rPr>
        <w:tab/>
      </w:r>
      <w:r>
        <w:rPr>
          <w:rStyle w:val="CharDefText"/>
        </w:rPr>
        <w:t>farming land</w:t>
      </w:r>
      <w:r>
        <w:t xml:space="preserve"> has the meaning given in section 99(1) of the Act;</w:t>
      </w:r>
    </w:p>
    <w:p>
      <w:pPr>
        <w:pStyle w:val="Defstart"/>
        <w:rPr>
          <w:ins w:id="46" w:author="Master Repository Process" w:date="2021-08-01T03:53:00Z"/>
        </w:rPr>
      </w:pPr>
      <w:ins w:id="47" w:author="Master Repository Process" w:date="2021-08-01T03:53:00Z">
        <w:r>
          <w:tab/>
        </w:r>
        <w:r>
          <w:rPr>
            <w:rStyle w:val="CharDefText"/>
          </w:rPr>
          <w:t>Interstate Road Transport Act</w:t>
        </w:r>
        <w:r>
          <w:t xml:space="preserve"> means the </w:t>
        </w:r>
        <w:r>
          <w:rPr>
            <w:i/>
          </w:rPr>
          <w:t>Interstate Road Transport Act 1985</w:t>
        </w:r>
        <w:r>
          <w:t xml:space="preserve"> (Commonwealth);</w:t>
        </w:r>
      </w:ins>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del w:id="48" w:author="Master Repository Process" w:date="2021-08-01T03:53:00Z">
        <w:r>
          <w:delText>.</w:delText>
        </w:r>
      </w:del>
      <w:ins w:id="49" w:author="Master Repository Process" w:date="2021-08-01T03:53:00Z">
        <w:r>
          <w:t>;</w:t>
        </w:r>
      </w:ins>
    </w:p>
    <w:p>
      <w:pPr>
        <w:pStyle w:val="Indenta"/>
        <w:rPr>
          <w:ins w:id="50" w:author="Master Repository Process" w:date="2021-08-01T03:53:00Z"/>
        </w:rPr>
      </w:pPr>
      <w:ins w:id="51" w:author="Master Repository Process" w:date="2021-08-01T03:53:00Z">
        <w:r>
          <w:tab/>
          <w:t>(c)</w:t>
        </w:r>
        <w:r>
          <w:tab/>
          <w:t xml:space="preserve">a motor vehicle or trailer that was registered under the </w:t>
        </w:r>
        <w:r>
          <w:rPr>
            <w:i/>
          </w:rPr>
          <w:t>Interstate Road Transport Act</w:t>
        </w:r>
        <w:r>
          <w:t xml:space="preserve"> section 9 and whose registration was in force immediately before the close of 30 June 2018.</w:t>
        </w:r>
      </w:ins>
    </w:p>
    <w:p>
      <w:pPr>
        <w:pStyle w:val="Subsection"/>
        <w:rPr>
          <w:ins w:id="52" w:author="Master Repository Process" w:date="2021-08-01T03:53:00Z"/>
        </w:rPr>
      </w:pPr>
      <w:r>
        <w:tab/>
        <w:t>(3)</w:t>
      </w:r>
      <w:r>
        <w:tab/>
        <w:t xml:space="preserve">For the purposes of section 244(b) of the Act, </w:t>
      </w:r>
      <w:del w:id="53" w:author="Master Repository Process" w:date="2021-08-01T03:53:00Z">
        <w:r>
          <w:delText>the</w:delText>
        </w:r>
      </w:del>
      <w:ins w:id="54" w:author="Master Repository Process" w:date="2021-08-01T03:53:00Z">
        <w:r>
          <w:t>these</w:t>
        </w:r>
      </w:ins>
      <w:r>
        <w:t xml:space="preserve"> classes of </w:t>
      </w:r>
      <w:del w:id="55" w:author="Master Repository Process" w:date="2021-08-01T03:53:00Z">
        <w:r>
          <w:delText>persons who</w:delText>
        </w:r>
      </w:del>
      <w:ins w:id="56" w:author="Master Repository Process" w:date="2021-08-01T03:53:00Z">
        <w:r>
          <w:t>person</w:t>
        </w:r>
      </w:ins>
      <w:r>
        <w:t xml:space="preserve"> are prescribed</w:t>
      </w:r>
      <w:del w:id="57" w:author="Master Repository Process" w:date="2021-08-01T03:53:00Z">
        <w:r>
          <w:delText xml:space="preserve"> are </w:delText>
        </w:r>
      </w:del>
      <w:ins w:id="58" w:author="Master Repository Process" w:date="2021-08-01T03:53:00Z">
        <w:r>
          <w:t xml:space="preserve"> — </w:t>
        </w:r>
      </w:ins>
    </w:p>
    <w:p>
      <w:pPr>
        <w:pStyle w:val="Indenta"/>
      </w:pPr>
      <w:ins w:id="59" w:author="Master Repository Process" w:date="2021-08-01T03:53:00Z">
        <w:r>
          <w:tab/>
          <w:t>(a)</w:t>
        </w:r>
        <w:r>
          <w:tab/>
        </w:r>
      </w:ins>
      <w:r>
        <w:t xml:space="preserve">persons who own a tractor or tractor plant the vehicle licence charge payable for which is reduced under the </w:t>
      </w:r>
      <w:r>
        <w:rPr>
          <w:i/>
        </w:rPr>
        <w:t>Road Traffic (</w:t>
      </w:r>
      <w:del w:id="60" w:author="Master Repository Process" w:date="2021-08-01T03:53:00Z">
        <w:r>
          <w:rPr>
            <w:i/>
          </w:rPr>
          <w:delText>Charges and Fees</w:delText>
        </w:r>
      </w:del>
      <w:ins w:id="61" w:author="Master Repository Process" w:date="2021-08-01T03:53:00Z">
        <w:r>
          <w:rPr>
            <w:i/>
          </w:rPr>
          <w:t>Vehicles</w:t>
        </w:r>
      </w:ins>
      <w:r>
        <w:rPr>
          <w:i/>
        </w:rPr>
        <w:t>) Regulations </w:t>
      </w:r>
      <w:del w:id="62" w:author="Master Repository Process" w:date="2021-08-01T03:53:00Z">
        <w:r>
          <w:rPr>
            <w:i/>
          </w:rPr>
          <w:delText>2006</w:delText>
        </w:r>
      </w:del>
      <w:ins w:id="63" w:author="Master Repository Process" w:date="2021-08-01T03:53:00Z">
        <w:r>
          <w:rPr>
            <w:i/>
          </w:rPr>
          <w:t>2014</w:t>
        </w:r>
      </w:ins>
      <w:r>
        <w:t xml:space="preserve"> regulation </w:t>
      </w:r>
      <w:del w:id="64" w:author="Master Repository Process" w:date="2021-08-01T03:53:00Z">
        <w:r>
          <w:delText>16.</w:delText>
        </w:r>
      </w:del>
      <w:ins w:id="65" w:author="Master Repository Process" w:date="2021-08-01T03:53:00Z">
        <w:r>
          <w:t>81;</w:t>
        </w:r>
      </w:ins>
    </w:p>
    <w:p>
      <w:pPr>
        <w:pStyle w:val="Indenta"/>
        <w:rPr>
          <w:ins w:id="66" w:author="Master Repository Process" w:date="2021-08-01T03:53:00Z"/>
        </w:rPr>
      </w:pPr>
      <w:ins w:id="67" w:author="Master Repository Process" w:date="2021-08-01T03:53:00Z">
        <w:r>
          <w:tab/>
          <w:t>(b)</w:t>
        </w:r>
        <w:r>
          <w:tab/>
          <w:t xml:space="preserve">persons who own a motor vehicle or trailer referred to in subregulation (2)(c). </w:t>
        </w:r>
      </w:ins>
    </w:p>
    <w:p>
      <w:pPr>
        <w:pStyle w:val="Subsection"/>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del w:id="68" w:author="Master Repository Process" w:date="2021-08-01T03:53:00Z">
        <w:r>
          <w:delText>.</w:delText>
        </w:r>
      </w:del>
      <w:ins w:id="69" w:author="Master Repository Process" w:date="2021-08-01T03:53:00Z">
        <w:r>
          <w:t>;</w:t>
        </w:r>
      </w:ins>
    </w:p>
    <w:p>
      <w:pPr>
        <w:pStyle w:val="Indenta"/>
        <w:rPr>
          <w:ins w:id="70" w:author="Master Repository Process" w:date="2021-08-01T03:53:00Z"/>
        </w:rPr>
      </w:pPr>
      <w:ins w:id="71" w:author="Master Repository Process" w:date="2021-08-01T03:53:00Z">
        <w:r>
          <w:tab/>
          <w:t>(e)</w:t>
        </w:r>
        <w:r>
          <w:tab/>
          <w:t>the carriage of passengers or goods between prescribed places or any purpose incidental to carriage of that kind.</w:t>
        </w:r>
      </w:ins>
    </w:p>
    <w:p>
      <w:pPr>
        <w:pStyle w:val="Footnotesection"/>
        <w:rPr>
          <w:ins w:id="72" w:author="Master Repository Process" w:date="2021-08-01T03:53:00Z"/>
        </w:rPr>
      </w:pPr>
      <w:ins w:id="73" w:author="Master Repository Process" w:date="2021-08-01T03:53:00Z">
        <w:r>
          <w:tab/>
          <w:t>[Regulation 7 amended: Gazette 22 Jun 2018 p. 2194</w:t>
        </w:r>
        <w:r>
          <w:noBreakHyphen/>
          <w:t>5.]</w:t>
        </w:r>
      </w:ins>
    </w:p>
    <w:p>
      <w:pPr>
        <w:pStyle w:val="Heading5"/>
      </w:pPr>
      <w:bookmarkStart w:id="74" w:name="_Toc517950389"/>
      <w:bookmarkStart w:id="75" w:name="_Toc377373956"/>
      <w:bookmarkStart w:id="76" w:name="_Toc451848374"/>
      <w:r>
        <w:rPr>
          <w:rStyle w:val="CharSectno"/>
        </w:rPr>
        <w:t>8</w:t>
      </w:r>
      <w:r>
        <w:t>.</w:t>
      </w:r>
      <w:r>
        <w:tab/>
        <w:t>Records prescribed (Act s. 256(a))</w:t>
      </w:r>
      <w:bookmarkEnd w:id="74"/>
      <w:bookmarkEnd w:id="75"/>
      <w:bookmarkEnd w:id="76"/>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77" w:name="_Toc517950390"/>
      <w:bookmarkStart w:id="78" w:name="_Toc377373957"/>
      <w:bookmarkStart w:id="79" w:name="_Toc451848375"/>
      <w:r>
        <w:rPr>
          <w:rStyle w:val="CharSectno"/>
        </w:rPr>
        <w:t>9A</w:t>
      </w:r>
      <w:r>
        <w:t>.</w:t>
      </w:r>
      <w:r>
        <w:tab/>
        <w:t>Records to be kept (Act s. 285(2))</w:t>
      </w:r>
      <w:bookmarkEnd w:id="77"/>
      <w:bookmarkEnd w:id="78"/>
      <w:bookmarkEnd w:id="79"/>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w:t>
      </w:r>
      <w:del w:id="80" w:author="Master Repository Process" w:date="2021-08-01T03:53:00Z">
        <w:r>
          <w:delText xml:space="preserve"> in</w:delText>
        </w:r>
      </w:del>
      <w:ins w:id="81" w:author="Master Repository Process" w:date="2021-08-01T03:53:00Z">
        <w:r>
          <w:t>:</w:t>
        </w:r>
      </w:ins>
      <w:r>
        <w:t xml:space="preserve"> Gazette 1 Apr 2011 p. 1186.]</w:t>
      </w:r>
    </w:p>
    <w:p>
      <w:pPr>
        <w:pStyle w:val="Heading5"/>
      </w:pPr>
      <w:bookmarkStart w:id="82" w:name="_Toc517950391"/>
      <w:bookmarkStart w:id="83" w:name="_Toc377373958"/>
      <w:bookmarkStart w:id="84" w:name="_Toc451848376"/>
      <w:r>
        <w:rPr>
          <w:rStyle w:val="CharSectno"/>
        </w:rPr>
        <w:t>9</w:t>
      </w:r>
      <w:r>
        <w:t>.</w:t>
      </w:r>
      <w:r>
        <w:tab/>
        <w:t>Act Sch. 3 cl. 13(1) varied (Act Sch. 3 cl. 27(1)(b))</w:t>
      </w:r>
      <w:bookmarkEnd w:id="82"/>
      <w:bookmarkEnd w:id="83"/>
      <w:bookmarkEnd w:id="84"/>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85" w:name="_Toc517950392"/>
      <w:bookmarkStart w:id="86" w:name="_Toc377373959"/>
      <w:bookmarkStart w:id="87" w:name="_Toc451848377"/>
      <w:r>
        <w:rPr>
          <w:rStyle w:val="CharSectno"/>
        </w:rPr>
        <w:t>10</w:t>
      </w:r>
      <w:r>
        <w:t>.</w:t>
      </w:r>
      <w:r>
        <w:tab/>
        <w:t>Consideration for the grant of a lease, ascertaining</w:t>
      </w:r>
      <w:bookmarkEnd w:id="85"/>
      <w:bookmarkEnd w:id="86"/>
      <w:bookmarkEnd w:id="87"/>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w:t>
      </w:r>
      <w:del w:id="88" w:author="Master Repository Process" w:date="2021-08-01T03:53:00Z">
        <w:r>
          <w:delText xml:space="preserve"> in</w:delText>
        </w:r>
      </w:del>
      <w:ins w:id="89" w:author="Master Repository Process" w:date="2021-08-01T03:53:00Z">
        <w:r>
          <w:t>:</w:t>
        </w:r>
      </w:ins>
      <w:r>
        <w:t xml:space="preserve">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0" w:name="_Toc517863312"/>
      <w:bookmarkStart w:id="91" w:name="_Toc517863393"/>
      <w:bookmarkStart w:id="92" w:name="_Toc517950393"/>
      <w:bookmarkStart w:id="93" w:name="_Toc377373960"/>
      <w:bookmarkStart w:id="94" w:name="_Toc416684905"/>
      <w:bookmarkStart w:id="95" w:name="_Toc416684923"/>
      <w:bookmarkStart w:id="96" w:name="_Toc451848378"/>
      <w:r>
        <w:t>Notes</w:t>
      </w:r>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97" w:name="_Toc517950394"/>
      <w:bookmarkStart w:id="98" w:name="_Toc377373961"/>
      <w:bookmarkStart w:id="99" w:name="_Toc451848379"/>
      <w:r>
        <w:t>Compilation table</w:t>
      </w:r>
      <w:bookmarkEnd w:id="97"/>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shd w:val="clear" w:color="auto" w:fill="auto"/>
          </w:tcPr>
          <w:p>
            <w:pPr>
              <w:pStyle w:val="nTable"/>
              <w:spacing w:after="40"/>
              <w:rPr>
                <w:b/>
              </w:rPr>
            </w:pPr>
            <w:r>
              <w:rPr>
                <w:b/>
              </w:rPr>
              <w:t>Citation</w:t>
            </w:r>
          </w:p>
        </w:tc>
        <w:tc>
          <w:tcPr>
            <w:tcW w:w="1276" w:type="dxa"/>
            <w:tcBorders>
              <w:left w:val="nil"/>
              <w:bottom w:val="single" w:sz="8" w:space="0" w:color="auto"/>
              <w:right w:val="nil"/>
            </w:tcBorders>
            <w:shd w:val="clear" w:color="auto" w:fill="auto"/>
          </w:tcPr>
          <w:p>
            <w:pPr>
              <w:pStyle w:val="nTable"/>
              <w:spacing w:after="40"/>
              <w:rPr>
                <w:b/>
              </w:rPr>
            </w:pPr>
            <w:r>
              <w:rPr>
                <w:b/>
              </w:rPr>
              <w:t>Gazettal</w:t>
            </w:r>
          </w:p>
        </w:tc>
        <w:tc>
          <w:tcPr>
            <w:tcW w:w="2693" w:type="dxa"/>
            <w:tcBorders>
              <w:left w:val="nil"/>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nil"/>
              <w:right w:val="nil"/>
            </w:tcBorders>
          </w:tcPr>
          <w:p>
            <w:pPr>
              <w:pStyle w:val="nTable"/>
              <w:spacing w:after="40"/>
            </w:pPr>
            <w:r>
              <w:t>24 May 2016 p. 1536</w:t>
            </w:r>
          </w:p>
        </w:tc>
        <w:tc>
          <w:tcPr>
            <w:tcW w:w="2693" w:type="dxa"/>
            <w:tcBorders>
              <w:top w:val="nil"/>
              <w:left w:val="nil"/>
              <w:bottom w:val="nil"/>
            </w:tcBorders>
          </w:tcPr>
          <w:p>
            <w:pPr>
              <w:pStyle w:val="nTable"/>
              <w:spacing w:after="40"/>
              <w:rPr>
                <w:rFonts w:ascii="Times" w:hAnsi="Times"/>
                <w:snapToGrid w:val="0"/>
                <w:spacing w:val="-2"/>
              </w:rPr>
            </w:pPr>
            <w:r>
              <w:rPr>
                <w:rFonts w:ascii="Times" w:hAnsi="Times"/>
                <w:snapToGrid w:val="0"/>
                <w:spacing w:val="-2"/>
              </w:rPr>
              <w:t>r. 1 and 2: 24 May 2016 (see r. 2(a));</w:t>
            </w:r>
            <w:r>
              <w:rPr>
                <w:rFonts w:ascii="Times" w:hAnsi="Times"/>
                <w:snapToGrid w:val="0"/>
                <w:spacing w:val="-2"/>
              </w:rPr>
              <w:br/>
              <w:t>Regulations other than r. 1 and 2: 25 May 2016 (see r. 2(b))</w:t>
            </w:r>
          </w:p>
        </w:tc>
      </w:tr>
      <w:tr>
        <w:trPr>
          <w:ins w:id="100" w:author="Master Repository Process" w:date="2021-08-01T03:53:00Z"/>
        </w:trPr>
        <w:tc>
          <w:tcPr>
            <w:tcW w:w="3118" w:type="dxa"/>
            <w:tcBorders>
              <w:top w:val="nil"/>
              <w:bottom w:val="single" w:sz="4" w:space="0" w:color="auto"/>
              <w:right w:val="nil"/>
            </w:tcBorders>
          </w:tcPr>
          <w:p>
            <w:pPr>
              <w:pStyle w:val="nTable"/>
              <w:keepNext/>
              <w:spacing w:after="40"/>
              <w:rPr>
                <w:ins w:id="101" w:author="Master Repository Process" w:date="2021-08-01T03:53:00Z"/>
                <w:i/>
                <w:noProof/>
                <w:snapToGrid w:val="0"/>
              </w:rPr>
            </w:pPr>
            <w:ins w:id="102" w:author="Master Repository Process" w:date="2021-08-01T03:53:00Z">
              <w:r>
                <w:rPr>
                  <w:i/>
                  <w:noProof/>
                  <w:snapToGrid w:val="0"/>
                </w:rPr>
                <w:t>Duties Amendment Regulations 2018</w:t>
              </w:r>
            </w:ins>
          </w:p>
        </w:tc>
        <w:tc>
          <w:tcPr>
            <w:tcW w:w="1276" w:type="dxa"/>
            <w:tcBorders>
              <w:top w:val="nil"/>
              <w:left w:val="nil"/>
              <w:bottom w:val="single" w:sz="4" w:space="0" w:color="auto"/>
              <w:right w:val="nil"/>
            </w:tcBorders>
          </w:tcPr>
          <w:p>
            <w:pPr>
              <w:pStyle w:val="nTable"/>
              <w:keepNext/>
              <w:spacing w:after="40"/>
              <w:rPr>
                <w:ins w:id="103" w:author="Master Repository Process" w:date="2021-08-01T03:53:00Z"/>
              </w:rPr>
            </w:pPr>
            <w:ins w:id="104" w:author="Master Repository Process" w:date="2021-08-01T03:53:00Z">
              <w:r>
                <w:t>22 Jun 2018 p. 2193</w:t>
              </w:r>
              <w:r>
                <w:noBreakHyphen/>
                <w:t>5</w:t>
              </w:r>
            </w:ins>
          </w:p>
        </w:tc>
        <w:tc>
          <w:tcPr>
            <w:tcW w:w="2693" w:type="dxa"/>
            <w:tcBorders>
              <w:top w:val="nil"/>
              <w:left w:val="nil"/>
              <w:bottom w:val="single" w:sz="4" w:space="0" w:color="auto"/>
            </w:tcBorders>
          </w:tcPr>
          <w:p>
            <w:pPr>
              <w:pStyle w:val="nTable"/>
              <w:keepNext/>
              <w:spacing w:after="40"/>
              <w:rPr>
                <w:ins w:id="105" w:author="Master Repository Process" w:date="2021-08-01T03:53:00Z"/>
                <w:rFonts w:ascii="Times" w:hAnsi="Times"/>
                <w:snapToGrid w:val="0"/>
                <w:spacing w:val="-2"/>
              </w:rPr>
            </w:pPr>
            <w:ins w:id="106" w:author="Master Repository Process" w:date="2021-08-01T03:53:00Z">
              <w:r>
                <w:rPr>
                  <w:rFonts w:ascii="Times" w:hAnsi="Times"/>
                  <w:snapToGrid w:val="0"/>
                  <w:spacing w:val="-2"/>
                </w:rPr>
                <w:t>r. 1 and 2: 22 Jun 2018 (see r. 2(a));</w:t>
              </w:r>
              <w:r>
                <w:rPr>
                  <w:rFonts w:ascii="Times" w:hAnsi="Times"/>
                  <w:snapToGrid w:val="0"/>
                  <w:spacing w:val="-2"/>
                </w:rPr>
                <w:br/>
                <w:t>Regulations other than r. 1 and 2: 1 Jul 2018 (see r. 2(b))</w:t>
              </w:r>
            </w:ins>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2755"/>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 w:name="WAFER_20180627112755" w:val="RemoveTocBookmarks,RemoveUnusedBookmarks,RemoveLanguageTags,UsedStyles,ResetPageSize"/>
    <w:docVar w:name="WAFER_20180627112755_GUID" w:val="f55c3f11-d55a-4c14-93a8-a4b1e6f126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2941DD2-D5E8-4F47-95BE-57CDB976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2646</Words>
  <Characters>12546</Characters>
  <Application>Microsoft Office Word</Application>
  <DocSecurity>0</DocSecurity>
  <Lines>392</Lines>
  <Paragraphs>220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01-c0-00 - 01-d0-01</dc:title>
  <dc:subject/>
  <dc:creator/>
  <cp:keywords/>
  <dc:description/>
  <cp:lastModifiedBy>Master Repository Process</cp:lastModifiedBy>
  <cp:revision>2</cp:revision>
  <cp:lastPrinted>2012-02-29T02:10:00Z</cp:lastPrinted>
  <dcterms:created xsi:type="dcterms:W3CDTF">2021-07-31T19:53:00Z</dcterms:created>
  <dcterms:modified xsi:type="dcterms:W3CDTF">2021-07-31T19:53:00Z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20180701</vt:lpwstr>
  </property>
  <property fmtid="{D5CDD505-2E9C-101B-9397-08002B2CF9AE}" pid="8" name="FromSuffix">
    <vt:lpwstr>01-c0-00</vt:lpwstr>
  </property>
  <property fmtid="{D5CDD505-2E9C-101B-9397-08002B2CF9AE}" pid="9" name="FromAsAtDate">
    <vt:lpwstr>25 May 2016</vt:lpwstr>
  </property>
  <property fmtid="{D5CDD505-2E9C-101B-9397-08002B2CF9AE}" pid="10" name="ToSuffix">
    <vt:lpwstr>01-d0-01</vt:lpwstr>
  </property>
  <property fmtid="{D5CDD505-2E9C-101B-9397-08002B2CF9AE}" pid="11" name="ToAsAtDate">
    <vt:lpwstr>01 Jul 2018</vt:lpwstr>
  </property>
</Properties>
</file>