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Apr 2018</w:t>
      </w:r>
      <w:r>
        <w:fldChar w:fldCharType="end"/>
      </w:r>
      <w:r>
        <w:t xml:space="preserve">, </w:t>
      </w:r>
      <w:r>
        <w:fldChar w:fldCharType="begin"/>
      </w:r>
      <w:r>
        <w:instrText xml:space="preserve"> DocProperty FromSuffix </w:instrText>
      </w:r>
      <w:r>
        <w:fldChar w:fldCharType="separate"/>
      </w:r>
      <w:r>
        <w:t>04-j0-01</w:t>
      </w:r>
      <w:r>
        <w:fldChar w:fldCharType="end"/>
      </w:r>
      <w:r>
        <w:t>] and [</w:t>
      </w:r>
      <w:r>
        <w:fldChar w:fldCharType="begin"/>
      </w:r>
      <w:r>
        <w:instrText xml:space="preserve"> DocProperty ToAsAtDate</w:instrText>
      </w:r>
      <w:r>
        <w:fldChar w:fldCharType="separate"/>
      </w:r>
      <w:r>
        <w:t>20 Jul 2018</w:t>
      </w:r>
      <w:r>
        <w:fldChar w:fldCharType="end"/>
      </w:r>
      <w:r>
        <w:t xml:space="preserve">, </w:t>
      </w:r>
      <w:r>
        <w:fldChar w:fldCharType="begin"/>
      </w:r>
      <w:r>
        <w:instrText xml:space="preserve"> DocProperty ToSuffix</w:instrText>
      </w:r>
      <w:r>
        <w:fldChar w:fldCharType="separate"/>
      </w:r>
      <w:r>
        <w:t>05-a0-00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18T08:15:00Z"/>
        </w:trPr>
        <w:tc>
          <w:tcPr>
            <w:tcW w:w="2434" w:type="dxa"/>
            <w:vMerge w:val="restart"/>
          </w:tcPr>
          <w:p>
            <w:pPr>
              <w:rPr>
                <w:ins w:id="2" w:author="svcMRProcess" w:date="2020-02-18T08:15:00Z"/>
              </w:rPr>
            </w:pPr>
          </w:p>
        </w:tc>
        <w:tc>
          <w:tcPr>
            <w:tcW w:w="2434" w:type="dxa"/>
            <w:vMerge w:val="restart"/>
          </w:tcPr>
          <w:p>
            <w:pPr>
              <w:jc w:val="center"/>
              <w:rPr>
                <w:ins w:id="3" w:author="svcMRProcess" w:date="2020-02-18T08:15:00Z"/>
              </w:rPr>
            </w:pPr>
            <w:ins w:id="4" w:author="svcMRProcess" w:date="2020-02-18T08:1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18T08:15:00Z"/>
              </w:rPr>
            </w:pPr>
            <w:ins w:id="6" w:author="svcMRProcess" w:date="2020-02-18T08:15:00Z">
              <w:r>
                <w:rPr>
                  <w:b/>
                  <w:sz w:val="22"/>
                </w:rPr>
                <w:t xml:space="preserve">Reprinted under the </w:t>
              </w:r>
              <w:r>
                <w:rPr>
                  <w:b/>
                  <w:i/>
                  <w:sz w:val="22"/>
                </w:rPr>
                <w:t>Reprints Act 1984</w:t>
              </w:r>
              <w:r>
                <w:rPr>
                  <w:b/>
                  <w:sz w:val="22"/>
                </w:rPr>
                <w:t xml:space="preserve"> as</w:t>
              </w:r>
            </w:ins>
          </w:p>
        </w:tc>
      </w:tr>
      <w:tr>
        <w:trPr>
          <w:cantSplit/>
          <w:ins w:id="7" w:author="svcMRProcess" w:date="2020-02-18T08:15:00Z"/>
        </w:trPr>
        <w:tc>
          <w:tcPr>
            <w:tcW w:w="2434" w:type="dxa"/>
            <w:vMerge/>
          </w:tcPr>
          <w:p>
            <w:pPr>
              <w:rPr>
                <w:ins w:id="8" w:author="svcMRProcess" w:date="2020-02-18T08:15:00Z"/>
              </w:rPr>
            </w:pPr>
          </w:p>
        </w:tc>
        <w:tc>
          <w:tcPr>
            <w:tcW w:w="2434" w:type="dxa"/>
            <w:vMerge/>
          </w:tcPr>
          <w:p>
            <w:pPr>
              <w:jc w:val="center"/>
              <w:rPr>
                <w:ins w:id="9" w:author="svcMRProcess" w:date="2020-02-18T08:15:00Z"/>
              </w:rPr>
            </w:pPr>
          </w:p>
        </w:tc>
        <w:tc>
          <w:tcPr>
            <w:tcW w:w="2434" w:type="dxa"/>
          </w:tcPr>
          <w:p>
            <w:pPr>
              <w:keepNext/>
              <w:rPr>
                <w:ins w:id="10" w:author="svcMRProcess" w:date="2020-02-18T08:15:00Z"/>
                <w:b/>
                <w:sz w:val="22"/>
              </w:rPr>
            </w:pPr>
            <w:ins w:id="11" w:author="svcMRProcess" w:date="2020-02-18T08:15:00Z">
              <w:r>
                <w:rPr>
                  <w:b/>
                  <w:sz w:val="22"/>
                </w:rPr>
                <w:t>at 20 July 2018</w:t>
              </w:r>
            </w:ins>
          </w:p>
        </w:tc>
      </w:tr>
    </w:tbl>
    <w:p>
      <w:pPr>
        <w:pStyle w:val="WA"/>
        <w:spacing w:before="12"/>
      </w:pPr>
      <w:r>
        <w:t>Western Australia</w:t>
      </w:r>
    </w:p>
    <w:p>
      <w:pPr>
        <w:pStyle w:val="NameofActReg"/>
        <w:suppressLineNumbers/>
        <w:spacing w:before="1200" w:after="960"/>
      </w:pPr>
      <w:r>
        <w:t>Land Tax Assessment Act 2002</w:t>
      </w:r>
    </w:p>
    <w:p>
      <w:pPr>
        <w:pStyle w:val="LongTitle"/>
      </w:pPr>
      <w:r>
        <w:t>A</w:t>
      </w:r>
      <w:bookmarkStart w:id="12" w:name="_GoBack"/>
      <w:bookmarkEnd w:id="12"/>
      <w:r>
        <w:t>n Act relating to the assessment and collection of tax upon land.</w:t>
      </w:r>
    </w:p>
    <w:p>
      <w:pPr>
        <w:pStyle w:val="Heading2"/>
      </w:pPr>
      <w:bookmarkStart w:id="13" w:name="_Toc513124547"/>
      <w:bookmarkStart w:id="14" w:name="_Toc513124966"/>
      <w:bookmarkStart w:id="15" w:name="_Toc515529106"/>
      <w:bookmarkStart w:id="16" w:name="_Toc518998006"/>
      <w:bookmarkStart w:id="17" w:name="_Toc520107928"/>
      <w:bookmarkStart w:id="18" w:name="_Toc51261003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p>
    <w:p>
      <w:pPr>
        <w:pStyle w:val="Heading5"/>
        <w:rPr>
          <w:snapToGrid w:val="0"/>
        </w:rPr>
      </w:pPr>
      <w:bookmarkStart w:id="19" w:name="_Toc520107929"/>
      <w:bookmarkStart w:id="20" w:name="_Toc512610033"/>
      <w:r>
        <w:rPr>
          <w:rStyle w:val="CharSectno"/>
        </w:rPr>
        <w:t>1</w:t>
      </w:r>
      <w:r>
        <w:rPr>
          <w:snapToGrid w:val="0"/>
        </w:rPr>
        <w:t>.</w:t>
      </w:r>
      <w:r>
        <w:rPr>
          <w:snapToGrid w:val="0"/>
        </w:rPr>
        <w:tab/>
        <w:t>Short title</w:t>
      </w:r>
      <w:bookmarkEnd w:id="19"/>
      <w:bookmarkEnd w:id="20"/>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21" w:name="_Toc520107930"/>
      <w:bookmarkStart w:id="22" w:name="_Toc512610034"/>
      <w:r>
        <w:rPr>
          <w:rStyle w:val="CharSectno"/>
        </w:rPr>
        <w:t>2</w:t>
      </w:r>
      <w:r>
        <w:rPr>
          <w:snapToGrid w:val="0"/>
        </w:rPr>
        <w:t>.</w:t>
      </w:r>
      <w:r>
        <w:rPr>
          <w:snapToGrid w:val="0"/>
        </w:rPr>
        <w:tab/>
        <w:t>Commencement</w:t>
      </w:r>
      <w:bookmarkEnd w:id="21"/>
      <w:bookmarkEnd w:id="22"/>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23" w:name="_Toc520107931"/>
      <w:bookmarkStart w:id="24" w:name="_Toc512610035"/>
      <w:r>
        <w:rPr>
          <w:rStyle w:val="CharSectno"/>
        </w:rPr>
        <w:t>3</w:t>
      </w:r>
      <w:r>
        <w:t>.</w:t>
      </w:r>
      <w:r>
        <w:tab/>
        <w:t>Relationship with other Acts</w:t>
      </w:r>
      <w:bookmarkEnd w:id="23"/>
      <w:bookmarkEnd w:id="24"/>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25" w:name="_Toc520107932"/>
      <w:bookmarkStart w:id="26" w:name="_Toc512610036"/>
      <w:r>
        <w:rPr>
          <w:rStyle w:val="CharSectno"/>
        </w:rPr>
        <w:t>4</w:t>
      </w:r>
      <w:r>
        <w:t>.</w:t>
      </w:r>
      <w:r>
        <w:tab/>
        <w:t>Terms used</w:t>
      </w:r>
      <w:bookmarkEnd w:id="25"/>
      <w:bookmarkEnd w:id="26"/>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rPr>
          <w:ins w:id="27" w:author="svcMRProcess" w:date="2020-02-18T08:15:00Z"/>
        </w:rPr>
      </w:pPr>
      <w:ins w:id="28" w:author="svcMRProcess" w:date="2020-02-18T08:15:00Z">
        <w:r>
          <w:t>[</w:t>
        </w:r>
        <w:r>
          <w:rPr>
            <w:b/>
            <w:bCs/>
          </w:rPr>
          <w:t>4A.</w:t>
        </w:r>
        <w:r>
          <w:rPr>
            <w:vertAlign w:val="superscript"/>
          </w:rPr>
          <w:t>1M</w:t>
        </w:r>
        <w:r>
          <w:tab/>
          <w:t>Modification, to insert section 4A, to have effect under the Commonwealth Places (Mirror Taxes Administration) Act 1999, see note 1M.]</w:t>
        </w:r>
      </w:ins>
    </w:p>
    <w:p>
      <w:pPr>
        <w:pStyle w:val="Footnotesection"/>
        <w:rPr>
          <w:ins w:id="29" w:author="svcMRProcess" w:date="2020-02-18T08:15:00Z"/>
        </w:rPr>
      </w:pPr>
      <w:ins w:id="30" w:author="svcMRProcess" w:date="2020-02-18T08:15:00Z">
        <w:r>
          <w:t>[</w:t>
        </w:r>
        <w:r>
          <w:rPr>
            <w:b/>
            <w:bCs/>
          </w:rPr>
          <w:t>4A.</w:t>
        </w:r>
        <w:r>
          <w:rPr>
            <w:vertAlign w:val="superscript"/>
          </w:rPr>
          <w:t>1MC</w:t>
        </w:r>
        <w:r>
          <w:tab/>
          <w:t>Modification, to insert section 4A, to have effect under the Commonwealth Places (Mirror Taxes) Act 1998 (Commonwealth), see note 1MC.]</w:t>
        </w:r>
      </w:ins>
    </w:p>
    <w:p>
      <w:pPr>
        <w:pStyle w:val="Subsection"/>
        <w:rPr>
          <w:ins w:id="31" w:author="svcMRProcess" w:date="2020-02-18T08:15:00Z"/>
        </w:rPr>
      </w:pPr>
    </w:p>
    <w:p>
      <w:pPr>
        <w:pStyle w:val="Heading2"/>
      </w:pPr>
      <w:bookmarkStart w:id="32" w:name="_Toc513124552"/>
      <w:bookmarkStart w:id="33" w:name="_Toc513124971"/>
      <w:bookmarkStart w:id="34" w:name="_Toc515529111"/>
      <w:bookmarkStart w:id="35" w:name="_Toc518998011"/>
      <w:bookmarkStart w:id="36" w:name="_Toc520107933"/>
      <w:bookmarkStart w:id="37" w:name="_Toc512610037"/>
      <w:r>
        <w:rPr>
          <w:rStyle w:val="CharPartNo"/>
        </w:rPr>
        <w:lastRenderedPageBreak/>
        <w:t>Part 2</w:t>
      </w:r>
      <w:r>
        <w:t xml:space="preserve"> — </w:t>
      </w:r>
      <w:r>
        <w:rPr>
          <w:rStyle w:val="CharPartText"/>
        </w:rPr>
        <w:t>Land tax liability and assessment</w:t>
      </w:r>
      <w:bookmarkEnd w:id="32"/>
      <w:bookmarkEnd w:id="33"/>
      <w:bookmarkEnd w:id="34"/>
      <w:bookmarkEnd w:id="35"/>
      <w:bookmarkEnd w:id="36"/>
      <w:bookmarkEnd w:id="37"/>
    </w:p>
    <w:p>
      <w:pPr>
        <w:pStyle w:val="Heading3"/>
      </w:pPr>
      <w:bookmarkStart w:id="38" w:name="_Toc513124553"/>
      <w:bookmarkStart w:id="39" w:name="_Toc513124972"/>
      <w:bookmarkStart w:id="40" w:name="_Toc515529112"/>
      <w:bookmarkStart w:id="41" w:name="_Toc518998012"/>
      <w:bookmarkStart w:id="42" w:name="_Toc520107934"/>
      <w:bookmarkStart w:id="43" w:name="_Toc512610038"/>
      <w:r>
        <w:rPr>
          <w:rStyle w:val="CharDivNo"/>
        </w:rPr>
        <w:t>Division 1</w:t>
      </w:r>
      <w:r>
        <w:t xml:space="preserve"> — </w:t>
      </w:r>
      <w:r>
        <w:rPr>
          <w:rStyle w:val="CharDivText"/>
        </w:rPr>
        <w:t>Liability to land tax</w:t>
      </w:r>
      <w:bookmarkEnd w:id="38"/>
      <w:bookmarkEnd w:id="39"/>
      <w:bookmarkEnd w:id="40"/>
      <w:bookmarkEnd w:id="41"/>
      <w:bookmarkEnd w:id="42"/>
      <w:bookmarkEnd w:id="43"/>
    </w:p>
    <w:p>
      <w:pPr>
        <w:pStyle w:val="Heading5"/>
      </w:pPr>
      <w:bookmarkStart w:id="44" w:name="_Toc520107935"/>
      <w:bookmarkStart w:id="45" w:name="_Toc512610039"/>
      <w:r>
        <w:rPr>
          <w:rStyle w:val="CharSectno"/>
        </w:rPr>
        <w:t>5</w:t>
      </w:r>
      <w:r>
        <w:t>.</w:t>
      </w:r>
      <w:r>
        <w:tab/>
        <w:t>Taxable land</w:t>
      </w:r>
      <w:bookmarkEnd w:id="44"/>
      <w:bookmarkEnd w:id="45"/>
    </w:p>
    <w:p>
      <w:pPr>
        <w:pStyle w:val="Subsection"/>
      </w:pPr>
      <w:r>
        <w:tab/>
      </w:r>
      <w:r>
        <w:tab/>
        <w:t>Land tax is payable, in accordance with the land tax Acts, for each financial year for all land in the State except land that is exempt under section 17.</w:t>
      </w:r>
    </w:p>
    <w:p>
      <w:pPr>
        <w:pStyle w:val="Footnotesection"/>
        <w:rPr>
          <w:ins w:id="46" w:author="svcMRProcess" w:date="2020-02-18T08:15:00Z"/>
        </w:rPr>
      </w:pPr>
      <w:ins w:id="47" w:author="svcMRProcess" w:date="2020-02-18T08:15:00Z">
        <w:r>
          <w:tab/>
          <w:t>[Modification, to section 5, to have effect under the Commonwealth Places (Mirror Taxes Administration) Act 1999, see note 1M.]</w:t>
        </w:r>
      </w:ins>
    </w:p>
    <w:p>
      <w:pPr>
        <w:pStyle w:val="Footnotesection"/>
        <w:rPr>
          <w:ins w:id="48" w:author="svcMRProcess" w:date="2020-02-18T08:15:00Z"/>
        </w:rPr>
      </w:pPr>
      <w:ins w:id="49" w:author="svcMRProcess" w:date="2020-02-18T08:15:00Z">
        <w:r>
          <w:tab/>
          <w:t>[Modification, to section 5, to have effect under the Commonwealth Places (Mirror Taxes) Act 1998 (Commonwealth), see note 1MC.]</w:t>
        </w:r>
      </w:ins>
    </w:p>
    <w:p>
      <w:pPr>
        <w:pStyle w:val="Heading5"/>
      </w:pPr>
      <w:bookmarkStart w:id="50" w:name="_Toc520107936"/>
      <w:bookmarkStart w:id="51" w:name="_Toc512610040"/>
      <w:r>
        <w:rPr>
          <w:rStyle w:val="CharSectno"/>
        </w:rPr>
        <w:t>6</w:t>
      </w:r>
      <w:r>
        <w:t>.</w:t>
      </w:r>
      <w:r>
        <w:tab/>
        <w:t>Time for payment of land tax</w:t>
      </w:r>
      <w:bookmarkEnd w:id="50"/>
      <w:bookmarkEnd w:id="51"/>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52" w:name="_Toc520107937"/>
      <w:bookmarkStart w:id="53" w:name="_Toc512610041"/>
      <w:r>
        <w:rPr>
          <w:rStyle w:val="CharSectno"/>
        </w:rPr>
        <w:t>7</w:t>
      </w:r>
      <w:r>
        <w:t>.</w:t>
      </w:r>
      <w:r>
        <w:tab/>
        <w:t>Liability to pay land tax</w:t>
      </w:r>
      <w:bookmarkEnd w:id="52"/>
      <w:bookmarkEnd w:id="53"/>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Ednotesubsection"/>
      </w:pPr>
      <w:r>
        <w:tab/>
        <w:t>[(3)</w:t>
      </w:r>
      <w:r>
        <w:tab/>
        <w:t>deleted]</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lastRenderedPageBreak/>
        <w:tab/>
        <w:t>(5)</w:t>
      </w:r>
      <w:r>
        <w:tab/>
        <w:t>A person or taxable authority who is liable to pay land tax is also liable to pay any additional taxes, interest, penalties or charges payable under a land tax Act in relation to the land tax.</w:t>
      </w:r>
    </w:p>
    <w:p>
      <w:pPr>
        <w:pStyle w:val="Footnotesection"/>
      </w:pPr>
      <w:r>
        <w:tab/>
        <w:t>[Section 7 amended by No. 5 of 2018 s. 4.]</w:t>
      </w:r>
    </w:p>
    <w:p>
      <w:pPr>
        <w:pStyle w:val="Heading5"/>
      </w:pPr>
      <w:bookmarkStart w:id="54" w:name="_Toc520107938"/>
      <w:bookmarkStart w:id="55" w:name="_Toc512610042"/>
      <w:r>
        <w:rPr>
          <w:rStyle w:val="CharSectno"/>
        </w:rPr>
        <w:t>8</w:t>
      </w:r>
      <w:r>
        <w:t>.</w:t>
      </w:r>
      <w:r>
        <w:tab/>
        <w:t>Certain persons and bodies taken to be owners of land</w:t>
      </w:r>
      <w:bookmarkEnd w:id="54"/>
      <w:bookmarkEnd w:id="55"/>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(1A)</w:t>
      </w:r>
      <w:r>
        <w:tab/>
        <w:t>Subsection (1)(b) does not apply if the agreement or arrangement under which the person is entitled to use the land is with a taxable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Footnotesection"/>
      </w:pPr>
      <w:r>
        <w:tab/>
        <w:t>[Section 8 amended by No. 5 of 2018 s. 5.]</w:t>
      </w:r>
    </w:p>
    <w:p>
      <w:pPr>
        <w:pStyle w:val="Heading5"/>
      </w:pPr>
      <w:bookmarkStart w:id="56" w:name="_Toc520107939"/>
      <w:bookmarkStart w:id="57" w:name="_Toc512610043"/>
      <w:r>
        <w:rPr>
          <w:rStyle w:val="CharSectno"/>
        </w:rPr>
        <w:t>9</w:t>
      </w:r>
      <w:r>
        <w:t>.</w:t>
      </w:r>
      <w:r>
        <w:tab/>
        <w:t>Liability of agents or trustees</w:t>
      </w:r>
      <w:bookmarkEnd w:id="56"/>
      <w:bookmarkEnd w:id="57"/>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58" w:name="_Toc520107940"/>
      <w:bookmarkStart w:id="59" w:name="_Toc512610044"/>
      <w:r>
        <w:rPr>
          <w:rStyle w:val="CharSectno"/>
        </w:rPr>
        <w:t>9A</w:t>
      </w:r>
      <w:r>
        <w:t>.</w:t>
      </w:r>
      <w:r>
        <w:tab/>
        <w:t>Owners to notify Commissioner of errors or omissions in assessment notices</w:t>
      </w:r>
      <w:bookmarkEnd w:id="58"/>
      <w:bookmarkEnd w:id="59"/>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60" w:name="_Toc513124560"/>
      <w:bookmarkStart w:id="61" w:name="_Toc513124979"/>
      <w:bookmarkStart w:id="62" w:name="_Toc515529119"/>
      <w:bookmarkStart w:id="63" w:name="_Toc518998019"/>
      <w:bookmarkStart w:id="64" w:name="_Toc520107941"/>
      <w:bookmarkStart w:id="65" w:name="_Toc512610045"/>
      <w:r>
        <w:rPr>
          <w:rStyle w:val="CharDivNo"/>
        </w:rPr>
        <w:t>Division 2</w:t>
      </w:r>
      <w:r>
        <w:t xml:space="preserve"> — </w:t>
      </w:r>
      <w:r>
        <w:rPr>
          <w:rStyle w:val="CharDivText"/>
        </w:rPr>
        <w:t>Assessment of land tax</w:t>
      </w:r>
      <w:bookmarkEnd w:id="60"/>
      <w:bookmarkEnd w:id="61"/>
      <w:bookmarkEnd w:id="62"/>
      <w:bookmarkEnd w:id="63"/>
      <w:bookmarkEnd w:id="64"/>
      <w:bookmarkEnd w:id="65"/>
    </w:p>
    <w:p>
      <w:pPr>
        <w:pStyle w:val="Heading5"/>
      </w:pPr>
      <w:bookmarkStart w:id="66" w:name="_Toc520107942"/>
      <w:bookmarkStart w:id="67" w:name="_Toc512610046"/>
      <w:r>
        <w:rPr>
          <w:rStyle w:val="CharSectno"/>
        </w:rPr>
        <w:t>10</w:t>
      </w:r>
      <w:r>
        <w:t>.</w:t>
      </w:r>
      <w:r>
        <w:tab/>
        <w:t>Assessing land tax</w:t>
      </w:r>
      <w:bookmarkEnd w:id="66"/>
      <w:bookmarkEnd w:id="67"/>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68" w:name="_Toc520107943"/>
      <w:bookmarkStart w:id="69" w:name="_Toc512610047"/>
      <w:r>
        <w:rPr>
          <w:rStyle w:val="CharSectno"/>
        </w:rPr>
        <w:t>11</w:t>
      </w:r>
      <w:r>
        <w:t>.</w:t>
      </w:r>
      <w:r>
        <w:tab/>
        <w:t>Two or more lots owned by one person, tax payable on</w:t>
      </w:r>
      <w:bookmarkEnd w:id="68"/>
      <w:bookmarkEnd w:id="69"/>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pPr>
      <w:bookmarkStart w:id="70" w:name="_Toc520107944"/>
      <w:bookmarkStart w:id="71" w:name="_Toc512610048"/>
      <w:r>
        <w:rPr>
          <w:rStyle w:val="CharSectno"/>
        </w:rPr>
        <w:t>12</w:t>
      </w:r>
      <w:r>
        <w:t>.</w:t>
      </w:r>
      <w:r>
        <w:tab/>
        <w:t>Land owned jointly, tax payable on</w:t>
      </w:r>
      <w:bookmarkEnd w:id="70"/>
      <w:bookmarkEnd w:id="71"/>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keepNext/>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72" w:name="_Toc520107945"/>
      <w:bookmarkStart w:id="73" w:name="_Toc512610049"/>
      <w:r>
        <w:rPr>
          <w:rStyle w:val="CharSectno"/>
        </w:rPr>
        <w:t>13</w:t>
      </w:r>
      <w:r>
        <w:t>.</w:t>
      </w:r>
      <w:r>
        <w:tab/>
        <w:t>Calculating taxable value of part of a lot</w:t>
      </w:r>
      <w:bookmarkEnd w:id="72"/>
      <w:bookmarkEnd w:id="73"/>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by No. 40 of 2003 s. 4; No. 19 of 2009 s. 5.]</w:t>
      </w:r>
    </w:p>
    <w:p>
      <w:pPr>
        <w:pStyle w:val="Heading5"/>
      </w:pPr>
      <w:bookmarkStart w:id="74" w:name="_Toc520107946"/>
      <w:bookmarkStart w:id="75" w:name="_Toc512610050"/>
      <w:r>
        <w:rPr>
          <w:rStyle w:val="CharSectno"/>
        </w:rPr>
        <w:t>14</w:t>
      </w:r>
      <w:r>
        <w:t>.</w:t>
      </w:r>
      <w:r>
        <w:tab/>
        <w:t>Newly subdivided private residential property, tax payable on</w:t>
      </w:r>
      <w:bookmarkEnd w:id="74"/>
      <w:bookmarkEnd w:id="75"/>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keepNext/>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 No. 15 of 2015 s. 7.]</w:t>
      </w:r>
    </w:p>
    <w:p>
      <w:pPr>
        <w:pStyle w:val="Heading5"/>
        <w:pageBreakBefore/>
        <w:spacing w:before="0"/>
      </w:pPr>
      <w:bookmarkStart w:id="76" w:name="_Toc520107947"/>
      <w:bookmarkStart w:id="77" w:name="_Toc512610051"/>
      <w:r>
        <w:rPr>
          <w:rStyle w:val="CharSectno"/>
        </w:rPr>
        <w:t>15</w:t>
      </w:r>
      <w:r>
        <w:t>.</w:t>
      </w:r>
      <w:r>
        <w:tab/>
        <w:t>Newly subdivided primary production business land, tax payable on</w:t>
      </w:r>
      <w:bookmarkEnd w:id="76"/>
      <w:bookmarkEnd w:id="77"/>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 No. 1 of 2015 s. 4.]</w:t>
      </w:r>
    </w:p>
    <w:p>
      <w:pPr>
        <w:pStyle w:val="Heading5"/>
        <w:spacing w:before="500"/>
      </w:pPr>
      <w:bookmarkStart w:id="78" w:name="_Toc520107948"/>
      <w:bookmarkStart w:id="79" w:name="_Toc512610052"/>
      <w:r>
        <w:rPr>
          <w:rStyle w:val="CharSectno"/>
        </w:rPr>
        <w:t>15A</w:t>
      </w:r>
      <w:r>
        <w:t>.</w:t>
      </w:r>
      <w:r>
        <w:tab/>
        <w:t>Newly subdivided dwelling park land, tax payable on</w:t>
      </w:r>
      <w:bookmarkEnd w:id="78"/>
      <w:bookmarkEnd w:id="79"/>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80" w:name="_Toc520107949"/>
      <w:bookmarkStart w:id="81" w:name="_Toc512610053"/>
      <w:r>
        <w:rPr>
          <w:rStyle w:val="CharSectno"/>
        </w:rPr>
        <w:t>16</w:t>
      </w:r>
      <w:r>
        <w:t>.</w:t>
      </w:r>
      <w:r>
        <w:tab/>
        <w:t>Non</w:t>
      </w:r>
      <w:r>
        <w:noBreakHyphen/>
        <w:t>strata home units, assessing tax on</w:t>
      </w:r>
      <w:bookmarkEnd w:id="80"/>
      <w:bookmarkEnd w:id="81"/>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82" w:name="_Toc513124569"/>
      <w:bookmarkStart w:id="83" w:name="_Toc513124988"/>
      <w:bookmarkStart w:id="84" w:name="_Toc515529128"/>
      <w:bookmarkStart w:id="85" w:name="_Toc518998028"/>
      <w:bookmarkStart w:id="86" w:name="_Toc520107950"/>
      <w:bookmarkStart w:id="87" w:name="_Toc512610054"/>
      <w:r>
        <w:rPr>
          <w:rStyle w:val="CharPartNo"/>
        </w:rPr>
        <w:t>Part 3</w:t>
      </w:r>
      <w:r>
        <w:t xml:space="preserve"> — </w:t>
      </w:r>
      <w:r>
        <w:rPr>
          <w:rStyle w:val="CharPartText"/>
        </w:rPr>
        <w:t>Exemptions, concessions and rebates</w:t>
      </w:r>
      <w:bookmarkEnd w:id="82"/>
      <w:bookmarkEnd w:id="83"/>
      <w:bookmarkEnd w:id="84"/>
      <w:bookmarkEnd w:id="85"/>
      <w:bookmarkEnd w:id="86"/>
      <w:bookmarkEnd w:id="87"/>
    </w:p>
    <w:p>
      <w:pPr>
        <w:pStyle w:val="Heading3"/>
      </w:pPr>
      <w:bookmarkStart w:id="88" w:name="_Toc513124570"/>
      <w:bookmarkStart w:id="89" w:name="_Toc513124989"/>
      <w:bookmarkStart w:id="90" w:name="_Toc515529129"/>
      <w:bookmarkStart w:id="91" w:name="_Toc518998029"/>
      <w:bookmarkStart w:id="92" w:name="_Toc520107951"/>
      <w:bookmarkStart w:id="93" w:name="_Toc512610055"/>
      <w:r>
        <w:rPr>
          <w:rStyle w:val="CharDivNo"/>
        </w:rPr>
        <w:t>Division 1</w:t>
      </w:r>
      <w:r>
        <w:t xml:space="preserve"> — </w:t>
      </w:r>
      <w:r>
        <w:rPr>
          <w:rStyle w:val="CharDivText"/>
        </w:rPr>
        <w:t>General provisions</w:t>
      </w:r>
      <w:bookmarkEnd w:id="88"/>
      <w:bookmarkEnd w:id="89"/>
      <w:bookmarkEnd w:id="90"/>
      <w:bookmarkEnd w:id="91"/>
      <w:bookmarkEnd w:id="92"/>
      <w:bookmarkEnd w:id="93"/>
    </w:p>
    <w:p>
      <w:pPr>
        <w:pStyle w:val="Heading5"/>
      </w:pPr>
      <w:bookmarkStart w:id="94" w:name="_Toc520107952"/>
      <w:bookmarkStart w:id="95" w:name="_Toc512610056"/>
      <w:r>
        <w:rPr>
          <w:rStyle w:val="CharSectno"/>
        </w:rPr>
        <w:t>17</w:t>
      </w:r>
      <w:r>
        <w:t>.</w:t>
      </w:r>
      <w:r>
        <w:tab/>
        <w:t>Exempt land</w:t>
      </w:r>
      <w:bookmarkEnd w:id="94"/>
      <w:bookmarkEnd w:id="95"/>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by No. 1 of 2015 s. 13.]</w:t>
      </w:r>
    </w:p>
    <w:p>
      <w:pPr>
        <w:pStyle w:val="Heading5"/>
      </w:pPr>
      <w:bookmarkStart w:id="96" w:name="_Toc520107953"/>
      <w:bookmarkStart w:id="97" w:name="_Toc512610057"/>
      <w:r>
        <w:rPr>
          <w:rStyle w:val="CharSectno"/>
        </w:rPr>
        <w:t>18</w:t>
      </w:r>
      <w:r>
        <w:t>.</w:t>
      </w:r>
      <w:r>
        <w:tab/>
        <w:t>Whole and partial exemptions</w:t>
      </w:r>
      <w:bookmarkEnd w:id="96"/>
      <w:bookmarkEnd w:id="97"/>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by No. 1 of 2015 s. 14.]</w:t>
      </w:r>
    </w:p>
    <w:p>
      <w:pPr>
        <w:pStyle w:val="Heading5"/>
      </w:pPr>
      <w:bookmarkStart w:id="98" w:name="_Toc520107954"/>
      <w:bookmarkStart w:id="99" w:name="_Toc512610058"/>
      <w:r>
        <w:rPr>
          <w:rStyle w:val="CharSectno"/>
        </w:rPr>
        <w:t>19</w:t>
      </w:r>
      <w:r>
        <w:t>.</w:t>
      </w:r>
      <w:r>
        <w:tab/>
        <w:t>Applying for exemption or concession</w:t>
      </w:r>
      <w:bookmarkEnd w:id="98"/>
      <w:bookmarkEnd w:id="99"/>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100" w:name="_Toc520107955"/>
      <w:bookmarkStart w:id="101" w:name="_Toc512610059"/>
      <w:r>
        <w:rPr>
          <w:rStyle w:val="CharSectno"/>
        </w:rPr>
        <w:t>20</w:t>
      </w:r>
      <w:r>
        <w:t>.</w:t>
      </w:r>
      <w:r>
        <w:tab/>
        <w:t>Commissioner’s power to exempt land</w:t>
      </w:r>
      <w:bookmarkEnd w:id="100"/>
      <w:bookmarkEnd w:id="101"/>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Ednotepara"/>
      </w:pPr>
      <w:r>
        <w:tab/>
        <w:t>[(c)-(e)</w:t>
      </w:r>
      <w:r>
        <w:tab/>
        <w:t>deleted]</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a lot or parcel of land the subject of an application under subsection (1)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pPr>
      <w:r>
        <w:tab/>
        <w:t>[Section 20 amended by No. 1 of 2015 s. 5 and 15.]</w:t>
      </w:r>
    </w:p>
    <w:p>
      <w:pPr>
        <w:pStyle w:val="Heading3"/>
      </w:pPr>
      <w:bookmarkStart w:id="102" w:name="_Toc513124575"/>
      <w:bookmarkStart w:id="103" w:name="_Toc513124994"/>
      <w:bookmarkStart w:id="104" w:name="_Toc515529134"/>
      <w:bookmarkStart w:id="105" w:name="_Toc518998034"/>
      <w:bookmarkStart w:id="106" w:name="_Toc520107956"/>
      <w:bookmarkStart w:id="107" w:name="_Toc512610060"/>
      <w:r>
        <w:rPr>
          <w:rStyle w:val="CharDivNo"/>
        </w:rPr>
        <w:t>Division 2</w:t>
      </w:r>
      <w:r>
        <w:t xml:space="preserve"> — </w:t>
      </w:r>
      <w:r>
        <w:rPr>
          <w:rStyle w:val="CharDivText"/>
        </w:rPr>
        <w:t>Private residential property</w:t>
      </w:r>
      <w:bookmarkEnd w:id="102"/>
      <w:bookmarkEnd w:id="103"/>
      <w:bookmarkEnd w:id="104"/>
      <w:bookmarkEnd w:id="105"/>
      <w:bookmarkEnd w:id="106"/>
      <w:bookmarkEnd w:id="107"/>
    </w:p>
    <w:p>
      <w:pPr>
        <w:pStyle w:val="Heading5"/>
        <w:spacing w:before="180"/>
      </w:pPr>
      <w:bookmarkStart w:id="108" w:name="_Toc520107957"/>
      <w:bookmarkStart w:id="109" w:name="_Toc512610061"/>
      <w:r>
        <w:rPr>
          <w:rStyle w:val="CharSectno"/>
        </w:rPr>
        <w:t>21</w:t>
      </w:r>
      <w:r>
        <w:t>.</w:t>
      </w:r>
      <w:r>
        <w:tab/>
        <w:t>Residences owned by individuals, exemptions for</w:t>
      </w:r>
      <w:bookmarkEnd w:id="108"/>
      <w:bookmarkEnd w:id="109"/>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110" w:name="_Toc520107958"/>
      <w:bookmarkStart w:id="111" w:name="_Toc512610062"/>
      <w:r>
        <w:rPr>
          <w:rStyle w:val="CharSectno"/>
        </w:rPr>
        <w:t>22</w:t>
      </w:r>
      <w:r>
        <w:t>.</w:t>
      </w:r>
      <w:r>
        <w:tab/>
        <w:t>Residence owned by executor etc., exemption for if beneficiary in will exercising right to reside</w:t>
      </w:r>
      <w:bookmarkEnd w:id="110"/>
      <w:bookmarkEnd w:id="111"/>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keepNext/>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112" w:name="_Toc520107959"/>
      <w:bookmarkStart w:id="113" w:name="_Toc512610063"/>
      <w:r>
        <w:rPr>
          <w:rStyle w:val="CharSectno"/>
        </w:rPr>
        <w:t>23A</w:t>
      </w:r>
      <w:r>
        <w:t>.</w:t>
      </w:r>
      <w:r>
        <w:tab/>
        <w:t>Residence owned by executor etc., exemption for if beneficiary in will has right to future ownership and is resident</w:t>
      </w:r>
      <w:bookmarkEnd w:id="112"/>
      <w:bookmarkEnd w:id="113"/>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keepNext/>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114" w:name="_Toc520107960"/>
      <w:bookmarkStart w:id="115" w:name="_Toc512610064"/>
      <w:r>
        <w:rPr>
          <w:rStyle w:val="CharSectno"/>
        </w:rPr>
        <w:t>23</w:t>
      </w:r>
      <w:r>
        <w:t>.</w:t>
      </w:r>
      <w:r>
        <w:tab/>
        <w:t>Continued exemption after death of resident</w:t>
      </w:r>
      <w:bookmarkEnd w:id="114"/>
      <w:bookmarkEnd w:id="115"/>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116" w:name="_Toc520107961"/>
      <w:bookmarkStart w:id="117" w:name="_Toc512610065"/>
      <w:r>
        <w:rPr>
          <w:rStyle w:val="CharSectno"/>
        </w:rPr>
        <w:t>24</w:t>
      </w:r>
      <w:r>
        <w:t>.</w:t>
      </w:r>
      <w:r>
        <w:tab/>
        <w:t>Construction of private residence, one year exemption for</w:t>
      </w:r>
      <w:bookmarkEnd w:id="116"/>
      <w:bookmarkEnd w:id="117"/>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118" w:name="_Toc520107962"/>
      <w:bookmarkStart w:id="119" w:name="_Toc512610066"/>
      <w:r>
        <w:rPr>
          <w:rStyle w:val="CharSectno"/>
        </w:rPr>
        <w:t>24A</w:t>
      </w:r>
      <w:r>
        <w:t>.</w:t>
      </w:r>
      <w:r>
        <w:tab/>
        <w:t>Construction of private residence, 2 year exemption for</w:t>
      </w:r>
      <w:bookmarkEnd w:id="118"/>
      <w:bookmarkEnd w:id="119"/>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keepNext/>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 amended by No. 29 of 2012 s. 13.]</w:t>
      </w:r>
    </w:p>
    <w:p>
      <w:pPr>
        <w:pStyle w:val="Heading5"/>
      </w:pPr>
      <w:bookmarkStart w:id="120" w:name="_Toc520107963"/>
      <w:bookmarkStart w:id="121" w:name="_Toc512610067"/>
      <w:r>
        <w:rPr>
          <w:rStyle w:val="CharSectno"/>
        </w:rPr>
        <w:t>25</w:t>
      </w:r>
      <w:r>
        <w:t>.</w:t>
      </w:r>
      <w:r>
        <w:tab/>
        <w:t>Refurbishment of private residence, one year exemption for</w:t>
      </w:r>
      <w:bookmarkEnd w:id="120"/>
      <w:bookmarkEnd w:id="121"/>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122" w:name="_Toc520107964"/>
      <w:bookmarkStart w:id="123" w:name="_Toc512610068"/>
      <w:r>
        <w:rPr>
          <w:rStyle w:val="CharSectno"/>
        </w:rPr>
        <w:t>25A</w:t>
      </w:r>
      <w:r>
        <w:t>.</w:t>
      </w:r>
      <w:r>
        <w:tab/>
        <w:t>Refurbishment of private residence, 2 year exemption for</w:t>
      </w:r>
      <w:bookmarkEnd w:id="122"/>
      <w:bookmarkEnd w:id="123"/>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 amended by No. 29 of 2012 s. 14.]</w:t>
      </w:r>
    </w:p>
    <w:p>
      <w:pPr>
        <w:pStyle w:val="Heading5"/>
        <w:spacing w:before="240"/>
      </w:pPr>
      <w:bookmarkStart w:id="124" w:name="_Toc520107965"/>
      <w:bookmarkStart w:id="125" w:name="_Toc512610069"/>
      <w:r>
        <w:rPr>
          <w:rStyle w:val="CharSectno"/>
        </w:rPr>
        <w:t>26</w:t>
      </w:r>
      <w:r>
        <w:t>.</w:t>
      </w:r>
      <w:r>
        <w:tab/>
        <w:t>Residence of disabled person held in trust, exemption for</w:t>
      </w:r>
      <w:bookmarkEnd w:id="124"/>
      <w:bookmarkEnd w:id="125"/>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126" w:name="_Toc520107966"/>
      <w:bookmarkStart w:id="127" w:name="_Toc512610070"/>
      <w:r>
        <w:rPr>
          <w:rStyle w:val="CharSectno"/>
        </w:rPr>
        <w:t>26A</w:t>
      </w:r>
      <w:r>
        <w:t>.</w:t>
      </w:r>
      <w:r>
        <w:tab/>
        <w:t>Residence of disabled person owned by relative, exemption for</w:t>
      </w:r>
      <w:bookmarkEnd w:id="126"/>
      <w:bookmarkEnd w:id="127"/>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keepNext/>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ageBreakBefore/>
        <w:spacing w:before="0"/>
      </w:pPr>
      <w:bookmarkStart w:id="128" w:name="_Toc520107967"/>
      <w:bookmarkStart w:id="129" w:name="_Toc512610071"/>
      <w:r>
        <w:rPr>
          <w:rStyle w:val="CharSectno"/>
        </w:rPr>
        <w:t>27</w:t>
      </w:r>
      <w:r>
        <w:t>.</w:t>
      </w:r>
      <w:r>
        <w:tab/>
        <w:t>Moving between 2 private residences, application of exemption</w:t>
      </w:r>
      <w:bookmarkEnd w:id="128"/>
      <w:bookmarkEnd w:id="129"/>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by No. 31 of 2006 s. 23.]</w:t>
      </w:r>
    </w:p>
    <w:p>
      <w:pPr>
        <w:pStyle w:val="Heading5"/>
      </w:pPr>
      <w:bookmarkStart w:id="130" w:name="_Toc520107968"/>
      <w:bookmarkStart w:id="131" w:name="_Toc512610072"/>
      <w:r>
        <w:rPr>
          <w:rStyle w:val="CharSectno"/>
        </w:rPr>
        <w:t>27A</w:t>
      </w:r>
      <w:r>
        <w:t>.</w:t>
      </w:r>
      <w:r>
        <w:tab/>
        <w:t>Construction or refurbishment of second private residence, 2 year exemption for</w:t>
      </w:r>
      <w:bookmarkEnd w:id="130"/>
      <w:bookmarkEnd w:id="131"/>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by No. 31 of 2006 s. 23; amended by No. 29 of 2012 s. 15.]</w:t>
      </w:r>
    </w:p>
    <w:p>
      <w:pPr>
        <w:pStyle w:val="Heading5"/>
      </w:pPr>
      <w:bookmarkStart w:id="132" w:name="_Toc520107969"/>
      <w:bookmarkStart w:id="133" w:name="_Toc512610073"/>
      <w:r>
        <w:rPr>
          <w:rStyle w:val="CharSectno"/>
        </w:rPr>
        <w:t>28</w:t>
      </w:r>
      <w:r>
        <w:t>.</w:t>
      </w:r>
      <w:r>
        <w:tab/>
        <w:t>Inner city residential property, rebate for</w:t>
      </w:r>
      <w:bookmarkEnd w:id="132"/>
      <w:bookmarkEnd w:id="133"/>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rPr>
          <w:del w:id="134" w:author="svcMRProcess" w:date="2020-02-18T08:15:00Z"/>
        </w:rPr>
      </w:pPr>
      <w:del w:id="135" w:author="svcMRProcess" w:date="2020-02-18T08:15: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6.5pt" fillcolor="window">
              <v:imagedata r:id="rId17" o:title=""/>
            </v:shape>
          </w:pict>
        </w:r>
      </w:del>
    </w:p>
    <w:p>
      <w:pPr>
        <w:pStyle w:val="Equation"/>
        <w:tabs>
          <w:tab w:val="left" w:pos="840"/>
        </w:tabs>
        <w:spacing w:before="40"/>
        <w:jc w:val="center"/>
        <w:rPr>
          <w:ins w:id="136" w:author="svcMRProcess" w:date="2020-02-18T08:15:00Z"/>
        </w:rPr>
      </w:pPr>
      <w:ins w:id="137" w:author="svcMRProcess" w:date="2020-02-18T08:15:00Z">
        <w:r>
          <w:rPr>
            <w:position w:val="-10"/>
          </w:rPr>
          <w:pict>
            <v:shape id="_x0000_i1026" type="#_x0000_t75" style="width:70.5pt;height:15.75pt" fillcolor="window">
              <v:imagedata r:id="rId17" o:title=""/>
            </v:shape>
          </w:pict>
        </w:r>
      </w:ins>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138" w:name="_Toc513124589"/>
      <w:bookmarkStart w:id="139" w:name="_Toc513125008"/>
      <w:bookmarkStart w:id="140" w:name="_Toc515529148"/>
      <w:bookmarkStart w:id="141" w:name="_Toc518998048"/>
      <w:bookmarkStart w:id="142" w:name="_Toc520107970"/>
      <w:bookmarkStart w:id="143" w:name="_Toc512610074"/>
      <w:r>
        <w:rPr>
          <w:rStyle w:val="CharDivNo"/>
        </w:rPr>
        <w:t>Division 3</w:t>
      </w:r>
      <w:r>
        <w:t xml:space="preserve"> — </w:t>
      </w:r>
      <w:r>
        <w:rPr>
          <w:rStyle w:val="CharDivText"/>
        </w:rPr>
        <w:t>Land used for primary production business</w:t>
      </w:r>
      <w:bookmarkEnd w:id="138"/>
      <w:bookmarkEnd w:id="139"/>
      <w:bookmarkEnd w:id="140"/>
      <w:bookmarkEnd w:id="141"/>
      <w:bookmarkEnd w:id="142"/>
      <w:bookmarkEnd w:id="143"/>
      <w:r>
        <w:t xml:space="preserve"> </w:t>
      </w:r>
    </w:p>
    <w:p>
      <w:pPr>
        <w:pStyle w:val="Footnoteheading"/>
      </w:pPr>
      <w:r>
        <w:tab/>
        <w:t>[Heading inserted by No. 1 of 2015 s. 6.]</w:t>
      </w:r>
    </w:p>
    <w:p>
      <w:pPr>
        <w:pStyle w:val="Heading4"/>
      </w:pPr>
      <w:bookmarkStart w:id="144" w:name="_Toc513124590"/>
      <w:bookmarkStart w:id="145" w:name="_Toc513125009"/>
      <w:bookmarkStart w:id="146" w:name="_Toc515529149"/>
      <w:bookmarkStart w:id="147" w:name="_Toc518998049"/>
      <w:bookmarkStart w:id="148" w:name="_Toc520107971"/>
      <w:bookmarkStart w:id="149" w:name="_Toc512610075"/>
      <w:r>
        <w:t>Subdivision 1 — Terms used</w:t>
      </w:r>
      <w:bookmarkEnd w:id="144"/>
      <w:bookmarkEnd w:id="145"/>
      <w:bookmarkEnd w:id="146"/>
      <w:bookmarkEnd w:id="147"/>
      <w:bookmarkEnd w:id="148"/>
      <w:bookmarkEnd w:id="149"/>
    </w:p>
    <w:p>
      <w:pPr>
        <w:pStyle w:val="Footnoteheading"/>
      </w:pPr>
      <w:r>
        <w:tab/>
        <w:t>[Heading inserted by No. 1 of 2015 s. 6.]</w:t>
      </w:r>
    </w:p>
    <w:p>
      <w:pPr>
        <w:pStyle w:val="Heading5"/>
      </w:pPr>
      <w:bookmarkStart w:id="150" w:name="_Toc520107972"/>
      <w:bookmarkStart w:id="151" w:name="_Toc512610076"/>
      <w:r>
        <w:rPr>
          <w:rStyle w:val="CharSectno"/>
        </w:rPr>
        <w:t>29</w:t>
      </w:r>
      <w:r>
        <w:t>.</w:t>
      </w:r>
      <w:r>
        <w:tab/>
        <w:t>Terms used</w:t>
      </w:r>
      <w:bookmarkEnd w:id="150"/>
      <w:bookmarkEnd w:id="151"/>
    </w:p>
    <w:p>
      <w:pPr>
        <w:pStyle w:val="Subsection"/>
      </w:pPr>
      <w:r>
        <w:tab/>
      </w:r>
      <w:r>
        <w:tab/>
        <w:t xml:space="preserve">In this Division — </w:t>
      </w:r>
    </w:p>
    <w:p>
      <w:pPr>
        <w:pStyle w:val="Defstart"/>
      </w:pPr>
      <w:r>
        <w:tab/>
      </w:r>
      <w:r>
        <w:rPr>
          <w:rStyle w:val="CharDefText"/>
        </w:rPr>
        <w:t>beneficiary</w:t>
      </w:r>
      <w:r>
        <w:t>, in relation to a discretionary or other trust (other than a unit trust scheme), means an individual who is a beneficiary under the trust (whether the beneficiary has a vested share or is contingently entitled or is a potential beneficiary under a discretionary trust);</w:t>
      </w:r>
    </w:p>
    <w:p>
      <w:pPr>
        <w:pStyle w:val="Defstar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pPr>
      <w:r>
        <w:tab/>
      </w:r>
      <w:r>
        <w:rPr>
          <w:rStyle w:val="CharDefText"/>
        </w:rPr>
        <w:t>rural land</w:t>
      </w:r>
      <w:r>
        <w:t xml:space="preserve"> means all land in the State other than non</w:t>
      </w:r>
      <w:r>
        <w:noBreakHyphen/>
        <w:t>rural land.</w:t>
      </w:r>
    </w:p>
    <w:p>
      <w:pPr>
        <w:pStyle w:val="Footnotesection"/>
      </w:pPr>
      <w:r>
        <w:tab/>
        <w:t>[Section 29 inserted by No. 1 of 2015 s. 6.]</w:t>
      </w:r>
    </w:p>
    <w:p>
      <w:pPr>
        <w:pStyle w:val="Heading5"/>
      </w:pPr>
      <w:bookmarkStart w:id="152" w:name="_Toc520107973"/>
      <w:bookmarkStart w:id="153" w:name="_Toc512610077"/>
      <w:r>
        <w:rPr>
          <w:rStyle w:val="CharSectno"/>
        </w:rPr>
        <w:t>30A</w:t>
      </w:r>
      <w:r>
        <w:t>.</w:t>
      </w:r>
      <w:r>
        <w:tab/>
        <w:t>What is primary production</w:t>
      </w:r>
      <w:bookmarkEnd w:id="152"/>
      <w:bookmarkEnd w:id="153"/>
    </w:p>
    <w:p>
      <w:pPr>
        <w:pStyle w:val="Subsection"/>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30A inserted by No. 1 of 2015 s. 6.]</w:t>
      </w:r>
    </w:p>
    <w:p>
      <w:pPr>
        <w:pStyle w:val="Heading5"/>
      </w:pPr>
      <w:bookmarkStart w:id="154" w:name="_Toc520107974"/>
      <w:bookmarkStart w:id="155" w:name="_Toc512610078"/>
      <w:r>
        <w:rPr>
          <w:rStyle w:val="CharSectno"/>
        </w:rPr>
        <w:t>30B</w:t>
      </w:r>
      <w:r>
        <w:t>.</w:t>
      </w:r>
      <w:r>
        <w:tab/>
        <w:t>When land is used for primary production business</w:t>
      </w:r>
      <w:bookmarkEnd w:id="154"/>
      <w:bookmarkEnd w:id="155"/>
    </w:p>
    <w:p>
      <w:pPr>
        <w:pStyle w:val="Subsection"/>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pPr>
      <w:r>
        <w:tab/>
        <w:t>(ii)</w:t>
      </w:r>
      <w:r>
        <w:tab/>
        <w:t>repetition and regularity;</w:t>
      </w:r>
    </w:p>
    <w:p>
      <w:pPr>
        <w:pStyle w:val="Indenta"/>
      </w:pPr>
      <w:r>
        <w:tab/>
      </w:r>
      <w:r>
        <w:tab/>
        <w:t>and</w:t>
      </w:r>
    </w:p>
    <w:p>
      <w:pPr>
        <w:pStyle w:val="Indenta"/>
      </w:pPr>
      <w:r>
        <w:tab/>
        <w:t>(e)</w:t>
      </w:r>
      <w:r>
        <w:tab/>
        <w:t>is in accordance with any other factor prescribed for the purposes of this section.</w:t>
      </w:r>
    </w:p>
    <w:p>
      <w:pPr>
        <w:pStyle w:val="Footnotesection"/>
      </w:pPr>
      <w:r>
        <w:tab/>
        <w:t>[Section 30B inserted by No. 1 of 2015 s. 6.]</w:t>
      </w:r>
    </w:p>
    <w:p>
      <w:pPr>
        <w:pStyle w:val="Heading4"/>
      </w:pPr>
      <w:bookmarkStart w:id="156" w:name="_Toc513124594"/>
      <w:bookmarkStart w:id="157" w:name="_Toc513125013"/>
      <w:bookmarkStart w:id="158" w:name="_Toc515529153"/>
      <w:bookmarkStart w:id="159" w:name="_Toc518998053"/>
      <w:bookmarkStart w:id="160" w:name="_Toc520107975"/>
      <w:bookmarkStart w:id="161" w:name="_Toc512610079"/>
      <w:r>
        <w:t>Subdivision 2 — Primary production business exemption</w:t>
      </w:r>
      <w:bookmarkEnd w:id="156"/>
      <w:bookmarkEnd w:id="157"/>
      <w:bookmarkEnd w:id="158"/>
      <w:bookmarkEnd w:id="159"/>
      <w:bookmarkEnd w:id="160"/>
      <w:bookmarkEnd w:id="161"/>
    </w:p>
    <w:p>
      <w:pPr>
        <w:pStyle w:val="Footnoteheading"/>
        <w:keepNext/>
      </w:pPr>
      <w:r>
        <w:tab/>
        <w:t>[Heading inserted by No. 1 of 2015 s. 6.]</w:t>
      </w:r>
    </w:p>
    <w:p>
      <w:pPr>
        <w:pStyle w:val="Heading5"/>
      </w:pPr>
      <w:bookmarkStart w:id="162" w:name="_Toc520107976"/>
      <w:bookmarkStart w:id="163" w:name="_Toc512610080"/>
      <w:r>
        <w:rPr>
          <w:rStyle w:val="CharSectno"/>
        </w:rPr>
        <w:t>30C</w:t>
      </w:r>
      <w:r>
        <w:t>.</w:t>
      </w:r>
      <w:r>
        <w:tab/>
        <w:t>Exemption for rural land</w:t>
      </w:r>
      <w:bookmarkEnd w:id="162"/>
      <w:bookmarkEnd w:id="163"/>
    </w:p>
    <w:p>
      <w:pPr>
        <w:pStyle w:val="Subsection"/>
      </w:pPr>
      <w:r>
        <w:tab/>
      </w:r>
      <w:r>
        <w:tab/>
        <w:t xml:space="preserve">Land is exempt for an assessment year if, at midnight on 30 June in the previous financial year, the land is — </w:t>
      </w:r>
    </w:p>
    <w:p>
      <w:pPr>
        <w:pStyle w:val="Indenta"/>
      </w:pPr>
      <w:r>
        <w:tab/>
        <w:t>(a)</w:t>
      </w:r>
      <w:r>
        <w:tab/>
        <w:t>rural land; and</w:t>
      </w:r>
    </w:p>
    <w:p>
      <w:pPr>
        <w:pStyle w:val="Indenta"/>
      </w:pPr>
      <w:r>
        <w:tab/>
        <w:t>(b)</w:t>
      </w:r>
      <w:r>
        <w:tab/>
        <w:t>used solely for a primary production business.</w:t>
      </w:r>
    </w:p>
    <w:p>
      <w:pPr>
        <w:pStyle w:val="Footnotesection"/>
      </w:pPr>
      <w:r>
        <w:tab/>
        <w:t>[Section 30C inserted by No. 1 of 2015 s. 6.]</w:t>
      </w:r>
    </w:p>
    <w:p>
      <w:pPr>
        <w:pStyle w:val="Heading5"/>
      </w:pPr>
      <w:bookmarkStart w:id="164" w:name="_Toc520107977"/>
      <w:bookmarkStart w:id="165" w:name="_Toc512610081"/>
      <w:r>
        <w:rPr>
          <w:rStyle w:val="CharSectno"/>
        </w:rPr>
        <w:t>30D</w:t>
      </w:r>
      <w:r>
        <w:t>.</w:t>
      </w:r>
      <w:r>
        <w:tab/>
        <w:t>Exemption for non</w:t>
      </w:r>
      <w:r>
        <w:noBreakHyphen/>
        <w:t>rural land</w:t>
      </w:r>
      <w:bookmarkEnd w:id="164"/>
      <w:bookmarkEnd w:id="165"/>
    </w:p>
    <w:p>
      <w:pPr>
        <w:pStyle w:val="Subsection"/>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pPr>
      <w:r>
        <w:tab/>
        <w:t>(b)</w:t>
      </w:r>
      <w:r>
        <w:tab/>
        <w:t xml:space="preserve">not every owner of the land is — </w:t>
      </w:r>
    </w:p>
    <w:p>
      <w:pPr>
        <w:pStyle w:val="Indenti"/>
      </w:pPr>
      <w:r>
        <w:tab/>
        <w:t>(i)</w:t>
      </w:r>
      <w:r>
        <w:tab/>
        <w:t>a family owner; and</w:t>
      </w:r>
    </w:p>
    <w:p>
      <w:pPr>
        <w:pStyle w:val="Indenti"/>
      </w:pPr>
      <w:r>
        <w:tab/>
        <w:t>(ii)</w:t>
      </w:r>
      <w:r>
        <w:tab/>
        <w:t>a person related to each other family owner;</w:t>
      </w:r>
    </w:p>
    <w:p>
      <w:pPr>
        <w:pStyle w:val="Indenta"/>
      </w:pPr>
      <w:r>
        <w:tab/>
      </w:r>
      <w:r>
        <w:tab/>
        <w:t>and</w:t>
      </w:r>
    </w:p>
    <w:p>
      <w:pPr>
        <w:pStyle w:val="Indenta"/>
      </w:pPr>
      <w:r>
        <w:tab/>
        <w:t>(c)</w:t>
      </w:r>
      <w:r>
        <w:tab/>
        <w:t xml:space="preserve">the land — </w:t>
      </w:r>
    </w:p>
    <w:p>
      <w:pPr>
        <w:pStyle w:val="Indenti"/>
      </w:pPr>
      <w:r>
        <w:tab/>
        <w:t>(i)</w:t>
      </w:r>
      <w:r>
        <w:tab/>
        <w:t>is used for a primary production business by a person related to a family owner of the land; or</w:t>
      </w:r>
    </w:p>
    <w:p>
      <w:pPr>
        <w:pStyle w:val="Indenti"/>
      </w:pPr>
      <w:r>
        <w:tab/>
        <w:t>(ii)</w:t>
      </w:r>
      <w:r>
        <w:tab/>
        <w:t>is not used for a primary production business by any owner of the land.</w:t>
      </w:r>
    </w:p>
    <w:p>
      <w:pPr>
        <w:pStyle w:val="Footnotesection"/>
      </w:pPr>
      <w:r>
        <w:tab/>
        <w:t>[Section 30D inserted by No. 1 of 2015 s. 6.]</w:t>
      </w:r>
    </w:p>
    <w:p>
      <w:pPr>
        <w:pStyle w:val="Heading5"/>
      </w:pPr>
      <w:bookmarkStart w:id="166" w:name="_Toc520107978"/>
      <w:bookmarkStart w:id="167" w:name="_Toc512610082"/>
      <w:r>
        <w:rPr>
          <w:rStyle w:val="CharSectno"/>
        </w:rPr>
        <w:t>30E</w:t>
      </w:r>
      <w:r>
        <w:t>.</w:t>
      </w:r>
      <w:r>
        <w:tab/>
        <w:t>Exemption under section 30D after death of family owner or person related to family owner</w:t>
      </w:r>
      <w:bookmarkEnd w:id="166"/>
      <w:bookmarkEnd w:id="167"/>
    </w:p>
    <w:p>
      <w:pPr>
        <w:pStyle w:val="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pPr>
      <w:r>
        <w:tab/>
        <w:t>(ii)</w:t>
      </w:r>
      <w:r>
        <w:tab/>
        <w:t>where the deceased was a person related to a family owner of the land — included a reference to an executor or administrator of the deceased’s estate.</w:t>
      </w:r>
    </w:p>
    <w:p>
      <w:pPr>
        <w:pStyle w:val="Footnotesection"/>
      </w:pPr>
      <w:r>
        <w:tab/>
        <w:t>[Section 30E inserted by No. 1 of 2015 s. 6.]</w:t>
      </w:r>
    </w:p>
    <w:p>
      <w:pPr>
        <w:pStyle w:val="Heading5"/>
        <w:pageBreakBefore/>
        <w:spacing w:before="0"/>
      </w:pPr>
      <w:bookmarkStart w:id="168" w:name="_Toc520107979"/>
      <w:bookmarkStart w:id="169" w:name="_Toc512610083"/>
      <w:r>
        <w:rPr>
          <w:rStyle w:val="CharSectno"/>
        </w:rPr>
        <w:t>30F</w:t>
      </w:r>
      <w:r>
        <w:t>.</w:t>
      </w:r>
      <w:r>
        <w:tab/>
        <w:t>Notice to Commissioner about changes to exempt land</w:t>
      </w:r>
      <w:bookmarkEnd w:id="168"/>
      <w:bookmarkEnd w:id="169"/>
    </w:p>
    <w:p>
      <w:pPr>
        <w:pStyle w:val="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pPr>
        <w:pStyle w:val="Indenta"/>
      </w:pPr>
      <w:r>
        <w:tab/>
        <w:t>(a)</w:t>
      </w:r>
      <w:r>
        <w:tab/>
        <w:t>the land is no longer used solely for a primary production business;</w:t>
      </w:r>
    </w:p>
    <w:p>
      <w:pPr>
        <w:pStyle w:val="Indenta"/>
      </w:pPr>
      <w:r>
        <w:tab/>
        <w:t>(b)</w:t>
      </w:r>
      <w:r>
        <w:tab/>
        <w:t>if the land is non</w:t>
      </w:r>
      <w:r>
        <w:noBreakHyphen/>
        <w:t xml:space="preserve">rural land — </w:t>
      </w:r>
      <w:del w:id="170" w:author="svcMRProcess" w:date="2020-02-18T08:15:00Z">
        <w:r>
          <w:tab/>
        </w:r>
      </w:del>
    </w:p>
    <w:p>
      <w:pPr>
        <w:pStyle w:val="Indenti"/>
      </w:pPr>
      <w:r>
        <w:tab/>
        <w:t>(i)</w:t>
      </w:r>
      <w:r>
        <w:tab/>
        <w:t>the land is no longer used by one or more of the persons referred to in section 30D(1)(c); or</w:t>
      </w:r>
    </w:p>
    <w:p>
      <w:pPr>
        <w:pStyle w:val="Indenti"/>
      </w:pPr>
      <w:r>
        <w:tab/>
        <w:t>(ii)</w:t>
      </w:r>
      <w:r>
        <w:tab/>
        <w:t>section 30D(2) applies in respect of the land.</w:t>
      </w:r>
    </w:p>
    <w:p>
      <w:pPr>
        <w:pStyle w:val="Subsection"/>
      </w:pPr>
      <w:r>
        <w:tab/>
        <w:t>(2)</w:t>
      </w:r>
      <w:r>
        <w:tab/>
        <w:t xml:space="preserve">The owner of the land must give notice under subsection (1) in writing before whichever of the following occurs later — </w:t>
      </w:r>
    </w:p>
    <w:p>
      <w:pPr>
        <w:pStyle w:val="Indenta"/>
      </w:pPr>
      <w:r>
        <w:tab/>
        <w:t>(a)</w:t>
      </w:r>
      <w:r>
        <w:tab/>
        <w:t>the beginning of the next assessment year after the change occurs;</w:t>
      </w:r>
    </w:p>
    <w:p>
      <w:pPr>
        <w:pStyle w:val="Indenta"/>
      </w:pPr>
      <w:r>
        <w:tab/>
        <w:t>(b)</w:t>
      </w:r>
      <w:r>
        <w:tab/>
        <w:t>3 months after the day on which the change occurs.</w:t>
      </w:r>
    </w:p>
    <w:p>
      <w:pPr>
        <w:pStyle w:val="Penstart"/>
      </w:pPr>
      <w:r>
        <w:tab/>
        <w:t>Penalty for an offence under this subsection: a fine of $5 000.</w:t>
      </w:r>
    </w:p>
    <w:p>
      <w:pPr>
        <w:pStyle w:val="Footnotesection"/>
      </w:pPr>
      <w:r>
        <w:tab/>
        <w:t>[Section 30F inserted by No. 1 of 2015 s. 6.]</w:t>
      </w:r>
    </w:p>
    <w:p>
      <w:pPr>
        <w:pStyle w:val="Heading4"/>
      </w:pPr>
      <w:bookmarkStart w:id="171" w:name="_Toc513124599"/>
      <w:bookmarkStart w:id="172" w:name="_Toc513125018"/>
      <w:bookmarkStart w:id="173" w:name="_Toc515529158"/>
      <w:bookmarkStart w:id="174" w:name="_Toc518998058"/>
      <w:bookmarkStart w:id="175" w:name="_Toc520107980"/>
      <w:bookmarkStart w:id="176" w:name="_Toc512610084"/>
      <w:r>
        <w:t>Subdivision 3 — Family owners of land and persons related to family owners of land</w:t>
      </w:r>
      <w:bookmarkEnd w:id="171"/>
      <w:bookmarkEnd w:id="172"/>
      <w:bookmarkEnd w:id="173"/>
      <w:bookmarkEnd w:id="174"/>
      <w:bookmarkEnd w:id="175"/>
      <w:bookmarkEnd w:id="176"/>
    </w:p>
    <w:p>
      <w:pPr>
        <w:pStyle w:val="Footnoteheading"/>
      </w:pPr>
      <w:r>
        <w:tab/>
        <w:t>[Heading inserted by No. 1 of 2015 s. 6.]</w:t>
      </w:r>
    </w:p>
    <w:p>
      <w:pPr>
        <w:pStyle w:val="Heading5"/>
      </w:pPr>
      <w:bookmarkStart w:id="177" w:name="_Toc520107981"/>
      <w:bookmarkStart w:id="178" w:name="_Toc512610085"/>
      <w:r>
        <w:rPr>
          <w:rStyle w:val="CharSectno"/>
        </w:rPr>
        <w:t>30G</w:t>
      </w:r>
      <w:r>
        <w:t>.</w:t>
      </w:r>
      <w:r>
        <w:tab/>
        <w:t>References to individuals, family members and nominated individuals</w:t>
      </w:r>
      <w:bookmarkEnd w:id="177"/>
      <w:bookmarkEnd w:id="178"/>
    </w:p>
    <w:p>
      <w:pPr>
        <w:pStyle w:val="Subsection"/>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pPr>
      <w:r>
        <w:tab/>
        <w:t>(ii)</w:t>
      </w:r>
      <w:r>
        <w:tab/>
        <w:t>if such a nomination is not made within a reasonable period of time after a request for a nomination is made by the Commissioner, by the Commissioner.</w:t>
      </w:r>
    </w:p>
    <w:p>
      <w:pPr>
        <w:pStyle w:val="Footnotesection"/>
      </w:pPr>
      <w:r>
        <w:tab/>
        <w:t>[Section 30G inserted by No. 1 of 2015 s. 6.]</w:t>
      </w:r>
    </w:p>
    <w:p>
      <w:pPr>
        <w:pStyle w:val="Heading5"/>
      </w:pPr>
      <w:bookmarkStart w:id="179" w:name="_Toc520107982"/>
      <w:bookmarkStart w:id="180" w:name="_Toc512610086"/>
      <w:r>
        <w:rPr>
          <w:rStyle w:val="CharSectno"/>
        </w:rPr>
        <w:t>30H</w:t>
      </w:r>
      <w:r>
        <w:t>.</w:t>
      </w:r>
      <w:r>
        <w:tab/>
        <w:t>Family owner of land</w:t>
      </w:r>
      <w:bookmarkEnd w:id="179"/>
      <w:bookmarkEnd w:id="180"/>
    </w:p>
    <w:p>
      <w:pPr>
        <w:pStyle w:val="Subsection"/>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 by No. 1 of 2015 s. 6.]</w:t>
      </w:r>
    </w:p>
    <w:p>
      <w:pPr>
        <w:pStyle w:val="Heading5"/>
      </w:pPr>
      <w:bookmarkStart w:id="181" w:name="_Toc520107983"/>
      <w:bookmarkStart w:id="182" w:name="_Toc512610087"/>
      <w:r>
        <w:rPr>
          <w:rStyle w:val="CharSectno"/>
        </w:rPr>
        <w:t>30I</w:t>
      </w:r>
      <w:r>
        <w:t>.</w:t>
      </w:r>
      <w:r>
        <w:tab/>
        <w:t>Persons related to family owner who is an individual</w:t>
      </w:r>
      <w:bookmarkEnd w:id="181"/>
      <w:bookmarkEnd w:id="182"/>
    </w:p>
    <w:p>
      <w:pPr>
        <w:pStyle w:val="Subsection"/>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pPr>
      <w:r>
        <w:tab/>
        <w:t>(b)</w:t>
      </w:r>
      <w:r>
        <w:tab/>
        <w:t>if such a nomination is not made within a reasonable period of time after a request for a nomination is made by the Commissioner, by the Commissioner.</w:t>
      </w:r>
    </w:p>
    <w:p>
      <w:pPr>
        <w:pStyle w:val="Footnotesection"/>
      </w:pPr>
      <w:r>
        <w:tab/>
        <w:t>[Section 30I inserted by No. 1 of 2015 s. 6.]</w:t>
      </w:r>
    </w:p>
    <w:p>
      <w:pPr>
        <w:pStyle w:val="Heading5"/>
      </w:pPr>
      <w:bookmarkStart w:id="183" w:name="_Toc520107984"/>
      <w:bookmarkStart w:id="184" w:name="_Toc512610088"/>
      <w:r>
        <w:rPr>
          <w:rStyle w:val="CharSectno"/>
        </w:rPr>
        <w:t>30J</w:t>
      </w:r>
      <w:r>
        <w:t>.</w:t>
      </w:r>
      <w:r>
        <w:tab/>
        <w:t>Persons related to family corporation</w:t>
      </w:r>
      <w:bookmarkEnd w:id="183"/>
      <w:bookmarkEnd w:id="184"/>
    </w:p>
    <w:p>
      <w:pPr>
        <w:pStyle w:val="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pPr>
      <w:r>
        <w:tab/>
        <w:t>(e)</w:t>
      </w:r>
      <w:r>
        <w:tab/>
        <w:t>a trustee of a unit trust scheme under which every unit is held by either the shareholder or a family member of the shareholder.</w:t>
      </w:r>
    </w:p>
    <w:p>
      <w:pPr>
        <w:pStyle w:val="Footnotesection"/>
      </w:pPr>
      <w:r>
        <w:tab/>
        <w:t>[Section 30J inserted by No. 1 of 2015 s. 6.]</w:t>
      </w:r>
    </w:p>
    <w:p>
      <w:pPr>
        <w:pStyle w:val="Heading5"/>
      </w:pPr>
      <w:bookmarkStart w:id="185" w:name="_Toc520107985"/>
      <w:bookmarkStart w:id="186" w:name="_Toc512610089"/>
      <w:r>
        <w:rPr>
          <w:rStyle w:val="CharSectno"/>
        </w:rPr>
        <w:t>30K</w:t>
      </w:r>
      <w:r>
        <w:t>.</w:t>
      </w:r>
      <w:r>
        <w:tab/>
        <w:t>Persons related to trustee of family trust</w:t>
      </w:r>
      <w:bookmarkEnd w:id="185"/>
      <w:bookmarkEnd w:id="186"/>
    </w:p>
    <w:p>
      <w:pPr>
        <w:pStyle w:val="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pPr>
      <w:r>
        <w:tab/>
        <w:t>(e)</w:t>
      </w:r>
      <w:r>
        <w:tab/>
        <w:t>a trustee of a unit trust scheme under which every unit is held by either the beneficiary or a family member of the beneficiary.</w:t>
      </w:r>
    </w:p>
    <w:p>
      <w:pPr>
        <w:pStyle w:val="Footnotesection"/>
      </w:pPr>
      <w:r>
        <w:tab/>
        <w:t>[Section 30K inserted by No. 1 of 2015 s. 6.]</w:t>
      </w:r>
    </w:p>
    <w:p>
      <w:pPr>
        <w:pStyle w:val="Heading5"/>
      </w:pPr>
      <w:bookmarkStart w:id="187" w:name="_Toc520107986"/>
      <w:bookmarkStart w:id="188" w:name="_Toc512610090"/>
      <w:r>
        <w:rPr>
          <w:rStyle w:val="CharSectno"/>
        </w:rPr>
        <w:t>30</w:t>
      </w:r>
      <w:r>
        <w:t>.</w:t>
      </w:r>
      <w:r>
        <w:tab/>
        <w:t>Persons related to trustee of a family unit trust scheme</w:t>
      </w:r>
      <w:bookmarkEnd w:id="187"/>
      <w:bookmarkEnd w:id="188"/>
    </w:p>
    <w:p>
      <w:pPr>
        <w:pStyle w:val="Subsection"/>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pPr>
      <w:r>
        <w:tab/>
        <w:t>(e)</w:t>
      </w:r>
      <w:r>
        <w:tab/>
        <w:t>a trustee of another unit trust scheme under which every unit holder is either the unit holder or a family member of the unit holder.</w:t>
      </w:r>
    </w:p>
    <w:p>
      <w:pPr>
        <w:pStyle w:val="Footnotesection"/>
      </w:pPr>
      <w:r>
        <w:tab/>
        <w:t>[Section 30 inserted by No. 1 of 2015 s. 6.]</w:t>
      </w:r>
    </w:p>
    <w:p>
      <w:pPr>
        <w:pStyle w:val="Heading3"/>
      </w:pPr>
      <w:bookmarkStart w:id="189" w:name="_Toc513124606"/>
      <w:bookmarkStart w:id="190" w:name="_Toc513125025"/>
      <w:bookmarkStart w:id="191" w:name="_Toc515529165"/>
      <w:bookmarkStart w:id="192" w:name="_Toc518998065"/>
      <w:bookmarkStart w:id="193" w:name="_Toc520107987"/>
      <w:bookmarkStart w:id="194" w:name="_Toc512610091"/>
      <w:r>
        <w:rPr>
          <w:rStyle w:val="CharDivNo"/>
        </w:rPr>
        <w:t>Division 4</w:t>
      </w:r>
      <w:r>
        <w:t xml:space="preserve"> — </w:t>
      </w:r>
      <w:r>
        <w:rPr>
          <w:rStyle w:val="CharDivText"/>
        </w:rPr>
        <w:t>Crown land and other land used for public purposes</w:t>
      </w:r>
      <w:bookmarkEnd w:id="189"/>
      <w:bookmarkEnd w:id="190"/>
      <w:bookmarkEnd w:id="191"/>
      <w:bookmarkEnd w:id="192"/>
      <w:bookmarkEnd w:id="193"/>
      <w:bookmarkEnd w:id="194"/>
    </w:p>
    <w:p>
      <w:pPr>
        <w:pStyle w:val="Heading5"/>
        <w:spacing w:before="200"/>
      </w:pPr>
      <w:bookmarkStart w:id="195" w:name="_Toc520107988"/>
      <w:bookmarkStart w:id="196" w:name="_Toc512610092"/>
      <w:r>
        <w:rPr>
          <w:rStyle w:val="CharSectno"/>
        </w:rPr>
        <w:t>31</w:t>
      </w:r>
      <w:r>
        <w:t>.</w:t>
      </w:r>
      <w:r>
        <w:tab/>
        <w:t>Land owned by Crown, public authority etc., exemption for</w:t>
      </w:r>
      <w:bookmarkEnd w:id="195"/>
      <w:bookmarkEnd w:id="196"/>
    </w:p>
    <w:p>
      <w:pPr>
        <w:pStyle w:val="Subsection"/>
      </w:pPr>
      <w:r>
        <w:tab/>
        <w:t>(1)</w:t>
      </w:r>
      <w:r>
        <w:tab/>
        <w:t xml:space="preserve">Land owned by, or vested in, the Crown, an agency or instrumentality of the Crown, a local government or another public statutory authority is exempt for an assessment year unless, at midnight on 30 June in the financial year before the assessment year — </w:t>
      </w:r>
    </w:p>
    <w:p>
      <w:pPr>
        <w:pStyle w:val="Indenta"/>
      </w:pPr>
      <w:r>
        <w:tab/>
        <w:t>(a)</w:t>
      </w:r>
      <w:r>
        <w:tab/>
        <w:t>the land is owned by a taxable authority; or</w:t>
      </w:r>
    </w:p>
    <w:p>
      <w:pPr>
        <w:pStyle w:val="Indenta"/>
      </w:pPr>
      <w:r>
        <w:tab/>
        <w:t>(b)</w:t>
      </w:r>
      <w:r>
        <w:tab/>
        <w:t>a person or taxable authority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rPr>
          <w:del w:id="197" w:author="svcMRProcess" w:date="2020-02-18T08:15:00Z"/>
        </w:rPr>
      </w:pPr>
      <w:del w:id="198" w:author="svcMRProcess" w:date="2020-02-18T08:15:00Z">
        <w:r>
          <w:rPr>
            <w:position w:val="-10"/>
          </w:rPr>
          <w:pict>
            <v:shape id="_x0000_i1027" type="#_x0000_t75" style="width:93.75pt;height:16.5pt">
              <v:imagedata r:id="rId18" o:title=""/>
            </v:shape>
          </w:pict>
        </w:r>
      </w:del>
    </w:p>
    <w:p>
      <w:pPr>
        <w:pStyle w:val="Equation"/>
        <w:spacing w:before="120"/>
        <w:jc w:val="center"/>
        <w:rPr>
          <w:ins w:id="199" w:author="svcMRProcess" w:date="2020-02-18T08:15:00Z"/>
        </w:rPr>
      </w:pPr>
      <w:ins w:id="200" w:author="svcMRProcess" w:date="2020-02-18T08:15:00Z">
        <w:r>
          <w:rPr>
            <w:position w:val="-10"/>
          </w:rPr>
          <w:pict>
            <v:shape id="_x0000_i1028" type="#_x0000_t75" style="width:94.5pt;height:15.75pt">
              <v:imagedata r:id="rId18" o:title=""/>
            </v:shape>
          </w:pict>
        </w:r>
      </w:ins>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 No. 5 of 2018 s. 6.]</w:t>
      </w:r>
    </w:p>
    <w:p>
      <w:pPr>
        <w:pStyle w:val="Heading5"/>
      </w:pPr>
      <w:bookmarkStart w:id="201" w:name="_Toc520107989"/>
      <w:bookmarkStart w:id="202" w:name="_Toc512610093"/>
      <w:r>
        <w:rPr>
          <w:rStyle w:val="CharSectno"/>
        </w:rPr>
        <w:t>32</w:t>
      </w:r>
      <w:r>
        <w:t>.</w:t>
      </w:r>
      <w:r>
        <w:tab/>
        <w:t>Land owned by religious bodies, exemption for</w:t>
      </w:r>
      <w:bookmarkEnd w:id="201"/>
      <w:bookmarkEnd w:id="202"/>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ageBreakBefore/>
        <w:spacing w:before="0"/>
      </w:pPr>
      <w:bookmarkStart w:id="203" w:name="_Toc520107990"/>
      <w:bookmarkStart w:id="204" w:name="_Toc512610094"/>
      <w:r>
        <w:rPr>
          <w:rStyle w:val="CharSectno"/>
        </w:rPr>
        <w:t>33</w:t>
      </w:r>
      <w:r>
        <w:t>.</w:t>
      </w:r>
      <w:r>
        <w:tab/>
        <w:t>Land owned by educational institutions, exemption for</w:t>
      </w:r>
      <w:bookmarkEnd w:id="203"/>
      <w:bookmarkEnd w:id="204"/>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t xml:space="preserve">Curtin University established under the </w:t>
      </w:r>
      <w:r>
        <w:rPr>
          <w:i/>
        </w:rPr>
        <w:t>Curtin University Act 1966</w:t>
      </w:r>
      <w:r>
        <w:t>;</w:t>
      </w:r>
    </w:p>
    <w:p>
      <w:pPr>
        <w:pStyle w:val="Indenta"/>
        <w:spacing w:before="60"/>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Edith Cowan University established under the </w:t>
      </w:r>
      <w:r>
        <w:rPr>
          <w:i/>
        </w:rPr>
        <w:t>Edith Cowan University Act 1984</w:t>
      </w:r>
      <w:r>
        <w:t xml:space="preserve">; </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Footnotesection"/>
      </w:pPr>
      <w:r>
        <w:tab/>
        <w:t>[Section 33 amended by No. 32 of 2016 s. 185.]</w:t>
      </w:r>
    </w:p>
    <w:p>
      <w:pPr>
        <w:pStyle w:val="Heading5"/>
      </w:pPr>
      <w:bookmarkStart w:id="205" w:name="_Toc520107991"/>
      <w:bookmarkStart w:id="206" w:name="_Toc512610095"/>
      <w:r>
        <w:rPr>
          <w:rStyle w:val="CharSectno"/>
        </w:rPr>
        <w:t>34</w:t>
      </w:r>
      <w:r>
        <w:t>.</w:t>
      </w:r>
      <w:r>
        <w:tab/>
        <w:t>Land used for public or religious hospitals, exemption for</w:t>
      </w:r>
      <w:bookmarkEnd w:id="205"/>
      <w:bookmarkEnd w:id="206"/>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207" w:name="_Toc520107992"/>
      <w:bookmarkStart w:id="208" w:name="_Toc512610096"/>
      <w:r>
        <w:rPr>
          <w:rStyle w:val="CharSectno"/>
        </w:rPr>
        <w:t>35</w:t>
      </w:r>
      <w:r>
        <w:t>.</w:t>
      </w:r>
      <w:r>
        <w:tab/>
        <w:t>Mining tenements, exemption for</w:t>
      </w:r>
      <w:bookmarkEnd w:id="207"/>
      <w:bookmarkEnd w:id="208"/>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209" w:name="_Toc520107993"/>
      <w:bookmarkStart w:id="210" w:name="_Toc512610097"/>
      <w:r>
        <w:rPr>
          <w:rStyle w:val="CharSectno"/>
        </w:rPr>
        <w:t>36</w:t>
      </w:r>
      <w:r>
        <w:t>.</w:t>
      </w:r>
      <w:r>
        <w:tab/>
        <w:t>Land used for various public purposes, exemption for</w:t>
      </w:r>
      <w:bookmarkEnd w:id="209"/>
      <w:bookmarkEnd w:id="210"/>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211" w:name="_Toc520107994"/>
      <w:bookmarkStart w:id="212" w:name="_Toc512610098"/>
      <w:r>
        <w:rPr>
          <w:rStyle w:val="CharSectno"/>
        </w:rPr>
        <w:t>37</w:t>
      </w:r>
      <w:r>
        <w:t>.</w:t>
      </w:r>
      <w:r>
        <w:tab/>
        <w:t>Land owned by public charitable or benevolent institutions, exemption for</w:t>
      </w:r>
      <w:bookmarkEnd w:id="211"/>
      <w:bookmarkEnd w:id="212"/>
    </w:p>
    <w:p>
      <w:pPr>
        <w:pStyle w:val="Subsection"/>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pPr>
      <w:r>
        <w:tab/>
        <w:t>(3)</w:t>
      </w:r>
      <w:r>
        <w:tab/>
        <w:t>This section applies to an assessment year that commences on or after 1 July 2015.</w:t>
      </w:r>
    </w:p>
    <w:p>
      <w:pPr>
        <w:pStyle w:val="Footnotesection"/>
      </w:pPr>
      <w:r>
        <w:tab/>
        <w:t>[Section 37 inserted by No. 8 of 2015 s. 8.]</w:t>
      </w:r>
    </w:p>
    <w:p>
      <w:pPr>
        <w:pStyle w:val="Heading5"/>
      </w:pPr>
      <w:bookmarkStart w:id="213" w:name="_Toc520107995"/>
      <w:bookmarkStart w:id="214" w:name="_Toc512610099"/>
      <w:r>
        <w:rPr>
          <w:rStyle w:val="CharSectno"/>
        </w:rPr>
        <w:t>38AA</w:t>
      </w:r>
      <w:r>
        <w:t>.</w:t>
      </w:r>
      <w:r>
        <w:tab/>
        <w:t>What is a relevant body</w:t>
      </w:r>
      <w:bookmarkEnd w:id="213"/>
      <w:bookmarkEnd w:id="214"/>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by No. 8 of 2015 s. 9.]</w:t>
      </w:r>
    </w:p>
    <w:p>
      <w:pPr>
        <w:pStyle w:val="Heading5"/>
      </w:pPr>
      <w:bookmarkStart w:id="215" w:name="_Toc520107996"/>
      <w:bookmarkStart w:id="216" w:name="_Toc512610100"/>
      <w:r>
        <w:rPr>
          <w:rStyle w:val="CharSectno"/>
        </w:rPr>
        <w:t>38AB</w:t>
      </w:r>
      <w:r>
        <w:t>.</w:t>
      </w:r>
      <w:r>
        <w:tab/>
        <w:t>Application for a beneficial body determination</w:t>
      </w:r>
      <w:bookmarkEnd w:id="215"/>
      <w:bookmarkEnd w:id="216"/>
    </w:p>
    <w:p>
      <w:pPr>
        <w:pStyle w:val="Subsection"/>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keepNext/>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38AB inserted by No. 8 of 2015 s. 9.]</w:t>
      </w:r>
    </w:p>
    <w:p>
      <w:pPr>
        <w:pStyle w:val="Heading5"/>
      </w:pPr>
      <w:bookmarkStart w:id="217" w:name="_Toc520107997"/>
      <w:bookmarkStart w:id="218" w:name="_Toc512610101"/>
      <w:r>
        <w:rPr>
          <w:rStyle w:val="CharSectno"/>
        </w:rPr>
        <w:t>38AC</w:t>
      </w:r>
      <w:r>
        <w:t>.</w:t>
      </w:r>
      <w:r>
        <w:tab/>
        <w:t>Beneficial body determination</w:t>
      </w:r>
      <w:bookmarkEnd w:id="217"/>
      <w:bookmarkEnd w:id="218"/>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by No. 8 of 2015 s. 9.]</w:t>
      </w:r>
    </w:p>
    <w:p>
      <w:pPr>
        <w:pStyle w:val="Heading5"/>
        <w:spacing w:before="200"/>
      </w:pPr>
      <w:bookmarkStart w:id="219" w:name="_Toc520107998"/>
      <w:bookmarkStart w:id="220" w:name="_Toc512610102"/>
      <w:r>
        <w:rPr>
          <w:rStyle w:val="CharSectno"/>
        </w:rPr>
        <w:t>38</w:t>
      </w:r>
      <w:r>
        <w:t>.</w:t>
      </w:r>
      <w:r>
        <w:tab/>
        <w:t>Land owned by non</w:t>
      </w:r>
      <w:r>
        <w:noBreakHyphen/>
        <w:t>profit associations, exemption or concession for</w:t>
      </w:r>
      <w:bookmarkEnd w:id="219"/>
      <w:bookmarkEnd w:id="220"/>
    </w:p>
    <w:p>
      <w:pPr>
        <w:pStyle w:val="Subsection"/>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by No. 1 of 2015 s. 16.]</w:t>
      </w:r>
    </w:p>
    <w:p>
      <w:pPr>
        <w:pStyle w:val="Heading5"/>
        <w:spacing w:before="200"/>
      </w:pPr>
      <w:bookmarkStart w:id="221" w:name="_Toc520107999"/>
      <w:bookmarkStart w:id="222" w:name="_Toc512610103"/>
      <w:r>
        <w:rPr>
          <w:rStyle w:val="CharSectno"/>
        </w:rPr>
        <w:t>38A</w:t>
      </w:r>
      <w:r>
        <w:t>.</w:t>
      </w:r>
      <w:r>
        <w:tab/>
        <w:t>Land used as aged care facility, exemption for</w:t>
      </w:r>
      <w:bookmarkEnd w:id="221"/>
      <w:bookmarkEnd w:id="222"/>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by No. 12 of 2007 s. 6.]</w:t>
      </w:r>
    </w:p>
    <w:p>
      <w:pPr>
        <w:pStyle w:val="Heading5"/>
      </w:pPr>
      <w:bookmarkStart w:id="223" w:name="_Toc520108000"/>
      <w:bookmarkStart w:id="224" w:name="_Toc512610104"/>
      <w:r>
        <w:rPr>
          <w:rStyle w:val="CharSectno"/>
        </w:rPr>
        <w:t>39</w:t>
      </w:r>
      <w:r>
        <w:t>.</w:t>
      </w:r>
      <w:r>
        <w:tab/>
        <w:t>Land used for retirement villages: exemption for</w:t>
      </w:r>
      <w:bookmarkEnd w:id="223"/>
      <w:bookmarkEnd w:id="224"/>
    </w:p>
    <w:p>
      <w:pPr>
        <w:pStyle w:val="Subsection"/>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pPr>
      <w:r>
        <w:tab/>
        <w:t>(c)</w:t>
      </w:r>
      <w:r>
        <w:tab/>
        <w:t>being occupied or used for, or in connection with, the retirement village scheme for the retirement village.</w:t>
      </w:r>
    </w:p>
    <w:p>
      <w:pPr>
        <w:pStyle w:val="Footnotesection"/>
      </w:pPr>
      <w:r>
        <w:tab/>
        <w:t>[Section 39 inserted by No. 1 of 2015 s. 17.]</w:t>
      </w:r>
    </w:p>
    <w:p>
      <w:pPr>
        <w:pStyle w:val="Heading3"/>
        <w:spacing w:before="260"/>
      </w:pPr>
      <w:bookmarkStart w:id="225" w:name="_Toc513124620"/>
      <w:bookmarkStart w:id="226" w:name="_Toc513125039"/>
      <w:bookmarkStart w:id="227" w:name="_Toc515529179"/>
      <w:bookmarkStart w:id="228" w:name="_Toc518998079"/>
      <w:bookmarkStart w:id="229" w:name="_Toc520108001"/>
      <w:bookmarkStart w:id="230" w:name="_Toc512610105"/>
      <w:r>
        <w:rPr>
          <w:rStyle w:val="CharDivNo"/>
        </w:rPr>
        <w:t>Division 4A</w:t>
      </w:r>
      <w:r>
        <w:t> — </w:t>
      </w:r>
      <w:r>
        <w:rPr>
          <w:rStyle w:val="CharDivText"/>
        </w:rPr>
        <w:t>Land used for non</w:t>
      </w:r>
      <w:r>
        <w:rPr>
          <w:rStyle w:val="CharDivText"/>
        </w:rPr>
        <w:noBreakHyphen/>
        <w:t>permanent residences</w:t>
      </w:r>
      <w:bookmarkEnd w:id="225"/>
      <w:bookmarkEnd w:id="226"/>
      <w:bookmarkEnd w:id="227"/>
      <w:bookmarkEnd w:id="228"/>
      <w:bookmarkEnd w:id="229"/>
      <w:bookmarkEnd w:id="230"/>
    </w:p>
    <w:p>
      <w:pPr>
        <w:pStyle w:val="Footnoteheading"/>
        <w:spacing w:before="80"/>
      </w:pPr>
      <w:r>
        <w:tab/>
        <w:t>[Heading inserted by No. 10 of 2005 s. 7.]</w:t>
      </w:r>
    </w:p>
    <w:p>
      <w:pPr>
        <w:pStyle w:val="Heading5"/>
        <w:keepNext w:val="0"/>
        <w:keepLines w:val="0"/>
        <w:spacing w:before="200"/>
      </w:pPr>
      <w:bookmarkStart w:id="231" w:name="_Toc520108002"/>
      <w:bookmarkStart w:id="232" w:name="_Toc512610106"/>
      <w:r>
        <w:rPr>
          <w:rStyle w:val="CharSectno"/>
        </w:rPr>
        <w:t>39A</w:t>
      </w:r>
      <w:r>
        <w:t>.</w:t>
      </w:r>
      <w:r>
        <w:tab/>
        <w:t>Land to which s. 39B applies</w:t>
      </w:r>
      <w:bookmarkEnd w:id="231"/>
      <w:bookmarkEnd w:id="232"/>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by No. 10 of 2005 s. 7; amended by No. 73 of 2006 s. 114; No. 30 of 2008 s. 16; No. 19 of 2010 s. 51.]</w:t>
      </w:r>
    </w:p>
    <w:p>
      <w:pPr>
        <w:pStyle w:val="Heading5"/>
        <w:pageBreakBefore/>
        <w:spacing w:before="0"/>
      </w:pPr>
      <w:bookmarkStart w:id="233" w:name="_Toc520108003"/>
      <w:bookmarkStart w:id="234" w:name="_Toc512610107"/>
      <w:r>
        <w:rPr>
          <w:rStyle w:val="CharSectno"/>
        </w:rPr>
        <w:t>39B</w:t>
      </w:r>
      <w:r>
        <w:t>.</w:t>
      </w:r>
      <w:r>
        <w:tab/>
        <w:t>Dwelling park land: concession and exemption for</w:t>
      </w:r>
      <w:bookmarkEnd w:id="233"/>
      <w:bookmarkEnd w:id="234"/>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Ednotesubsection"/>
        <w:rPr>
          <w:del w:id="235" w:author="svcMRProcess" w:date="2020-02-18T08:15:00Z"/>
        </w:rPr>
      </w:pPr>
      <w:del w:id="236" w:author="svcMRProcess" w:date="2020-02-18T08:15:00Z">
        <w:r>
          <w:tab/>
          <w:delText>[(3)</w:delText>
        </w:r>
        <w:r>
          <w:tab/>
          <w:delText>deleted]</w:delText>
        </w:r>
      </w:del>
    </w:p>
    <w:p>
      <w:pPr>
        <w:pStyle w:val="Footnotesection"/>
      </w:pPr>
      <w:r>
        <w:tab/>
        <w:t>[Section 39B inserted by No. 10 of 2005 s. 7; amended by No. 30 of 2008 s. 17; No. 27 of 2010 s. 5; No. 1 of 2015 s. 18.]</w:t>
      </w:r>
    </w:p>
    <w:p>
      <w:pPr>
        <w:pStyle w:val="Heading3"/>
      </w:pPr>
      <w:bookmarkStart w:id="237" w:name="_Toc513124623"/>
      <w:bookmarkStart w:id="238" w:name="_Toc513125042"/>
      <w:bookmarkStart w:id="239" w:name="_Toc515529182"/>
      <w:bookmarkStart w:id="240" w:name="_Toc518998082"/>
      <w:bookmarkStart w:id="241" w:name="_Toc520108004"/>
      <w:bookmarkStart w:id="242" w:name="_Toc512610108"/>
      <w:r>
        <w:rPr>
          <w:rStyle w:val="CharDivNo"/>
        </w:rPr>
        <w:t>Division 5</w:t>
      </w:r>
      <w:r>
        <w:t xml:space="preserve"> — </w:t>
      </w:r>
      <w:r>
        <w:rPr>
          <w:rStyle w:val="CharDivText"/>
        </w:rPr>
        <w:t>Other exemptions and concessions</w:t>
      </w:r>
      <w:bookmarkEnd w:id="237"/>
      <w:bookmarkEnd w:id="238"/>
      <w:bookmarkEnd w:id="239"/>
      <w:bookmarkEnd w:id="240"/>
      <w:bookmarkEnd w:id="241"/>
      <w:bookmarkEnd w:id="242"/>
    </w:p>
    <w:p>
      <w:pPr>
        <w:pStyle w:val="Heading5"/>
      </w:pPr>
      <w:bookmarkStart w:id="243" w:name="_Toc520108005"/>
      <w:bookmarkStart w:id="244" w:name="_Toc512610109"/>
      <w:r>
        <w:rPr>
          <w:rStyle w:val="CharSectno"/>
        </w:rPr>
        <w:t>40</w:t>
      </w:r>
      <w:r>
        <w:t>.</w:t>
      </w:r>
      <w:r>
        <w:tab/>
        <w:t>Land owned by veteran’s surviving partner or mother, exemption for</w:t>
      </w:r>
      <w:bookmarkEnd w:id="243"/>
      <w:bookmarkEnd w:id="244"/>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ageBreakBefore/>
        <w:spacing w:before="0"/>
      </w:pPr>
      <w:bookmarkStart w:id="245" w:name="_Toc520108006"/>
      <w:bookmarkStart w:id="246" w:name="_Toc512610110"/>
      <w:r>
        <w:rPr>
          <w:rStyle w:val="CharSectno"/>
        </w:rPr>
        <w:t>41</w:t>
      </w:r>
      <w:r>
        <w:t>.</w:t>
      </w:r>
      <w:r>
        <w:tab/>
        <w:t>Land under conservation covenant, exemption for</w:t>
      </w:r>
      <w:bookmarkEnd w:id="245"/>
      <w:bookmarkEnd w:id="246"/>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247" w:name="_Toc520108007"/>
      <w:bookmarkStart w:id="248" w:name="_Toc512610111"/>
      <w:r>
        <w:rPr>
          <w:rStyle w:val="CharSectno"/>
        </w:rPr>
        <w:t>42A</w:t>
      </w:r>
      <w:r>
        <w:t>.</w:t>
      </w:r>
      <w:r>
        <w:tab/>
        <w:t>Land under biodiversity conservation covenant, exemption for</w:t>
      </w:r>
      <w:bookmarkEnd w:id="247"/>
      <w:bookmarkEnd w:id="248"/>
    </w:p>
    <w:p>
      <w:pPr>
        <w:pStyle w:val="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Footnotesection"/>
      </w:pPr>
      <w:r>
        <w:tab/>
        <w:t>[Section 42A inserted by No. 24 of 2016 s. 319.]</w:t>
      </w:r>
    </w:p>
    <w:p>
      <w:pPr>
        <w:pStyle w:val="Heading5"/>
      </w:pPr>
      <w:bookmarkStart w:id="249" w:name="_Toc520108008"/>
      <w:bookmarkStart w:id="250" w:name="_Toc512610112"/>
      <w:r>
        <w:rPr>
          <w:rStyle w:val="CharSectno"/>
        </w:rPr>
        <w:t>42</w:t>
      </w:r>
      <w:r>
        <w:t>.</w:t>
      </w:r>
      <w:r>
        <w:tab/>
        <w:t>Land vacated for sale by mortgagee, one year exemption for</w:t>
      </w:r>
      <w:bookmarkEnd w:id="249"/>
      <w:bookmarkEnd w:id="250"/>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by No. 31 of 2006 s. 24.]</w:t>
      </w:r>
    </w:p>
    <w:p>
      <w:pPr>
        <w:pStyle w:val="Heading5"/>
      </w:pPr>
      <w:bookmarkStart w:id="251" w:name="_Toc520108009"/>
      <w:bookmarkStart w:id="252" w:name="_Toc512610113"/>
      <w:r>
        <w:rPr>
          <w:rStyle w:val="CharSectno"/>
        </w:rPr>
        <w:t>43A</w:t>
      </w:r>
      <w:r>
        <w:t>.</w:t>
      </w:r>
      <w:r>
        <w:tab/>
        <w:t>Newly subdivided land, concession for</w:t>
      </w:r>
      <w:bookmarkEnd w:id="251"/>
      <w:bookmarkEnd w:id="252"/>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 amended by No. 15 of 2015 s. 8.]</w:t>
      </w:r>
    </w:p>
    <w:p>
      <w:pPr>
        <w:pStyle w:val="Heading2"/>
      </w:pPr>
      <w:bookmarkStart w:id="253" w:name="_Toc513124629"/>
      <w:bookmarkStart w:id="254" w:name="_Toc513125048"/>
      <w:bookmarkStart w:id="255" w:name="_Toc515529188"/>
      <w:bookmarkStart w:id="256" w:name="_Toc518998088"/>
      <w:bookmarkStart w:id="257" w:name="_Toc520108010"/>
      <w:bookmarkStart w:id="258" w:name="_Toc512610114"/>
      <w:r>
        <w:rPr>
          <w:rStyle w:val="CharPartNo"/>
        </w:rPr>
        <w:t>Part 4</w:t>
      </w:r>
      <w:r>
        <w:rPr>
          <w:rStyle w:val="CharDivNo"/>
        </w:rPr>
        <w:t xml:space="preserve"> </w:t>
      </w:r>
      <w:r>
        <w:t>—</w:t>
      </w:r>
      <w:r>
        <w:rPr>
          <w:rStyle w:val="CharDivText"/>
        </w:rPr>
        <w:t xml:space="preserve"> </w:t>
      </w:r>
      <w:r>
        <w:rPr>
          <w:rStyle w:val="CharPartText"/>
        </w:rPr>
        <w:t>Miscellaneous</w:t>
      </w:r>
      <w:bookmarkEnd w:id="253"/>
      <w:bookmarkEnd w:id="254"/>
      <w:bookmarkEnd w:id="255"/>
      <w:bookmarkEnd w:id="256"/>
      <w:bookmarkEnd w:id="257"/>
      <w:bookmarkEnd w:id="258"/>
    </w:p>
    <w:p>
      <w:pPr>
        <w:pStyle w:val="Heading5"/>
      </w:pPr>
      <w:bookmarkStart w:id="259" w:name="_Toc520108011"/>
      <w:bookmarkStart w:id="260" w:name="_Toc512610115"/>
      <w:r>
        <w:rPr>
          <w:rStyle w:val="CharSectno"/>
        </w:rPr>
        <w:t>43</w:t>
      </w:r>
      <w:r>
        <w:t>.</w:t>
      </w:r>
      <w:r>
        <w:tab/>
        <w:t>Occupier etc. of land to give information</w:t>
      </w:r>
      <w:bookmarkEnd w:id="259"/>
      <w:bookmarkEnd w:id="260"/>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Ednotesection"/>
      </w:pPr>
      <w:r>
        <w:t>[</w:t>
      </w:r>
      <w:r>
        <w:rPr>
          <w:b/>
        </w:rPr>
        <w:t>44.</w:t>
      </w:r>
      <w:r>
        <w:tab/>
        <w:t>Deleted by No. 32 of 2016 s. 186.]</w:t>
      </w:r>
    </w:p>
    <w:p>
      <w:pPr>
        <w:pStyle w:val="Heading5"/>
      </w:pPr>
      <w:bookmarkStart w:id="261" w:name="_Toc520108012"/>
      <w:bookmarkStart w:id="262" w:name="_Toc512610116"/>
      <w:r>
        <w:rPr>
          <w:rStyle w:val="CharSectno"/>
        </w:rPr>
        <w:t>45</w:t>
      </w:r>
      <w:r>
        <w:t>.</w:t>
      </w:r>
      <w:r>
        <w:tab/>
        <w:t>Contracts ineffective to alter incidence of land tax</w:t>
      </w:r>
      <w:bookmarkEnd w:id="261"/>
      <w:bookmarkEnd w:id="262"/>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263" w:name="_Toc520108013"/>
      <w:bookmarkStart w:id="264" w:name="_Toc512610117"/>
      <w:r>
        <w:rPr>
          <w:rStyle w:val="CharSectno"/>
        </w:rPr>
        <w:t>45A</w:t>
      </w:r>
      <w:r>
        <w:t>.</w:t>
      </w:r>
      <w:r>
        <w:tab/>
        <w:t>Minor interests of joint owners, Commissioner may disregard</w:t>
      </w:r>
      <w:bookmarkEnd w:id="263"/>
      <w:bookmarkEnd w:id="264"/>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by No. 31 of 2006 s. 30; amended by No. 15 of 2015 s. 9.]</w:t>
      </w:r>
    </w:p>
    <w:p>
      <w:pPr>
        <w:pStyle w:val="Heading5"/>
      </w:pPr>
      <w:bookmarkStart w:id="265" w:name="_Toc520108014"/>
      <w:bookmarkStart w:id="266" w:name="_Toc512610118"/>
      <w:r>
        <w:rPr>
          <w:rStyle w:val="CharSectno"/>
        </w:rPr>
        <w:t>45B</w:t>
      </w:r>
      <w:r>
        <w:t>.</w:t>
      </w:r>
      <w:r>
        <w:tab/>
        <w:t>Effect of determination under s. 45A</w:t>
      </w:r>
      <w:bookmarkEnd w:id="265"/>
      <w:bookmarkEnd w:id="266"/>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keepNext/>
      </w:pPr>
      <w:r>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by No. 15 of 2015 s. 10.]</w:t>
      </w:r>
    </w:p>
    <w:p>
      <w:pPr>
        <w:pStyle w:val="Heading5"/>
      </w:pPr>
      <w:bookmarkStart w:id="267" w:name="_Toc520108015"/>
      <w:bookmarkStart w:id="268" w:name="_Toc512610119"/>
      <w:r>
        <w:rPr>
          <w:rStyle w:val="CharSectno"/>
        </w:rPr>
        <w:t>46</w:t>
      </w:r>
      <w:r>
        <w:t>.</w:t>
      </w:r>
      <w:r>
        <w:tab/>
        <w:t>Regulations</w:t>
      </w:r>
      <w:bookmarkEnd w:id="267"/>
      <w:bookmarkEnd w:id="268"/>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269" w:name="_Toc520108016"/>
      <w:bookmarkStart w:id="270" w:name="_Toc512610120"/>
      <w:r>
        <w:t>47.</w:t>
      </w:r>
      <w:r>
        <w:tab/>
        <w:t>Transitional provisions</w:t>
      </w:r>
      <w:bookmarkEnd w:id="269"/>
      <w:bookmarkEnd w:id="270"/>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19"/>
          <w:headerReference w:type="default" r:id="rId20"/>
          <w:footerReference w:type="even" r:id="rId21"/>
          <w:footerReference w:type="default" r:id="rId22"/>
          <w:headerReference w:type="first" r:id="rId23"/>
          <w:foot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71" w:name="_Toc513124636"/>
      <w:bookmarkStart w:id="272" w:name="_Toc513125055"/>
      <w:bookmarkStart w:id="273" w:name="_Toc515529195"/>
      <w:bookmarkStart w:id="274" w:name="_Toc518998095"/>
      <w:bookmarkStart w:id="275" w:name="_Toc520108017"/>
      <w:bookmarkStart w:id="276" w:name="_Toc512610121"/>
      <w:r>
        <w:rPr>
          <w:rStyle w:val="CharSchNo"/>
        </w:rPr>
        <w:t>Schedule 1</w:t>
      </w:r>
      <w:r>
        <w:t> — </w:t>
      </w:r>
      <w:r>
        <w:rPr>
          <w:rStyle w:val="CharSchText"/>
        </w:rPr>
        <w:t>Transitional and validation provisions</w:t>
      </w:r>
      <w:bookmarkEnd w:id="271"/>
      <w:bookmarkEnd w:id="272"/>
      <w:bookmarkEnd w:id="273"/>
      <w:bookmarkEnd w:id="274"/>
      <w:bookmarkEnd w:id="275"/>
      <w:bookmarkEnd w:id="276"/>
    </w:p>
    <w:p>
      <w:pPr>
        <w:pStyle w:val="yShoulderClause"/>
      </w:pPr>
      <w:r>
        <w:t>[s. 47]</w:t>
      </w:r>
    </w:p>
    <w:p>
      <w:pPr>
        <w:pStyle w:val="yFootnoteheading"/>
      </w:pPr>
      <w:r>
        <w:tab/>
        <w:t>[Heading inserted by No. 31 of 2006 s. 26; amended by No. 1 of 2015 s. 19.]</w:t>
      </w:r>
    </w:p>
    <w:p>
      <w:pPr>
        <w:pStyle w:val="yHeading3"/>
      </w:pPr>
      <w:bookmarkStart w:id="277" w:name="_Toc513124637"/>
      <w:bookmarkStart w:id="278" w:name="_Toc513125056"/>
      <w:bookmarkStart w:id="279" w:name="_Toc515529196"/>
      <w:bookmarkStart w:id="280" w:name="_Toc518998096"/>
      <w:bookmarkStart w:id="281" w:name="_Toc520108018"/>
      <w:bookmarkStart w:id="282" w:name="_Toc512610122"/>
      <w:r>
        <w:rPr>
          <w:rStyle w:val="CharSDivNo"/>
        </w:rPr>
        <w:t>Division 1</w:t>
      </w:r>
      <w:r>
        <w:rPr>
          <w:b w:val="0"/>
        </w:rPr>
        <w:t> — </w:t>
      </w:r>
      <w:r>
        <w:rPr>
          <w:rStyle w:val="CharSDivText"/>
        </w:rPr>
        <w:t xml:space="preserve">Provision for </w:t>
      </w:r>
      <w:r>
        <w:rPr>
          <w:rStyle w:val="CharSDivText"/>
          <w:i/>
        </w:rPr>
        <w:t>Revenue Laws Amendment Act 2006</w:t>
      </w:r>
      <w:bookmarkEnd w:id="277"/>
      <w:bookmarkEnd w:id="278"/>
      <w:bookmarkEnd w:id="279"/>
      <w:bookmarkEnd w:id="280"/>
      <w:bookmarkEnd w:id="281"/>
      <w:bookmarkEnd w:id="282"/>
    </w:p>
    <w:p>
      <w:pPr>
        <w:pStyle w:val="yFootnoteheading"/>
      </w:pPr>
      <w:r>
        <w:tab/>
        <w:t>[Heading inserted by No. 31 of 2006 s. 26.]</w:t>
      </w:r>
    </w:p>
    <w:p>
      <w:pPr>
        <w:pStyle w:val="yHeading5"/>
        <w:outlineLvl w:val="9"/>
      </w:pPr>
      <w:bookmarkStart w:id="283" w:name="_Toc520108019"/>
      <w:bookmarkStart w:id="284" w:name="_Toc512610123"/>
      <w:r>
        <w:rPr>
          <w:rStyle w:val="CharSClsNo"/>
        </w:rPr>
        <w:t>1</w:t>
      </w:r>
      <w:r>
        <w:t>.</w:t>
      </w:r>
      <w:r>
        <w:rPr>
          <w:b w:val="0"/>
        </w:rPr>
        <w:tab/>
      </w:r>
      <w:r>
        <w:t>Application of s. 24A, 25A and 27A</w:t>
      </w:r>
      <w:bookmarkEnd w:id="283"/>
      <w:bookmarkEnd w:id="284"/>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285" w:name="_Toc513124639"/>
      <w:bookmarkStart w:id="286" w:name="_Toc513125058"/>
      <w:bookmarkStart w:id="287" w:name="_Toc515529198"/>
      <w:bookmarkStart w:id="288" w:name="_Toc518998098"/>
      <w:bookmarkStart w:id="289" w:name="_Toc520108020"/>
      <w:bookmarkStart w:id="290" w:name="_Toc512610124"/>
      <w:r>
        <w:rPr>
          <w:rStyle w:val="CharSDivNo"/>
        </w:rPr>
        <w:t>Division 2</w:t>
      </w:r>
      <w:r>
        <w:rPr>
          <w:b w:val="0"/>
        </w:rPr>
        <w:t> — </w:t>
      </w:r>
      <w:r>
        <w:rPr>
          <w:rStyle w:val="CharSDivText"/>
        </w:rPr>
        <w:t xml:space="preserve">Provision for </w:t>
      </w:r>
      <w:r>
        <w:rPr>
          <w:rStyle w:val="CharSDivText"/>
          <w:i/>
          <w:iCs/>
        </w:rPr>
        <w:t>Revenue Laws Amendment (Taxation) Act 2009</w:t>
      </w:r>
      <w:bookmarkEnd w:id="285"/>
      <w:bookmarkEnd w:id="286"/>
      <w:bookmarkEnd w:id="287"/>
      <w:bookmarkEnd w:id="288"/>
      <w:bookmarkEnd w:id="289"/>
      <w:bookmarkEnd w:id="290"/>
    </w:p>
    <w:p>
      <w:pPr>
        <w:pStyle w:val="Footnoteheading"/>
        <w:rPr>
          <w:i w:val="0"/>
        </w:rPr>
      </w:pPr>
      <w:r>
        <w:tab/>
        <w:t>[Heading inserted by No. 19 of 2009 s. 11.]</w:t>
      </w:r>
    </w:p>
    <w:p>
      <w:pPr>
        <w:pStyle w:val="yHeading5"/>
      </w:pPr>
      <w:bookmarkStart w:id="291" w:name="_Toc520108021"/>
      <w:bookmarkStart w:id="292" w:name="_Toc512610125"/>
      <w:r>
        <w:rPr>
          <w:rStyle w:val="CharSClsNo"/>
        </w:rPr>
        <w:t>2</w:t>
      </w:r>
      <w:r>
        <w:t>.</w:t>
      </w:r>
      <w:r>
        <w:rPr>
          <w:b w:val="0"/>
        </w:rPr>
        <w:tab/>
      </w:r>
      <w:r>
        <w:t>Regulations for cl. 6</w:t>
      </w:r>
      <w:bookmarkEnd w:id="291"/>
      <w:bookmarkEnd w:id="292"/>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pStyle w:val="yHeading3"/>
        <w:rPr>
          <w:i/>
        </w:rPr>
      </w:pPr>
      <w:bookmarkStart w:id="293" w:name="_Toc513124641"/>
      <w:bookmarkStart w:id="294" w:name="_Toc513125060"/>
      <w:bookmarkStart w:id="295" w:name="_Toc515529200"/>
      <w:bookmarkStart w:id="296" w:name="_Toc518998100"/>
      <w:bookmarkStart w:id="297" w:name="_Toc520108022"/>
      <w:bookmarkStart w:id="298" w:name="_Toc512610126"/>
      <w:r>
        <w:rPr>
          <w:rStyle w:val="CharSDivNo"/>
        </w:rPr>
        <w:t>Division 3</w:t>
      </w:r>
      <w:r>
        <w:rPr>
          <w:b w:val="0"/>
        </w:rPr>
        <w:t> — </w:t>
      </w:r>
      <w:r>
        <w:rPr>
          <w:rStyle w:val="CharSDivText"/>
        </w:rPr>
        <w:t xml:space="preserve">Provisions for the </w:t>
      </w:r>
      <w:r>
        <w:rPr>
          <w:rStyle w:val="CharSDivText"/>
          <w:i/>
        </w:rPr>
        <w:t>Taxation Legislation Amendment Act (No. 2) 2015</w:t>
      </w:r>
      <w:bookmarkEnd w:id="293"/>
      <w:bookmarkEnd w:id="294"/>
      <w:bookmarkEnd w:id="295"/>
      <w:bookmarkEnd w:id="296"/>
      <w:bookmarkEnd w:id="297"/>
      <w:bookmarkEnd w:id="298"/>
    </w:p>
    <w:p>
      <w:pPr>
        <w:pStyle w:val="yFootnoteheading"/>
      </w:pPr>
      <w:r>
        <w:tab/>
        <w:t>[Heading inserted by No. 8 of 2015 s. 10.]</w:t>
      </w:r>
    </w:p>
    <w:p>
      <w:pPr>
        <w:pStyle w:val="yHeading5"/>
      </w:pPr>
      <w:bookmarkStart w:id="299" w:name="_Toc520108023"/>
      <w:bookmarkStart w:id="300" w:name="_Toc512610127"/>
      <w:r>
        <w:rPr>
          <w:rStyle w:val="CharSClsNo"/>
        </w:rPr>
        <w:t>3</w:t>
      </w:r>
      <w:r>
        <w:t>.</w:t>
      </w:r>
      <w:r>
        <w:tab/>
        <w:t>Terms used</w:t>
      </w:r>
      <w:bookmarkEnd w:id="299"/>
      <w:bookmarkEnd w:id="300"/>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by No. 8 of 2015 s. 10.]</w:t>
      </w:r>
    </w:p>
    <w:p>
      <w:pPr>
        <w:pStyle w:val="yHeading5"/>
      </w:pPr>
      <w:bookmarkStart w:id="301" w:name="_Toc520108024"/>
      <w:bookmarkStart w:id="302" w:name="_Toc512610128"/>
      <w:r>
        <w:rPr>
          <w:rStyle w:val="CharSClsNo"/>
        </w:rPr>
        <w:t>4</w:t>
      </w:r>
      <w:r>
        <w:t>.</w:t>
      </w:r>
      <w:r>
        <w:tab/>
        <w:t>Previously exempt land: section 37</w:t>
      </w:r>
      <w:bookmarkEnd w:id="301"/>
      <w:bookmarkEnd w:id="302"/>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 by No. 8 of 2015 s. 10.]</w:t>
      </w:r>
    </w:p>
    <w:p>
      <w:pPr>
        <w:pStyle w:val="yHeading5"/>
      </w:pPr>
      <w:bookmarkStart w:id="303" w:name="_Toc520108025"/>
      <w:bookmarkStart w:id="304" w:name="_Toc512610129"/>
      <w:r>
        <w:rPr>
          <w:rStyle w:val="CharSClsNo"/>
        </w:rPr>
        <w:t>5</w:t>
      </w:r>
      <w:r>
        <w:t>.</w:t>
      </w:r>
      <w:r>
        <w:tab/>
        <w:t>Beneficial body determination: application may be made</w:t>
      </w:r>
      <w:bookmarkEnd w:id="303"/>
      <w:bookmarkEnd w:id="304"/>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by No. 8 of 2015 s. 10.]</w:t>
      </w:r>
    </w:p>
    <w:p>
      <w:pPr>
        <w:pStyle w:val="yHeading3"/>
        <w:rPr>
          <w:i/>
          <w:snapToGrid w:val="0"/>
        </w:rPr>
      </w:pPr>
      <w:bookmarkStart w:id="305" w:name="_Toc513124645"/>
      <w:bookmarkStart w:id="306" w:name="_Toc513125064"/>
      <w:bookmarkStart w:id="307" w:name="_Toc515529204"/>
      <w:bookmarkStart w:id="308" w:name="_Toc518998104"/>
      <w:bookmarkStart w:id="309" w:name="_Toc520108026"/>
      <w:bookmarkStart w:id="310" w:name="_Toc512610130"/>
      <w:r>
        <w:rPr>
          <w:rStyle w:val="CharSDivNo"/>
        </w:rPr>
        <w:t>Division 4</w:t>
      </w:r>
      <w:r>
        <w:t> — </w:t>
      </w:r>
      <w:r>
        <w:rPr>
          <w:rStyle w:val="CharSDivText"/>
        </w:rPr>
        <w:t xml:space="preserve">Provisions for </w:t>
      </w:r>
      <w:r>
        <w:rPr>
          <w:rStyle w:val="CharSDivText"/>
          <w:i/>
        </w:rPr>
        <w:t>Taxation Legislation Amendment Act 2015</w:t>
      </w:r>
      <w:bookmarkEnd w:id="305"/>
      <w:bookmarkEnd w:id="306"/>
      <w:bookmarkEnd w:id="307"/>
      <w:bookmarkEnd w:id="308"/>
      <w:bookmarkEnd w:id="309"/>
      <w:bookmarkEnd w:id="310"/>
    </w:p>
    <w:p>
      <w:pPr>
        <w:pStyle w:val="yFootnoteheading"/>
      </w:pPr>
      <w:r>
        <w:tab/>
        <w:t>[Heading inserted by No. 1 of 2015 s. 7.]</w:t>
      </w:r>
    </w:p>
    <w:p>
      <w:pPr>
        <w:pStyle w:val="yHeading4"/>
      </w:pPr>
      <w:bookmarkStart w:id="311" w:name="_Toc513124646"/>
      <w:bookmarkStart w:id="312" w:name="_Toc513125065"/>
      <w:bookmarkStart w:id="313" w:name="_Toc515529205"/>
      <w:bookmarkStart w:id="314" w:name="_Toc518998105"/>
      <w:bookmarkStart w:id="315" w:name="_Toc520108027"/>
      <w:bookmarkStart w:id="316" w:name="_Toc512610131"/>
      <w:r>
        <w:t>Subdivision 1 — Preliminary</w:t>
      </w:r>
      <w:bookmarkEnd w:id="311"/>
      <w:bookmarkEnd w:id="312"/>
      <w:bookmarkEnd w:id="313"/>
      <w:bookmarkEnd w:id="314"/>
      <w:bookmarkEnd w:id="315"/>
      <w:bookmarkEnd w:id="316"/>
    </w:p>
    <w:p>
      <w:pPr>
        <w:pStyle w:val="yFootnoteheading"/>
      </w:pPr>
      <w:r>
        <w:tab/>
        <w:t>[Heading inserted by No. 1 of 2015 s. 20.]</w:t>
      </w:r>
    </w:p>
    <w:p>
      <w:pPr>
        <w:pStyle w:val="yHeading5"/>
      </w:pPr>
      <w:bookmarkStart w:id="317" w:name="_Toc520108028"/>
      <w:bookmarkStart w:id="318" w:name="_Toc512610132"/>
      <w:r>
        <w:rPr>
          <w:rStyle w:val="CharSClsNo"/>
        </w:rPr>
        <w:t>6</w:t>
      </w:r>
      <w:r>
        <w:t>.</w:t>
      </w:r>
      <w:r>
        <w:tab/>
        <w:t>Term used: amending Act</w:t>
      </w:r>
      <w:bookmarkEnd w:id="317"/>
      <w:bookmarkEnd w:id="318"/>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 by No. 1 of 2015 s. 7.]</w:t>
      </w:r>
    </w:p>
    <w:p>
      <w:pPr>
        <w:pStyle w:val="yHeading4"/>
      </w:pPr>
      <w:bookmarkStart w:id="319" w:name="_Toc513124648"/>
      <w:bookmarkStart w:id="320" w:name="_Toc513125067"/>
      <w:bookmarkStart w:id="321" w:name="_Toc515529207"/>
      <w:bookmarkStart w:id="322" w:name="_Toc518998107"/>
      <w:bookmarkStart w:id="323" w:name="_Toc520108029"/>
      <w:bookmarkStart w:id="324" w:name="_Toc512610133"/>
      <w:r>
        <w:t>Subdivision 2 — Provisions about primary production</w:t>
      </w:r>
      <w:bookmarkEnd w:id="319"/>
      <w:bookmarkEnd w:id="320"/>
      <w:bookmarkEnd w:id="321"/>
      <w:bookmarkEnd w:id="322"/>
      <w:bookmarkEnd w:id="323"/>
      <w:bookmarkEnd w:id="324"/>
    </w:p>
    <w:p>
      <w:pPr>
        <w:pStyle w:val="yFootnoteheading"/>
      </w:pPr>
      <w:r>
        <w:tab/>
        <w:t>[Heading inserted by No. 1 of 2015 s. 21.]</w:t>
      </w:r>
    </w:p>
    <w:p>
      <w:pPr>
        <w:pStyle w:val="yHeading5"/>
      </w:pPr>
      <w:bookmarkStart w:id="325" w:name="_Toc520108030"/>
      <w:bookmarkStart w:id="326" w:name="_Toc512610134"/>
      <w:r>
        <w:rPr>
          <w:rStyle w:val="CharSClsNo"/>
        </w:rPr>
        <w:t>7</w:t>
      </w:r>
      <w:r>
        <w:t>.</w:t>
      </w:r>
      <w:r>
        <w:tab/>
        <w:t>Application of section 15 during transitional period</w:t>
      </w:r>
      <w:bookmarkEnd w:id="325"/>
      <w:bookmarkEnd w:id="326"/>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by No. 1 of 2015 s. 7.]</w:t>
      </w:r>
    </w:p>
    <w:p>
      <w:pPr>
        <w:pStyle w:val="yHeading5"/>
      </w:pPr>
      <w:bookmarkStart w:id="327" w:name="_Toc520108031"/>
      <w:bookmarkStart w:id="328" w:name="_Toc512610135"/>
      <w:r>
        <w:rPr>
          <w:rStyle w:val="CharSClsNo"/>
        </w:rPr>
        <w:t>8</w:t>
      </w:r>
      <w:r>
        <w:t>.</w:t>
      </w:r>
      <w:r>
        <w:tab/>
        <w:t>Application of section 20 to previous assessment years</w:t>
      </w:r>
      <w:bookmarkEnd w:id="327"/>
      <w:bookmarkEnd w:id="328"/>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 by No. 1 of 2015 s. 7.]</w:t>
      </w:r>
    </w:p>
    <w:p>
      <w:pPr>
        <w:pStyle w:val="yHeading5"/>
      </w:pPr>
      <w:bookmarkStart w:id="329" w:name="_Toc520108032"/>
      <w:bookmarkStart w:id="330" w:name="_Toc512610136"/>
      <w:r>
        <w:rPr>
          <w:rStyle w:val="CharSClsNo"/>
        </w:rPr>
        <w:t>9</w:t>
      </w:r>
      <w:r>
        <w:t>.</w:t>
      </w:r>
      <w:r>
        <w:tab/>
        <w:t>Application of section 30D to land held in trust for assessment year 2014/15</w:t>
      </w:r>
      <w:bookmarkEnd w:id="329"/>
      <w:bookmarkEnd w:id="330"/>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by No. 1 of 2015 s. 7.]</w:t>
      </w:r>
    </w:p>
    <w:p>
      <w:pPr>
        <w:pStyle w:val="yHeading4"/>
      </w:pPr>
      <w:bookmarkStart w:id="331" w:name="_Toc513124652"/>
      <w:bookmarkStart w:id="332" w:name="_Toc513125071"/>
      <w:bookmarkStart w:id="333" w:name="_Toc515529211"/>
      <w:bookmarkStart w:id="334" w:name="_Toc518998111"/>
      <w:bookmarkStart w:id="335" w:name="_Toc520108033"/>
      <w:bookmarkStart w:id="336" w:name="_Toc512610137"/>
      <w:r>
        <w:t>Subdivision 3 — Provisions about exemptions and rural business land</w:t>
      </w:r>
      <w:bookmarkEnd w:id="331"/>
      <w:bookmarkEnd w:id="332"/>
      <w:bookmarkEnd w:id="333"/>
      <w:bookmarkEnd w:id="334"/>
      <w:bookmarkEnd w:id="335"/>
      <w:bookmarkEnd w:id="336"/>
    </w:p>
    <w:p>
      <w:pPr>
        <w:pStyle w:val="yFootnoteheading"/>
      </w:pPr>
      <w:r>
        <w:tab/>
        <w:t>[Heading inserted by No. 1 of 2015 s. 22.]</w:t>
      </w:r>
    </w:p>
    <w:p>
      <w:pPr>
        <w:pStyle w:val="yHeading5"/>
      </w:pPr>
      <w:bookmarkStart w:id="337" w:name="_Toc520108034"/>
      <w:bookmarkStart w:id="338" w:name="_Toc512610138"/>
      <w:r>
        <w:rPr>
          <w:rStyle w:val="CharSClsNo"/>
        </w:rPr>
        <w:t>10</w:t>
      </w:r>
      <w:r>
        <w:t>.</w:t>
      </w:r>
      <w:r>
        <w:tab/>
        <w:t>Terms used</w:t>
      </w:r>
      <w:bookmarkEnd w:id="337"/>
      <w:bookmarkEnd w:id="338"/>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 xml:space="preserve">commencement </w:t>
      </w:r>
      <w:r>
        <w:t>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 by No. 1 of 2015 s. 22.]</w:t>
      </w:r>
    </w:p>
    <w:p>
      <w:pPr>
        <w:pStyle w:val="yHeading5"/>
      </w:pPr>
      <w:bookmarkStart w:id="339" w:name="_Toc520108035"/>
      <w:bookmarkStart w:id="340" w:name="_Toc512610139"/>
      <w:r>
        <w:rPr>
          <w:rStyle w:val="CharSClsNo"/>
        </w:rPr>
        <w:t>11</w:t>
      </w:r>
      <w:r>
        <w:t>.</w:t>
      </w:r>
      <w:r>
        <w:tab/>
        <w:t>Validation of previous assessments</w:t>
      </w:r>
      <w:bookmarkEnd w:id="339"/>
      <w:bookmarkEnd w:id="340"/>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 by No. 1 of 2015 s. 22.]</w:t>
      </w:r>
    </w:p>
    <w:p>
      <w:pPr>
        <w:pStyle w:val="yHeading5"/>
        <w:pageBreakBefore/>
        <w:spacing w:before="0"/>
      </w:pPr>
      <w:bookmarkStart w:id="341" w:name="_Toc520108036"/>
      <w:bookmarkStart w:id="342" w:name="_Toc512610140"/>
      <w:r>
        <w:rPr>
          <w:rStyle w:val="CharSClsNo"/>
        </w:rPr>
        <w:t>12</w:t>
      </w:r>
      <w:r>
        <w:t>.</w:t>
      </w:r>
      <w:r>
        <w:tab/>
        <w:t>Land tax decisions made or pending</w:t>
      </w:r>
      <w:bookmarkEnd w:id="341"/>
      <w:bookmarkEnd w:id="342"/>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r>
        <w:tab/>
        <w:t>[Clause 12 inserted by No. 1 of 2015 s. 22.]</w:t>
      </w:r>
    </w:p>
    <w:p>
      <w:pPr>
        <w:pStyle w:val="yHeading5"/>
      </w:pPr>
      <w:bookmarkStart w:id="343" w:name="_Toc520108037"/>
      <w:bookmarkStart w:id="344" w:name="_Toc512610141"/>
      <w:r>
        <w:rPr>
          <w:rStyle w:val="CharSClsNo"/>
        </w:rPr>
        <w:t>13</w:t>
      </w:r>
      <w:r>
        <w:t>.</w:t>
      </w:r>
      <w:r>
        <w:tab/>
        <w:t>Application of modified rural business land provisions during the 2012 to 2014 assessment period</w:t>
      </w:r>
      <w:bookmarkEnd w:id="343"/>
      <w:bookmarkEnd w:id="344"/>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tab/>
        <w:t>[Clause 13 inserted by No. 1 of 2015 s. 22.]</w:t>
      </w:r>
    </w:p>
    <w:p>
      <w:pPr>
        <w:pStyle w:val="yHeading5"/>
      </w:pPr>
      <w:bookmarkStart w:id="345" w:name="_Toc520108038"/>
      <w:bookmarkStart w:id="346" w:name="_Toc512610142"/>
      <w:r>
        <w:rPr>
          <w:rStyle w:val="CharSClsNo"/>
        </w:rPr>
        <w:t>14</w:t>
      </w:r>
      <w:r>
        <w:t>.</w:t>
      </w:r>
      <w:r>
        <w:tab/>
        <w:t>Validation of rural business land assessments</w:t>
      </w:r>
      <w:bookmarkEnd w:id="345"/>
      <w:bookmarkEnd w:id="346"/>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 by No. 1 of 2015 s. 22.]</w:t>
      </w:r>
    </w:p>
    <w:p>
      <w:pPr>
        <w:pStyle w:val="yHeading5"/>
      </w:pPr>
      <w:bookmarkStart w:id="347" w:name="_Toc520108039"/>
      <w:bookmarkStart w:id="348" w:name="_Toc512610143"/>
      <w:r>
        <w:rPr>
          <w:rStyle w:val="CharSClsNo"/>
        </w:rPr>
        <w:t>15</w:t>
      </w:r>
      <w:r>
        <w:t>.</w:t>
      </w:r>
      <w:r>
        <w:tab/>
        <w:t>Reassessment</w:t>
      </w:r>
      <w:bookmarkEnd w:id="347"/>
      <w:bookmarkEnd w:id="348"/>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by No. 1 of 2015 s. 22.]</w:t>
      </w:r>
    </w:p>
    <w:p>
      <w:pPr>
        <w:pStyle w:val="yHeading3"/>
        <w:rPr>
          <w:i/>
        </w:rPr>
      </w:pPr>
      <w:bookmarkStart w:id="349" w:name="_Toc513124659"/>
      <w:bookmarkStart w:id="350" w:name="_Toc513125078"/>
      <w:bookmarkStart w:id="351" w:name="_Toc515529218"/>
      <w:bookmarkStart w:id="352" w:name="_Toc518998118"/>
      <w:bookmarkStart w:id="353" w:name="_Toc520108040"/>
      <w:bookmarkStart w:id="354" w:name="_Toc497389326"/>
      <w:bookmarkStart w:id="355" w:name="_Toc497389342"/>
      <w:bookmarkStart w:id="356" w:name="_Toc497389358"/>
      <w:bookmarkStart w:id="357" w:name="_Toc497389766"/>
      <w:bookmarkStart w:id="358" w:name="_Toc497390376"/>
      <w:bookmarkStart w:id="359" w:name="_Toc497390392"/>
      <w:bookmarkStart w:id="360" w:name="_Toc497390781"/>
      <w:bookmarkStart w:id="361" w:name="_Toc497390807"/>
      <w:bookmarkStart w:id="362" w:name="_Toc497390837"/>
      <w:bookmarkStart w:id="363" w:name="_Toc497390987"/>
      <w:bookmarkStart w:id="364" w:name="_Toc497394180"/>
      <w:bookmarkStart w:id="365" w:name="_Toc497394206"/>
      <w:bookmarkStart w:id="366" w:name="_Toc497400902"/>
      <w:bookmarkStart w:id="367" w:name="_Toc497401045"/>
      <w:bookmarkStart w:id="368" w:name="_Toc497401806"/>
      <w:bookmarkStart w:id="369" w:name="_Toc497402072"/>
      <w:bookmarkStart w:id="370" w:name="_Toc497404852"/>
      <w:bookmarkStart w:id="371" w:name="_Toc497404953"/>
      <w:bookmarkStart w:id="372" w:name="_Toc497461249"/>
      <w:bookmarkStart w:id="373" w:name="_Toc497461265"/>
      <w:bookmarkStart w:id="374" w:name="_Toc497462148"/>
      <w:bookmarkStart w:id="375" w:name="_Toc497465507"/>
      <w:bookmarkStart w:id="376" w:name="_Toc497466409"/>
      <w:bookmarkStart w:id="377" w:name="_Toc497466614"/>
      <w:bookmarkStart w:id="378" w:name="_Toc497466960"/>
      <w:bookmarkStart w:id="379" w:name="_Toc497467085"/>
      <w:bookmarkStart w:id="380" w:name="_Toc497468569"/>
      <w:bookmarkStart w:id="381" w:name="_Toc497473913"/>
      <w:bookmarkStart w:id="382" w:name="_Toc497474017"/>
      <w:bookmarkStart w:id="383" w:name="_Toc497474834"/>
      <w:bookmarkStart w:id="384" w:name="_Toc497475070"/>
      <w:bookmarkStart w:id="385" w:name="_Toc497475086"/>
      <w:bookmarkStart w:id="386" w:name="_Toc497475189"/>
      <w:bookmarkStart w:id="387" w:name="_Toc497475943"/>
      <w:bookmarkStart w:id="388" w:name="_Toc497475959"/>
      <w:bookmarkStart w:id="389" w:name="_Toc497476125"/>
      <w:bookmarkStart w:id="390" w:name="_Toc497476368"/>
      <w:bookmarkStart w:id="391" w:name="_Toc497732140"/>
      <w:bookmarkStart w:id="392" w:name="_Toc511375204"/>
      <w:bookmarkStart w:id="393" w:name="_Toc512591215"/>
      <w:bookmarkStart w:id="394" w:name="_Toc512592600"/>
      <w:bookmarkStart w:id="395" w:name="_Toc512610144"/>
      <w:r>
        <w:rPr>
          <w:rStyle w:val="CharSDivNo"/>
        </w:rPr>
        <w:t>Division 5</w:t>
      </w:r>
      <w:r>
        <w:rPr>
          <w:b w:val="0"/>
        </w:rPr>
        <w:t> — </w:t>
      </w:r>
      <w:r>
        <w:rPr>
          <w:rStyle w:val="CharSDivText"/>
        </w:rPr>
        <w:t xml:space="preserve">Provisions for </w:t>
      </w:r>
      <w:r>
        <w:rPr>
          <w:rStyle w:val="CharSDivText"/>
          <w:i/>
        </w:rPr>
        <w:t>Land Tax Assessment Amendment Act 2018</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yFootnoteheading"/>
      </w:pPr>
      <w:r>
        <w:tab/>
        <w:t>[Heading inserted by No. 5 of 2018 s. 8.]</w:t>
      </w:r>
    </w:p>
    <w:p>
      <w:pPr>
        <w:pStyle w:val="yHeading5"/>
      </w:pPr>
      <w:bookmarkStart w:id="396" w:name="_Toc520108041"/>
      <w:bookmarkStart w:id="397" w:name="_Toc512591216"/>
      <w:bookmarkStart w:id="398" w:name="_Toc512592601"/>
      <w:bookmarkStart w:id="399" w:name="_Toc512610145"/>
      <w:r>
        <w:rPr>
          <w:rStyle w:val="CharSClsNo"/>
        </w:rPr>
        <w:t>16</w:t>
      </w:r>
      <w:r>
        <w:t>.</w:t>
      </w:r>
      <w:r>
        <w:tab/>
        <w:t>Terms used</w:t>
      </w:r>
      <w:bookmarkEnd w:id="396"/>
      <w:bookmarkEnd w:id="397"/>
      <w:bookmarkEnd w:id="398"/>
      <w:bookmarkEnd w:id="399"/>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rPr>
        <w:t>Land Tax Assessment Amendment Act 2018</w:t>
      </w:r>
      <w:r>
        <w:t xml:space="preserve"> Part 2;</w:t>
      </w:r>
    </w:p>
    <w:p>
      <w:pPr>
        <w:pStyle w:val="yDefstart"/>
      </w:pPr>
      <w:r>
        <w:tab/>
      </w:r>
      <w:r>
        <w:rPr>
          <w:rStyle w:val="CharDefText"/>
        </w:rPr>
        <w:t>commencement</w:t>
      </w:r>
      <w:r>
        <w:t xml:space="preserve"> means the day on which the </w:t>
      </w:r>
      <w:r>
        <w:rPr>
          <w:i/>
        </w:rPr>
        <w:t>Land Tax Assessment Amendment Act 2018</w:t>
      </w:r>
      <w:r>
        <w:t xml:space="preserve"> Part 3 comes into operation;</w:t>
      </w:r>
    </w:p>
    <w:p>
      <w:pPr>
        <w:pStyle w:val="yDefstart"/>
      </w:pPr>
      <w:r>
        <w:tab/>
      </w:r>
      <w:r>
        <w:rPr>
          <w:rStyle w:val="CharDefText"/>
        </w:rPr>
        <w:t>former Act</w:t>
      </w:r>
      <w:r>
        <w:t xml:space="preserve"> means this Act as in force immediately before the provisions of the </w:t>
      </w:r>
      <w:r>
        <w:rPr>
          <w:i/>
        </w:rPr>
        <w:t>Land Tax Assessment Amendment Act 2018</w:t>
      </w:r>
      <w:r>
        <w:t xml:space="preserve"> came into operation, or were deemed to come into operation, under section 2 of that Act;</w:t>
      </w:r>
    </w:p>
    <w:p>
      <w:pPr>
        <w:pStyle w:val="yDefstart"/>
      </w:pPr>
      <w:r>
        <w:tab/>
      </w:r>
      <w:r>
        <w:rPr>
          <w:rStyle w:val="CharDefText"/>
        </w:rPr>
        <w:t>non</w:t>
      </w:r>
      <w:r>
        <w:rPr>
          <w:rStyle w:val="CharDefText"/>
        </w:rPr>
        <w:noBreakHyphen/>
        <w:t>public authority</w:t>
      </w:r>
      <w:r>
        <w:t xml:space="preserve"> means a body that — </w:t>
      </w:r>
    </w:p>
    <w:p>
      <w:pPr>
        <w:pStyle w:val="yDefpara"/>
      </w:pPr>
      <w:r>
        <w:tab/>
        <w:t>(a)</w:t>
      </w:r>
      <w:r>
        <w:tab/>
        <w:t>was a public statutory authority under the former Act; but</w:t>
      </w:r>
    </w:p>
    <w:p>
      <w:pPr>
        <w:pStyle w:val="yDefpara"/>
      </w:pPr>
      <w:r>
        <w:rPr>
          <w:szCs w:val="22"/>
        </w:rPr>
        <w:tab/>
        <w:t>(b)</w:t>
      </w:r>
      <w:r>
        <w:rPr>
          <w:szCs w:val="22"/>
        </w:rPr>
        <w:tab/>
      </w:r>
      <w:r>
        <w:t>is not a public statutory authority under the amended Act;</w:t>
      </w:r>
    </w:p>
    <w:p>
      <w:pPr>
        <w:pStyle w:val="yDefstart"/>
      </w:pPr>
      <w:r>
        <w:tab/>
      </w:r>
      <w:r>
        <w:rPr>
          <w:rStyle w:val="CharDefText"/>
        </w:rPr>
        <w:t>previous assessment</w:t>
      </w:r>
      <w:r>
        <w:t xml:space="preserve"> means an assessment for an assessment year during the validation period made on the basis that</w:t>
      </w:r>
      <w:r>
        <w:rPr>
          <w:szCs w:val="22"/>
        </w:rPr>
        <w:t xml:space="preserve"> — </w:t>
      </w:r>
    </w:p>
    <w:p>
      <w:pPr>
        <w:pStyle w:val="yDefpara"/>
      </w:pPr>
      <w:r>
        <w:tab/>
        <w:t>(a)</w:t>
      </w:r>
      <w:r>
        <w:tab/>
        <w:t>land owned by, or vested in, a non</w:t>
      </w:r>
      <w:r>
        <w:noBreakHyphen/>
        <w:t>public authority was not exempt under section 31(1) of the former Act; or</w:t>
      </w:r>
    </w:p>
    <w:p>
      <w:pPr>
        <w:pStyle w:val="yDefpara"/>
      </w:pPr>
      <w:r>
        <w:tab/>
        <w:t>(b)</w:t>
      </w:r>
      <w:r>
        <w:tab/>
        <w:t>section 8(1)(b) of the former Act did not apply in respect of land that a person was entitled to use for business, commercial, professional or trade purposes under an agreement or arrangement with a taxable authority;</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section"/>
      </w:pPr>
      <w:bookmarkStart w:id="400" w:name="_Toc512591217"/>
      <w:bookmarkStart w:id="401" w:name="_Toc512592602"/>
      <w:r>
        <w:tab/>
        <w:t>[Clause 16 inserted by No. 5 of 2018 s. 8.]</w:t>
      </w:r>
    </w:p>
    <w:p>
      <w:pPr>
        <w:pStyle w:val="yHeading5"/>
      </w:pPr>
      <w:bookmarkStart w:id="402" w:name="_Toc520108042"/>
      <w:bookmarkStart w:id="403" w:name="_Toc512610146"/>
      <w:r>
        <w:rPr>
          <w:rStyle w:val="CharSClsNo"/>
        </w:rPr>
        <w:t>17</w:t>
      </w:r>
      <w:r>
        <w:t>.</w:t>
      </w:r>
      <w:r>
        <w:tab/>
        <w:t>Validation of previous assessments</w:t>
      </w:r>
      <w:bookmarkEnd w:id="402"/>
      <w:bookmarkEnd w:id="400"/>
      <w:bookmarkEnd w:id="401"/>
      <w:bookmarkEnd w:id="403"/>
    </w:p>
    <w:p>
      <w:pPr>
        <w:pStyle w:val="ySubsection"/>
      </w:pPr>
      <w:r>
        <w:tab/>
        <w:t>(1)</w:t>
      </w:r>
      <w:r>
        <w:tab/>
        <w:t>A previous assessment made, or purported to be made, during the validation period is, and is to be taken to have always been, as valid and effective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18.</w:t>
      </w:r>
    </w:p>
    <w:p>
      <w:pPr>
        <w:pStyle w:val="yFootnotesection"/>
      </w:pPr>
      <w:bookmarkStart w:id="404" w:name="_Toc512591218"/>
      <w:bookmarkStart w:id="405" w:name="_Toc512592603"/>
      <w:r>
        <w:tab/>
        <w:t>[Clause 17 inserted by No. 5 of 2018 s. 8.]</w:t>
      </w:r>
    </w:p>
    <w:p>
      <w:pPr>
        <w:pStyle w:val="yHeading5"/>
        <w:pageBreakBefore/>
        <w:spacing w:before="0"/>
      </w:pPr>
      <w:bookmarkStart w:id="406" w:name="_Toc520108043"/>
      <w:bookmarkStart w:id="407" w:name="_Toc512610147"/>
      <w:r>
        <w:rPr>
          <w:rStyle w:val="CharSClsNo"/>
        </w:rPr>
        <w:t>18</w:t>
      </w:r>
      <w:r>
        <w:t>.</w:t>
      </w:r>
      <w:r>
        <w:tab/>
        <w:t>Land tax decisions made or pending</w:t>
      </w:r>
      <w:bookmarkEnd w:id="406"/>
      <w:bookmarkEnd w:id="404"/>
      <w:bookmarkEnd w:id="405"/>
      <w:bookmarkEnd w:id="407"/>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17 and a decision, the decision prevails.</w:t>
      </w:r>
    </w:p>
    <w:p>
      <w:pPr>
        <w:pStyle w:val="ySubsection"/>
      </w:pPr>
      <w:r>
        <w:tab/>
        <w:t>(3)</w:t>
      </w:r>
      <w:r>
        <w:tab/>
        <w:t xml:space="preserve">Despite the </w:t>
      </w:r>
      <w:r>
        <w:rPr>
          <w:i/>
        </w:rPr>
        <w:t>Land Tax Assessment Amendment Act 2018</w:t>
      </w:r>
      <w:r>
        <w:t xml:space="preserve"> section 2(a), the validity of a decision is not to be called into question on the grounds that it conflicts with or is inconsistent with the amended Act.</w:t>
      </w:r>
    </w:p>
    <w:p>
      <w:pPr>
        <w:pStyle w:val="ySubsection"/>
      </w:pPr>
      <w:r>
        <w:tab/>
        <w:t>(4)</w:t>
      </w:r>
      <w:r>
        <w:tab/>
        <w:t xml:space="preserve">Clause 17 does not apply to, or in respect of, a previous assessment to which paragraph (a) of the definition of </w:t>
      </w:r>
      <w:r>
        <w:rPr>
          <w:b/>
          <w:i/>
        </w:rPr>
        <w:t>previous assessment</w:t>
      </w:r>
      <w:r>
        <w:t xml:space="preserve"> in clause 16 applies if — </w:t>
      </w:r>
    </w:p>
    <w:p>
      <w:pPr>
        <w:pStyle w:val="yIndenta"/>
      </w:pPr>
      <w:r>
        <w:tab/>
        <w:t>(a)</w:t>
      </w:r>
      <w:r>
        <w:tab/>
        <w:t>an objection in respect of the assessment was lodged, but not finally determined by the Commissioner, under a land tax Act before 15 July 2015; or</w:t>
      </w:r>
    </w:p>
    <w:p>
      <w:pPr>
        <w:pStyle w:val="yIndenta"/>
      </w:pPr>
      <w:r>
        <w:tab/>
        <w:t>(b)</w:t>
      </w:r>
      <w:r>
        <w:tab/>
        <w:t>review proceedings in respect of the assessment were commenced, but not finally determined, under a land tax Act before 15 July 2015.</w:t>
      </w:r>
    </w:p>
    <w:p>
      <w:pPr>
        <w:pStyle w:val="ySubsection"/>
      </w:pPr>
      <w:r>
        <w:tab/>
        <w:t>(5)</w:t>
      </w:r>
      <w:r>
        <w:tab/>
        <w:t xml:space="preserve">Despite the amendments made by the </w:t>
      </w:r>
      <w:r>
        <w:rPr>
          <w:i/>
        </w:rPr>
        <w:t>Land Tax Assessment Amendment Act 2018</w:t>
      </w:r>
      <w:r>
        <w:t xml:space="preserve"> Part 2, the former Act continues to apply in respect of the determination of an objection or proceedings to which subclause (4) applies.</w:t>
      </w:r>
    </w:p>
    <w:p>
      <w:pPr>
        <w:pStyle w:val="yFootnotesection"/>
      </w:pPr>
      <w:bookmarkStart w:id="408" w:name="_Toc512591219"/>
      <w:bookmarkStart w:id="409" w:name="_Toc512592604"/>
      <w:r>
        <w:tab/>
        <w:t>[Clause 18 inserted by No. 5 of 2018 s. 8.]</w:t>
      </w:r>
    </w:p>
    <w:p>
      <w:pPr>
        <w:pStyle w:val="yHeading5"/>
      </w:pPr>
      <w:bookmarkStart w:id="410" w:name="_Toc520108044"/>
      <w:bookmarkStart w:id="411" w:name="_Toc512610148"/>
      <w:r>
        <w:rPr>
          <w:rStyle w:val="CharSClsNo"/>
        </w:rPr>
        <w:t>19</w:t>
      </w:r>
      <w:r>
        <w:t>.</w:t>
      </w:r>
      <w:r>
        <w:tab/>
        <w:t>Reassessment</w:t>
      </w:r>
      <w:bookmarkEnd w:id="410"/>
      <w:bookmarkEnd w:id="408"/>
      <w:bookmarkEnd w:id="409"/>
      <w:bookmarkEnd w:id="411"/>
    </w:p>
    <w:p>
      <w:pPr>
        <w:pStyle w:val="ySubsection"/>
      </w:pPr>
      <w:r>
        <w:tab/>
      </w:r>
      <w:r>
        <w:tab/>
        <w:t xml:space="preserve">Subject to the </w:t>
      </w:r>
      <w:r>
        <w:rPr>
          <w:i/>
        </w:rPr>
        <w:t>Taxation Administration Act 2003</w:t>
      </w:r>
      <w:r>
        <w:t xml:space="preserve"> section 17, the Commissioner may make any reassessment necessary to give effect to this Division and the amendments made by the </w:t>
      </w:r>
      <w:r>
        <w:rPr>
          <w:i/>
        </w:rPr>
        <w:t>Land Tax Assessment Amendment Act 2018</w:t>
      </w:r>
      <w:r>
        <w:t xml:space="preserve"> Part 2.</w:t>
      </w:r>
    </w:p>
    <w:p>
      <w:pPr>
        <w:pStyle w:val="yFootnotesection"/>
      </w:pPr>
      <w:r>
        <w:tab/>
        <w:t>[Clause 19 inserted by No. 5 of 2018 s. 8.]</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413" w:name="_Toc513124664"/>
      <w:bookmarkStart w:id="414" w:name="_Toc513125083"/>
      <w:bookmarkStart w:id="415" w:name="_Toc515529223"/>
      <w:bookmarkStart w:id="416" w:name="_Toc518998123"/>
      <w:bookmarkStart w:id="417" w:name="_Toc520108045"/>
      <w:bookmarkStart w:id="418" w:name="_Toc512610149"/>
      <w:r>
        <w:rPr>
          <w:rStyle w:val="CharSchNo"/>
        </w:rPr>
        <w:t>Glossary</w:t>
      </w:r>
      <w:bookmarkEnd w:id="413"/>
      <w:bookmarkEnd w:id="414"/>
      <w:bookmarkEnd w:id="415"/>
      <w:bookmarkEnd w:id="416"/>
      <w:bookmarkEnd w:id="417"/>
      <w:bookmarkEnd w:id="418"/>
      <w:r>
        <w:rPr>
          <w:rStyle w:val="CharSchText"/>
        </w:rPr>
        <w:t xml:space="preserve"> </w:t>
      </w:r>
    </w:p>
    <w:p>
      <w:pPr>
        <w:pStyle w:val="yShoulderClause"/>
        <w:spacing w:before="40"/>
      </w:pPr>
      <w:r>
        <w:t>[s. 4]</w:t>
      </w:r>
    </w:p>
    <w:p>
      <w:pPr>
        <w:pStyle w:val="yHeading5"/>
      </w:pPr>
      <w:bookmarkStart w:id="419" w:name="_Toc520108046"/>
      <w:bookmarkStart w:id="420" w:name="_Toc512610150"/>
      <w:r>
        <w:rPr>
          <w:rStyle w:val="CharSClsNo"/>
        </w:rPr>
        <w:t>1</w:t>
      </w:r>
      <w:r>
        <w:t>.</w:t>
      </w:r>
      <w:r>
        <w:tab/>
        <w:t>Terms used</w:t>
      </w:r>
      <w:bookmarkEnd w:id="419"/>
      <w:bookmarkEnd w:id="420"/>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w:t>
      </w:r>
      <w:ins w:id="421" w:author="svcMRProcess" w:date="2020-02-18T08:15:00Z">
        <w:r>
          <w:rPr>
            <w:vertAlign w:val="superscript"/>
          </w:rPr>
          <w:t> 2</w:t>
        </w:r>
      </w:ins>
      <w:r>
        <w:t>;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 </w:t>
      </w:r>
    </w:p>
    <w:p>
      <w:pPr>
        <w:pStyle w:val="yDefpara"/>
      </w:pPr>
      <w:r>
        <w:tab/>
        <w:t>(a)</w:t>
      </w:r>
      <w:r>
        <w:tab/>
        <w:t xml:space="preserve">a body, whether incorporated or not, that — </w:t>
      </w:r>
    </w:p>
    <w:p>
      <w:pPr>
        <w:pStyle w:val="yDefsubpara"/>
      </w:pPr>
      <w:r>
        <w:tab/>
        <w:t>(i)</w:t>
      </w:r>
      <w:r>
        <w:tab/>
        <w:t>is established or continued for a public purpose under a written law; and</w:t>
      </w:r>
    </w:p>
    <w:p>
      <w:pPr>
        <w:pStyle w:val="yDefsubpara"/>
      </w:pPr>
      <w:r>
        <w:tab/>
        <w:t>(ii)</w:t>
      </w:r>
      <w:r>
        <w:tab/>
        <w:t>under the authority of a written law, performs a statutory function on behalf of the State;</w:t>
      </w:r>
    </w:p>
    <w:p>
      <w:pPr>
        <w:pStyle w:val="yDefpara"/>
      </w:pPr>
      <w:r>
        <w:tab/>
      </w:r>
      <w:r>
        <w:tab/>
        <w:t>or</w:t>
      </w:r>
    </w:p>
    <w:p>
      <w:pPr>
        <w:pStyle w:val="yDefpara"/>
      </w:pPr>
      <w:r>
        <w:tab/>
        <w:t>(b)</w:t>
      </w:r>
      <w:r>
        <w:tab/>
        <w:t xml:space="preserve">the holder of an office, if — </w:t>
      </w:r>
    </w:p>
    <w:p>
      <w:pPr>
        <w:pStyle w:val="yDefsubpara"/>
      </w:pPr>
      <w:r>
        <w:tab/>
        <w:t>(i)</w:t>
      </w:r>
      <w:r>
        <w:tab/>
        <w:t>the office is established or continued for a public purpose under a written law; and</w:t>
      </w:r>
    </w:p>
    <w:p>
      <w:pPr>
        <w:pStyle w:val="yDefsubpara"/>
      </w:pPr>
      <w:r>
        <w:tab/>
        <w:t>(ii)</w:t>
      </w:r>
      <w:r>
        <w:tab/>
        <w:t>under the authority of a written law, the holder of the office performs a statutory function on behalf of the State;</w:t>
      </w:r>
    </w:p>
    <w:p>
      <w:pPr>
        <w:pStyle w:val="yDefstart"/>
      </w:pPr>
      <w:r>
        <w:tab/>
      </w:r>
      <w:r>
        <w:rPr>
          <w:rStyle w:val="CharDefText"/>
        </w:rPr>
        <w:t>registered</w:t>
      </w:r>
      <w:r>
        <w:t xml:space="preserve"> means registered in the office of the Land Information Authority, the Forests Department</w:t>
      </w:r>
      <w:r>
        <w:rPr>
          <w:vertAlign w:val="superscript"/>
        </w:rPr>
        <w:t> </w:t>
      </w:r>
      <w:del w:id="422" w:author="svcMRProcess" w:date="2020-02-18T08:15:00Z">
        <w:r>
          <w:rPr>
            <w:vertAlign w:val="superscript"/>
          </w:rPr>
          <w:delText>2</w:delText>
        </w:r>
      </w:del>
      <w:ins w:id="423" w:author="svcMRProcess" w:date="2020-02-18T08:15:00Z">
        <w:r>
          <w:rPr>
            <w:vertAlign w:val="superscript"/>
          </w:rPr>
          <w:t>3</w:t>
        </w:r>
      </w:ins>
      <w:r>
        <w:t>, or the Department of Mines</w:t>
      </w:r>
      <w:r>
        <w:rPr>
          <w:vertAlign w:val="superscript"/>
        </w:rPr>
        <w:t> </w:t>
      </w:r>
      <w:del w:id="424" w:author="svcMRProcess" w:date="2020-02-18T08:15:00Z">
        <w:r>
          <w:rPr>
            <w:vertAlign w:val="superscript"/>
          </w:rPr>
          <w:delText>3</w:delText>
        </w:r>
      </w:del>
      <w:ins w:id="425" w:author="svcMRProcess" w:date="2020-02-18T08:15:00Z">
        <w:r>
          <w:rPr>
            <w:vertAlign w:val="superscript"/>
          </w:rPr>
          <w:t>4</w:t>
        </w:r>
      </w:ins>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Footnotesection"/>
      </w:pPr>
      <w:r>
        <w:tab/>
        <w:t>[Clause 1 amended by No. 40 of 2003 s. 6; No. 12 of 2004 s. 5; No. 12 of 2005 s. 5; No. 38 of 2005 s. 15; No. 31 of 2006 s. 27; No. 60 of 2006 s. 142(2); No. 30 of 2008 s. 18(2); No. 19 of 2009 s. 12(1); No. 28 of 2010 s. 33(5)(a); No. 24 of 2011 s. 164(3); No. 1 of 2015 s. 8(1); No. 8 of 2015 s. 11; No. 5 of 2018 s. 7.]</w:t>
      </w:r>
    </w:p>
    <w:p>
      <w:pPr>
        <w:pStyle w:val="Footnotesection"/>
        <w:rPr>
          <w:ins w:id="426" w:author="svcMRProcess" w:date="2020-02-18T08:15:00Z"/>
        </w:rPr>
      </w:pPr>
      <w:ins w:id="427" w:author="svcMRProcess" w:date="2020-02-18T08:15:00Z">
        <w:r>
          <w:tab/>
          <w:t>[Clause 1, modifications have effect under the Commonwealth Places (Mirror Taxes Administration) Act 1999, see note 1M.]</w:t>
        </w:r>
      </w:ins>
    </w:p>
    <w:p>
      <w:pPr>
        <w:pStyle w:val="Footnotesection"/>
        <w:rPr>
          <w:ins w:id="428" w:author="svcMRProcess" w:date="2020-02-18T08:15:00Z"/>
        </w:rPr>
      </w:pPr>
      <w:ins w:id="429" w:author="svcMRProcess" w:date="2020-02-18T08:15:00Z">
        <w:r>
          <w:tab/>
          <w:t>[Clause 1, modifications have effect under the Commonwealth Places (Mirror Taxes) Act 1998 (Cth), see note 1MC.]</w:t>
        </w:r>
      </w:ins>
    </w:p>
    <w:p>
      <w:pPr>
        <w:pStyle w:val="yHeading5"/>
      </w:pPr>
      <w:bookmarkStart w:id="430" w:name="_Toc520108047"/>
      <w:bookmarkStart w:id="431" w:name="_Toc512610151"/>
      <w:r>
        <w:rPr>
          <w:rStyle w:val="CharSClsNo"/>
        </w:rPr>
        <w:t>2</w:t>
      </w:r>
      <w:r>
        <w:t>.</w:t>
      </w:r>
      <w:r>
        <w:tab/>
        <w:t>Lots and parcels of land</w:t>
      </w:r>
      <w:bookmarkEnd w:id="430"/>
      <w:bookmarkEnd w:id="431"/>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w:t>
      </w:r>
      <w:del w:id="432" w:author="svcMRProcess" w:date="2020-02-18T08:15:00Z">
        <w:r>
          <w:rPr>
            <w:vertAlign w:val="superscript"/>
          </w:rPr>
          <w:delText>4</w:delText>
        </w:r>
      </w:del>
      <w:ins w:id="433" w:author="svcMRProcess" w:date="2020-02-18T08:15:00Z">
        <w:r>
          <w:rPr>
            <w:vertAlign w:val="superscript"/>
          </w:rPr>
          <w:t>5</w:t>
        </w:r>
      </w:ins>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spacing w:before="60"/>
      </w:pPr>
      <w:r>
        <w:tab/>
        <w:t>(vii)</w:t>
      </w:r>
      <w:r>
        <w:tab/>
        <w:t>a lot depicted on a strata plan or survey</w:t>
      </w:r>
      <w:r>
        <w:noBreakHyphen/>
        <w:t>strata plan where the land the subject of the plan has been subdivided within the meaning given in clause 3(1)(d) or (e);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keepNext/>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434" w:name="_Toc520108048"/>
      <w:bookmarkStart w:id="435" w:name="_Toc512610152"/>
      <w:r>
        <w:rPr>
          <w:rStyle w:val="CharSClsNo"/>
        </w:rPr>
        <w:t>3</w:t>
      </w:r>
      <w:r>
        <w:t>.</w:t>
      </w:r>
      <w:r>
        <w:tab/>
        <w:t>Subdivided land</w:t>
      </w:r>
      <w:bookmarkEnd w:id="434"/>
      <w:bookmarkEnd w:id="435"/>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keepNext/>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an occupancy permit or a building approval certificate required under the </w:t>
      </w:r>
      <w:r>
        <w:rPr>
          <w:i/>
        </w:rPr>
        <w:t>Strata Titles Act 1985</w:t>
      </w:r>
      <w:r>
        <w:t xml:space="preserve"> section 5B(2) is granted under an application mentioned in the </w:t>
      </w:r>
      <w:r>
        <w:rPr>
          <w:i/>
        </w:rPr>
        <w:t>Building Act 2011</w:t>
      </w:r>
      <w:r>
        <w:t xml:space="preserve"> section 50(1)(a) or (b);</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by No. 55 of 2004 s. 584; No. 38 of 2005 s. 15; No. 30 of 2008 s. 18(6); No. 15 of 2015 s. 11.]</w:t>
      </w:r>
    </w:p>
    <w:p>
      <w:pPr>
        <w:pStyle w:val="yEdnotesection"/>
      </w:pPr>
      <w:r>
        <w:t>[</w:t>
      </w:r>
      <w:r>
        <w:rPr>
          <w:b/>
        </w:rPr>
        <w:t>4, 5.</w:t>
      </w:r>
      <w:r>
        <w:tab/>
        <w:t>Deleted by No. 1 of 2015 s. 8(2).]</w:t>
      </w:r>
    </w:p>
    <w:p>
      <w:pPr>
        <w:pStyle w:val="yHeading5"/>
      </w:pPr>
      <w:bookmarkStart w:id="436" w:name="_Toc520108049"/>
      <w:bookmarkStart w:id="437" w:name="_Toc512610153"/>
      <w:r>
        <w:rPr>
          <w:rStyle w:val="CharSClsNo"/>
        </w:rPr>
        <w:t>6</w:t>
      </w:r>
      <w:r>
        <w:t>.</w:t>
      </w:r>
      <w:r>
        <w:rPr>
          <w:b w:val="0"/>
        </w:rPr>
        <w:tab/>
      </w:r>
      <w:r>
        <w:t>Taxable value</w:t>
      </w:r>
      <w:bookmarkEnd w:id="436"/>
      <w:bookmarkEnd w:id="437"/>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keepLines/>
        <w:spacing w:before="200"/>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spacing w:before="200"/>
      </w:pPr>
      <w:r>
        <w:tab/>
        <w:t>(4)</w:t>
      </w:r>
      <w:r>
        <w:tab/>
        <w:t>The capped value of land at midnight on 30 June immediately before a financial year is —</w:t>
      </w:r>
    </w:p>
    <w:p>
      <w:pPr>
        <w:pStyle w:val="yIndenta"/>
        <w:spacing w:before="120"/>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spacing w:before="120"/>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spacing w:before="200"/>
      </w:pPr>
      <w:r>
        <w:tab/>
        <w:t>(5)</w:t>
      </w:r>
      <w:r>
        <w:tab/>
        <w:t xml:space="preserve">For the purposes of subclause (4)(b), if — </w:t>
      </w:r>
    </w:p>
    <w:p>
      <w:pPr>
        <w:pStyle w:val="yIndenta"/>
        <w:spacing w:before="120"/>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spacing w:before="120"/>
      </w:pPr>
      <w:r>
        <w:tab/>
        <w:t>(b)</w:t>
      </w:r>
      <w:r>
        <w:tab/>
        <w:t>the capped value of the lot can be used in determining the taxable value of the lot for the year,</w:t>
      </w:r>
    </w:p>
    <w:p>
      <w:pPr>
        <w:pStyle w:val="ySubsection"/>
        <w:spacing w:before="200"/>
      </w:pPr>
      <w:r>
        <w:tab/>
      </w:r>
      <w:r>
        <w:tab/>
        <w:t xml:space="preserve">then, in determining the capped value — </w:t>
      </w:r>
    </w:p>
    <w:p>
      <w:pPr>
        <w:pStyle w:val="yIndenta"/>
        <w:spacing w:before="120"/>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keepNext/>
        <w:spacing w:before="120"/>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by No. 19 of 2009 s. 12(3); amended by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438" w:name="_Toc513124669"/>
      <w:bookmarkStart w:id="439" w:name="_Toc513125088"/>
      <w:bookmarkStart w:id="440" w:name="_Toc515529228"/>
      <w:bookmarkStart w:id="441" w:name="_Toc518998128"/>
      <w:bookmarkStart w:id="442" w:name="_Toc520108050"/>
      <w:bookmarkStart w:id="443" w:name="_Toc512610154"/>
      <w:r>
        <w:t>Notes</w:t>
      </w:r>
      <w:bookmarkEnd w:id="438"/>
      <w:bookmarkEnd w:id="439"/>
      <w:bookmarkEnd w:id="440"/>
      <w:bookmarkEnd w:id="441"/>
      <w:bookmarkEnd w:id="442"/>
      <w:bookmarkEnd w:id="443"/>
    </w:p>
    <w:p>
      <w:pPr>
        <w:pStyle w:val="nSubsection"/>
        <w:rPr>
          <w:snapToGrid w:val="0"/>
        </w:rPr>
      </w:pPr>
      <w:r>
        <w:rPr>
          <w:snapToGrid w:val="0"/>
          <w:vertAlign w:val="superscript"/>
        </w:rPr>
        <w:t>1</w:t>
      </w:r>
      <w:r>
        <w:rPr>
          <w:snapToGrid w:val="0"/>
        </w:rPr>
        <w:tab/>
        <w:t xml:space="preserve">This </w:t>
      </w:r>
      <w:ins w:id="444" w:author="svcMRProcess" w:date="2020-02-18T08:15:00Z">
        <w:r>
          <w:rPr>
            <w:snapToGrid w:val="0"/>
          </w:rPr>
          <w:t xml:space="preserve">reprint </w:t>
        </w:r>
      </w:ins>
      <w:r>
        <w:rPr>
          <w:snapToGrid w:val="0"/>
        </w:rPr>
        <w:t>is a compilation</w:t>
      </w:r>
      <w:ins w:id="445" w:author="svcMRProcess" w:date="2020-02-18T08:15:00Z">
        <w:r>
          <w:rPr>
            <w:snapToGrid w:val="0"/>
          </w:rPr>
          <w:t xml:space="preserve"> as at 20 Jul 2018</w:t>
        </w:r>
      </w:ins>
      <w:r>
        <w:rPr>
          <w:snapToGrid w:val="0"/>
        </w:rPr>
        <w:t xml:space="preserve">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xml:space="preserve"> </w:t>
      </w:r>
      <w:del w:id="446" w:author="svcMRProcess" w:date="2020-02-18T08:15:00Z">
        <w:r>
          <w:rPr>
            <w:snapToGrid w:val="0"/>
            <w:vertAlign w:val="superscript"/>
          </w:rPr>
          <w:delText>5, </w:delText>
        </w:r>
      </w:del>
      <w:ins w:id="447" w:author="svcMRProcess" w:date="2020-02-18T08:15:00Z">
        <w:r>
          <w:rPr>
            <w:snapToGrid w:val="0"/>
            <w:vertAlign w:val="superscript"/>
          </w:rPr>
          <w:t xml:space="preserve">1M, 1MC, </w:t>
        </w:r>
      </w:ins>
      <w:r>
        <w:rPr>
          <w:snapToGrid w:val="0"/>
          <w:vertAlign w:val="superscript"/>
        </w:rPr>
        <w:t>6</w:t>
      </w:r>
      <w:del w:id="448" w:author="svcMRProcess" w:date="2020-02-18T08:15:00Z">
        <w:r>
          <w:rPr>
            <w:snapToGrid w:val="0"/>
            <w:vertAlign w:val="superscript"/>
          </w:rPr>
          <w:delText>, 7</w:delText>
        </w:r>
      </w:del>
      <w:r>
        <w:rPr>
          <w:snapToGrid w:val="0"/>
        </w:rPr>
        <w:t>.  The table also contains information about any reprint.</w:t>
      </w:r>
    </w:p>
    <w:p>
      <w:pPr>
        <w:pStyle w:val="nHeading3"/>
        <w:rPr>
          <w:snapToGrid w:val="0"/>
        </w:rPr>
      </w:pPr>
      <w:bookmarkStart w:id="449" w:name="_Toc520108051"/>
      <w:bookmarkStart w:id="450" w:name="_Toc512610155"/>
      <w:r>
        <w:rPr>
          <w:snapToGrid w:val="0"/>
        </w:rPr>
        <w:t>Compilation table</w:t>
      </w:r>
      <w:bookmarkEnd w:id="449"/>
      <w:bookmarkEnd w:id="450"/>
    </w:p>
    <w:tbl>
      <w:tblPr>
        <w:tblW w:w="7087" w:type="dxa"/>
        <w:tblInd w:w="28" w:type="dxa"/>
        <w:tblLayout w:type="fixed"/>
        <w:tblCellMar>
          <w:left w:w="56" w:type="dxa"/>
          <w:right w:w="56" w:type="dxa"/>
        </w:tblCellMar>
        <w:tblLook w:val="0000" w:firstRow="0" w:lastRow="0" w:firstColumn="0" w:lastColumn="0" w:noHBand="0" w:noVBand="0"/>
      </w:tblPr>
      <w:tblGrid>
        <w:gridCol w:w="2267"/>
        <w:gridCol w:w="1135"/>
        <w:gridCol w:w="1134"/>
        <w:gridCol w:w="2551"/>
      </w:tblGrid>
      <w:tr>
        <w:trPr>
          <w:tblHeader/>
        </w:trPr>
        <w:tc>
          <w:tcPr>
            <w:tcW w:w="2267"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7"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Land Tax Assessment Act 2002</w:t>
            </w:r>
          </w:p>
        </w:tc>
        <w:tc>
          <w:tcPr>
            <w:tcW w:w="1135" w:type="dxa"/>
            <w:tcBorders>
              <w:top w:val="single" w:sz="8" w:space="0" w:color="auto"/>
            </w:tcBorders>
          </w:tcPr>
          <w:p>
            <w:pPr>
              <w:pStyle w:val="nTable"/>
              <w:spacing w:after="40"/>
              <w:rPr>
                <w:rFonts w:ascii="Times New Roman" w:hAnsi="Times New Roman"/>
              </w:rPr>
            </w:pPr>
            <w:r>
              <w:rPr>
                <w:rFonts w:ascii="Times New Roman" w:hAnsi="Times New Roman"/>
              </w:rPr>
              <w:t>52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20 Mar 2003</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Gazette</w:t>
            </w:r>
            <w:r>
              <w:rPr>
                <w:rFonts w:ascii="Times New Roman" w:hAnsi="Times New Roman"/>
              </w:rPr>
              <w:t xml:space="preserve"> 27 Jun 2003 p. 2383)</w:t>
            </w:r>
          </w:p>
        </w:tc>
      </w:tr>
      <w:tr>
        <w:tc>
          <w:tcPr>
            <w:tcW w:w="2267" w:type="dxa"/>
          </w:tcPr>
          <w:p>
            <w:pPr>
              <w:pStyle w:val="nTable"/>
              <w:spacing w:after="40"/>
              <w:rPr>
                <w:rFonts w:ascii="Times New Roman" w:hAnsi="Times New Roman"/>
                <w:i/>
                <w:noProof/>
                <w:snapToGrid w:val="0"/>
              </w:rPr>
            </w:pPr>
            <w:r>
              <w:rPr>
                <w:rFonts w:ascii="Times New Roman" w:hAnsi="Times New Roman"/>
                <w:i/>
                <w:noProof/>
                <w:snapToGrid w:val="0"/>
              </w:rPr>
              <w:t>Acts Amendment (Equality of Status) Act 2003</w:t>
            </w:r>
            <w:r>
              <w:rPr>
                <w:rFonts w:ascii="Times New Roman" w:hAnsi="Times New Roman"/>
                <w:noProof/>
                <w:snapToGrid w:val="0"/>
              </w:rPr>
              <w:t xml:space="preserve"> Pt. 34</w:t>
            </w:r>
          </w:p>
        </w:tc>
        <w:tc>
          <w:tcPr>
            <w:tcW w:w="1135" w:type="dxa"/>
          </w:tcPr>
          <w:p>
            <w:pPr>
              <w:pStyle w:val="nTable"/>
              <w:spacing w:after="40"/>
              <w:rPr>
                <w:rFonts w:ascii="Times New Roman" w:hAnsi="Times New Roman"/>
              </w:rPr>
            </w:pPr>
            <w:r>
              <w:rPr>
                <w:rFonts w:ascii="Times New Roman" w:hAnsi="Times New Roman"/>
              </w:rPr>
              <w:t>28 of 2003</w:t>
            </w:r>
          </w:p>
        </w:tc>
        <w:tc>
          <w:tcPr>
            <w:tcW w:w="1134" w:type="dxa"/>
          </w:tcPr>
          <w:p>
            <w:pPr>
              <w:pStyle w:val="nTable"/>
              <w:spacing w:after="40"/>
              <w:rPr>
                <w:rFonts w:ascii="Times New Roman" w:hAnsi="Times New Roman"/>
              </w:rPr>
            </w:pPr>
            <w:r>
              <w:rPr>
                <w:rFonts w:ascii="Times New Roman" w:hAnsi="Times New Roman"/>
              </w:rPr>
              <w:t>22 May 2003</w:t>
            </w:r>
          </w:p>
        </w:tc>
        <w:tc>
          <w:tcPr>
            <w:tcW w:w="2551" w:type="dxa"/>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30 Jun 2003 p. 2579)</w:t>
            </w:r>
          </w:p>
        </w:tc>
      </w:tr>
      <w:tr>
        <w:tc>
          <w:tcPr>
            <w:tcW w:w="2267" w:type="dxa"/>
          </w:tcPr>
          <w:p>
            <w:pPr>
              <w:pStyle w:val="nTable"/>
              <w:spacing w:after="40"/>
              <w:rPr>
                <w:rFonts w:ascii="Times New Roman" w:hAnsi="Times New Roman"/>
                <w:noProof/>
                <w:snapToGrid w:val="0"/>
              </w:rPr>
            </w:pPr>
            <w:r>
              <w:rPr>
                <w:rFonts w:ascii="Times New Roman" w:hAnsi="Times New Roman"/>
                <w:i/>
                <w:noProof/>
                <w:snapToGrid w:val="0"/>
              </w:rPr>
              <w:t>Business Tax Review (Assessment) Act 2003</w:t>
            </w:r>
            <w:r>
              <w:rPr>
                <w:rFonts w:ascii="Times New Roman" w:hAnsi="Times New Roman"/>
                <w:noProof/>
                <w:snapToGrid w:val="0"/>
              </w:rPr>
              <w:t xml:space="preserve"> Pt. 2 and s. 8</w:t>
            </w:r>
            <w:r>
              <w:rPr>
                <w:rFonts w:ascii="Times New Roman" w:hAnsi="Times New Roman"/>
                <w:noProof/>
                <w:snapToGrid w:val="0"/>
                <w:vertAlign w:val="superscript"/>
              </w:rPr>
              <w:t> </w:t>
            </w:r>
            <w:del w:id="451" w:author="svcMRProcess" w:date="2020-02-18T08:15:00Z">
              <w:r>
                <w:rPr>
                  <w:rFonts w:ascii="Times New Roman" w:hAnsi="Times New Roman"/>
                  <w:noProof/>
                  <w:snapToGrid w:val="0"/>
                  <w:vertAlign w:val="superscript"/>
                </w:rPr>
                <w:delText>8</w:delText>
              </w:r>
            </w:del>
            <w:ins w:id="452" w:author="svcMRProcess" w:date="2020-02-18T08:15:00Z">
              <w:r>
                <w:rPr>
                  <w:rFonts w:ascii="Times New Roman" w:hAnsi="Times New Roman"/>
                  <w:noProof/>
                  <w:snapToGrid w:val="0"/>
                  <w:vertAlign w:val="superscript"/>
                </w:rPr>
                <w:t>7</w:t>
              </w:r>
            </w:ins>
          </w:p>
        </w:tc>
        <w:tc>
          <w:tcPr>
            <w:tcW w:w="1135" w:type="dxa"/>
          </w:tcPr>
          <w:p>
            <w:pPr>
              <w:pStyle w:val="nTable"/>
              <w:spacing w:after="40"/>
              <w:rPr>
                <w:rFonts w:ascii="Times New Roman" w:hAnsi="Times New Roman"/>
              </w:rPr>
            </w:pPr>
            <w:r>
              <w:rPr>
                <w:rFonts w:ascii="Times New Roman" w:hAnsi="Times New Roman"/>
              </w:rPr>
              <w:t>40 of 2003</w:t>
            </w:r>
          </w:p>
        </w:tc>
        <w:tc>
          <w:tcPr>
            <w:tcW w:w="1134" w:type="dxa"/>
          </w:tcPr>
          <w:p>
            <w:pPr>
              <w:pStyle w:val="nTable"/>
              <w:spacing w:after="40"/>
              <w:rPr>
                <w:rFonts w:ascii="Times New Roman" w:hAnsi="Times New Roman"/>
              </w:rPr>
            </w:pPr>
            <w:r>
              <w:rPr>
                <w:rFonts w:ascii="Times New Roman" w:hAnsi="Times New Roman"/>
              </w:rPr>
              <w:t>30 Jun 2003</w:t>
            </w:r>
          </w:p>
        </w:tc>
        <w:tc>
          <w:tcPr>
            <w:tcW w:w="2551" w:type="dxa"/>
          </w:tcPr>
          <w:p>
            <w:pPr>
              <w:pStyle w:val="nTable"/>
              <w:spacing w:after="40"/>
              <w:rPr>
                <w:rFonts w:ascii="Times New Roman" w:hAnsi="Times New Roman"/>
              </w:rPr>
            </w:pPr>
            <w:r>
              <w:rPr>
                <w:rFonts w:ascii="Times New Roman" w:hAnsi="Times New Roman"/>
              </w:rPr>
              <w:t xml:space="preserve">1 Jul 2003 (see s. 2(1) and (2) and </w:t>
            </w:r>
            <w:r>
              <w:rPr>
                <w:rFonts w:ascii="Times New Roman" w:hAnsi="Times New Roman"/>
                <w:i/>
              </w:rPr>
              <w:t xml:space="preserve">Gazette </w:t>
            </w:r>
            <w:r>
              <w:rPr>
                <w:rFonts w:ascii="Times New Roman" w:hAnsi="Times New Roman"/>
              </w:rPr>
              <w:t>27 Jun 2003 p. 2383)</w:t>
            </w:r>
          </w:p>
        </w:tc>
      </w:tr>
      <w:tr>
        <w:tc>
          <w:tcPr>
            <w:tcW w:w="2267" w:type="dxa"/>
          </w:tcPr>
          <w:p>
            <w:pPr>
              <w:pStyle w:val="nTable"/>
              <w:spacing w:after="40"/>
              <w:rPr>
                <w:rFonts w:ascii="Times New Roman" w:hAnsi="Times New Roman"/>
                <w:noProof/>
                <w:snapToGrid w:val="0"/>
              </w:rPr>
            </w:pPr>
            <w:r>
              <w:rPr>
                <w:rFonts w:ascii="Times New Roman" w:hAnsi="Times New Roman"/>
                <w:i/>
                <w:noProof/>
                <w:snapToGrid w:val="0"/>
              </w:rPr>
              <w:t>Business Tax Review (Assessment) Act (No. 2) 2003</w:t>
            </w:r>
            <w:r>
              <w:rPr>
                <w:rFonts w:ascii="Times New Roman" w:hAnsi="Times New Roman"/>
                <w:noProof/>
                <w:snapToGrid w:val="0"/>
              </w:rPr>
              <w:t xml:space="preserve"> s. 109</w:t>
            </w:r>
          </w:p>
        </w:tc>
        <w:tc>
          <w:tcPr>
            <w:tcW w:w="1135" w:type="dxa"/>
          </w:tcPr>
          <w:p>
            <w:pPr>
              <w:pStyle w:val="nTable"/>
              <w:spacing w:after="40"/>
              <w:rPr>
                <w:rFonts w:ascii="Times New Roman" w:hAnsi="Times New Roman"/>
              </w:rPr>
            </w:pPr>
            <w:r>
              <w:rPr>
                <w:rFonts w:ascii="Times New Roman" w:hAnsi="Times New Roman"/>
              </w:rPr>
              <w:t>66 of 2003</w:t>
            </w:r>
          </w:p>
        </w:tc>
        <w:tc>
          <w:tcPr>
            <w:tcW w:w="1134" w:type="dxa"/>
          </w:tcPr>
          <w:p>
            <w:pPr>
              <w:pStyle w:val="nTable"/>
              <w:spacing w:after="40"/>
              <w:rPr>
                <w:rFonts w:ascii="Times New Roman" w:hAnsi="Times New Roman"/>
              </w:rPr>
            </w:pPr>
            <w:r>
              <w:rPr>
                <w:rFonts w:ascii="Times New Roman" w:hAnsi="Times New Roman"/>
              </w:rPr>
              <w:t>5 Dec 2003</w:t>
            </w:r>
          </w:p>
        </w:tc>
        <w:tc>
          <w:tcPr>
            <w:tcW w:w="2551" w:type="dxa"/>
          </w:tcPr>
          <w:p>
            <w:pPr>
              <w:pStyle w:val="nTable"/>
              <w:spacing w:after="40"/>
              <w:rPr>
                <w:rFonts w:ascii="Times New Roman" w:hAnsi="Times New Roman"/>
              </w:rPr>
            </w:pPr>
            <w:r>
              <w:rPr>
                <w:rFonts w:ascii="Times New Roman" w:hAnsi="Times New Roman"/>
              </w:rPr>
              <w:t xml:space="preserve">1 Jul 2003 (see s. 2(5) and </w:t>
            </w:r>
            <w:r>
              <w:rPr>
                <w:rFonts w:ascii="Times New Roman" w:hAnsi="Times New Roman"/>
                <w:i/>
              </w:rPr>
              <w:t>Gazette</w:t>
            </w:r>
            <w:r>
              <w:rPr>
                <w:rFonts w:ascii="Times New Roman" w:hAnsi="Times New Roman"/>
              </w:rPr>
              <w:t xml:space="preserve"> 27 Jun 2003 p. 2383)</w:t>
            </w:r>
          </w:p>
        </w:tc>
      </w:tr>
      <w:tr>
        <w:tc>
          <w:tcPr>
            <w:tcW w:w="2267" w:type="dxa"/>
          </w:tcPr>
          <w:p>
            <w:pPr>
              <w:pStyle w:val="nTable"/>
              <w:spacing w:after="40"/>
              <w:rPr>
                <w:rFonts w:ascii="Times New Roman" w:hAnsi="Times New Roman"/>
                <w:noProof/>
                <w:snapToGrid w:val="0"/>
              </w:rPr>
            </w:pPr>
            <w:r>
              <w:rPr>
                <w:rFonts w:ascii="Times New Roman" w:hAnsi="Times New Roman"/>
                <w:i/>
                <w:noProof/>
                <w:snapToGrid w:val="0"/>
              </w:rPr>
              <w:t>Revenue Laws Amendment and Repeal Act 2004</w:t>
            </w:r>
            <w:r>
              <w:rPr>
                <w:rFonts w:ascii="Times New Roman" w:hAnsi="Times New Roman"/>
                <w:noProof/>
                <w:snapToGrid w:val="0"/>
              </w:rPr>
              <w:t xml:space="preserve"> Pt. 2</w:t>
            </w:r>
          </w:p>
        </w:tc>
        <w:tc>
          <w:tcPr>
            <w:tcW w:w="1135" w:type="dxa"/>
          </w:tcPr>
          <w:p>
            <w:pPr>
              <w:pStyle w:val="nTable"/>
              <w:spacing w:after="40"/>
              <w:rPr>
                <w:rFonts w:ascii="Times New Roman" w:hAnsi="Times New Roman"/>
              </w:rPr>
            </w:pPr>
            <w:r>
              <w:rPr>
                <w:rFonts w:ascii="Times New Roman" w:hAnsi="Times New Roman"/>
              </w:rPr>
              <w:t>12 of 2004</w:t>
            </w:r>
          </w:p>
        </w:tc>
        <w:tc>
          <w:tcPr>
            <w:tcW w:w="1134" w:type="dxa"/>
          </w:tcPr>
          <w:p>
            <w:pPr>
              <w:pStyle w:val="nTable"/>
              <w:spacing w:after="40"/>
              <w:rPr>
                <w:rFonts w:ascii="Times New Roman" w:hAnsi="Times New Roman"/>
              </w:rPr>
            </w:pPr>
            <w:r>
              <w:rPr>
                <w:rFonts w:ascii="Times New Roman" w:hAnsi="Times New Roman"/>
              </w:rPr>
              <w:t>29 Jun 2004</w:t>
            </w:r>
          </w:p>
        </w:tc>
        <w:tc>
          <w:tcPr>
            <w:tcW w:w="2551" w:type="dxa"/>
          </w:tcPr>
          <w:p>
            <w:pPr>
              <w:pStyle w:val="nTable"/>
              <w:spacing w:after="40"/>
              <w:rPr>
                <w:rFonts w:ascii="Times New Roman" w:hAnsi="Times New Roman"/>
              </w:rPr>
            </w:pPr>
            <w:r>
              <w:rPr>
                <w:rFonts w:ascii="Times New Roman" w:hAnsi="Times New Roman"/>
              </w:rPr>
              <w:t>1 Jul 2004 (see s. 2(2))</w:t>
            </w:r>
          </w:p>
        </w:tc>
      </w:tr>
      <w:tr>
        <w:tc>
          <w:tcPr>
            <w:tcW w:w="2267" w:type="dxa"/>
          </w:tcPr>
          <w:p>
            <w:pPr>
              <w:pStyle w:val="nTable"/>
              <w:spacing w:after="40"/>
              <w:rPr>
                <w:rFonts w:ascii="Times New Roman" w:hAnsi="Times New Roman"/>
                <w:i/>
                <w:noProof/>
                <w:snapToGrid w:val="0"/>
              </w:rPr>
            </w:pPr>
            <w:r>
              <w:rPr>
                <w:rFonts w:ascii="Times New Roman" w:hAnsi="Times New Roman"/>
                <w:i/>
                <w:noProof/>
                <w:snapToGrid w:val="0"/>
              </w:rPr>
              <w:t xml:space="preserve">State Administrative Tribunal (Conferral of Jurisdiction) Amendment and Repeal Act 2004 </w:t>
            </w:r>
            <w:r>
              <w:rPr>
                <w:rFonts w:ascii="Times New Roman" w:hAnsi="Times New Roman"/>
                <w:noProof/>
                <w:snapToGrid w:val="0"/>
              </w:rPr>
              <w:t>Pt. 2 Div. 69</w:t>
            </w:r>
            <w:r>
              <w:rPr>
                <w:rFonts w:ascii="Times New Roman" w:hAnsi="Times New Roman"/>
                <w:noProof/>
                <w:snapToGrid w:val="0"/>
                <w:vertAlign w:val="superscript"/>
              </w:rPr>
              <w:t> </w:t>
            </w:r>
            <w:del w:id="453" w:author="svcMRProcess" w:date="2020-02-18T08:15:00Z">
              <w:r>
                <w:rPr>
                  <w:rFonts w:ascii="Times New Roman" w:hAnsi="Times New Roman"/>
                  <w:noProof/>
                  <w:snapToGrid w:val="0"/>
                  <w:vertAlign w:val="superscript"/>
                </w:rPr>
                <w:delText>9</w:delText>
              </w:r>
            </w:del>
            <w:ins w:id="454" w:author="svcMRProcess" w:date="2020-02-18T08:15:00Z">
              <w:r>
                <w:rPr>
                  <w:rFonts w:ascii="Times New Roman" w:hAnsi="Times New Roman"/>
                  <w:noProof/>
                  <w:snapToGrid w:val="0"/>
                  <w:vertAlign w:val="superscript"/>
                </w:rPr>
                <w:t>8</w:t>
              </w:r>
            </w:ins>
          </w:p>
        </w:tc>
        <w:tc>
          <w:tcPr>
            <w:tcW w:w="1135" w:type="dxa"/>
          </w:tcPr>
          <w:p>
            <w:pPr>
              <w:pStyle w:val="nTable"/>
              <w:spacing w:after="40"/>
              <w:rPr>
                <w:rFonts w:ascii="Times New Roman" w:hAnsi="Times New Roman"/>
              </w:rPr>
            </w:pPr>
            <w:r>
              <w:rPr>
                <w:rFonts w:ascii="Times New Roman" w:hAnsi="Times New Roman"/>
              </w:rPr>
              <w:t>55 of 2004</w:t>
            </w:r>
          </w:p>
        </w:tc>
        <w:tc>
          <w:tcPr>
            <w:tcW w:w="1134" w:type="dxa"/>
          </w:tcPr>
          <w:p>
            <w:pPr>
              <w:pStyle w:val="nTable"/>
              <w:spacing w:after="40"/>
              <w:rPr>
                <w:rFonts w:ascii="Times New Roman" w:hAnsi="Times New Roman"/>
              </w:rPr>
            </w:pPr>
            <w:r>
              <w:rPr>
                <w:rFonts w:ascii="Times New Roman" w:hAnsi="Times New Roman"/>
              </w:rPr>
              <w:t>24 Nov 2004</w:t>
            </w:r>
          </w:p>
        </w:tc>
        <w:tc>
          <w:tcPr>
            <w:tcW w:w="2551" w:type="dxa"/>
          </w:tcPr>
          <w:p>
            <w:pPr>
              <w:pStyle w:val="nTable"/>
              <w:spacing w:after="40"/>
              <w:rPr>
                <w:rFonts w:ascii="Times New Roman" w:hAnsi="Times New Roman"/>
              </w:rPr>
            </w:pPr>
            <w:r>
              <w:rPr>
                <w:rFonts w:ascii="Times New Roman" w:hAnsi="Times New Roman"/>
              </w:rPr>
              <w:t xml:space="preserve">1 Jan 2005 (see s. 2 and </w:t>
            </w:r>
            <w:r>
              <w:rPr>
                <w:rFonts w:ascii="Times New Roman" w:hAnsi="Times New Roman"/>
                <w:i/>
              </w:rPr>
              <w:t>Gazette</w:t>
            </w:r>
            <w:r>
              <w:rPr>
                <w:rFonts w:ascii="Times New Roman" w:hAnsi="Times New Roman"/>
              </w:rPr>
              <w:t xml:space="preserve"> 31 Dec 2004 p. 7130)</w:t>
            </w:r>
          </w:p>
        </w:tc>
      </w:tr>
      <w:tr>
        <w:tc>
          <w:tcPr>
            <w:tcW w:w="2267"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3) 2005</w:t>
            </w:r>
            <w:r>
              <w:rPr>
                <w:rFonts w:ascii="Times New Roman" w:hAnsi="Times New Roman"/>
                <w:noProof/>
                <w:snapToGrid w:val="0"/>
              </w:rPr>
              <w:t xml:space="preserve"> Pt. 3</w:t>
            </w:r>
          </w:p>
        </w:tc>
        <w:tc>
          <w:tcPr>
            <w:tcW w:w="1135" w:type="dxa"/>
          </w:tcPr>
          <w:p>
            <w:pPr>
              <w:pStyle w:val="nTable"/>
              <w:spacing w:after="40"/>
              <w:rPr>
                <w:rFonts w:ascii="Times New Roman" w:hAnsi="Times New Roman"/>
              </w:rPr>
            </w:pPr>
            <w:r>
              <w:rPr>
                <w:rFonts w:ascii="Times New Roman" w:hAnsi="Times New Roman"/>
              </w:rPr>
              <w:t>10 of 2005</w:t>
            </w:r>
          </w:p>
        </w:tc>
        <w:tc>
          <w:tcPr>
            <w:tcW w:w="1134" w:type="dxa"/>
          </w:tcPr>
          <w:p>
            <w:pPr>
              <w:pStyle w:val="nTable"/>
              <w:spacing w:after="40"/>
              <w:rPr>
                <w:rFonts w:ascii="Times New Roman" w:hAnsi="Times New Roman"/>
              </w:rPr>
            </w:pPr>
            <w:r>
              <w:rPr>
                <w:rFonts w:ascii="Times New Roman" w:hAnsi="Times New Roman"/>
              </w:rPr>
              <w:t>29 Aug 2005</w:t>
            </w:r>
          </w:p>
        </w:tc>
        <w:tc>
          <w:tcPr>
            <w:tcW w:w="2551" w:type="dxa"/>
          </w:tcPr>
          <w:p>
            <w:pPr>
              <w:pStyle w:val="nTable"/>
              <w:spacing w:after="40"/>
              <w:rPr>
                <w:rFonts w:ascii="Times New Roman" w:hAnsi="Times New Roman"/>
              </w:rPr>
            </w:pPr>
            <w:r>
              <w:rPr>
                <w:rFonts w:ascii="Times New Roman" w:hAnsi="Times New Roman"/>
              </w:rPr>
              <w:t>1 Jul 2005 (see s. 2(2))</w:t>
            </w:r>
          </w:p>
        </w:tc>
      </w:tr>
      <w:tr>
        <w:trPr>
          <w:cantSplit/>
        </w:trPr>
        <w:tc>
          <w:tcPr>
            <w:tcW w:w="2267"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2) 2005</w:t>
            </w:r>
            <w:r>
              <w:rPr>
                <w:rFonts w:ascii="Times New Roman" w:hAnsi="Times New Roman"/>
                <w:noProof/>
                <w:snapToGrid w:val="0"/>
              </w:rPr>
              <w:t xml:space="preserve"> Pt. 2 (s. 3</w:t>
            </w:r>
            <w:r>
              <w:rPr>
                <w:rFonts w:ascii="Times New Roman" w:hAnsi="Times New Roman"/>
                <w:noProof/>
                <w:snapToGrid w:val="0"/>
              </w:rPr>
              <w:noBreakHyphen/>
              <w:t>5)</w:t>
            </w:r>
          </w:p>
        </w:tc>
        <w:tc>
          <w:tcPr>
            <w:tcW w:w="1135" w:type="dxa"/>
          </w:tcPr>
          <w:p>
            <w:pPr>
              <w:pStyle w:val="nTable"/>
              <w:spacing w:after="40"/>
              <w:rPr>
                <w:rFonts w:ascii="Times New Roman" w:hAnsi="Times New Roman"/>
                <w:noProof/>
                <w:snapToGrid w:val="0"/>
              </w:rPr>
            </w:pPr>
            <w:r>
              <w:rPr>
                <w:rFonts w:ascii="Times New Roman" w:hAnsi="Times New Roman"/>
                <w:noProof/>
                <w:snapToGrid w:val="0"/>
              </w:rPr>
              <w:t>12 of 2005</w:t>
            </w:r>
          </w:p>
        </w:tc>
        <w:tc>
          <w:tcPr>
            <w:tcW w:w="1134" w:type="dxa"/>
          </w:tcPr>
          <w:p>
            <w:pPr>
              <w:pStyle w:val="nTable"/>
              <w:spacing w:after="40"/>
              <w:rPr>
                <w:rFonts w:ascii="Times New Roman" w:hAnsi="Times New Roman"/>
                <w:noProof/>
                <w:snapToGrid w:val="0"/>
              </w:rPr>
            </w:pPr>
            <w:r>
              <w:rPr>
                <w:rFonts w:ascii="Times New Roman" w:hAnsi="Times New Roman"/>
                <w:noProof/>
                <w:snapToGrid w:val="0"/>
              </w:rPr>
              <w:t>30 Aug 2005</w:t>
            </w:r>
          </w:p>
        </w:tc>
        <w:tc>
          <w:tcPr>
            <w:tcW w:w="2551" w:type="dxa"/>
          </w:tcPr>
          <w:p>
            <w:pPr>
              <w:pStyle w:val="nTable"/>
              <w:spacing w:after="40"/>
              <w:rPr>
                <w:rFonts w:ascii="Times New Roman" w:hAnsi="Times New Roman"/>
                <w:noProof/>
                <w:snapToGrid w:val="0"/>
              </w:rPr>
            </w:pPr>
            <w:r>
              <w:rPr>
                <w:rFonts w:ascii="Times New Roman" w:hAnsi="Times New Roman"/>
                <w:noProof/>
                <w:snapToGrid w:val="0"/>
              </w:rPr>
              <w:t>s. 5: 1 Jul 2003 (see s. 2(2));</w:t>
            </w:r>
            <w:r>
              <w:rPr>
                <w:rFonts w:ascii="Times New Roman" w:hAnsi="Times New Roman"/>
                <w:noProof/>
                <w:snapToGrid w:val="0"/>
              </w:rPr>
              <w:br/>
              <w:t>s. 3 and 4: 30 Aug 2005 (see s. 2(1))</w:t>
            </w:r>
          </w:p>
        </w:tc>
      </w:tr>
      <w:tr>
        <w:trPr>
          <w:cantSplit/>
        </w:trPr>
        <w:tc>
          <w:tcPr>
            <w:tcW w:w="2267" w:type="dxa"/>
          </w:tcPr>
          <w:p>
            <w:pPr>
              <w:pStyle w:val="nTable"/>
              <w:spacing w:after="40"/>
              <w:rPr>
                <w:rFonts w:ascii="Times New Roman" w:hAnsi="Times New Roman"/>
                <w:i/>
                <w:noProof/>
                <w:snapToGrid w:val="0"/>
              </w:rPr>
            </w:pPr>
            <w:r>
              <w:rPr>
                <w:rFonts w:ascii="Times New Roman" w:hAnsi="Times New Roman"/>
                <w:i/>
                <w:noProof/>
                <w:snapToGrid w:val="0"/>
              </w:rPr>
              <w:t>Planning and Development (Consequential and Transitional Provisions) Act 2005</w:t>
            </w:r>
            <w:r>
              <w:rPr>
                <w:rFonts w:ascii="Times New Roman" w:hAnsi="Times New Roman"/>
                <w:noProof/>
                <w:snapToGrid w:val="0"/>
              </w:rPr>
              <w:t xml:space="preserve"> s. 15</w:t>
            </w:r>
          </w:p>
        </w:tc>
        <w:tc>
          <w:tcPr>
            <w:tcW w:w="1135" w:type="dxa"/>
          </w:tcPr>
          <w:p>
            <w:pPr>
              <w:pStyle w:val="nTable"/>
              <w:spacing w:after="40"/>
              <w:rPr>
                <w:rFonts w:ascii="Times New Roman" w:hAnsi="Times New Roman"/>
                <w:noProof/>
                <w:snapToGrid w:val="0"/>
              </w:rPr>
            </w:pPr>
            <w:r>
              <w:rPr>
                <w:rFonts w:ascii="Times New Roman" w:hAnsi="Times New Roman"/>
                <w:noProof/>
                <w:snapToGrid w:val="0"/>
              </w:rPr>
              <w:t>38 of 2005</w:t>
            </w:r>
          </w:p>
        </w:tc>
        <w:tc>
          <w:tcPr>
            <w:tcW w:w="1134" w:type="dxa"/>
          </w:tcPr>
          <w:p>
            <w:pPr>
              <w:pStyle w:val="nTable"/>
              <w:spacing w:after="40"/>
              <w:rPr>
                <w:rFonts w:ascii="Times New Roman" w:hAnsi="Times New Roman"/>
                <w:noProof/>
                <w:snapToGrid w:val="0"/>
              </w:rPr>
            </w:pPr>
            <w:r>
              <w:rPr>
                <w:rFonts w:ascii="Times New Roman" w:hAnsi="Times New Roman"/>
                <w:noProof/>
                <w:snapToGrid w:val="0"/>
              </w:rPr>
              <w:t>12 Dec 2005</w:t>
            </w:r>
          </w:p>
        </w:tc>
        <w:tc>
          <w:tcPr>
            <w:tcW w:w="2551" w:type="dxa"/>
          </w:tcPr>
          <w:p>
            <w:pPr>
              <w:pStyle w:val="nTable"/>
              <w:spacing w:after="40"/>
              <w:rPr>
                <w:rFonts w:ascii="Times New Roman" w:hAnsi="Times New Roman"/>
                <w:noProof/>
                <w:snapToGrid w:val="0"/>
              </w:rPr>
            </w:pPr>
            <w:r>
              <w:rPr>
                <w:rFonts w:ascii="Times New Roman" w:hAnsi="Times New Roman"/>
                <w:noProof/>
                <w:snapToGrid w:val="0"/>
              </w:rPr>
              <w:t xml:space="preserve">9 Apr 2006 (see s. 2 and </w:t>
            </w:r>
            <w:r>
              <w:rPr>
                <w:rFonts w:ascii="Times New Roman" w:hAnsi="Times New Roman"/>
                <w:i/>
                <w:noProof/>
                <w:snapToGrid w:val="0"/>
              </w:rPr>
              <w:t>Gazette</w:t>
            </w:r>
            <w:r>
              <w:rPr>
                <w:rFonts w:ascii="Times New Roman" w:hAnsi="Times New Roman"/>
                <w:noProof/>
                <w:snapToGrid w:val="0"/>
              </w:rPr>
              <w:t xml:space="preserve"> 21 Mar 2006 p. 1078)</w:t>
            </w:r>
          </w:p>
        </w:tc>
      </w:tr>
      <w:tr>
        <w:trPr>
          <w:cantSplit/>
        </w:trPr>
        <w:tc>
          <w:tcPr>
            <w:tcW w:w="2267" w:type="dxa"/>
          </w:tcPr>
          <w:p>
            <w:pPr>
              <w:pStyle w:val="nTable"/>
              <w:spacing w:after="40"/>
              <w:rPr>
                <w:rFonts w:ascii="Times New Roman" w:hAnsi="Times New Roman"/>
                <w:i/>
                <w:noProof/>
                <w:snapToGrid w:val="0"/>
              </w:rPr>
            </w:pPr>
            <w:r>
              <w:rPr>
                <w:rFonts w:ascii="Times New Roman" w:hAnsi="Times New Roman"/>
                <w:i/>
              </w:rPr>
              <w:t xml:space="preserve">Revenue Laws Amendment Act 2006 </w:t>
            </w:r>
            <w:r>
              <w:rPr>
                <w:rFonts w:ascii="Times New Roman" w:hAnsi="Times New Roman"/>
              </w:rPr>
              <w:t>Pt. 4 (s. 19</w:t>
            </w:r>
            <w:r>
              <w:rPr>
                <w:rFonts w:ascii="Times New Roman" w:hAnsi="Times New Roman"/>
              </w:rPr>
              <w:noBreakHyphen/>
              <w:t>30)</w:t>
            </w:r>
          </w:p>
        </w:tc>
        <w:tc>
          <w:tcPr>
            <w:tcW w:w="1135" w:type="dxa"/>
          </w:tcPr>
          <w:p>
            <w:pPr>
              <w:pStyle w:val="nTable"/>
              <w:spacing w:after="40"/>
              <w:rPr>
                <w:rFonts w:ascii="Times New Roman" w:hAnsi="Times New Roman"/>
                <w:noProof/>
                <w:snapToGrid w:val="0"/>
              </w:rPr>
            </w:pPr>
            <w:r>
              <w:rPr>
                <w:rFonts w:ascii="Times New Roman" w:hAnsi="Times New Roman"/>
                <w:noProof/>
                <w:snapToGrid w:val="0"/>
              </w:rPr>
              <w:t>31 of 2006</w:t>
            </w:r>
          </w:p>
        </w:tc>
        <w:tc>
          <w:tcPr>
            <w:tcW w:w="1134" w:type="dxa"/>
          </w:tcPr>
          <w:p>
            <w:pPr>
              <w:pStyle w:val="nTable"/>
              <w:spacing w:after="40"/>
              <w:rPr>
                <w:rFonts w:ascii="Times New Roman" w:hAnsi="Times New Roman"/>
                <w:noProof/>
                <w:snapToGrid w:val="0"/>
              </w:rPr>
            </w:pPr>
            <w:r>
              <w:rPr>
                <w:rFonts w:ascii="Times New Roman" w:hAnsi="Times New Roman"/>
              </w:rPr>
              <w:t>4 Jul 2006</w:t>
            </w:r>
          </w:p>
        </w:tc>
        <w:tc>
          <w:tcPr>
            <w:tcW w:w="2551" w:type="dxa"/>
          </w:tcPr>
          <w:p>
            <w:pPr>
              <w:pStyle w:val="nTable"/>
              <w:spacing w:after="40"/>
              <w:rPr>
                <w:rFonts w:ascii="Times New Roman" w:hAnsi="Times New Roman"/>
                <w:noProof/>
                <w:snapToGrid w:val="0"/>
              </w:rPr>
            </w:pPr>
            <w:r>
              <w:rPr>
                <w:rFonts w:ascii="Times New Roman" w:hAnsi="Times New Roman"/>
              </w:rPr>
              <w:t>s. 20</w:t>
            </w:r>
            <w:r>
              <w:rPr>
                <w:rFonts w:ascii="Times New Roman" w:hAnsi="Times New Roman"/>
              </w:rPr>
              <w:noBreakHyphen/>
              <w:t>27 and 29 and 30: 1 Jul 2006 (see s. 2(5));</w:t>
            </w:r>
            <w:r>
              <w:rPr>
                <w:rFonts w:ascii="Times New Roman" w:hAnsi="Times New Roman"/>
              </w:rPr>
              <w:br/>
              <w:t>s. 19 and 28: 4 Jul 2006 (see s. 2(1))</w:t>
            </w:r>
          </w:p>
        </w:tc>
      </w:tr>
      <w:tr>
        <w:trPr>
          <w:cantSplit/>
        </w:trPr>
        <w:tc>
          <w:tcPr>
            <w:tcW w:w="7087" w:type="dxa"/>
            <w:gridSpan w:val="4"/>
          </w:tcPr>
          <w:p>
            <w:pPr>
              <w:pStyle w:val="nTable"/>
              <w:spacing w:after="40"/>
              <w:rPr>
                <w:rFonts w:ascii="Times New Roman" w:hAnsi="Times New Roman"/>
              </w:rPr>
            </w:pPr>
            <w:r>
              <w:rPr>
                <w:rFonts w:ascii="Times New Roman" w:hAnsi="Times New Roman"/>
                <w:b/>
                <w:noProof/>
                <w:snapToGrid w:val="0"/>
              </w:rPr>
              <w:t xml:space="preserve">Reprint 1: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11 Aug 2006 </w:t>
            </w:r>
            <w:r>
              <w:rPr>
                <w:rFonts w:ascii="Times New Roman" w:hAnsi="Times New Roman"/>
                <w:noProof/>
                <w:snapToGrid w:val="0"/>
              </w:rPr>
              <w:t>(includes amendments listed above)</w:t>
            </w:r>
          </w:p>
        </w:tc>
      </w:tr>
      <w:tr>
        <w:trPr>
          <w:cantSplit/>
        </w:trPr>
        <w:tc>
          <w:tcPr>
            <w:tcW w:w="2267" w:type="dxa"/>
          </w:tcPr>
          <w:p>
            <w:pPr>
              <w:pStyle w:val="nTable"/>
              <w:spacing w:after="40"/>
              <w:rPr>
                <w:rFonts w:ascii="Times New Roman" w:hAnsi="Times New Roman"/>
                <w:i/>
                <w:noProof/>
                <w:snapToGrid w:val="0"/>
              </w:rPr>
            </w:pPr>
            <w:r>
              <w:rPr>
                <w:rFonts w:ascii="Times New Roman" w:hAnsi="Times New Roman"/>
                <w:i/>
                <w:snapToGrid w:val="0"/>
              </w:rPr>
              <w:t>Land Information Authority Act 2006</w:t>
            </w:r>
            <w:r>
              <w:rPr>
                <w:rFonts w:ascii="Times New Roman" w:hAnsi="Times New Roman"/>
                <w:snapToGrid w:val="0"/>
              </w:rPr>
              <w:t xml:space="preserve"> s. 142</w:t>
            </w:r>
          </w:p>
        </w:tc>
        <w:tc>
          <w:tcPr>
            <w:tcW w:w="1135" w:type="dxa"/>
          </w:tcPr>
          <w:p>
            <w:pPr>
              <w:pStyle w:val="nTable"/>
              <w:spacing w:after="40"/>
              <w:rPr>
                <w:rFonts w:ascii="Times New Roman" w:hAnsi="Times New Roman"/>
                <w:noProof/>
                <w:snapToGrid w:val="0"/>
              </w:rPr>
            </w:pPr>
            <w:r>
              <w:rPr>
                <w:rFonts w:ascii="Times New Roman" w:hAnsi="Times New Roman"/>
                <w:snapToGrid w:val="0"/>
              </w:rPr>
              <w:t>60 of 2006</w:t>
            </w:r>
          </w:p>
        </w:tc>
        <w:tc>
          <w:tcPr>
            <w:tcW w:w="1134" w:type="dxa"/>
          </w:tcPr>
          <w:p>
            <w:pPr>
              <w:pStyle w:val="nTable"/>
              <w:spacing w:after="40"/>
              <w:rPr>
                <w:rFonts w:ascii="Times New Roman" w:hAnsi="Times New Roman"/>
                <w:noProof/>
                <w:snapToGrid w:val="0"/>
              </w:rPr>
            </w:pPr>
            <w:r>
              <w:rPr>
                <w:rFonts w:ascii="Times New Roman" w:hAnsi="Times New Roman"/>
                <w:snapToGrid w:val="0"/>
              </w:rPr>
              <w:t>16 Nov 2006</w:t>
            </w:r>
          </w:p>
        </w:tc>
        <w:tc>
          <w:tcPr>
            <w:tcW w:w="2551" w:type="dxa"/>
          </w:tcPr>
          <w:p>
            <w:pPr>
              <w:pStyle w:val="nTable"/>
              <w:spacing w:after="40"/>
              <w:rPr>
                <w:rFonts w:ascii="Times New Roman" w:hAnsi="Times New Roman"/>
                <w:noProof/>
                <w:snapToGrid w:val="0"/>
              </w:rPr>
            </w:pPr>
            <w:r>
              <w:rPr>
                <w:rFonts w:ascii="Times New Roman" w:hAnsi="Times New Roman"/>
                <w:noProof/>
                <w:snapToGrid w:val="0"/>
              </w:rPr>
              <w:t xml:space="preserve">1 Jan 2007 (see s. 2(1) and </w:t>
            </w:r>
            <w:r>
              <w:rPr>
                <w:rFonts w:ascii="Times New Roman" w:hAnsi="Times New Roman"/>
                <w:i/>
                <w:iCs/>
                <w:noProof/>
                <w:snapToGrid w:val="0"/>
              </w:rPr>
              <w:t xml:space="preserve">Gazette </w:t>
            </w:r>
            <w:r>
              <w:rPr>
                <w:rFonts w:ascii="Times New Roman" w:hAnsi="Times New Roman"/>
                <w:noProof/>
                <w:snapToGrid w:val="0"/>
              </w:rPr>
              <w:t>8 Dec 2006 p. 5369)</w:t>
            </w:r>
          </w:p>
        </w:tc>
      </w:tr>
      <w:tr>
        <w:trPr>
          <w:cantSplit/>
        </w:trPr>
        <w:tc>
          <w:tcPr>
            <w:tcW w:w="2267" w:type="dxa"/>
          </w:tcPr>
          <w:p>
            <w:pPr>
              <w:pStyle w:val="nTable"/>
              <w:spacing w:after="40"/>
              <w:rPr>
                <w:rFonts w:ascii="Times New Roman" w:hAnsi="Times New Roman"/>
                <w:i/>
                <w:snapToGrid w:val="0"/>
              </w:rPr>
            </w:pPr>
            <w:r>
              <w:rPr>
                <w:rFonts w:ascii="Times New Roman" w:hAnsi="Times New Roman"/>
                <w:i/>
                <w:snapToGrid w:val="0"/>
              </w:rPr>
              <w:t xml:space="preserve">Liquor and Gaming Legislation Amendment Act 2006 </w:t>
            </w:r>
            <w:r>
              <w:rPr>
                <w:rFonts w:ascii="Times New Roman" w:hAnsi="Times New Roman"/>
                <w:snapToGrid w:val="0"/>
              </w:rPr>
              <w:t>s. 114</w:t>
            </w:r>
          </w:p>
        </w:tc>
        <w:tc>
          <w:tcPr>
            <w:tcW w:w="1135" w:type="dxa"/>
          </w:tcPr>
          <w:p>
            <w:pPr>
              <w:pStyle w:val="nTable"/>
              <w:spacing w:after="40"/>
              <w:rPr>
                <w:rFonts w:ascii="Times New Roman" w:hAnsi="Times New Roman"/>
                <w:snapToGrid w:val="0"/>
              </w:rPr>
            </w:pPr>
            <w:r>
              <w:rPr>
                <w:rFonts w:ascii="Times New Roman" w:hAnsi="Times New Roman"/>
                <w:snapToGrid w:val="0"/>
              </w:rPr>
              <w:t>73 of 2006</w:t>
            </w:r>
          </w:p>
        </w:tc>
        <w:tc>
          <w:tcPr>
            <w:tcW w:w="1134" w:type="dxa"/>
          </w:tcPr>
          <w:p>
            <w:pPr>
              <w:pStyle w:val="nTable"/>
              <w:spacing w:after="40"/>
              <w:rPr>
                <w:rFonts w:ascii="Times New Roman" w:hAnsi="Times New Roman"/>
                <w:snapToGrid w:val="0"/>
              </w:rPr>
            </w:pPr>
            <w:r>
              <w:rPr>
                <w:rFonts w:ascii="Times New Roman" w:hAnsi="Times New Roman"/>
                <w:snapToGrid w:val="0"/>
              </w:rPr>
              <w:t>13 Dec 2006</w:t>
            </w:r>
          </w:p>
        </w:tc>
        <w:tc>
          <w:tcPr>
            <w:tcW w:w="2551" w:type="dxa"/>
          </w:tcPr>
          <w:p>
            <w:pPr>
              <w:pStyle w:val="nTable"/>
              <w:spacing w:after="40"/>
              <w:rPr>
                <w:rFonts w:ascii="Times New Roman" w:hAnsi="Times New Roman"/>
                <w:noProof/>
                <w:snapToGrid w:val="0"/>
              </w:rPr>
            </w:pPr>
            <w:r>
              <w:rPr>
                <w:rFonts w:ascii="Times New Roman" w:hAnsi="Times New Roman"/>
                <w:noProof/>
                <w:snapToGrid w:val="0"/>
              </w:rPr>
              <w:t xml:space="preserve">7 May 2007 (see s. 2(2) and </w:t>
            </w:r>
            <w:r>
              <w:rPr>
                <w:rFonts w:ascii="Times New Roman" w:hAnsi="Times New Roman"/>
                <w:i/>
                <w:iCs/>
                <w:noProof/>
                <w:snapToGrid w:val="0"/>
              </w:rPr>
              <w:t xml:space="preserve">Gazette </w:t>
            </w:r>
            <w:r>
              <w:rPr>
                <w:rFonts w:ascii="Times New Roman" w:hAnsi="Times New Roman"/>
                <w:noProof/>
                <w:snapToGrid w:val="0"/>
              </w:rPr>
              <w:t>1 May 2007 p. 1893)</w:t>
            </w:r>
          </w:p>
        </w:tc>
      </w:tr>
      <w:tr>
        <w:tc>
          <w:tcPr>
            <w:tcW w:w="2267" w:type="dxa"/>
          </w:tcPr>
          <w:p>
            <w:pPr>
              <w:pStyle w:val="nTable"/>
              <w:spacing w:after="40"/>
              <w:rPr>
                <w:rFonts w:ascii="Times New Roman" w:hAnsi="Times New Roman"/>
                <w:iCs/>
              </w:rPr>
            </w:pPr>
            <w:r>
              <w:rPr>
                <w:rFonts w:ascii="Times New Roman" w:hAnsi="Times New Roman"/>
                <w:i/>
              </w:rPr>
              <w:t>Revenue Laws Amendment (Taxation) Act 2007</w:t>
            </w:r>
            <w:r>
              <w:rPr>
                <w:rFonts w:ascii="Times New Roman" w:hAnsi="Times New Roman"/>
                <w:iCs/>
              </w:rPr>
              <w:t xml:space="preserve"> Pt. 3</w:t>
            </w:r>
          </w:p>
        </w:tc>
        <w:tc>
          <w:tcPr>
            <w:tcW w:w="1135" w:type="dxa"/>
          </w:tcPr>
          <w:p>
            <w:pPr>
              <w:pStyle w:val="nTable"/>
              <w:spacing w:after="40"/>
              <w:rPr>
                <w:rFonts w:ascii="Times New Roman" w:hAnsi="Times New Roman"/>
              </w:rPr>
            </w:pPr>
            <w:r>
              <w:rPr>
                <w:rFonts w:ascii="Times New Roman" w:hAnsi="Times New Roman"/>
              </w:rPr>
              <w:t>12 of 2007</w:t>
            </w:r>
          </w:p>
        </w:tc>
        <w:tc>
          <w:tcPr>
            <w:tcW w:w="1134" w:type="dxa"/>
          </w:tcPr>
          <w:p>
            <w:pPr>
              <w:pStyle w:val="nTable"/>
              <w:spacing w:after="40"/>
              <w:rPr>
                <w:rFonts w:ascii="Times New Roman" w:hAnsi="Times New Roman"/>
              </w:rPr>
            </w:pPr>
            <w:r>
              <w:rPr>
                <w:rFonts w:ascii="Times New Roman" w:hAnsi="Times New Roman"/>
              </w:rPr>
              <w:t>29 Jun 2007</w:t>
            </w:r>
          </w:p>
        </w:tc>
        <w:tc>
          <w:tcPr>
            <w:tcW w:w="2551" w:type="dxa"/>
          </w:tcPr>
          <w:p>
            <w:pPr>
              <w:pStyle w:val="nTable"/>
              <w:spacing w:after="40"/>
              <w:rPr>
                <w:rFonts w:ascii="Times New Roman" w:hAnsi="Times New Roman"/>
              </w:rPr>
            </w:pPr>
            <w:r>
              <w:rPr>
                <w:rFonts w:ascii="Times New Roman" w:hAnsi="Times New Roman"/>
              </w:rPr>
              <w:t>30 Jun 2007 (see s. 2(c)(i))</w:t>
            </w:r>
          </w:p>
        </w:tc>
      </w:tr>
      <w:tr>
        <w:trPr>
          <w:cantSplit/>
        </w:trPr>
        <w:tc>
          <w:tcPr>
            <w:tcW w:w="7087" w:type="dxa"/>
            <w:gridSpan w:val="4"/>
          </w:tcPr>
          <w:p>
            <w:pPr>
              <w:pStyle w:val="nTable"/>
              <w:spacing w:after="40"/>
              <w:rPr>
                <w:rFonts w:ascii="Times New Roman" w:hAnsi="Times New Roman"/>
              </w:rPr>
            </w:pPr>
            <w:r>
              <w:rPr>
                <w:rFonts w:ascii="Times New Roman" w:hAnsi="Times New Roman"/>
                <w:b/>
                <w:noProof/>
                <w:snapToGrid w:val="0"/>
              </w:rPr>
              <w:t xml:space="preserve">Reprint 2: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28 Mar 2008 </w:t>
            </w:r>
            <w:r>
              <w:rPr>
                <w:rFonts w:ascii="Times New Roman" w:hAnsi="Times New Roman"/>
                <w:noProof/>
                <w:snapToGrid w:val="0"/>
              </w:rPr>
              <w:t>(includes amendments listed above)</w:t>
            </w:r>
          </w:p>
        </w:tc>
      </w:tr>
      <w:tr>
        <w:tc>
          <w:tcPr>
            <w:tcW w:w="2267" w:type="dxa"/>
          </w:tcPr>
          <w:p>
            <w:pPr>
              <w:pStyle w:val="nTable"/>
              <w:spacing w:after="40"/>
              <w:rPr>
                <w:rFonts w:ascii="Times New Roman" w:hAnsi="Times New Roman"/>
                <w:iCs/>
              </w:rPr>
            </w:pPr>
            <w:r>
              <w:rPr>
                <w:rFonts w:ascii="Times New Roman" w:hAnsi="Times New Roman"/>
                <w:i/>
              </w:rPr>
              <w:t>Revenue Laws Amendment Act 2008</w:t>
            </w:r>
            <w:r>
              <w:rPr>
                <w:rFonts w:ascii="Times New Roman" w:hAnsi="Times New Roman"/>
                <w:iCs/>
              </w:rPr>
              <w:t xml:space="preserve"> Pt. 4</w:t>
            </w:r>
          </w:p>
        </w:tc>
        <w:tc>
          <w:tcPr>
            <w:tcW w:w="1135" w:type="dxa"/>
          </w:tcPr>
          <w:p>
            <w:pPr>
              <w:pStyle w:val="nTable"/>
              <w:spacing w:after="40"/>
              <w:rPr>
                <w:rFonts w:ascii="Times New Roman" w:hAnsi="Times New Roman"/>
              </w:rPr>
            </w:pPr>
            <w:r>
              <w:rPr>
                <w:rFonts w:ascii="Times New Roman" w:hAnsi="Times New Roman"/>
              </w:rPr>
              <w:t>30 of 2008</w:t>
            </w:r>
          </w:p>
        </w:tc>
        <w:tc>
          <w:tcPr>
            <w:tcW w:w="1134" w:type="dxa"/>
          </w:tcPr>
          <w:p>
            <w:pPr>
              <w:pStyle w:val="nTable"/>
              <w:spacing w:after="40"/>
              <w:rPr>
                <w:rFonts w:ascii="Times New Roman" w:hAnsi="Times New Roman"/>
              </w:rPr>
            </w:pPr>
            <w:r>
              <w:rPr>
                <w:rFonts w:ascii="Times New Roman" w:hAnsi="Times New Roman"/>
              </w:rPr>
              <w:t>27 Jun 2008</w:t>
            </w:r>
          </w:p>
        </w:tc>
        <w:tc>
          <w:tcPr>
            <w:tcW w:w="2551" w:type="dxa"/>
          </w:tcPr>
          <w:p>
            <w:pPr>
              <w:pStyle w:val="nTable"/>
              <w:spacing w:after="40"/>
              <w:rPr>
                <w:rFonts w:ascii="Times New Roman" w:hAnsi="Times New Roman"/>
              </w:rPr>
            </w:pPr>
            <w:r>
              <w:rPr>
                <w:rFonts w:ascii="Times New Roman" w:hAnsi="Times New Roman"/>
              </w:rPr>
              <w:t>1 Jul 2008 (see s. 2(1)(c)(i))</w:t>
            </w:r>
          </w:p>
        </w:tc>
      </w:tr>
      <w:tr>
        <w:tc>
          <w:tcPr>
            <w:tcW w:w="2267" w:type="dxa"/>
          </w:tcPr>
          <w:p>
            <w:pPr>
              <w:pStyle w:val="nTable"/>
              <w:spacing w:after="40"/>
              <w:rPr>
                <w:rFonts w:ascii="Times New Roman" w:hAnsi="Times New Roman"/>
                <w:i/>
              </w:rPr>
            </w:pPr>
            <w:r>
              <w:rPr>
                <w:rFonts w:ascii="Times New Roman" w:hAnsi="Times New Roman"/>
                <w:i/>
              </w:rPr>
              <w:t>Revenue Laws Amendment (Taxation) Act 2009</w:t>
            </w:r>
            <w:r>
              <w:rPr>
                <w:rFonts w:ascii="Times New Roman" w:hAnsi="Times New Roman"/>
                <w:iCs/>
              </w:rPr>
              <w:t xml:space="preserve"> Pt. 2</w:t>
            </w:r>
          </w:p>
        </w:tc>
        <w:tc>
          <w:tcPr>
            <w:tcW w:w="1135" w:type="dxa"/>
          </w:tcPr>
          <w:p>
            <w:pPr>
              <w:pStyle w:val="nTable"/>
              <w:spacing w:after="40"/>
              <w:rPr>
                <w:rFonts w:ascii="Times New Roman" w:hAnsi="Times New Roman"/>
              </w:rPr>
            </w:pPr>
            <w:r>
              <w:rPr>
                <w:rFonts w:ascii="Times New Roman" w:hAnsi="Times New Roman"/>
              </w:rPr>
              <w:t>19 of 2009</w:t>
            </w:r>
          </w:p>
        </w:tc>
        <w:tc>
          <w:tcPr>
            <w:tcW w:w="1134" w:type="dxa"/>
          </w:tcPr>
          <w:p>
            <w:pPr>
              <w:pStyle w:val="nTable"/>
              <w:spacing w:after="40"/>
              <w:rPr>
                <w:rFonts w:ascii="Times New Roman" w:hAnsi="Times New Roman"/>
              </w:rPr>
            </w:pPr>
            <w:r>
              <w:rPr>
                <w:rFonts w:ascii="Times New Roman" w:hAnsi="Times New Roman"/>
              </w:rPr>
              <w:t>16 Sep 2009</w:t>
            </w:r>
          </w:p>
        </w:tc>
        <w:tc>
          <w:tcPr>
            <w:tcW w:w="2551" w:type="dxa"/>
          </w:tcPr>
          <w:p>
            <w:pPr>
              <w:pStyle w:val="nTable"/>
              <w:spacing w:after="40"/>
              <w:rPr>
                <w:rFonts w:ascii="Times New Roman" w:hAnsi="Times New Roman"/>
              </w:rPr>
            </w:pPr>
            <w:r>
              <w:rPr>
                <w:rFonts w:ascii="Times New Roman" w:hAnsi="Times New Roman"/>
              </w:rPr>
              <w:t>1 Jul 2009 (see s. 2(b)(ii))</w:t>
            </w:r>
          </w:p>
        </w:tc>
      </w:tr>
      <w:tr>
        <w:trPr>
          <w:cantSplit/>
        </w:trPr>
        <w:tc>
          <w:tcPr>
            <w:tcW w:w="2267" w:type="dxa"/>
          </w:tcPr>
          <w:p>
            <w:pPr>
              <w:pStyle w:val="nTable"/>
              <w:spacing w:after="40"/>
              <w:ind w:right="113"/>
              <w:rPr>
                <w:rFonts w:ascii="Times New Roman" w:hAnsi="Times New Roman"/>
                <w:iCs/>
                <w:snapToGrid w:val="0"/>
              </w:rPr>
            </w:pPr>
            <w:r>
              <w:rPr>
                <w:rFonts w:ascii="Times New Roman" w:hAnsi="Times New Roman"/>
                <w:i/>
                <w:snapToGrid w:val="0"/>
              </w:rPr>
              <w:t>Standardisation of Formatting Act 2010</w:t>
            </w:r>
            <w:r>
              <w:rPr>
                <w:rFonts w:ascii="Times New Roman" w:hAnsi="Times New Roman"/>
                <w:iCs/>
                <w:snapToGrid w:val="0"/>
              </w:rPr>
              <w:t xml:space="preserve"> s. 51</w:t>
            </w:r>
          </w:p>
        </w:tc>
        <w:tc>
          <w:tcPr>
            <w:tcW w:w="1135" w:type="dxa"/>
          </w:tcPr>
          <w:p>
            <w:pPr>
              <w:pStyle w:val="nTable"/>
              <w:spacing w:after="40"/>
              <w:rPr>
                <w:rFonts w:ascii="Times New Roman" w:hAnsi="Times New Roman"/>
                <w:snapToGrid w:val="0"/>
              </w:rPr>
            </w:pPr>
            <w:r>
              <w:rPr>
                <w:rFonts w:ascii="Times New Roman" w:hAnsi="Times New Roman"/>
                <w:snapToGrid w:val="0"/>
              </w:rPr>
              <w:t>19 of 2010</w:t>
            </w:r>
          </w:p>
        </w:tc>
        <w:tc>
          <w:tcPr>
            <w:tcW w:w="1134" w:type="dxa"/>
          </w:tcPr>
          <w:p>
            <w:pPr>
              <w:pStyle w:val="nTable"/>
              <w:spacing w:after="40"/>
              <w:rPr>
                <w:rFonts w:ascii="Times New Roman" w:hAnsi="Times New Roman"/>
                <w:snapToGrid w:val="0"/>
              </w:rPr>
            </w:pPr>
            <w:r>
              <w:rPr>
                <w:rFonts w:ascii="Times New Roman" w:hAnsi="Times New Roman"/>
                <w:snapToGrid w:val="0"/>
              </w:rPr>
              <w:t>28 Jun 2010</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11 Sep 2010 (see s. 2(b) and </w:t>
            </w:r>
            <w:r>
              <w:rPr>
                <w:rFonts w:ascii="Times New Roman" w:hAnsi="Times New Roman"/>
                <w:i/>
                <w:iCs/>
                <w:snapToGrid w:val="0"/>
              </w:rPr>
              <w:t>Gazette</w:t>
            </w:r>
            <w:r>
              <w:rPr>
                <w:rFonts w:ascii="Times New Roman" w:hAnsi="Times New Roman"/>
                <w:snapToGrid w:val="0"/>
              </w:rPr>
              <w:t xml:space="preserve"> 10 Sep 2010 p. 4341)</w:t>
            </w:r>
          </w:p>
        </w:tc>
      </w:tr>
      <w:tr>
        <w:tc>
          <w:tcPr>
            <w:tcW w:w="2267" w:type="dxa"/>
          </w:tcPr>
          <w:p>
            <w:pPr>
              <w:pStyle w:val="nTable"/>
              <w:spacing w:after="40"/>
              <w:rPr>
                <w:rFonts w:ascii="Times New Roman" w:hAnsi="Times New Roman"/>
                <w:i/>
              </w:rPr>
            </w:pPr>
            <w:r>
              <w:rPr>
                <w:rFonts w:ascii="Times New Roman" w:hAnsi="Times New Roman"/>
                <w:i/>
              </w:rPr>
              <w:t>Land Tax Assessment Amendment Act 2010</w:t>
            </w:r>
          </w:p>
        </w:tc>
        <w:tc>
          <w:tcPr>
            <w:tcW w:w="1135" w:type="dxa"/>
          </w:tcPr>
          <w:p>
            <w:pPr>
              <w:pStyle w:val="nTable"/>
              <w:spacing w:after="40"/>
              <w:rPr>
                <w:rFonts w:ascii="Times New Roman" w:hAnsi="Times New Roman"/>
              </w:rPr>
            </w:pPr>
            <w:r>
              <w:rPr>
                <w:rFonts w:ascii="Times New Roman" w:hAnsi="Times New Roman"/>
              </w:rPr>
              <w:t>27 of 2010</w:t>
            </w:r>
          </w:p>
        </w:tc>
        <w:tc>
          <w:tcPr>
            <w:tcW w:w="1134" w:type="dxa"/>
          </w:tcPr>
          <w:p>
            <w:pPr>
              <w:pStyle w:val="nTable"/>
              <w:spacing w:after="40"/>
              <w:rPr>
                <w:rFonts w:ascii="Times New Roman" w:hAnsi="Times New Roman"/>
              </w:rPr>
            </w:pPr>
            <w:r>
              <w:rPr>
                <w:rFonts w:ascii="Times New Roman" w:hAnsi="Times New Roman"/>
              </w:rPr>
              <w:t>7 Jul 2010</w:t>
            </w:r>
          </w:p>
        </w:tc>
        <w:tc>
          <w:tcPr>
            <w:tcW w:w="2551" w:type="dxa"/>
          </w:tcPr>
          <w:p>
            <w:pPr>
              <w:pStyle w:val="nTable"/>
              <w:spacing w:after="40"/>
              <w:rPr>
                <w:rFonts w:ascii="Times New Roman" w:hAnsi="Times New Roman"/>
              </w:rPr>
            </w:pPr>
            <w:r>
              <w:rPr>
                <w:rFonts w:ascii="Times New Roman" w:hAnsi="Times New Roman"/>
                <w:snapToGrid w:val="0"/>
                <w:spacing w:val="-2"/>
              </w:rPr>
              <w:t>Act other than s. 1 and 2: 1 Jul 2010 (see s. 2(b)(ii));</w:t>
            </w:r>
            <w:r>
              <w:rPr>
                <w:rFonts w:ascii="Times New Roman" w:hAnsi="Times New Roman"/>
                <w:snapToGrid w:val="0"/>
                <w:spacing w:val="-2"/>
              </w:rPr>
              <w:br/>
              <w:t>s. 1 and 2: 7 Jul 2010 (see s. 2(a))</w:t>
            </w:r>
          </w:p>
        </w:tc>
      </w:tr>
      <w:tr>
        <w:tc>
          <w:tcPr>
            <w:tcW w:w="2267" w:type="dxa"/>
          </w:tcPr>
          <w:p>
            <w:pPr>
              <w:pStyle w:val="nTable"/>
              <w:spacing w:after="40"/>
              <w:rPr>
                <w:rFonts w:ascii="Times New Roman" w:hAnsi="Times New Roman"/>
                <w:i/>
                <w:vertAlign w:val="superscript"/>
              </w:rPr>
            </w:pPr>
            <w:r>
              <w:rPr>
                <w:rFonts w:ascii="Times New Roman" w:hAnsi="Times New Roman"/>
                <w:i/>
                <w:snapToGrid w:val="0"/>
              </w:rPr>
              <w:t>Approvals and Related Reforms (No. 4) (Planning) Act 2010</w:t>
            </w:r>
            <w:r>
              <w:rPr>
                <w:rFonts w:ascii="Times New Roman" w:hAnsi="Times New Roman"/>
              </w:rPr>
              <w:t xml:space="preserve"> s. 33 </w:t>
            </w:r>
            <w:del w:id="455" w:author="svcMRProcess" w:date="2020-02-18T08:15:00Z">
              <w:r>
                <w:rPr>
                  <w:rFonts w:ascii="Times New Roman" w:hAnsi="Times New Roman"/>
                  <w:vertAlign w:val="superscript"/>
                </w:rPr>
                <w:delText>10</w:delText>
              </w:r>
            </w:del>
            <w:ins w:id="456" w:author="svcMRProcess" w:date="2020-02-18T08:15:00Z">
              <w:r>
                <w:rPr>
                  <w:rFonts w:ascii="Times New Roman" w:hAnsi="Times New Roman"/>
                  <w:vertAlign w:val="superscript"/>
                </w:rPr>
                <w:t>9</w:t>
              </w:r>
            </w:ins>
          </w:p>
        </w:tc>
        <w:tc>
          <w:tcPr>
            <w:tcW w:w="1135" w:type="dxa"/>
          </w:tcPr>
          <w:p>
            <w:pPr>
              <w:pStyle w:val="nTable"/>
              <w:spacing w:after="40"/>
              <w:rPr>
                <w:rFonts w:ascii="Times New Roman" w:hAnsi="Times New Roman"/>
              </w:rPr>
            </w:pPr>
            <w:r>
              <w:rPr>
                <w:rFonts w:ascii="Times New Roman" w:hAnsi="Times New Roman"/>
                <w:snapToGrid w:val="0"/>
              </w:rPr>
              <w:t>28 of 2010</w:t>
            </w:r>
          </w:p>
        </w:tc>
        <w:tc>
          <w:tcPr>
            <w:tcW w:w="1134" w:type="dxa"/>
          </w:tcPr>
          <w:p>
            <w:pPr>
              <w:pStyle w:val="nTable"/>
              <w:spacing w:after="40"/>
              <w:rPr>
                <w:rFonts w:ascii="Times New Roman" w:hAnsi="Times New Roman"/>
              </w:rPr>
            </w:pPr>
            <w:r>
              <w:rPr>
                <w:rFonts w:ascii="Times New Roman" w:hAnsi="Times New Roman"/>
                <w:snapToGrid w:val="0"/>
              </w:rPr>
              <w:t>19 Aug 2010</w:t>
            </w:r>
          </w:p>
        </w:tc>
        <w:tc>
          <w:tcPr>
            <w:tcW w:w="2551" w:type="dxa"/>
          </w:tcPr>
          <w:p>
            <w:pPr>
              <w:pStyle w:val="nTable"/>
              <w:spacing w:after="40"/>
              <w:rPr>
                <w:rFonts w:ascii="Times New Roman" w:hAnsi="Times New Roman"/>
                <w:snapToGrid w:val="0"/>
                <w:spacing w:val="-2"/>
              </w:rPr>
            </w:pPr>
            <w:r>
              <w:rPr>
                <w:rFonts w:ascii="Times New Roman" w:hAnsi="Times New Roman"/>
                <w:snapToGrid w:val="0"/>
                <w:spacing w:val="-2"/>
              </w:rPr>
              <w:t xml:space="preserve">22 Nov 2010 (see s. 2(b) and </w:t>
            </w:r>
            <w:r>
              <w:rPr>
                <w:rFonts w:ascii="Times New Roman" w:hAnsi="Times New Roman"/>
                <w:i/>
                <w:iCs/>
                <w:snapToGrid w:val="0"/>
                <w:spacing w:val="-2"/>
              </w:rPr>
              <w:t>Gazette</w:t>
            </w:r>
            <w:r>
              <w:rPr>
                <w:rFonts w:ascii="Times New Roman" w:hAnsi="Times New Roman"/>
                <w:snapToGrid w:val="0"/>
                <w:spacing w:val="-2"/>
              </w:rPr>
              <w:t xml:space="preserve"> 19 Nov 2010 p. 5709)</w:t>
            </w:r>
          </w:p>
        </w:tc>
      </w:tr>
      <w:tr>
        <w:trPr>
          <w:cantSplit/>
        </w:trPr>
        <w:tc>
          <w:tcPr>
            <w:tcW w:w="7087" w:type="dxa"/>
            <w:gridSpan w:val="4"/>
          </w:tcPr>
          <w:p>
            <w:pPr>
              <w:pStyle w:val="nTable"/>
              <w:spacing w:after="40"/>
              <w:rPr>
                <w:rFonts w:ascii="Times New Roman" w:hAnsi="Times New Roman"/>
                <w:snapToGrid w:val="0"/>
                <w:spacing w:val="-2"/>
              </w:rPr>
            </w:pPr>
            <w:r>
              <w:rPr>
                <w:rFonts w:ascii="Times New Roman" w:hAnsi="Times New Roman"/>
                <w:b/>
                <w:noProof/>
                <w:snapToGrid w:val="0"/>
              </w:rPr>
              <w:t xml:space="preserve">Reprint 3: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11 Feb 2011 </w:t>
            </w:r>
            <w:r>
              <w:rPr>
                <w:rFonts w:ascii="Times New Roman" w:hAnsi="Times New Roman"/>
                <w:noProof/>
                <w:snapToGrid w:val="0"/>
              </w:rPr>
              <w:t>(includes amendments listed above)</w:t>
            </w:r>
          </w:p>
        </w:tc>
      </w:tr>
      <w:tr>
        <w:tc>
          <w:tcPr>
            <w:tcW w:w="2267" w:type="dxa"/>
          </w:tcPr>
          <w:p>
            <w:pPr>
              <w:pStyle w:val="nTable"/>
              <w:spacing w:after="40"/>
              <w:rPr>
                <w:rFonts w:ascii="Times New Roman" w:hAnsi="Times New Roman"/>
                <w:i/>
                <w:snapToGrid w:val="0"/>
              </w:rPr>
            </w:pPr>
            <w:r>
              <w:rPr>
                <w:rFonts w:ascii="Times New Roman" w:hAnsi="Times New Roman"/>
                <w:i/>
                <w:snapToGrid w:val="0"/>
              </w:rPr>
              <w:t>Building Act 2011</w:t>
            </w:r>
            <w:r>
              <w:rPr>
                <w:rFonts w:ascii="Times New Roman" w:hAnsi="Times New Roman"/>
                <w:snapToGrid w:val="0"/>
              </w:rPr>
              <w:t xml:space="preserve"> s. 164</w:t>
            </w:r>
          </w:p>
        </w:tc>
        <w:tc>
          <w:tcPr>
            <w:tcW w:w="1135" w:type="dxa"/>
          </w:tcPr>
          <w:p>
            <w:pPr>
              <w:pStyle w:val="nTable"/>
              <w:spacing w:after="40"/>
              <w:rPr>
                <w:rFonts w:ascii="Times New Roman" w:hAnsi="Times New Roman"/>
                <w:snapToGrid w:val="0"/>
              </w:rPr>
            </w:pPr>
            <w:r>
              <w:rPr>
                <w:rFonts w:ascii="Times New Roman" w:hAnsi="Times New Roman"/>
                <w:snapToGrid w:val="0"/>
              </w:rPr>
              <w:t>24 of 2011</w:t>
            </w:r>
          </w:p>
        </w:tc>
        <w:tc>
          <w:tcPr>
            <w:tcW w:w="1134" w:type="dxa"/>
          </w:tcPr>
          <w:p>
            <w:pPr>
              <w:pStyle w:val="nTable"/>
              <w:spacing w:after="40"/>
              <w:rPr>
                <w:rFonts w:ascii="Times New Roman" w:hAnsi="Times New Roman"/>
                <w:snapToGrid w:val="0"/>
              </w:rPr>
            </w:pPr>
            <w:r>
              <w:rPr>
                <w:rFonts w:ascii="Times New Roman" w:hAnsi="Times New Roman"/>
                <w:snapToGrid w:val="0"/>
              </w:rPr>
              <w:t>11 Jul 2011</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2 Apr 2012 (see s. 2(b) and </w:t>
            </w:r>
            <w:r>
              <w:rPr>
                <w:rFonts w:ascii="Times New Roman" w:hAnsi="Times New Roman"/>
                <w:i/>
                <w:snapToGrid w:val="0"/>
              </w:rPr>
              <w:t>Gazette</w:t>
            </w:r>
            <w:r>
              <w:rPr>
                <w:rFonts w:ascii="Times New Roman" w:hAnsi="Times New Roman"/>
                <w:snapToGrid w:val="0"/>
              </w:rPr>
              <w:t xml:space="preserve"> 13 Mar 2012 p. 1033)</w:t>
            </w:r>
          </w:p>
        </w:tc>
      </w:tr>
      <w:tr>
        <w:tc>
          <w:tcPr>
            <w:tcW w:w="2267" w:type="dxa"/>
          </w:tcPr>
          <w:p>
            <w:pPr>
              <w:pStyle w:val="nTable"/>
              <w:spacing w:after="40"/>
              <w:rPr>
                <w:rFonts w:ascii="Times New Roman" w:hAnsi="Times New Roman"/>
                <w:i/>
                <w:vertAlign w:val="superscript"/>
              </w:rPr>
            </w:pPr>
            <w:r>
              <w:rPr>
                <w:rFonts w:ascii="Times New Roman" w:hAnsi="Times New Roman"/>
                <w:i/>
                <w:snapToGrid w:val="0"/>
              </w:rPr>
              <w:t xml:space="preserve">Metropolitan Redevelopment Authority Act 2011 </w:t>
            </w:r>
            <w:r>
              <w:rPr>
                <w:rFonts w:ascii="Times New Roman" w:hAnsi="Times New Roman"/>
                <w:snapToGrid w:val="0"/>
              </w:rPr>
              <w:t>s. 140</w:t>
            </w:r>
            <w:del w:id="457" w:author="svcMRProcess" w:date="2020-02-18T08:15:00Z">
              <w:r>
                <w:rPr>
                  <w:rFonts w:ascii="Times New Roman" w:hAnsi="Times New Roman"/>
                  <w:snapToGrid w:val="0"/>
                  <w:vertAlign w:val="superscript"/>
                </w:rPr>
                <w:delText> </w:delText>
              </w:r>
            </w:del>
          </w:p>
        </w:tc>
        <w:tc>
          <w:tcPr>
            <w:tcW w:w="1135" w:type="dxa"/>
          </w:tcPr>
          <w:p>
            <w:pPr>
              <w:pStyle w:val="nTable"/>
              <w:spacing w:after="40"/>
              <w:rPr>
                <w:rFonts w:ascii="Times New Roman" w:hAnsi="Times New Roman"/>
              </w:rPr>
            </w:pPr>
            <w:r>
              <w:rPr>
                <w:rFonts w:ascii="Times New Roman" w:hAnsi="Times New Roman"/>
                <w:snapToGrid w:val="0"/>
              </w:rPr>
              <w:t>45 of 2011</w:t>
            </w:r>
          </w:p>
        </w:tc>
        <w:tc>
          <w:tcPr>
            <w:tcW w:w="1134" w:type="dxa"/>
          </w:tcPr>
          <w:p>
            <w:pPr>
              <w:pStyle w:val="nTable"/>
              <w:spacing w:after="40"/>
              <w:rPr>
                <w:rFonts w:ascii="Times New Roman" w:hAnsi="Times New Roman"/>
              </w:rPr>
            </w:pPr>
            <w:r>
              <w:rPr>
                <w:rFonts w:ascii="Times New Roman" w:hAnsi="Times New Roman"/>
                <w:snapToGrid w:val="0"/>
              </w:rPr>
              <w:t>12 Oct 2011</w:t>
            </w:r>
          </w:p>
        </w:tc>
        <w:tc>
          <w:tcPr>
            <w:tcW w:w="2551" w:type="dxa"/>
          </w:tcPr>
          <w:p>
            <w:pPr>
              <w:pStyle w:val="nTable"/>
              <w:spacing w:after="40"/>
              <w:rPr>
                <w:rFonts w:ascii="Times New Roman" w:hAnsi="Times New Roman"/>
                <w:snapToGrid w:val="0"/>
                <w:spacing w:val="-2"/>
              </w:rPr>
            </w:pPr>
            <w:r>
              <w:rPr>
                <w:rFonts w:ascii="Times New Roman" w:hAnsi="Times New Roman"/>
                <w:snapToGrid w:val="0"/>
              </w:rPr>
              <w:t xml:space="preserve">31 Dec 2011 (see s. 2(b) and </w:t>
            </w:r>
            <w:r>
              <w:rPr>
                <w:rFonts w:ascii="Times New Roman" w:hAnsi="Times New Roman"/>
                <w:i/>
                <w:snapToGrid w:val="0"/>
              </w:rPr>
              <w:t xml:space="preserve">Gazette </w:t>
            </w:r>
            <w:r>
              <w:rPr>
                <w:rFonts w:ascii="Times New Roman" w:hAnsi="Times New Roman"/>
                <w:snapToGrid w:val="0"/>
              </w:rPr>
              <w:t>30 Dec 2011 p. 5573)</w:t>
            </w:r>
          </w:p>
        </w:tc>
      </w:tr>
      <w:tr>
        <w:tc>
          <w:tcPr>
            <w:tcW w:w="2267" w:type="dxa"/>
          </w:tcPr>
          <w:p>
            <w:pPr>
              <w:pStyle w:val="nTable"/>
              <w:spacing w:after="40"/>
              <w:rPr>
                <w:rFonts w:ascii="Times New Roman" w:hAnsi="Times New Roman"/>
                <w:snapToGrid w:val="0"/>
              </w:rPr>
            </w:pPr>
            <w:r>
              <w:rPr>
                <w:rFonts w:ascii="Times New Roman" w:hAnsi="Times New Roman"/>
                <w:i/>
                <w:snapToGrid w:val="0"/>
              </w:rPr>
              <w:t>Revenue Laws Amendment Act 2012</w:t>
            </w:r>
            <w:r>
              <w:rPr>
                <w:rFonts w:ascii="Times New Roman" w:hAnsi="Times New Roman"/>
                <w:snapToGrid w:val="0"/>
              </w:rPr>
              <w:t xml:space="preserve"> Pt. 4</w:t>
            </w:r>
          </w:p>
        </w:tc>
        <w:tc>
          <w:tcPr>
            <w:tcW w:w="1135" w:type="dxa"/>
          </w:tcPr>
          <w:p>
            <w:pPr>
              <w:pStyle w:val="nTable"/>
              <w:spacing w:after="40"/>
              <w:rPr>
                <w:rFonts w:ascii="Times New Roman" w:hAnsi="Times New Roman"/>
                <w:snapToGrid w:val="0"/>
              </w:rPr>
            </w:pPr>
            <w:r>
              <w:rPr>
                <w:rFonts w:ascii="Times New Roman" w:hAnsi="Times New Roman"/>
                <w:snapToGrid w:val="0"/>
              </w:rPr>
              <w:t>29 of 2012</w:t>
            </w:r>
          </w:p>
        </w:tc>
        <w:tc>
          <w:tcPr>
            <w:tcW w:w="1134" w:type="dxa"/>
          </w:tcPr>
          <w:p>
            <w:pPr>
              <w:pStyle w:val="nTable"/>
              <w:spacing w:after="40"/>
              <w:rPr>
                <w:rFonts w:ascii="Times New Roman" w:hAnsi="Times New Roman"/>
                <w:snapToGrid w:val="0"/>
              </w:rPr>
            </w:pPr>
            <w:r>
              <w:rPr>
                <w:rFonts w:ascii="Times New Roman" w:hAnsi="Times New Roman"/>
                <w:snapToGrid w:val="0"/>
              </w:rPr>
              <w:t>3 Sep 2012</w:t>
            </w:r>
          </w:p>
        </w:tc>
        <w:tc>
          <w:tcPr>
            <w:tcW w:w="2551" w:type="dxa"/>
          </w:tcPr>
          <w:p>
            <w:pPr>
              <w:pStyle w:val="nTable"/>
              <w:spacing w:after="40"/>
              <w:rPr>
                <w:rFonts w:ascii="Times New Roman" w:hAnsi="Times New Roman"/>
                <w:snapToGrid w:val="0"/>
              </w:rPr>
            </w:pPr>
            <w:r>
              <w:rPr>
                <w:rFonts w:ascii="Times New Roman" w:hAnsi="Times New Roman"/>
                <w:snapToGrid w:val="0"/>
              </w:rPr>
              <w:t>4 Sep 2012 (see s. 2(e))</w:t>
            </w:r>
          </w:p>
        </w:tc>
      </w:tr>
      <w:tr>
        <w:tc>
          <w:tcPr>
            <w:tcW w:w="2267" w:type="dxa"/>
          </w:tcPr>
          <w:p>
            <w:pPr>
              <w:pStyle w:val="nTable"/>
              <w:spacing w:after="40"/>
              <w:rPr>
                <w:rFonts w:ascii="Times New Roman" w:hAnsi="Times New Roman"/>
                <w:snapToGrid w:val="0"/>
              </w:rPr>
            </w:pPr>
            <w:r>
              <w:rPr>
                <w:rFonts w:ascii="Times New Roman" w:hAnsi="Times New Roman"/>
                <w:i/>
                <w:snapToGrid w:val="0"/>
              </w:rPr>
              <w:t xml:space="preserve">Revenue Laws Amendment Act (No. 2) </w:t>
            </w:r>
            <w:r>
              <w:rPr>
                <w:rFonts w:ascii="Times New Roman" w:hAnsi="Times New Roman"/>
                <w:snapToGrid w:val="0"/>
              </w:rPr>
              <w:t>2012 Pt. 4</w:t>
            </w:r>
          </w:p>
        </w:tc>
        <w:tc>
          <w:tcPr>
            <w:tcW w:w="1135" w:type="dxa"/>
          </w:tcPr>
          <w:p>
            <w:pPr>
              <w:pStyle w:val="nTable"/>
              <w:spacing w:after="40"/>
              <w:rPr>
                <w:rFonts w:ascii="Times New Roman" w:hAnsi="Times New Roman"/>
                <w:snapToGrid w:val="0"/>
              </w:rPr>
            </w:pPr>
            <w:r>
              <w:rPr>
                <w:rFonts w:ascii="Times New Roman" w:hAnsi="Times New Roman"/>
                <w:snapToGrid w:val="0"/>
              </w:rPr>
              <w:t>32 of 2012</w:t>
            </w:r>
          </w:p>
        </w:tc>
        <w:tc>
          <w:tcPr>
            <w:tcW w:w="1134" w:type="dxa"/>
          </w:tcPr>
          <w:p>
            <w:pPr>
              <w:pStyle w:val="nTable"/>
              <w:spacing w:after="40"/>
              <w:rPr>
                <w:rFonts w:ascii="Times New Roman" w:hAnsi="Times New Roman"/>
                <w:snapToGrid w:val="0"/>
              </w:rPr>
            </w:pPr>
            <w:r>
              <w:rPr>
                <w:rFonts w:ascii="Times New Roman" w:hAnsi="Times New Roman"/>
                <w:snapToGrid w:val="0"/>
              </w:rPr>
              <w:t>8 Oct 2012</w:t>
            </w:r>
          </w:p>
        </w:tc>
        <w:tc>
          <w:tcPr>
            <w:tcW w:w="2551" w:type="dxa"/>
          </w:tcPr>
          <w:p>
            <w:pPr>
              <w:pStyle w:val="nTable"/>
              <w:spacing w:after="40"/>
              <w:rPr>
                <w:rFonts w:ascii="Times New Roman" w:hAnsi="Times New Roman"/>
                <w:snapToGrid w:val="0"/>
              </w:rPr>
            </w:pPr>
            <w:r>
              <w:rPr>
                <w:rFonts w:ascii="Times New Roman" w:hAnsi="Times New Roman"/>
                <w:snapToGrid w:val="0"/>
              </w:rPr>
              <w:t>1 Jul 2009 (see s. 2(c))</w:t>
            </w:r>
          </w:p>
        </w:tc>
      </w:tr>
      <w:tr>
        <w:tc>
          <w:tcPr>
            <w:tcW w:w="7087" w:type="dxa"/>
            <w:gridSpan w:val="4"/>
          </w:tcPr>
          <w:p>
            <w:pPr>
              <w:pStyle w:val="nTable"/>
              <w:spacing w:after="40"/>
              <w:rPr>
                <w:rFonts w:ascii="Times New Roman" w:hAnsi="Times New Roman"/>
                <w:snapToGrid w:val="0"/>
              </w:rPr>
            </w:pPr>
            <w:r>
              <w:rPr>
                <w:rFonts w:ascii="Times New Roman" w:hAnsi="Times New Roman"/>
                <w:b/>
                <w:noProof/>
                <w:snapToGrid w:val="0"/>
              </w:rPr>
              <w:t xml:space="preserve">Reprint 4: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19 Apr 2013 </w:t>
            </w:r>
            <w:r>
              <w:rPr>
                <w:rFonts w:ascii="Times New Roman" w:hAnsi="Times New Roman"/>
                <w:noProof/>
                <w:snapToGrid w:val="0"/>
              </w:rPr>
              <w:t>(includes amendments listed above)</w:t>
            </w:r>
          </w:p>
        </w:tc>
      </w:tr>
      <w:tr>
        <w:tc>
          <w:tcPr>
            <w:tcW w:w="2267" w:type="dxa"/>
          </w:tcPr>
          <w:p>
            <w:pPr>
              <w:pStyle w:val="nTable"/>
              <w:keepNext/>
              <w:spacing w:after="40"/>
              <w:rPr>
                <w:rFonts w:ascii="Times New Roman" w:hAnsi="Times New Roman"/>
                <w:snapToGrid w:val="0"/>
              </w:rPr>
            </w:pPr>
            <w:r>
              <w:rPr>
                <w:rFonts w:ascii="Times New Roman" w:hAnsi="Times New Roman"/>
                <w:i/>
                <w:snapToGrid w:val="0"/>
              </w:rPr>
              <w:t xml:space="preserve">Taxation Legislation Amendment Act 2015 </w:t>
            </w:r>
            <w:r>
              <w:rPr>
                <w:rFonts w:ascii="Times New Roman" w:hAnsi="Times New Roman"/>
                <w:snapToGrid w:val="0"/>
              </w:rPr>
              <w:t>Pt. 2 Div. 1 and Pt. 3</w:t>
            </w:r>
          </w:p>
        </w:tc>
        <w:tc>
          <w:tcPr>
            <w:tcW w:w="1135" w:type="dxa"/>
          </w:tcPr>
          <w:p>
            <w:pPr>
              <w:pStyle w:val="nTable"/>
              <w:keepNext/>
              <w:spacing w:after="40"/>
              <w:rPr>
                <w:rFonts w:ascii="Times New Roman" w:hAnsi="Times New Roman"/>
                <w:snapToGrid w:val="0"/>
              </w:rPr>
            </w:pPr>
            <w:r>
              <w:rPr>
                <w:rFonts w:ascii="Times New Roman" w:hAnsi="Times New Roman"/>
                <w:snapToGrid w:val="0"/>
              </w:rPr>
              <w:t>1 of 2015</w:t>
            </w:r>
          </w:p>
        </w:tc>
        <w:tc>
          <w:tcPr>
            <w:tcW w:w="1134" w:type="dxa"/>
          </w:tcPr>
          <w:p>
            <w:pPr>
              <w:pStyle w:val="nTable"/>
              <w:keepNext/>
              <w:spacing w:after="40"/>
              <w:rPr>
                <w:rFonts w:ascii="Times New Roman" w:hAnsi="Times New Roman"/>
                <w:snapToGrid w:val="0"/>
              </w:rPr>
            </w:pPr>
            <w:r>
              <w:rPr>
                <w:rFonts w:ascii="Times New Roman" w:hAnsi="Times New Roman"/>
                <w:snapToGrid w:val="0"/>
              </w:rPr>
              <w:t>25 Feb 2015</w:t>
            </w:r>
          </w:p>
        </w:tc>
        <w:tc>
          <w:tcPr>
            <w:tcW w:w="2551" w:type="dxa"/>
          </w:tcPr>
          <w:p>
            <w:pPr>
              <w:pStyle w:val="nTable"/>
              <w:keepNext/>
              <w:spacing w:after="40"/>
              <w:rPr>
                <w:rFonts w:ascii="Times New Roman" w:hAnsi="Times New Roman"/>
                <w:snapToGrid w:val="0"/>
              </w:rPr>
            </w:pPr>
            <w:r>
              <w:rPr>
                <w:rFonts w:ascii="Times New Roman" w:hAnsi="Times New Roman"/>
                <w:snapToGrid w:val="0"/>
              </w:rPr>
              <w:t>Pt. 3 Div. 2: 1 Jul 2003 (see s. 2(c));</w:t>
            </w:r>
            <w:r>
              <w:rPr>
                <w:rFonts w:ascii="Times New Roman" w:hAnsi="Times New Roman"/>
                <w:snapToGrid w:val="0"/>
              </w:rPr>
              <w:br/>
              <w:t>Pt. 2 Div. 1: 1 Jul 2014 (see s. 2(b));</w:t>
            </w:r>
            <w:r>
              <w:rPr>
                <w:rFonts w:ascii="Times New Roman" w:hAnsi="Times New Roman"/>
                <w:snapToGrid w:val="0"/>
              </w:rPr>
              <w:br/>
              <w:t>Pt. 3 Div. 1 and 3: 25 Feb 2015 (see s. 2(a))</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(No. 2) 2015</w:t>
            </w:r>
            <w:r>
              <w:rPr>
                <w:rFonts w:ascii="Times New Roman" w:hAnsi="Times New Roman"/>
              </w:rPr>
              <w:t xml:space="preserve"> Pt. 3</w:t>
            </w:r>
          </w:p>
        </w:tc>
        <w:tc>
          <w:tcPr>
            <w:tcW w:w="1135"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 xml:space="preserve">8 of 2015 </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9 Mar 2015</w:t>
            </w:r>
          </w:p>
        </w:tc>
        <w:tc>
          <w:tcPr>
            <w:tcW w:w="2551"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10 Mar 2015 (see s. 2(b))</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 xml:space="preserve">Taxation Legislation Amendment Act (No. 3) 2015 </w:t>
            </w:r>
            <w:r>
              <w:rPr>
                <w:rFonts w:ascii="Times New Roman" w:hAnsi="Times New Roman"/>
              </w:rPr>
              <w:t>Pt. 3</w:t>
            </w:r>
          </w:p>
        </w:tc>
        <w:tc>
          <w:tcPr>
            <w:tcW w:w="1135"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2015</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26 May 2015</w:t>
            </w:r>
          </w:p>
        </w:tc>
        <w:tc>
          <w:tcPr>
            <w:tcW w:w="2551"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27 May 2015 (see s. 2(c))</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 xml:space="preserve">Biodiversity Conservation Act 2016 </w:t>
            </w:r>
            <w:r>
              <w:rPr>
                <w:rFonts w:ascii="Times New Roman" w:hAnsi="Times New Roman"/>
              </w:rPr>
              <w:t>s. 319</w:t>
            </w:r>
          </w:p>
        </w:tc>
        <w:tc>
          <w:tcPr>
            <w:tcW w:w="1135"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24 of 2016</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3 Dec 2016 (see s. 2(b) and </w:t>
            </w:r>
            <w:r>
              <w:rPr>
                <w:rFonts w:ascii="Times New Roman" w:hAnsi="Times New Roman"/>
                <w:i/>
                <w:snapToGrid w:val="0"/>
              </w:rPr>
              <w:t xml:space="preserve">Gazette </w:t>
            </w:r>
            <w:r>
              <w:rPr>
                <w:rFonts w:ascii="Times New Roman" w:hAnsi="Times New Roman"/>
                <w:snapToGrid w:val="0"/>
              </w:rPr>
              <w:t>2 Dec 2016</w:t>
            </w:r>
            <w:r>
              <w:rPr>
                <w:rFonts w:ascii="Times New Roman" w:hAnsi="Times New Roman"/>
                <w:i/>
                <w:snapToGrid w:val="0"/>
              </w:rPr>
              <w:t xml:space="preserve"> </w:t>
            </w:r>
            <w:r>
              <w:rPr>
                <w:rFonts w:ascii="Times New Roman" w:hAnsi="Times New Roman"/>
                <w:snapToGrid w:val="0"/>
              </w:rPr>
              <w:t>p. 5382)</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 xml:space="preserve">Universities Legislation Amendment Act 2016 </w:t>
            </w:r>
            <w:r>
              <w:rPr>
                <w:rFonts w:ascii="Times New Roman" w:hAnsi="Times New Roman"/>
              </w:rPr>
              <w:t>Pt. 7 Div. 5</w:t>
            </w:r>
          </w:p>
        </w:tc>
        <w:tc>
          <w:tcPr>
            <w:tcW w:w="1135"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32 of 2016</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19 Oct 2016</w:t>
            </w:r>
          </w:p>
        </w:tc>
        <w:tc>
          <w:tcPr>
            <w:tcW w:w="2551"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2 Jan 2017 (see s. 2(b) and </w:t>
            </w:r>
            <w:r>
              <w:rPr>
                <w:rFonts w:ascii="Times New Roman" w:hAnsi="Times New Roman"/>
                <w:i/>
                <w:snapToGrid w:val="0"/>
              </w:rPr>
              <w:t>Gazette</w:t>
            </w:r>
            <w:r>
              <w:rPr>
                <w:rFonts w:ascii="Times New Roman" w:hAnsi="Times New Roman"/>
                <w:snapToGrid w:val="0"/>
              </w:rPr>
              <w:t xml:space="preserve"> 9 Dec 2016 p. 5557)</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right w:val="nil"/>
            </w:tcBorders>
            <w:shd w:val="clear" w:color="auto" w:fill="auto"/>
          </w:tcPr>
          <w:p>
            <w:pPr>
              <w:pStyle w:val="nTable"/>
              <w:spacing w:after="40"/>
              <w:rPr>
                <w:rFonts w:ascii="Times New Roman" w:hAnsi="Times New Roman"/>
                <w:i/>
              </w:rPr>
            </w:pPr>
            <w:r>
              <w:rPr>
                <w:i/>
              </w:rPr>
              <w:t>Land Tax Assessment Amendment Act 2018</w:t>
            </w:r>
          </w:p>
        </w:tc>
        <w:tc>
          <w:tcPr>
            <w:tcW w:w="1135"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5 of 2018</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26 Apr 2018</w:t>
            </w:r>
          </w:p>
        </w:tc>
        <w:tc>
          <w:tcPr>
            <w:tcW w:w="2551"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Pt. 2: 1 Jul 2003 </w:t>
            </w:r>
            <w:r>
              <w:rPr>
                <w:rFonts w:ascii="Times New Roman" w:hAnsi="Times New Roman"/>
              </w:rPr>
              <w:t>(see s. 2(a) and </w:t>
            </w:r>
            <w:r>
              <w:rPr>
                <w:rFonts w:ascii="Times New Roman" w:hAnsi="Times New Roman"/>
                <w:i/>
              </w:rPr>
              <w:t>Gazette</w:t>
            </w:r>
            <w:r>
              <w:rPr>
                <w:rFonts w:ascii="Times New Roman" w:hAnsi="Times New Roman"/>
              </w:rPr>
              <w:t xml:space="preserve"> 27 Jun 2003 p. 2383);</w:t>
            </w:r>
            <w:r>
              <w:rPr>
                <w:rFonts w:ascii="Times New Roman" w:hAnsi="Times New Roman"/>
              </w:rPr>
              <w:br/>
              <w:t>Act other than Pt. 2: 26 Apr 2018 (see s. 2(b))</w:t>
            </w:r>
          </w:p>
        </w:tc>
      </w:tr>
    </w:tbl>
    <w:p>
      <w:pPr>
        <w:pStyle w:val="nTable"/>
        <w:spacing w:after="40"/>
        <w:rPr>
          <w:del w:id="458" w:author="svcMRProcess" w:date="2020-02-18T08:15:00Z"/>
          <w:rFonts w:ascii="Times New Roman" w:hAnsi="Times New Roman"/>
          <w:b/>
          <w:snapToGrid w:val="0"/>
        </w:rPr>
      </w:pPr>
      <w:del w:id="459" w:author="svcMRProcess" w:date="2020-02-18T08:15:00Z">
        <w:r>
          <w:rPr>
            <w:vertAlign w:val="superscript"/>
          </w:rPr>
          <w:delText>2</w:delText>
        </w:r>
      </w:del>
    </w:p>
    <w:tbl>
      <w:tblPr>
        <w:tblW w:w="708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cantSplit/>
          <w:ins w:id="460" w:author="svcMRProcess" w:date="2020-02-18T08:15:00Z"/>
        </w:trPr>
        <w:tc>
          <w:tcPr>
            <w:tcW w:w="7087" w:type="dxa"/>
            <w:tcBorders>
              <w:top w:val="nil"/>
              <w:bottom w:val="single" w:sz="8" w:space="0" w:color="auto"/>
            </w:tcBorders>
            <w:shd w:val="clear" w:color="auto" w:fill="auto"/>
          </w:tcPr>
          <w:p>
            <w:pPr>
              <w:pStyle w:val="nTable"/>
              <w:spacing w:after="40"/>
              <w:rPr>
                <w:ins w:id="461" w:author="svcMRProcess" w:date="2020-02-18T08:15:00Z"/>
                <w:rFonts w:ascii="Times New Roman" w:hAnsi="Times New Roman"/>
                <w:snapToGrid w:val="0"/>
              </w:rPr>
            </w:pPr>
            <w:ins w:id="462" w:author="svcMRProcess" w:date="2020-02-18T08:15:00Z">
              <w:r>
                <w:rPr>
                  <w:rFonts w:ascii="Times New Roman" w:hAnsi="Times New Roman"/>
                  <w:b/>
                  <w:snapToGrid w:val="0"/>
                </w:rPr>
                <w:t xml:space="preserve">Reprint 5: The </w:t>
              </w:r>
              <w:r>
                <w:rPr>
                  <w:rFonts w:ascii="Times New Roman" w:hAnsi="Times New Roman"/>
                  <w:b/>
                  <w:i/>
                  <w:noProof/>
                  <w:snapToGrid w:val="0"/>
                </w:rPr>
                <w:t>Land Tax Assessment Act 2002</w:t>
              </w:r>
              <w:r>
                <w:rPr>
                  <w:rFonts w:ascii="Times New Roman" w:hAnsi="Times New Roman"/>
                  <w:b/>
                  <w:snapToGrid w:val="0"/>
                </w:rPr>
                <w:t xml:space="preserve"> as at 20 Jul 2018</w:t>
              </w:r>
              <w:r>
                <w:rPr>
                  <w:rFonts w:ascii="Times New Roman" w:hAnsi="Times New Roman"/>
                  <w:snapToGrid w:val="0"/>
                </w:rPr>
                <w:t xml:space="preserve"> (includes amendments listed above)</w:t>
              </w:r>
            </w:ins>
          </w:p>
        </w:tc>
      </w:tr>
    </w:tbl>
    <w:p>
      <w:pPr>
        <w:pStyle w:val="nSubsection"/>
        <w:rPr>
          <w:ins w:id="463" w:author="svcMRProcess" w:date="2020-02-18T08:15:00Z"/>
        </w:rPr>
      </w:pPr>
      <w:ins w:id="464" w:author="svcMRProcess" w:date="2020-02-18T08:15:00Z">
        <w:r>
          <w:rPr>
            <w:vertAlign w:val="superscript"/>
          </w:rPr>
          <w:t>1M</w:t>
        </w:r>
      </w:ins>
      <w:r>
        <w:tab/>
        <w:t xml:space="preserve">Under the </w:t>
      </w:r>
      <w:ins w:id="465" w:author="svcMRProcess" w:date="2020-02-18T08:15:00Z">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ins>
    </w:p>
    <w:p>
      <w:pPr>
        <w:pStyle w:val="nSubsection"/>
        <w:rPr>
          <w:ins w:id="466" w:author="svcMRProcess" w:date="2020-02-18T08:15:00Z"/>
        </w:rPr>
      </w:pPr>
      <w:ins w:id="467" w:author="svcMRProcess" w:date="2020-02-18T08:15:00Z">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ins>
    </w:p>
    <w:p>
      <w:pPr>
        <w:pStyle w:val="nSubsection"/>
        <w:widowControl w:val="0"/>
        <w:spacing w:before="160"/>
        <w:rPr>
          <w:ins w:id="468" w:author="svcMRProcess" w:date="2020-02-18T08:15:00Z"/>
        </w:rPr>
      </w:pPr>
      <w:ins w:id="469" w:author="svcMRProcess" w:date="2020-02-18T08:15:00Z">
        <w:r>
          <w:rPr>
            <w:vertAlign w:val="superscript"/>
          </w:rPr>
          <w:t>2</w:t>
        </w:r>
        <w:r>
          <w:tab/>
          <w:t xml:space="preserve">Repealed by the </w:t>
        </w:r>
        <w:r>
          <w:rPr>
            <w:i/>
          </w:rPr>
          <w:t>Aged Care Amendment Act 2011</w:t>
        </w:r>
        <w:r>
          <w:t xml:space="preserve"> (Cwlth).</w:t>
        </w:r>
      </w:ins>
    </w:p>
    <w:p>
      <w:pPr>
        <w:pStyle w:val="nSubsection"/>
        <w:widowControl w:val="0"/>
      </w:pPr>
      <w:ins w:id="470" w:author="svcMRProcess" w:date="2020-02-18T08:15:00Z">
        <w:r>
          <w:rPr>
            <w:vertAlign w:val="superscript"/>
          </w:rPr>
          <w:t>3</w:t>
        </w:r>
        <w:r>
          <w:tab/>
          <w:t xml:space="preserve">Under the </w:t>
        </w:r>
      </w:ins>
      <w:r>
        <w:rPr>
          <w:i/>
        </w:rPr>
        <w:t xml:space="preserve">Conservation and Land Management Act 1984 </w:t>
      </w:r>
      <w:r>
        <w:t xml:space="preserve">s. 151(a) a reference in any </w:t>
      </w:r>
      <w:del w:id="471" w:author="svcMRProcess" w:date="2020-02-18T08:15:00Z">
        <w:r>
          <w:delText xml:space="preserve">written </w:delText>
        </w:r>
      </w:del>
      <w:r>
        <w:t xml:space="preserve">law to the Forests Department </w:t>
      </w:r>
      <w:del w:id="472" w:author="svcMRProcess" w:date="2020-02-18T08:15:00Z">
        <w:r>
          <w:delText>is</w:delText>
        </w:r>
      </w:del>
      <w:ins w:id="473" w:author="svcMRProcess" w:date="2020-02-18T08:15:00Z">
        <w:r>
          <w:t>was to be</w:t>
        </w:r>
      </w:ins>
      <w:r>
        <w:t xml:space="preserve"> read as a reference to the Department of Conservation and Land Management</w:t>
      </w:r>
      <w:del w:id="474" w:author="svcMRProcess" w:date="2020-02-18T08:15:00Z">
        <w:r>
          <w:delText xml:space="preserve"> unless the context is such that it would be incorrect or inappropriate</w:delText>
        </w:r>
      </w:del>
      <w:r>
        <w:t>.</w:t>
      </w:r>
    </w:p>
    <w:p>
      <w:pPr>
        <w:pStyle w:val="nSubsection"/>
        <w:widowControl w:val="0"/>
      </w:pPr>
      <w:r>
        <w:tab/>
        <w:t xml:space="preserve">Under the </w:t>
      </w:r>
      <w:r>
        <w:rPr>
          <w:i/>
        </w:rPr>
        <w:t>Public Sector Management Act 1994</w:t>
      </w:r>
      <w:r>
        <w:t xml:space="preserve"> the names of departments may be changed. </w:t>
      </w:r>
      <w:del w:id="475" w:author="svcMRProcess" w:date="2020-02-18T08:15:00Z">
        <w:r>
          <w:delText xml:space="preserve"> At the time of this compilation the former</w:delText>
        </w:r>
      </w:del>
      <w:ins w:id="476" w:author="svcMRProcess" w:date="2020-02-18T08:15:00Z">
        <w:r>
          <w:t>The</w:t>
        </w:r>
      </w:ins>
      <w:r>
        <w:t xml:space="preserve"> Department of Conservation and Land Management </w:t>
      </w:r>
      <w:del w:id="477" w:author="svcMRProcess" w:date="2020-02-18T08:15:00Z">
        <w:r>
          <w:delText>is called</w:delText>
        </w:r>
      </w:del>
      <w:ins w:id="478" w:author="svcMRProcess" w:date="2020-02-18T08:15:00Z">
        <w:r>
          <w:t>was renamed</w:t>
        </w:r>
      </w:ins>
      <w:r>
        <w:t xml:space="preserve"> the Department of Environment and Conservation.</w:t>
      </w:r>
    </w:p>
    <w:p>
      <w:pPr>
        <w:pStyle w:val="nSubsection"/>
        <w:widowControl w:val="0"/>
        <w:rPr>
          <w:ins w:id="479" w:author="svcMRProcess" w:date="2020-02-18T08:15:00Z"/>
        </w:rPr>
      </w:pPr>
      <w:del w:id="480" w:author="svcMRProcess" w:date="2020-02-18T08:15:00Z">
        <w:r>
          <w:rPr>
            <w:vertAlign w:val="superscript"/>
          </w:rPr>
          <w:delText>3</w:delText>
        </w:r>
        <w:r>
          <w:tab/>
        </w:r>
        <w:r>
          <w:rPr>
            <w:snapToGrid w:val="0"/>
          </w:rPr>
          <w:delText xml:space="preserve">Under the </w:delText>
        </w:r>
        <w:r>
          <w:rPr>
            <w:i/>
            <w:iCs/>
            <w:snapToGrid w:val="0"/>
          </w:rPr>
          <w:delText xml:space="preserve">Public Sector Management Act 1994 </w:delText>
        </w:r>
        <w:r>
          <w:rPr>
            <w:snapToGrid w:val="0"/>
          </w:rPr>
          <w:delText xml:space="preserve">the designations of departments can be changed. </w:delText>
        </w:r>
      </w:del>
      <w:ins w:id="481" w:author="svcMRProcess" w:date="2020-02-18T08:15:00Z">
        <w:r>
          <w:tab/>
          <w:t xml:space="preserve">At the time of this reprint, under the </w:t>
        </w:r>
        <w:r>
          <w:rPr>
            <w:i/>
          </w:rPr>
          <w:t>Alteration of Statutory Designation Order 2017</w:t>
        </w:r>
        <w:r>
          <w:t xml:space="preserve"> cl. 4, a reference in any law to the Department of Environment and Conservation is to be read and construed as a reference to the Department of Biodiversity, Conservation and Attractions.</w:t>
        </w:r>
      </w:ins>
    </w:p>
    <w:p>
      <w:pPr>
        <w:pStyle w:val="nSubsection"/>
        <w:rPr>
          <w:rFonts w:ascii="Times" w:hAnsi="Times"/>
        </w:rPr>
      </w:pPr>
      <w:ins w:id="482" w:author="svcMRProcess" w:date="2020-02-18T08:15:00Z">
        <w:r>
          <w:rPr>
            <w:vertAlign w:val="superscript"/>
          </w:rPr>
          <w:t>4</w:t>
        </w:r>
        <w:r>
          <w:tab/>
        </w:r>
      </w:ins>
      <w:r>
        <w:t xml:space="preserve">At the time of this </w:t>
      </w:r>
      <w:del w:id="483" w:author="svcMRProcess" w:date="2020-02-18T08:15:00Z">
        <w:r>
          <w:delText>compilation the designation of</w:delText>
        </w:r>
      </w:del>
      <w:ins w:id="484" w:author="svcMRProcess" w:date="2020-02-18T08:15:00Z">
        <w:r>
          <w:t xml:space="preserve">reprint, under the </w:t>
        </w:r>
        <w:r>
          <w:rPr>
            <w:i/>
          </w:rPr>
          <w:t>Alteration of Statutory Designation Order 2017</w:t>
        </w:r>
        <w:r>
          <w:t xml:space="preserve"> cl. 8, a reference in any law to</w:t>
        </w:r>
      </w:ins>
      <w:r>
        <w:t xml:space="preserve"> the Department of Mines </w:t>
      </w:r>
      <w:del w:id="485" w:author="svcMRProcess" w:date="2020-02-18T08:15:00Z">
        <w:r>
          <w:delText>has been changed</w:delText>
        </w:r>
      </w:del>
      <w:ins w:id="486" w:author="svcMRProcess" w:date="2020-02-18T08:15:00Z">
        <w:r>
          <w:t>is to be read and construed as a reference</w:t>
        </w:r>
      </w:ins>
      <w:r>
        <w:t xml:space="preserve"> to the Department of Mines</w:t>
      </w:r>
      <w:ins w:id="487" w:author="svcMRProcess" w:date="2020-02-18T08:15:00Z">
        <w:r>
          <w:t>, Industry Regulation</w:t>
        </w:r>
      </w:ins>
      <w:r>
        <w:t xml:space="preserve"> and </w:t>
      </w:r>
      <w:del w:id="488" w:author="svcMRProcess" w:date="2020-02-18T08:15:00Z">
        <w:r>
          <w:delText>Petroleum</w:delText>
        </w:r>
      </w:del>
      <w:ins w:id="489" w:author="svcMRProcess" w:date="2020-02-18T08:15:00Z">
        <w:r>
          <w:t>Safety</w:t>
        </w:r>
      </w:ins>
      <w:r>
        <w:t>.</w:t>
      </w:r>
    </w:p>
    <w:p>
      <w:pPr>
        <w:pStyle w:val="nSubsection"/>
        <w:rPr>
          <w:snapToGrid w:val="0"/>
        </w:rPr>
      </w:pPr>
      <w:del w:id="490" w:author="svcMRProcess" w:date="2020-02-18T08:15:00Z">
        <w:r>
          <w:rPr>
            <w:snapToGrid w:val="0"/>
            <w:vertAlign w:val="superscript"/>
          </w:rPr>
          <w:delText>4</w:delText>
        </w:r>
      </w:del>
      <w:ins w:id="491" w:author="svcMRProcess" w:date="2020-02-18T08:15:00Z">
        <w:r>
          <w:rPr>
            <w:snapToGrid w:val="0"/>
            <w:vertAlign w:val="superscript"/>
          </w:rPr>
          <w:t>5</w:t>
        </w:r>
      </w:ins>
      <w:r>
        <w:rPr>
          <w:snapToGrid w:val="0"/>
        </w:rPr>
        <w:tab/>
        <w:t xml:space="preserve">Under the </w:t>
      </w:r>
      <w:r>
        <w:rPr>
          <w:i/>
          <w:snapToGrid w:val="0"/>
        </w:rPr>
        <w:t>Land Administration Act 1997</w:t>
      </w:r>
      <w:r>
        <w:rPr>
          <w:snapToGrid w:val="0"/>
        </w:rPr>
        <w:t xml:space="preserve"> s. 281(3) a reference in </w:t>
      </w:r>
      <w:del w:id="492" w:author="svcMRProcess" w:date="2020-02-18T08:15:00Z">
        <w:r>
          <w:rPr>
            <w:snapToGrid w:val="0"/>
          </w:rPr>
          <w:delText>a written</w:delText>
        </w:r>
      </w:del>
      <w:ins w:id="493" w:author="svcMRProcess" w:date="2020-02-18T08:15:00Z">
        <w:r>
          <w:rPr>
            <w:snapToGrid w:val="0"/>
          </w:rPr>
          <w:t>any</w:t>
        </w:r>
      </w:ins>
      <w:r>
        <w:rPr>
          <w:snapToGrid w:val="0"/>
        </w:rPr>
        <w:t xml:space="preserve">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86"/>
        <w:rPr>
          <w:del w:id="494" w:author="svcMRProcess" w:date="2020-02-18T08:15:00Z"/>
        </w:rPr>
      </w:pPr>
      <w:del w:id="495" w:author="svcMRProcess" w:date="2020-02-18T08:15:00Z">
        <w:r>
          <w:rPr>
            <w:vertAlign w:val="superscript"/>
          </w:rPr>
          <w:delText>5</w:delText>
        </w:r>
        <w:r>
          <w:tab/>
          <w:delText xml:space="preserve">Under the </w:delText>
        </w:r>
        <w:r>
          <w:rPr>
            <w:i/>
          </w:rPr>
          <w:delText>Commonwealth Places (Mirror Taxes) Act 1998</w:delText>
        </w:r>
        <w:r>
          <w:delText xml:space="preserve"> (Commonwealth) s. 8(2), this Act is to be read and construed with any modifications referred to in subsection (1) of that section and, in particular, with the modifications set out in the </w:delText>
        </w:r>
        <w:r>
          <w:rPr>
            <w:i/>
          </w:rPr>
          <w:delText>Commonwealth Places (Mirror Taxes) (Modification of Applied Laws (WA)) Notice 2007</w:delText>
        </w:r>
        <w:r>
          <w:delText xml:space="preserve">. </w:delText>
        </w:r>
      </w:del>
    </w:p>
    <w:p>
      <w:pPr>
        <w:pStyle w:val="nSubsection"/>
        <w:spacing w:before="86"/>
        <w:rPr>
          <w:del w:id="496" w:author="svcMRProcess" w:date="2020-02-18T08:15:00Z"/>
        </w:rPr>
      </w:pPr>
      <w:del w:id="497" w:author="svcMRProcess" w:date="2020-02-18T08:15:00Z">
        <w:r>
          <w:rPr>
            <w:vertAlign w:val="superscript"/>
          </w:rPr>
          <w:delText>6</w:delText>
        </w:r>
        <w:r>
          <w:tab/>
          <w:delText xml:space="preserve">Under the </w:delText>
        </w:r>
        <w:r>
          <w:rPr>
            <w:i/>
          </w:rPr>
          <w:delText>Commonwealth Places (Mirror Taxes Administration) Act 1999</w:delText>
        </w:r>
        <w:r>
          <w:delText xml:space="preserve"> s. 7 this Act is to be read and construed with any modifications referred to in subsection (1) of that section and, in particular, with the modifications set out in the </w:delText>
        </w:r>
        <w:r>
          <w:rPr>
            <w:i/>
          </w:rPr>
          <w:delText>Commonwealth Places (Mirror Taxes Administration) Regulations 2007</w:delText>
        </w:r>
        <w:r>
          <w:delText xml:space="preserve">.  </w:delText>
        </w:r>
      </w:del>
    </w:p>
    <w:p>
      <w:pPr>
        <w:pStyle w:val="nSubsection"/>
        <w:keepLines/>
        <w:rPr>
          <w:snapToGrid w:val="0"/>
        </w:rPr>
      </w:pPr>
      <w:del w:id="498" w:author="svcMRProcess" w:date="2020-02-18T08:15:00Z">
        <w:r>
          <w:rPr>
            <w:snapToGrid w:val="0"/>
            <w:vertAlign w:val="superscript"/>
          </w:rPr>
          <w:delText>7</w:delText>
        </w:r>
      </w:del>
      <w:ins w:id="499" w:author="svcMRProcess" w:date="2020-02-18T08:15:00Z">
        <w:r>
          <w:rPr>
            <w:snapToGrid w:val="0"/>
            <w:vertAlign w:val="superscript"/>
          </w:rPr>
          <w:t>6</w:t>
        </w:r>
      </w:ins>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pPr>
      <w:del w:id="500" w:author="svcMRProcess" w:date="2020-02-18T08:15:00Z">
        <w:r>
          <w:rPr>
            <w:vertAlign w:val="superscript"/>
          </w:rPr>
          <w:delText>8</w:delText>
        </w:r>
      </w:del>
      <w:ins w:id="501" w:author="svcMRProcess" w:date="2020-02-18T08:15:00Z">
        <w:r>
          <w:rPr>
            <w:vertAlign w:val="superscript"/>
          </w:rPr>
          <w:t>7</w:t>
        </w:r>
      </w:ins>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Subsection"/>
        <w:keepLines/>
      </w:pPr>
      <w:del w:id="502" w:author="svcMRProcess" w:date="2020-02-18T08:15:00Z">
        <w:r>
          <w:rPr>
            <w:vertAlign w:val="superscript"/>
          </w:rPr>
          <w:delText>9</w:delText>
        </w:r>
      </w:del>
      <w:ins w:id="503" w:author="svcMRProcess" w:date="2020-02-18T08:15:00Z">
        <w:r>
          <w:rPr>
            <w:vertAlign w:val="superscript"/>
          </w:rPr>
          <w:t>8</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del w:id="504" w:author="svcMRProcess" w:date="2020-02-18T08:15:00Z">
        <w:r>
          <w:rPr>
            <w:snapToGrid w:val="0"/>
            <w:vertAlign w:val="superscript"/>
          </w:rPr>
          <w:delText>10</w:delText>
        </w:r>
      </w:del>
      <w:ins w:id="505" w:author="svcMRProcess" w:date="2020-02-18T08:15:00Z">
        <w:r>
          <w:rPr>
            <w:snapToGrid w:val="0"/>
            <w:vertAlign w:val="superscript"/>
          </w:rPr>
          <w:t>9</w:t>
        </w:r>
      </w:ins>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and validation provisions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Transitional 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06" w:name="Compilation"/>
    <w:bookmarkEnd w:id="50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7" w:name="Coversheet"/>
    <w:bookmarkEnd w:id="5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Land tax 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Liability to land tax</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12" w:name="Schedule"/>
    <w:bookmarkEnd w:id="41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8"/>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03145637"/>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 w:name="WAFER_20180427144108" w:val="RemoveTocBookmarks,RemoveUnusedBookmarks,RemoveLanguageTags,UpdateStyles,UsedStyles,ResetPageSize"/>
    <w:docVar w:name="WAFER_20180427144108_GUID" w:val="e0c7b828-23dc-499c-b2f8-b149a7212ec4"/>
    <w:docVar w:name="WAFER_20180503145637" w:val="RemoveTocBookmarks,RemoveUnusedBookmarks,RemoveLanguageTags,UsedStyles,ResetPageSize,RemoveCustomizations"/>
    <w:docVar w:name="WAFER_20180503145637_GUID" w:val="168eb6b5-5140-4ac4-be80-1d282e6ea3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8.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image" Target="media/image5.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96223-BB10-424C-B5EE-B0ED7EF2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25006</Words>
  <Characters>115030</Characters>
  <Application>Microsoft Office Word</Application>
  <DocSecurity>0</DocSecurity>
  <Lines>3027</Lines>
  <Paragraphs>1628</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138408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04-j0-01 - 05-a0-00</dc:title>
  <dc:subject/>
  <dc:creator/>
  <cp:keywords/>
  <dc:description/>
  <cp:lastModifiedBy>svcMRProcess</cp:lastModifiedBy>
  <cp:revision>2</cp:revision>
  <cp:lastPrinted>2018-06-11T02:18:00Z</cp:lastPrinted>
  <dcterms:created xsi:type="dcterms:W3CDTF">2020-02-18T00:15:00Z</dcterms:created>
  <dcterms:modified xsi:type="dcterms:W3CDTF">2020-02-18T00:16:00Z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edAsAt">
    <vt:filetime>2018-07-19T16:00:00Z</vt:filetime>
  </property>
  <property fmtid="{D5CDD505-2E9C-101B-9397-08002B2CF9AE}" pid="6" name="ReprintNo">
    <vt:lpwstr>5</vt:lpwstr>
  </property>
  <property fmtid="{D5CDD505-2E9C-101B-9397-08002B2CF9AE}" pid="7" name="CommencementDate">
    <vt:lpwstr>20180720</vt:lpwstr>
  </property>
  <property fmtid="{D5CDD505-2E9C-101B-9397-08002B2CF9AE}" pid="8" name="FromSuffix">
    <vt:lpwstr>04-j0-01</vt:lpwstr>
  </property>
  <property fmtid="{D5CDD505-2E9C-101B-9397-08002B2CF9AE}" pid="9" name="FromAsAtDate">
    <vt:lpwstr>26 Apr 2018</vt:lpwstr>
  </property>
  <property fmtid="{D5CDD505-2E9C-101B-9397-08002B2CF9AE}" pid="10" name="ToSuffix">
    <vt:lpwstr>05-a0-00</vt:lpwstr>
  </property>
  <property fmtid="{D5CDD505-2E9C-101B-9397-08002B2CF9AE}" pid="11" name="ToAsAtDate">
    <vt:lpwstr>20 Jul 2018</vt:lpwstr>
  </property>
</Properties>
</file>