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01 Aug 2018</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 w:name="_Toc65744840"/>
      <w:bookmarkStart w:id="2" w:name="_Toc425858537"/>
      <w:bookmarkStart w:id="3" w:name="_Toc425858587"/>
      <w:bookmarkStart w:id="4" w:name="_Toc427230825"/>
      <w:bookmarkStart w:id="5" w:name="_Toc453589007"/>
      <w:bookmarkStart w:id="6" w:name="_Toc455138845"/>
      <w:bookmarkStart w:id="7" w:name="_Toc455153187"/>
      <w:bookmarkStart w:id="8" w:name="_Toc486424842"/>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65744841"/>
      <w:bookmarkStart w:id="11" w:name="_Toc486424843"/>
      <w:r>
        <w:rPr>
          <w:rStyle w:val="CharSectno"/>
        </w:rPr>
        <w:t>1</w:t>
      </w:r>
      <w:r>
        <w:t>.</w:t>
      </w:r>
      <w:r>
        <w:tab/>
        <w:t>Citation</w:t>
      </w:r>
      <w:bookmarkEnd w:id="10"/>
      <w:bookmarkEnd w:id="11"/>
    </w:p>
    <w:p>
      <w:pPr>
        <w:pStyle w:val="Subsection"/>
      </w:pPr>
      <w:r>
        <w:tab/>
      </w:r>
      <w:r>
        <w:tab/>
      </w:r>
      <w:bookmarkStart w:id="12" w:name="Start_Cursor"/>
      <w:bookmarkEnd w:id="12"/>
      <w:r>
        <w:t xml:space="preserve">These regulations are the </w:t>
      </w:r>
      <w:r>
        <w:rPr>
          <w:i/>
        </w:rPr>
        <w:t>Teacher Registration (General) Regulations 2012</w:t>
      </w:r>
      <w:r>
        <w:rPr>
          <w:vertAlign w:val="superscript"/>
        </w:rPr>
        <w:t> 1</w:t>
      </w:r>
      <w:r>
        <w:t>.</w:t>
      </w:r>
    </w:p>
    <w:p>
      <w:pPr>
        <w:pStyle w:val="Heading5"/>
      </w:pPr>
      <w:bookmarkStart w:id="13" w:name="_Toc65744842"/>
      <w:bookmarkStart w:id="14" w:name="_Toc486424844"/>
      <w:r>
        <w:rPr>
          <w:rStyle w:val="CharSectno"/>
        </w:rPr>
        <w:t>2</w:t>
      </w:r>
      <w:r>
        <w:t>.</w:t>
      </w:r>
      <w:r>
        <w:tab/>
        <w:t>Commencement</w:t>
      </w:r>
      <w:bookmarkEnd w:id="13"/>
      <w:bookmarkEnd w:id="14"/>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r>
        <w:rPr>
          <w:vertAlign w:val="superscript"/>
        </w:rPr>
        <w:t> 1</w:t>
      </w:r>
      <w:r>
        <w:t>.</w:t>
      </w:r>
    </w:p>
    <w:p>
      <w:pPr>
        <w:pStyle w:val="Heading5"/>
      </w:pPr>
      <w:bookmarkStart w:id="15" w:name="_Toc65744843"/>
      <w:bookmarkStart w:id="16" w:name="_Toc486424845"/>
      <w:r>
        <w:rPr>
          <w:rStyle w:val="CharSectno"/>
        </w:rPr>
        <w:t>3</w:t>
      </w:r>
      <w:r>
        <w:t>.</w:t>
      </w:r>
      <w:r>
        <w:tab/>
        <w:t>Terms used</w:t>
      </w:r>
      <w:bookmarkEnd w:id="15"/>
      <w:bookmarkEnd w:id="16"/>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ins w:id="17" w:author="Master Repository Process" w:date="2021-09-18T19:36:00Z">
        <w:r>
          <w:rPr>
            <w:vertAlign w:val="superscript"/>
          </w:rPr>
          <w:t> 1</w:t>
        </w:r>
      </w:ins>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w:t>
      </w:r>
      <w:del w:id="18" w:author="Master Repository Process" w:date="2021-09-18T19:36:00Z">
        <w:r>
          <w:delText xml:space="preserve"> in</w:delText>
        </w:r>
      </w:del>
      <w:ins w:id="19" w:author="Master Repository Process" w:date="2021-09-18T19:36:00Z">
        <w:r>
          <w:t>:</w:t>
        </w:r>
      </w:ins>
      <w:r>
        <w:t xml:space="preserve"> Gazette 13 Aug 2013 p. 3733.]</w:t>
      </w:r>
    </w:p>
    <w:p>
      <w:pPr>
        <w:pStyle w:val="Heading2"/>
      </w:pPr>
      <w:bookmarkStart w:id="20" w:name="_Toc65744844"/>
      <w:bookmarkStart w:id="21" w:name="_Toc425858541"/>
      <w:bookmarkStart w:id="22" w:name="_Toc425858591"/>
      <w:bookmarkStart w:id="23" w:name="_Toc427230829"/>
      <w:bookmarkStart w:id="24" w:name="_Toc453589011"/>
      <w:bookmarkStart w:id="25" w:name="_Toc455138849"/>
      <w:bookmarkStart w:id="26" w:name="_Toc455153191"/>
      <w:bookmarkStart w:id="27" w:name="_Toc486424846"/>
      <w:r>
        <w:rPr>
          <w:rStyle w:val="CharPartNo"/>
        </w:rPr>
        <w:t>Part 2</w:t>
      </w:r>
      <w:r>
        <w:rPr>
          <w:rStyle w:val="CharDivNo"/>
        </w:rPr>
        <w:t> </w:t>
      </w:r>
      <w:r>
        <w:t>—</w:t>
      </w:r>
      <w:r>
        <w:rPr>
          <w:rStyle w:val="CharDivText"/>
        </w:rPr>
        <w:t> </w:t>
      </w:r>
      <w:r>
        <w:rPr>
          <w:rStyle w:val="CharPartText"/>
        </w:rPr>
        <w:t>General provisions</w:t>
      </w:r>
      <w:bookmarkEnd w:id="20"/>
      <w:bookmarkEnd w:id="21"/>
      <w:bookmarkEnd w:id="22"/>
      <w:bookmarkEnd w:id="23"/>
      <w:bookmarkEnd w:id="24"/>
      <w:bookmarkEnd w:id="25"/>
      <w:bookmarkEnd w:id="26"/>
      <w:bookmarkEnd w:id="27"/>
    </w:p>
    <w:p>
      <w:pPr>
        <w:pStyle w:val="Heading5"/>
      </w:pPr>
      <w:bookmarkStart w:id="28" w:name="_Toc65744845"/>
      <w:bookmarkStart w:id="29" w:name="_Toc486424847"/>
      <w:r>
        <w:rPr>
          <w:rStyle w:val="CharSectno"/>
        </w:rPr>
        <w:t>4</w:t>
      </w:r>
      <w:r>
        <w:t>.</w:t>
      </w:r>
      <w:r>
        <w:tab/>
        <w:t>Prescribed bodies or agencies (s. 3)</w:t>
      </w:r>
      <w:bookmarkEnd w:id="28"/>
      <w:bookmarkEnd w:id="29"/>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30" w:name="_Toc65744846"/>
      <w:bookmarkStart w:id="31" w:name="_Toc486424848"/>
      <w:r>
        <w:rPr>
          <w:rStyle w:val="CharSectno"/>
        </w:rPr>
        <w:t>5</w:t>
      </w:r>
      <w:r>
        <w:t>.</w:t>
      </w:r>
      <w:r>
        <w:tab/>
        <w:t>Places where centre</w:t>
      </w:r>
      <w:r>
        <w:noBreakHyphen/>
        <w:t>based services operate are educational venues (s. 3)</w:t>
      </w:r>
      <w:bookmarkEnd w:id="30"/>
      <w:bookmarkEnd w:id="31"/>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32" w:name="_Toc65744847"/>
      <w:bookmarkStart w:id="33" w:name="_Toc486424849"/>
      <w:r>
        <w:rPr>
          <w:rStyle w:val="CharSectno"/>
        </w:rPr>
        <w:t>6</w:t>
      </w:r>
      <w:r>
        <w:t>.</w:t>
      </w:r>
      <w:r>
        <w:tab/>
        <w:t>Prescribed curriculum (s. 3)</w:t>
      </w:r>
      <w:bookmarkEnd w:id="32"/>
      <w:bookmarkEnd w:id="33"/>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34" w:name="_Toc65744848"/>
      <w:bookmarkStart w:id="35" w:name="_Toc486424850"/>
      <w:r>
        <w:rPr>
          <w:rStyle w:val="CharSectno"/>
        </w:rPr>
        <w:t>7</w:t>
      </w:r>
      <w:r>
        <w:t>.</w:t>
      </w:r>
      <w:r>
        <w:tab/>
        <w:t>When unpaid volunteers are teaching (s. 3)</w:t>
      </w:r>
      <w:bookmarkEnd w:id="34"/>
      <w:bookmarkEnd w:id="35"/>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36" w:name="_Toc65744849"/>
      <w:bookmarkStart w:id="37" w:name="_Toc486424851"/>
      <w:r>
        <w:rPr>
          <w:rStyle w:val="CharSectno"/>
        </w:rPr>
        <w:t>8</w:t>
      </w:r>
      <w:r>
        <w:t>.</w:t>
      </w:r>
      <w:r>
        <w:tab/>
        <w:t>Other persons who are not teaching (s. 3)</w:t>
      </w:r>
      <w:bookmarkEnd w:id="36"/>
      <w:bookmarkEnd w:id="37"/>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38" w:name="_Toc65744850"/>
      <w:bookmarkStart w:id="39" w:name="_Toc486424852"/>
      <w:r>
        <w:rPr>
          <w:rStyle w:val="CharSectno"/>
        </w:rPr>
        <w:t>9</w:t>
      </w:r>
      <w:r>
        <w:t>.</w:t>
      </w:r>
      <w:r>
        <w:tab/>
        <w:t>Professional learning activities</w:t>
      </w:r>
      <w:bookmarkEnd w:id="38"/>
      <w:bookmarkEnd w:id="39"/>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40" w:name="_Toc65744851"/>
      <w:bookmarkStart w:id="41" w:name="_Toc425858548"/>
      <w:bookmarkStart w:id="42" w:name="_Toc425858598"/>
      <w:bookmarkStart w:id="43" w:name="_Toc427230836"/>
      <w:bookmarkStart w:id="44" w:name="_Toc453589018"/>
      <w:bookmarkStart w:id="45" w:name="_Toc455138856"/>
      <w:bookmarkStart w:id="46" w:name="_Toc455153198"/>
      <w:bookmarkStart w:id="47" w:name="_Toc486424853"/>
      <w:r>
        <w:rPr>
          <w:rStyle w:val="CharPartNo"/>
        </w:rPr>
        <w:t>Part 3</w:t>
      </w:r>
      <w:r>
        <w:t> — </w:t>
      </w:r>
      <w:r>
        <w:rPr>
          <w:rStyle w:val="CharPartText"/>
        </w:rPr>
        <w:t>Registration</w:t>
      </w:r>
      <w:bookmarkEnd w:id="40"/>
      <w:bookmarkEnd w:id="41"/>
      <w:bookmarkEnd w:id="42"/>
      <w:bookmarkEnd w:id="43"/>
      <w:bookmarkEnd w:id="44"/>
      <w:bookmarkEnd w:id="45"/>
      <w:bookmarkEnd w:id="46"/>
      <w:bookmarkEnd w:id="47"/>
    </w:p>
    <w:p>
      <w:pPr>
        <w:pStyle w:val="Heading3"/>
      </w:pPr>
      <w:bookmarkStart w:id="48" w:name="_Toc65744852"/>
      <w:bookmarkStart w:id="49" w:name="_Toc425858549"/>
      <w:bookmarkStart w:id="50" w:name="_Toc425858599"/>
      <w:bookmarkStart w:id="51" w:name="_Toc427230837"/>
      <w:bookmarkStart w:id="52" w:name="_Toc453589019"/>
      <w:bookmarkStart w:id="53" w:name="_Toc455138857"/>
      <w:bookmarkStart w:id="54" w:name="_Toc455153199"/>
      <w:bookmarkStart w:id="55" w:name="_Toc486424854"/>
      <w:r>
        <w:rPr>
          <w:rStyle w:val="CharDivNo"/>
        </w:rPr>
        <w:t>Division 1</w:t>
      </w:r>
      <w:r>
        <w:t> — </w:t>
      </w:r>
      <w:r>
        <w:rPr>
          <w:rStyle w:val="CharDivText"/>
        </w:rPr>
        <w:t>Registration of teachers</w:t>
      </w:r>
      <w:bookmarkEnd w:id="48"/>
      <w:bookmarkEnd w:id="49"/>
      <w:bookmarkEnd w:id="50"/>
      <w:bookmarkEnd w:id="51"/>
      <w:bookmarkEnd w:id="52"/>
      <w:bookmarkEnd w:id="53"/>
      <w:bookmarkEnd w:id="54"/>
      <w:bookmarkEnd w:id="55"/>
    </w:p>
    <w:p>
      <w:pPr>
        <w:pStyle w:val="Footnoteheading"/>
      </w:pPr>
      <w:r>
        <w:tab/>
        <w:t>[Heading inserted</w:t>
      </w:r>
      <w:del w:id="56" w:author="Master Repository Process" w:date="2021-09-18T19:36:00Z">
        <w:r>
          <w:delText xml:space="preserve"> in</w:delText>
        </w:r>
      </w:del>
      <w:ins w:id="57" w:author="Master Repository Process" w:date="2021-09-18T19:36:00Z">
        <w:r>
          <w:t>:</w:t>
        </w:r>
      </w:ins>
      <w:r>
        <w:t xml:space="preserve"> Gazette 28 Jan 2014 p. 177.]</w:t>
      </w:r>
    </w:p>
    <w:p>
      <w:pPr>
        <w:pStyle w:val="Heading5"/>
      </w:pPr>
      <w:bookmarkStart w:id="58" w:name="_Toc65744853"/>
      <w:bookmarkStart w:id="59" w:name="_Toc486424855"/>
      <w:r>
        <w:rPr>
          <w:rStyle w:val="CharSectno"/>
        </w:rPr>
        <w:t>10</w:t>
      </w:r>
      <w:r>
        <w:t>.</w:t>
      </w:r>
      <w:r>
        <w:tab/>
        <w:t>English language skills for full and provisional registration (s. 15(d) and 16(d))</w:t>
      </w:r>
      <w:bookmarkEnd w:id="58"/>
      <w:bookmarkEnd w:id="59"/>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60" w:name="_Toc65744854"/>
      <w:bookmarkStart w:id="61" w:name="_Toc486424856"/>
      <w:r>
        <w:rPr>
          <w:rStyle w:val="CharSectno"/>
        </w:rPr>
        <w:t>11</w:t>
      </w:r>
      <w:r>
        <w:t>.</w:t>
      </w:r>
      <w:r>
        <w:tab/>
        <w:t>English language skills for limited registration (s. 17(c))</w:t>
      </w:r>
      <w:bookmarkEnd w:id="60"/>
      <w:bookmarkEnd w:id="61"/>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Australia;</w:t>
      </w:r>
    </w:p>
    <w:p>
      <w:pPr>
        <w:pStyle w:val="Defstart"/>
      </w:pPr>
      <w:r>
        <w:tab/>
      </w:r>
      <w:r>
        <w:rPr>
          <w:rStyle w:val="CharDefText"/>
        </w:rPr>
        <w:t>Torres Strait Islander</w:t>
      </w:r>
      <w:r>
        <w:t xml:space="preserve"> means a person who is a descendant of the indigenous inhabitants of the Torres Strait Islands.</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62" w:name="_Toc65744855"/>
      <w:bookmarkStart w:id="63" w:name="_Toc486424857"/>
      <w:r>
        <w:rPr>
          <w:rStyle w:val="CharSectno"/>
        </w:rPr>
        <w:t>12</w:t>
      </w:r>
      <w:r>
        <w:t>.</w:t>
      </w:r>
      <w:r>
        <w:tab/>
        <w:t>Other requirements for limited registration (s. 17(d))</w:t>
      </w:r>
      <w:bookmarkEnd w:id="62"/>
      <w:bookmarkEnd w:id="63"/>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64" w:name="_Toc65744856"/>
      <w:bookmarkStart w:id="65" w:name="_Toc486424858"/>
      <w:r>
        <w:rPr>
          <w:rStyle w:val="CharSectno"/>
        </w:rPr>
        <w:t>13</w:t>
      </w:r>
      <w:r>
        <w:t>.</w:t>
      </w:r>
      <w:r>
        <w:tab/>
        <w:t>Renewal of registration — requirements for professional engagement and professional learning activities (s. 22(2)(c))</w:t>
      </w:r>
      <w:bookmarkEnd w:id="64"/>
      <w:bookmarkEnd w:id="65"/>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66" w:name="_Toc65744857"/>
      <w:bookmarkStart w:id="67" w:name="_Toc486424859"/>
      <w:r>
        <w:rPr>
          <w:rStyle w:val="CharSectno"/>
        </w:rPr>
        <w:t>14</w:t>
      </w:r>
      <w:r>
        <w:t>.</w:t>
      </w:r>
      <w:r>
        <w:tab/>
        <w:t>Intention to apply for limited registration (s. 23(3)(a))</w:t>
      </w:r>
      <w:bookmarkEnd w:id="66"/>
      <w:bookmarkEnd w:id="67"/>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68" w:name="_Toc65744858"/>
      <w:bookmarkStart w:id="69" w:name="_Toc486424860"/>
      <w:r>
        <w:rPr>
          <w:rStyle w:val="CharSectno"/>
        </w:rPr>
        <w:t>15</w:t>
      </w:r>
      <w:r>
        <w:t>.</w:t>
      </w:r>
      <w:r>
        <w:tab/>
        <w:t>Duration of non</w:t>
      </w:r>
      <w:r>
        <w:noBreakHyphen/>
        <w:t>practising registration</w:t>
      </w:r>
      <w:bookmarkEnd w:id="68"/>
      <w:bookmarkEnd w:id="69"/>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w:t>
      </w:r>
      <w:del w:id="70" w:author="Master Repository Process" w:date="2021-09-18T19:36:00Z">
        <w:r>
          <w:delText xml:space="preserve"> in</w:delText>
        </w:r>
      </w:del>
      <w:ins w:id="71" w:author="Master Repository Process" w:date="2021-09-18T19:36:00Z">
        <w:r>
          <w:t>:</w:t>
        </w:r>
      </w:ins>
      <w:r>
        <w:t xml:space="preserve"> Gazette 13 Aug 2013 p. 3733</w:t>
      </w:r>
      <w:r>
        <w:noBreakHyphen/>
        <w:t>4; amended</w:t>
      </w:r>
      <w:del w:id="72" w:author="Master Repository Process" w:date="2021-09-18T19:36:00Z">
        <w:r>
          <w:delText xml:space="preserve"> in</w:delText>
        </w:r>
      </w:del>
      <w:ins w:id="73" w:author="Master Repository Process" w:date="2021-09-18T19:36:00Z">
        <w:r>
          <w:t>:</w:t>
        </w:r>
      </w:ins>
      <w:r>
        <w:t xml:space="preserve"> Gazette 13 Mar 2015 p. 849.]</w:t>
      </w:r>
    </w:p>
    <w:p>
      <w:pPr>
        <w:pStyle w:val="Heading5"/>
      </w:pPr>
      <w:bookmarkStart w:id="74" w:name="_Toc65744859"/>
      <w:bookmarkStart w:id="75" w:name="_Toc486424861"/>
      <w:r>
        <w:rPr>
          <w:rStyle w:val="CharSectno"/>
        </w:rPr>
        <w:t>16</w:t>
      </w:r>
      <w:r>
        <w:t>.</w:t>
      </w:r>
      <w:r>
        <w:tab/>
        <w:t>Condition on non</w:t>
      </w:r>
      <w:r>
        <w:noBreakHyphen/>
        <w:t>practising registration (s. 25(2))</w:t>
      </w:r>
      <w:bookmarkEnd w:id="74"/>
      <w:bookmarkEnd w:id="75"/>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w:t>
      </w:r>
      <w:del w:id="76" w:author="Master Repository Process" w:date="2021-09-18T19:36:00Z">
        <w:r>
          <w:delText xml:space="preserve"> in</w:delText>
        </w:r>
      </w:del>
      <w:ins w:id="77" w:author="Master Repository Process" w:date="2021-09-18T19:36:00Z">
        <w:r>
          <w:t>:</w:t>
        </w:r>
      </w:ins>
      <w:r>
        <w:t xml:space="preserve"> Gazette 13 Aug 2013 p. 3734.]</w:t>
      </w:r>
    </w:p>
    <w:p>
      <w:pPr>
        <w:pStyle w:val="Heading5"/>
      </w:pPr>
      <w:bookmarkStart w:id="78" w:name="_Toc65744860"/>
      <w:bookmarkStart w:id="79" w:name="_Toc486424862"/>
      <w:r>
        <w:rPr>
          <w:rStyle w:val="CharSectno"/>
        </w:rPr>
        <w:t>17</w:t>
      </w:r>
      <w:r>
        <w:t>.</w:t>
      </w:r>
      <w:r>
        <w:tab/>
        <w:t>Condition on limited registration (s. 25(2))</w:t>
      </w:r>
      <w:bookmarkEnd w:id="78"/>
      <w:bookmarkEnd w:id="79"/>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80" w:name="_Toc65744861"/>
      <w:bookmarkStart w:id="81" w:name="_Toc486424863"/>
      <w:r>
        <w:rPr>
          <w:rStyle w:val="CharSectno"/>
        </w:rPr>
        <w:t>18</w:t>
      </w:r>
      <w:r>
        <w:t>.</w:t>
      </w:r>
      <w:r>
        <w:tab/>
        <w:t>Applicant may change category of registration applied for</w:t>
      </w:r>
      <w:bookmarkEnd w:id="80"/>
      <w:bookmarkEnd w:id="81"/>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82" w:name="_Toc65744862"/>
      <w:bookmarkStart w:id="83" w:name="_Toc486424864"/>
      <w:r>
        <w:rPr>
          <w:rStyle w:val="CharSectno"/>
        </w:rPr>
        <w:t>19</w:t>
      </w:r>
      <w:r>
        <w:t>.</w:t>
      </w:r>
      <w:r>
        <w:tab/>
        <w:t>Provision of information about eligibility for registration</w:t>
      </w:r>
      <w:bookmarkEnd w:id="82"/>
      <w:bookmarkEnd w:id="83"/>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84" w:name="_Toc65744863"/>
      <w:bookmarkStart w:id="85" w:name="_Toc486424865"/>
      <w:r>
        <w:rPr>
          <w:rStyle w:val="CharSectno"/>
        </w:rPr>
        <w:t>20</w:t>
      </w:r>
      <w:r>
        <w:t>.</w:t>
      </w:r>
      <w:r>
        <w:tab/>
        <w:t>Registration cards</w:t>
      </w:r>
      <w:bookmarkEnd w:id="84"/>
      <w:bookmarkEnd w:id="85"/>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86" w:name="_Toc65744864"/>
      <w:bookmarkStart w:id="87" w:name="_Toc425858561"/>
      <w:bookmarkStart w:id="88" w:name="_Toc425858611"/>
      <w:bookmarkStart w:id="89" w:name="_Toc427230849"/>
      <w:bookmarkStart w:id="90" w:name="_Toc453589031"/>
      <w:bookmarkStart w:id="91" w:name="_Toc455138869"/>
      <w:bookmarkStart w:id="92" w:name="_Toc455153211"/>
      <w:bookmarkStart w:id="93" w:name="_Toc486424866"/>
      <w:r>
        <w:rPr>
          <w:rStyle w:val="CharDivNo"/>
        </w:rPr>
        <w:t>Division 2</w:t>
      </w:r>
      <w:r>
        <w:t> — </w:t>
      </w:r>
      <w:r>
        <w:rPr>
          <w:rStyle w:val="CharDivText"/>
        </w:rPr>
        <w:t>The register</w:t>
      </w:r>
      <w:bookmarkEnd w:id="86"/>
      <w:bookmarkEnd w:id="87"/>
      <w:bookmarkEnd w:id="88"/>
      <w:bookmarkEnd w:id="89"/>
      <w:bookmarkEnd w:id="90"/>
      <w:bookmarkEnd w:id="91"/>
      <w:bookmarkEnd w:id="92"/>
      <w:bookmarkEnd w:id="93"/>
    </w:p>
    <w:p>
      <w:pPr>
        <w:pStyle w:val="Footnoteheading"/>
        <w:keepNext/>
      </w:pPr>
      <w:r>
        <w:tab/>
        <w:t>[Heading inserted</w:t>
      </w:r>
      <w:del w:id="94" w:author="Master Repository Process" w:date="2021-09-18T19:36:00Z">
        <w:r>
          <w:delText xml:space="preserve"> in</w:delText>
        </w:r>
      </w:del>
      <w:ins w:id="95" w:author="Master Repository Process" w:date="2021-09-18T19:36:00Z">
        <w:r>
          <w:t>:</w:t>
        </w:r>
      </w:ins>
      <w:r>
        <w:t xml:space="preserve"> Gazette 28 Jan 2014 p. 177.]</w:t>
      </w:r>
    </w:p>
    <w:p>
      <w:pPr>
        <w:pStyle w:val="Heading5"/>
      </w:pPr>
      <w:bookmarkStart w:id="96" w:name="_Toc65744865"/>
      <w:bookmarkStart w:id="97" w:name="_Toc486424867"/>
      <w:r>
        <w:rPr>
          <w:rStyle w:val="CharSectno"/>
        </w:rPr>
        <w:t>21A</w:t>
      </w:r>
      <w:r>
        <w:t>.</w:t>
      </w:r>
      <w:r>
        <w:tab/>
        <w:t>Additional information to be recorded in register (s. 36(1)(e))</w:t>
      </w:r>
      <w:bookmarkEnd w:id="96"/>
      <w:bookmarkEnd w:id="97"/>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w:t>
      </w:r>
      <w:del w:id="98" w:author="Master Repository Process" w:date="2021-09-18T19:36:00Z">
        <w:r>
          <w:delText xml:space="preserve"> in</w:delText>
        </w:r>
      </w:del>
      <w:ins w:id="99" w:author="Master Repository Process" w:date="2021-09-18T19:36:00Z">
        <w:r>
          <w:t>:</w:t>
        </w:r>
      </w:ins>
      <w:r>
        <w:t xml:space="preserve"> Gazette 28 Jan 2014 p. 177-8.]</w:t>
      </w:r>
    </w:p>
    <w:p>
      <w:pPr>
        <w:pStyle w:val="Heading5"/>
      </w:pPr>
      <w:bookmarkStart w:id="100" w:name="_Toc65744866"/>
      <w:bookmarkStart w:id="101" w:name="_Toc486424868"/>
      <w:r>
        <w:rPr>
          <w:rStyle w:val="CharSectno"/>
        </w:rPr>
        <w:t>21B</w:t>
      </w:r>
      <w:r>
        <w:t>.</w:t>
      </w:r>
      <w:r>
        <w:tab/>
        <w:t>Additional persons who may inspect register information (professional) (s. 37(3)(b))</w:t>
      </w:r>
      <w:bookmarkEnd w:id="100"/>
      <w:bookmarkEnd w:id="101"/>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w:t>
      </w:r>
      <w:del w:id="102" w:author="Master Repository Process" w:date="2021-09-18T19:36:00Z">
        <w:r>
          <w:delText xml:space="preserve"> in</w:delText>
        </w:r>
      </w:del>
      <w:ins w:id="103" w:author="Master Repository Process" w:date="2021-09-18T19:36:00Z">
        <w:r>
          <w:t>:</w:t>
        </w:r>
      </w:ins>
      <w:r>
        <w:t xml:space="preserve"> Gazette 28 Jan 2014 p. 178-9.]</w:t>
      </w:r>
    </w:p>
    <w:p>
      <w:pPr>
        <w:pStyle w:val="Heading2"/>
      </w:pPr>
      <w:bookmarkStart w:id="104" w:name="_Toc65744867"/>
      <w:bookmarkStart w:id="105" w:name="_Toc425858564"/>
      <w:bookmarkStart w:id="106" w:name="_Toc425858614"/>
      <w:bookmarkStart w:id="107" w:name="_Toc427230852"/>
      <w:bookmarkStart w:id="108" w:name="_Toc453589034"/>
      <w:bookmarkStart w:id="109" w:name="_Toc455138872"/>
      <w:bookmarkStart w:id="110" w:name="_Toc455153214"/>
      <w:bookmarkStart w:id="111" w:name="_Toc486424869"/>
      <w:r>
        <w:rPr>
          <w:rStyle w:val="CharPartNo"/>
        </w:rPr>
        <w:t>Part 4</w:t>
      </w:r>
      <w:r>
        <w:rPr>
          <w:rStyle w:val="CharDivNo"/>
        </w:rPr>
        <w:t> </w:t>
      </w:r>
      <w:r>
        <w:t>—</w:t>
      </w:r>
      <w:r>
        <w:rPr>
          <w:rStyle w:val="CharDivText"/>
        </w:rPr>
        <w:t> </w:t>
      </w:r>
      <w:r>
        <w:rPr>
          <w:rStyle w:val="CharPartText"/>
        </w:rPr>
        <w:t>Disciplinary and impairment matters</w:t>
      </w:r>
      <w:bookmarkEnd w:id="104"/>
      <w:bookmarkEnd w:id="105"/>
      <w:bookmarkEnd w:id="106"/>
      <w:bookmarkEnd w:id="107"/>
      <w:bookmarkEnd w:id="108"/>
      <w:bookmarkEnd w:id="109"/>
      <w:bookmarkEnd w:id="110"/>
      <w:bookmarkEnd w:id="111"/>
    </w:p>
    <w:p>
      <w:pPr>
        <w:pStyle w:val="Heading5"/>
      </w:pPr>
      <w:bookmarkStart w:id="112" w:name="_Toc65744868"/>
      <w:bookmarkStart w:id="113" w:name="_Toc486424870"/>
      <w:r>
        <w:rPr>
          <w:rStyle w:val="CharSectno"/>
        </w:rPr>
        <w:t>21</w:t>
      </w:r>
      <w:r>
        <w:t>.</w:t>
      </w:r>
      <w:r>
        <w:tab/>
        <w:t>Complaints</w:t>
      </w:r>
      <w:bookmarkEnd w:id="112"/>
      <w:bookmarkEnd w:id="113"/>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114" w:name="_Toc65744869"/>
      <w:bookmarkStart w:id="115" w:name="_Toc486424871"/>
      <w:r>
        <w:rPr>
          <w:rStyle w:val="CharSectno"/>
        </w:rPr>
        <w:t>22</w:t>
      </w:r>
      <w:r>
        <w:t>.</w:t>
      </w:r>
      <w:r>
        <w:tab/>
        <w:t>Prescribed sexual offences (s. 46)</w:t>
      </w:r>
      <w:bookmarkEnd w:id="114"/>
      <w:bookmarkEnd w:id="115"/>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116" w:name="_Toc65744870"/>
      <w:bookmarkStart w:id="117" w:name="_Toc425858567"/>
      <w:bookmarkStart w:id="118" w:name="_Toc425858617"/>
      <w:bookmarkStart w:id="119" w:name="_Toc427230855"/>
      <w:bookmarkStart w:id="120" w:name="_Toc453589037"/>
      <w:bookmarkStart w:id="121" w:name="_Toc455138875"/>
      <w:bookmarkStart w:id="122" w:name="_Toc455153217"/>
      <w:bookmarkStart w:id="123" w:name="_Toc486424872"/>
      <w:r>
        <w:rPr>
          <w:rStyle w:val="CharPartNo"/>
        </w:rPr>
        <w:t>Part 5</w:t>
      </w:r>
      <w:r>
        <w:rPr>
          <w:rStyle w:val="CharDivNo"/>
        </w:rPr>
        <w:t> </w:t>
      </w:r>
      <w:r>
        <w:t>—</w:t>
      </w:r>
      <w:r>
        <w:rPr>
          <w:rStyle w:val="CharDivText"/>
        </w:rPr>
        <w:t> </w:t>
      </w:r>
      <w:r>
        <w:rPr>
          <w:rStyle w:val="CharPartText"/>
        </w:rPr>
        <w:t>Miscellaneous</w:t>
      </w:r>
      <w:bookmarkEnd w:id="116"/>
      <w:bookmarkEnd w:id="117"/>
      <w:bookmarkEnd w:id="118"/>
      <w:bookmarkEnd w:id="119"/>
      <w:bookmarkEnd w:id="120"/>
      <w:bookmarkEnd w:id="121"/>
      <w:bookmarkEnd w:id="122"/>
      <w:bookmarkEnd w:id="123"/>
    </w:p>
    <w:p>
      <w:pPr>
        <w:pStyle w:val="Heading5"/>
      </w:pPr>
      <w:bookmarkStart w:id="124" w:name="_Toc65744871"/>
      <w:bookmarkStart w:id="125" w:name="_Toc486424873"/>
      <w:r>
        <w:rPr>
          <w:rStyle w:val="CharSectno"/>
        </w:rPr>
        <w:t>23</w:t>
      </w:r>
      <w:r>
        <w:t>.</w:t>
      </w:r>
      <w:r>
        <w:tab/>
        <w:t>Payment of relief teachers during Board or committee meetings</w:t>
      </w:r>
      <w:bookmarkEnd w:id="124"/>
      <w:bookmarkEnd w:id="125"/>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126" w:name="_Toc65744872"/>
      <w:bookmarkStart w:id="127" w:name="_Toc486424874"/>
      <w:r>
        <w:rPr>
          <w:rStyle w:val="CharSectno"/>
        </w:rPr>
        <w:t>24</w:t>
      </w:r>
      <w:r>
        <w:t>.</w:t>
      </w:r>
      <w:r>
        <w:tab/>
        <w:t>Retention of criminal record checks</w:t>
      </w:r>
      <w:bookmarkEnd w:id="126"/>
      <w:bookmarkEnd w:id="127"/>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128" w:name="_Toc65744873"/>
      <w:bookmarkStart w:id="129" w:name="_Toc486424875"/>
      <w:r>
        <w:rPr>
          <w:rStyle w:val="CharSectno"/>
        </w:rPr>
        <w:t>25</w:t>
      </w:r>
      <w:r>
        <w:t>.</w:t>
      </w:r>
      <w:r>
        <w:tab/>
        <w:t>Employer to supply information about teachers</w:t>
      </w:r>
      <w:bookmarkEnd w:id="128"/>
      <w:bookmarkEnd w:id="129"/>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130" w:name="_Toc65744874"/>
      <w:bookmarkStart w:id="131" w:name="_Toc486424876"/>
      <w:r>
        <w:rPr>
          <w:rStyle w:val="CharSectno"/>
        </w:rPr>
        <w:t>26</w:t>
      </w:r>
      <w:r>
        <w:t>.</w:t>
      </w:r>
      <w:r>
        <w:tab/>
        <w:t>Notice to be given by employer about suspension, dismissal or resignation of registered teacher — investigations and serious incompetence (s. 42)</w:t>
      </w:r>
      <w:bookmarkEnd w:id="130"/>
      <w:bookmarkEnd w:id="131"/>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132" w:name="_Toc65744875"/>
      <w:bookmarkStart w:id="133" w:name="_Toc486424877"/>
      <w:r>
        <w:rPr>
          <w:rStyle w:val="CharSectno"/>
        </w:rPr>
        <w:t>27A</w:t>
      </w:r>
      <w:r>
        <w:t>.</w:t>
      </w:r>
      <w:r>
        <w:tab/>
        <w:t>Notice to be given of change of name, postal or email address</w:t>
      </w:r>
      <w:bookmarkEnd w:id="132"/>
      <w:bookmarkEnd w:id="133"/>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w:t>
      </w:r>
      <w:del w:id="134" w:author="Master Repository Process" w:date="2021-09-18T19:36:00Z">
        <w:r>
          <w:delText xml:space="preserve"> in</w:delText>
        </w:r>
      </w:del>
      <w:ins w:id="135" w:author="Master Repository Process" w:date="2021-09-18T19:36:00Z">
        <w:r>
          <w:t>:</w:t>
        </w:r>
      </w:ins>
      <w:r>
        <w:t xml:space="preserve"> Gazette 13 Aug 2013 p. 3734</w:t>
      </w:r>
      <w:r>
        <w:noBreakHyphen/>
        <w:t>5.]</w:t>
      </w:r>
    </w:p>
    <w:p>
      <w:pPr>
        <w:pStyle w:val="Heading5"/>
      </w:pPr>
      <w:bookmarkStart w:id="136" w:name="_Toc65744876"/>
      <w:bookmarkStart w:id="137" w:name="_Toc486424878"/>
      <w:r>
        <w:rPr>
          <w:rStyle w:val="CharSectno"/>
        </w:rPr>
        <w:t>27</w:t>
      </w:r>
      <w:r>
        <w:t>.</w:t>
      </w:r>
      <w:r>
        <w:tab/>
        <w:t>Board may require information to be verified by statutory declaration</w:t>
      </w:r>
      <w:bookmarkEnd w:id="136"/>
      <w:bookmarkEnd w:id="137"/>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138" w:name="_Toc65744877"/>
      <w:bookmarkStart w:id="139" w:name="_Toc486424879"/>
      <w:r>
        <w:rPr>
          <w:rStyle w:val="CharSectno"/>
        </w:rPr>
        <w:t>28</w:t>
      </w:r>
      <w:r>
        <w:t>.</w:t>
      </w:r>
      <w:r>
        <w:tab/>
        <w:t>Fees</w:t>
      </w:r>
      <w:bookmarkEnd w:id="138"/>
      <w:bookmarkEnd w:id="139"/>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140" w:name="_Toc65744878"/>
      <w:bookmarkStart w:id="141" w:name="_Toc425858575"/>
      <w:bookmarkStart w:id="142" w:name="_Toc425858625"/>
      <w:bookmarkStart w:id="143" w:name="_Toc427230863"/>
      <w:bookmarkStart w:id="144" w:name="_Toc453589045"/>
      <w:bookmarkStart w:id="145" w:name="_Toc455138883"/>
      <w:bookmarkStart w:id="146" w:name="_Toc455153225"/>
      <w:bookmarkStart w:id="147" w:name="_Toc486424880"/>
      <w:r>
        <w:rPr>
          <w:rStyle w:val="CharPartNo"/>
        </w:rPr>
        <w:t>Part 6</w:t>
      </w:r>
      <w:r>
        <w:rPr>
          <w:rStyle w:val="CharDivNo"/>
        </w:rPr>
        <w:t> </w:t>
      </w:r>
      <w:r>
        <w:t>—</w:t>
      </w:r>
      <w:r>
        <w:rPr>
          <w:rStyle w:val="CharDivText"/>
        </w:rPr>
        <w:t> </w:t>
      </w:r>
      <w:r>
        <w:rPr>
          <w:rStyle w:val="CharPartText"/>
        </w:rPr>
        <w:t>Transitional matters</w:t>
      </w:r>
      <w:bookmarkEnd w:id="140"/>
      <w:bookmarkEnd w:id="141"/>
      <w:bookmarkEnd w:id="142"/>
      <w:bookmarkEnd w:id="143"/>
      <w:bookmarkEnd w:id="144"/>
      <w:bookmarkEnd w:id="145"/>
      <w:bookmarkEnd w:id="146"/>
      <w:bookmarkEnd w:id="147"/>
    </w:p>
    <w:p>
      <w:pPr>
        <w:pStyle w:val="Heading5"/>
        <w:spacing w:before="260"/>
      </w:pPr>
      <w:bookmarkStart w:id="148" w:name="_Toc65744879"/>
      <w:bookmarkStart w:id="149" w:name="_Toc486424881"/>
      <w:r>
        <w:rPr>
          <w:rStyle w:val="CharSectno"/>
        </w:rPr>
        <w:t>29</w:t>
      </w:r>
      <w:r>
        <w:t>.</w:t>
      </w:r>
      <w:r>
        <w:tab/>
        <w:t>Terms used</w:t>
      </w:r>
      <w:bookmarkEnd w:id="148"/>
      <w:bookmarkEnd w:id="149"/>
    </w:p>
    <w:p>
      <w:pPr>
        <w:pStyle w:val="Subsection"/>
      </w:pPr>
      <w:r>
        <w:tab/>
      </w:r>
      <w:r>
        <w:tab/>
        <w:t xml:space="preserve">In this Part — </w:t>
      </w:r>
    </w:p>
    <w:p>
      <w:pPr>
        <w:pStyle w:val="Defstart"/>
      </w:pPr>
      <w:r>
        <w:tab/>
      </w:r>
      <w:r>
        <w:rPr>
          <w:rStyle w:val="CharDefText"/>
        </w:rPr>
        <w:t>College</w:t>
      </w:r>
      <w:r>
        <w:t xml:space="preserve"> means the Western Australian College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r>
        <w:rPr>
          <w:vertAlign w:val="superscript"/>
        </w:rPr>
        <w:t> 1</w:t>
      </w:r>
      <w:r>
        <w:t>;</w:t>
      </w:r>
    </w:p>
    <w:p>
      <w:pPr>
        <w:pStyle w:val="Defstart"/>
      </w:pPr>
      <w:r>
        <w:tab/>
      </w:r>
      <w:r>
        <w:rPr>
          <w:rStyle w:val="CharDefText"/>
        </w:rPr>
        <w:t>WACOT Act</w:t>
      </w:r>
      <w:r>
        <w:t xml:space="preserve"> means the </w:t>
      </w:r>
      <w:r>
        <w:rPr>
          <w:i/>
        </w:rPr>
        <w:t>Western Australian College of Teaching Act 2004</w:t>
      </w:r>
      <w:r>
        <w:t>.</w:t>
      </w:r>
    </w:p>
    <w:p>
      <w:pPr>
        <w:pStyle w:val="Heading5"/>
        <w:spacing w:before="260"/>
      </w:pPr>
      <w:bookmarkStart w:id="150" w:name="_Toc65744880"/>
      <w:bookmarkStart w:id="151" w:name="_Toc486424882"/>
      <w:r>
        <w:rPr>
          <w:rStyle w:val="CharSectno"/>
        </w:rPr>
        <w:t>30</w:t>
      </w:r>
      <w:r>
        <w:t>.</w:t>
      </w:r>
      <w:r>
        <w:tab/>
        <w:t>Renewal of registration — requirements for professional engagement and professional learning activities for first 5 years after commencement</w:t>
      </w:r>
      <w:bookmarkEnd w:id="150"/>
      <w:bookmarkEnd w:id="151"/>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52" w:name="_Toc65744881"/>
      <w:bookmarkStart w:id="153" w:name="_Toc486424883"/>
      <w:r>
        <w:rPr>
          <w:rStyle w:val="CharSectno"/>
        </w:rPr>
        <w:t>31</w:t>
      </w:r>
      <w:r>
        <w:t>.</w:t>
      </w:r>
      <w:r>
        <w:tab/>
        <w:t>Requirement for limited registration — applications made within 18 months (s. 17(d) and 149)</w:t>
      </w:r>
      <w:bookmarkEnd w:id="152"/>
      <w:bookmarkEnd w:id="153"/>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54" w:name="_Toc65744882"/>
      <w:bookmarkStart w:id="155" w:name="_Toc486424884"/>
      <w:r>
        <w:rPr>
          <w:rStyle w:val="CharSectno"/>
        </w:rPr>
        <w:t>32</w:t>
      </w:r>
      <w:r>
        <w:t>.</w:t>
      </w:r>
      <w:r>
        <w:tab/>
        <w:t>Teachers taken to be registered on commencement day do not need to meet requirements for teaching qualifications when renewing that registration</w:t>
      </w:r>
      <w:bookmarkEnd w:id="154"/>
      <w:bookmarkEnd w:id="155"/>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56" w:name="_Toc65744883"/>
      <w:bookmarkStart w:id="157" w:name="_Toc486424885"/>
      <w:r>
        <w:rPr>
          <w:rStyle w:val="CharSectno"/>
        </w:rPr>
        <w:t>33</w:t>
      </w:r>
      <w:r>
        <w:t>.</w:t>
      </w:r>
      <w:r>
        <w:tab/>
        <w:t>Provisionally registered teachers — renewal</w:t>
      </w:r>
      <w:bookmarkEnd w:id="156"/>
      <w:bookmarkEnd w:id="157"/>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158" w:name="_Toc65744884"/>
      <w:bookmarkStart w:id="159" w:name="_Toc486424886"/>
      <w:r>
        <w:rPr>
          <w:rStyle w:val="CharSectno"/>
        </w:rPr>
        <w:t>34</w:t>
      </w:r>
      <w:r>
        <w:t>.</w:t>
      </w:r>
      <w:r>
        <w:tab/>
        <w:t>Provisional and limited registration — period of registration</w:t>
      </w:r>
      <w:bookmarkEnd w:id="158"/>
      <w:bookmarkEnd w:id="159"/>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w:t>
      </w:r>
      <w:del w:id="160" w:author="Master Repository Process" w:date="2021-09-18T19:36:00Z">
        <w:r>
          <w:delText xml:space="preserve"> in</w:delText>
        </w:r>
      </w:del>
      <w:ins w:id="161" w:author="Master Repository Process" w:date="2021-09-18T19:36:00Z">
        <w:r>
          <w:t>:</w:t>
        </w:r>
      </w:ins>
      <w:r>
        <w:t xml:space="preserve"> Gazette 7 May 2013 p. 1903-4.]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pPr>
      <w:bookmarkStart w:id="162" w:name="_Toc65744885"/>
      <w:bookmarkStart w:id="163" w:name="_Toc425858582"/>
      <w:bookmarkStart w:id="164" w:name="_Toc425858632"/>
      <w:bookmarkStart w:id="165" w:name="_Toc427230870"/>
      <w:bookmarkStart w:id="166" w:name="_Toc453589052"/>
      <w:bookmarkStart w:id="167" w:name="_Toc455138890"/>
      <w:bookmarkStart w:id="168" w:name="_Toc455153232"/>
      <w:bookmarkStart w:id="169" w:name="_Toc486424887"/>
      <w:bookmarkStart w:id="170" w:name="_Toc425858584"/>
      <w:bookmarkStart w:id="171" w:name="_Toc425858634"/>
      <w:bookmarkStart w:id="172" w:name="_Toc427230872"/>
      <w:bookmarkStart w:id="173" w:name="_Toc453589054"/>
      <w:bookmarkStart w:id="174" w:name="_Toc455138892"/>
      <w:bookmarkStart w:id="175" w:name="_Toc455153234"/>
      <w:r>
        <w:rPr>
          <w:rStyle w:val="CharSchNo"/>
        </w:rPr>
        <w:t>Schedule</w:t>
      </w:r>
      <w:del w:id="176" w:author="Master Repository Process" w:date="2021-09-18T19:36:00Z">
        <w:r>
          <w:rPr>
            <w:rStyle w:val="CharSchNo"/>
          </w:rPr>
          <w:delText xml:space="preserve"> </w:delText>
        </w:r>
      </w:del>
      <w:ins w:id="177" w:author="Master Repository Process" w:date="2021-09-18T19:36:00Z">
        <w:r>
          <w:rPr>
            <w:rStyle w:val="CharSchNo"/>
          </w:rPr>
          <w:t> </w:t>
        </w:r>
      </w:ins>
      <w:r>
        <w:rPr>
          <w:rStyle w:val="CharSchNo"/>
        </w:rPr>
        <w:t>1</w:t>
      </w:r>
      <w:r>
        <w:t> — </w:t>
      </w:r>
      <w:r>
        <w:rPr>
          <w:rStyle w:val="CharSchText"/>
        </w:rPr>
        <w:t>Fees</w:t>
      </w:r>
      <w:bookmarkEnd w:id="162"/>
      <w:bookmarkEnd w:id="163"/>
      <w:bookmarkEnd w:id="164"/>
      <w:bookmarkEnd w:id="165"/>
      <w:bookmarkEnd w:id="166"/>
      <w:bookmarkEnd w:id="167"/>
      <w:bookmarkEnd w:id="168"/>
      <w:bookmarkEnd w:id="169"/>
    </w:p>
    <w:p>
      <w:pPr>
        <w:pStyle w:val="yShoulderClause"/>
      </w:pPr>
      <w:r>
        <w:t>[r.</w:t>
      </w:r>
      <w:del w:id="178" w:author="Master Repository Process" w:date="2021-09-18T19:36:00Z">
        <w:r>
          <w:delText> </w:delText>
        </w:r>
      </w:del>
      <w:ins w:id="179" w:author="Master Repository Process" w:date="2021-09-18T19:36:00Z">
        <w:r>
          <w:t xml:space="preserve"> </w:t>
        </w:r>
      </w:ins>
      <w:r>
        <w:t>28]</w:t>
      </w:r>
    </w:p>
    <w:p>
      <w:pPr>
        <w:pStyle w:val="yFootnoteheading"/>
        <w:spacing w:after="160"/>
        <w:rPr>
          <w:ins w:id="180" w:author="Master Repository Process" w:date="2021-09-18T19:36:00Z"/>
        </w:rPr>
      </w:pPr>
      <w:ins w:id="181" w:author="Master Repository Process" w:date="2021-09-18T19:36:00Z">
        <w:r>
          <w:tab/>
          <w:t>[Heading inserted: Gazette 31 Jul 2018 p. 2712.]</w:t>
        </w:r>
      </w:ins>
    </w:p>
    <w:tbl>
      <w:tblPr>
        <w:tblW w:w="7293" w:type="dxa"/>
        <w:tblInd w:w="108" w:type="dxa"/>
        <w:tblLayout w:type="fixed"/>
        <w:tblLook w:val="0000" w:firstRow="0" w:lastRow="0" w:firstColumn="0" w:lastColumn="0" w:noHBand="0" w:noVBand="0"/>
      </w:tblPr>
      <w:tblGrid>
        <w:gridCol w:w="567"/>
        <w:gridCol w:w="3828"/>
        <w:gridCol w:w="1559"/>
        <w:gridCol w:w="1339"/>
      </w:tblGrid>
      <w:tr>
        <w:trPr>
          <w:cantSplit/>
          <w:tblHeader/>
        </w:trPr>
        <w:tc>
          <w:tcPr>
            <w:tcW w:w="567" w:type="dxa"/>
            <w:tcBorders>
              <w:top w:val="single" w:sz="4" w:space="0" w:color="auto"/>
              <w:bottom w:val="single" w:sz="4" w:space="0" w:color="auto"/>
            </w:tcBorders>
          </w:tcPr>
          <w:p>
            <w:pPr>
              <w:pStyle w:val="yTableNAm"/>
              <w:rPr>
                <w:b/>
              </w:rPr>
            </w:pPr>
          </w:p>
        </w:tc>
        <w:tc>
          <w:tcPr>
            <w:tcW w:w="3828" w:type="dxa"/>
            <w:tcBorders>
              <w:top w:val="single" w:sz="4" w:space="0" w:color="auto"/>
              <w:bottom w:val="single" w:sz="4" w:space="0" w:color="auto"/>
            </w:tcBorders>
          </w:tcPr>
          <w:p>
            <w:pPr>
              <w:pStyle w:val="yTableNAm"/>
              <w:jc w:val="center"/>
              <w:rPr>
                <w:b/>
              </w:rPr>
            </w:pPr>
            <w:r>
              <w:rPr>
                <w:b/>
              </w:rPr>
              <w:t>Type of fee</w:t>
            </w:r>
          </w:p>
        </w:tc>
        <w:tc>
          <w:tcPr>
            <w:tcW w:w="1559" w:type="dxa"/>
            <w:tcBorders>
              <w:top w:val="single" w:sz="4" w:space="0" w:color="auto"/>
              <w:bottom w:val="single" w:sz="4" w:space="0" w:color="auto"/>
            </w:tcBorders>
          </w:tcPr>
          <w:p>
            <w:pPr>
              <w:pStyle w:val="yTableNAm"/>
              <w:jc w:val="center"/>
              <w:rPr>
                <w:b/>
              </w:rPr>
            </w:pPr>
            <w:r>
              <w:rPr>
                <w:b/>
              </w:rPr>
              <w:t xml:space="preserve">Provision </w:t>
            </w:r>
            <w:r>
              <w:rPr>
                <w:b/>
              </w:rPr>
              <w:br/>
              <w:t>of Act or regulations</w:t>
            </w:r>
          </w:p>
        </w:tc>
        <w:tc>
          <w:tcPr>
            <w:tcW w:w="1339" w:type="dxa"/>
            <w:tcBorders>
              <w:top w:val="single" w:sz="4" w:space="0" w:color="auto"/>
              <w:bottom w:val="single" w:sz="4" w:space="0" w:color="auto"/>
            </w:tcBorders>
          </w:tcPr>
          <w:p>
            <w:pPr>
              <w:pStyle w:val="yTableNAm"/>
              <w:jc w:val="center"/>
              <w:rPr>
                <w:b/>
              </w:rPr>
            </w:pPr>
            <w:r>
              <w:rPr>
                <w:b/>
              </w:rPr>
              <w:t>Fee</w:t>
            </w:r>
          </w:p>
        </w:tc>
      </w:tr>
      <w:tr>
        <w:trPr>
          <w:cantSplit/>
        </w:trPr>
        <w:tc>
          <w:tcPr>
            <w:tcW w:w="567" w:type="dxa"/>
          </w:tcPr>
          <w:p>
            <w:pPr>
              <w:pStyle w:val="yTableNAm"/>
            </w:pPr>
            <w:r>
              <w:rPr>
                <w:szCs w:val="22"/>
              </w:rPr>
              <w:t>1.</w:t>
            </w:r>
          </w:p>
        </w:tc>
        <w:tc>
          <w:tcPr>
            <w:tcW w:w="3828" w:type="dxa"/>
          </w:tcPr>
          <w:p>
            <w:pPr>
              <w:pStyle w:val="yTableNAm"/>
            </w:pPr>
            <w:r>
              <w:rPr>
                <w:szCs w:val="22"/>
              </w:rPr>
              <w:t xml:space="preserve">Fee payable by a person who applies for provisional registration — </w:t>
            </w:r>
          </w:p>
          <w:p>
            <w:pPr>
              <w:pStyle w:val="yTableNAm"/>
              <w:ind w:left="567" w:hanging="567"/>
            </w:pPr>
            <w:r>
              <w:t>(a)</w:t>
            </w:r>
            <w:r>
              <w:tab/>
              <w:t>if the applicant has a teaching qualification from an accredited initial teacher education programme</w:t>
            </w:r>
          </w:p>
        </w:tc>
        <w:tc>
          <w:tcPr>
            <w:tcW w:w="1559" w:type="dxa"/>
          </w:tcPr>
          <w:p>
            <w:pPr>
              <w:pStyle w:val="yTableNAm"/>
            </w:pPr>
            <w:r>
              <w:rPr>
                <w:szCs w:val="22"/>
              </w:rPr>
              <w:t>s. 10(2)(e)</w:t>
            </w:r>
          </w:p>
        </w:tc>
        <w:tc>
          <w:tcPr>
            <w:tcW w:w="1339" w:type="dxa"/>
          </w:tcPr>
          <w:p>
            <w:pPr>
              <w:pStyle w:val="yTableNAm"/>
              <w:ind w:right="142"/>
            </w:pPr>
            <w:r>
              <w:rPr>
                <w:szCs w:val="22"/>
              </w:rPr>
              <w:br/>
            </w:r>
          </w:p>
          <w:p>
            <w:pPr>
              <w:pStyle w:val="yTableNAm"/>
              <w:ind w:right="142"/>
            </w:pPr>
            <w:r>
              <w:t>$</w:t>
            </w:r>
            <w:del w:id="182" w:author="Master Repository Process" w:date="2021-09-18T19:36:00Z">
              <w:r>
                <w:rPr>
                  <w:szCs w:val="22"/>
                </w:rPr>
                <w:delText>131</w:delText>
              </w:r>
            </w:del>
            <w:ins w:id="183" w:author="Master Repository Process" w:date="2021-09-18T19:36:00Z">
              <w:r>
                <w:t>133</w:t>
              </w:r>
            </w:ins>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(b)</w:t>
            </w:r>
            <w:r>
              <w:rPr>
                <w:szCs w:val="22"/>
              </w:rPr>
              <w:tab/>
            </w:r>
            <w:r>
              <w:t>if the applicant has a teaching qualification conferred in Australia or New Zealand that the applicant wishes the Board to recognise as equivalent to a teaching qualification from an accredited initial teacher education programme</w:t>
            </w:r>
          </w:p>
        </w:tc>
        <w:tc>
          <w:tcPr>
            <w:tcW w:w="1559" w:type="dxa"/>
          </w:tcPr>
          <w:p>
            <w:pPr>
              <w:pStyle w:val="yTableNAm"/>
              <w:rPr>
                <w:szCs w:val="22"/>
              </w:rPr>
            </w:pPr>
          </w:p>
        </w:tc>
        <w:tc>
          <w:tcPr>
            <w:tcW w:w="1339" w:type="dxa"/>
          </w:tcPr>
          <w:p>
            <w:pPr>
              <w:pStyle w:val="yTableNAm"/>
              <w:rPr>
                <w:szCs w:val="22"/>
              </w:rPr>
            </w:pPr>
            <w:r>
              <w:rPr>
                <w:szCs w:val="22"/>
              </w:rPr>
              <w:t>$</w:t>
            </w:r>
            <w:del w:id="184" w:author="Master Repository Process" w:date="2021-09-18T19:36:00Z">
              <w:r>
                <w:rPr>
                  <w:szCs w:val="22"/>
                </w:rPr>
                <w:delText>131</w:delText>
              </w:r>
            </w:del>
            <w:ins w:id="185" w:author="Master Repository Process" w:date="2021-09-18T19:36:00Z">
              <w:r>
                <w:rPr>
                  <w:szCs w:val="22"/>
                </w:rPr>
                <w:t>133</w:t>
              </w:r>
            </w:ins>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(c)</w:t>
            </w:r>
            <w:r>
              <w:rPr>
                <w:szCs w:val="22"/>
              </w:rPr>
              <w:tab/>
              <w:t>if the applicant has a teaching qualification conferred in a country other than Australia or New Zealand that the applicant wishes the Board to recognise as equivalent to a teaching qualification from an accredited initial teacher education programme</w:t>
            </w:r>
          </w:p>
        </w:tc>
        <w:tc>
          <w:tcPr>
            <w:tcW w:w="1559" w:type="dxa"/>
          </w:tcPr>
          <w:p>
            <w:pPr>
              <w:pStyle w:val="yTableNAm"/>
              <w:rPr>
                <w:szCs w:val="22"/>
              </w:rPr>
            </w:pPr>
          </w:p>
        </w:tc>
        <w:tc>
          <w:tcPr>
            <w:tcW w:w="1339" w:type="dxa"/>
          </w:tcPr>
          <w:p>
            <w:pPr>
              <w:pStyle w:val="yTableNAm"/>
              <w:rPr>
                <w:szCs w:val="22"/>
              </w:rPr>
            </w:pPr>
            <w:r>
              <w:rPr>
                <w:szCs w:val="22"/>
              </w:rPr>
              <w:t>$</w:t>
            </w:r>
            <w:del w:id="186" w:author="Master Repository Process" w:date="2021-09-18T19:36:00Z">
              <w:r>
                <w:rPr>
                  <w:szCs w:val="22"/>
                </w:rPr>
                <w:delText>443</w:delText>
              </w:r>
            </w:del>
            <w:ins w:id="187" w:author="Master Repository Process" w:date="2021-09-18T19:36:00Z">
              <w:r>
                <w:rPr>
                  <w:szCs w:val="22"/>
                </w:rPr>
                <w:t>449.50</w:t>
              </w:r>
            </w:ins>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559" w:type="dxa"/>
          </w:tcPr>
          <w:p>
            <w:pPr>
              <w:pStyle w:val="yTableNAm"/>
              <w:rPr>
                <w:szCs w:val="22"/>
              </w:rPr>
            </w:pPr>
          </w:p>
        </w:tc>
        <w:tc>
          <w:tcPr>
            <w:tcW w:w="1339" w:type="dxa"/>
          </w:tcPr>
          <w:p>
            <w:pPr>
              <w:pStyle w:val="yTableNAm"/>
              <w:rPr>
                <w:szCs w:val="22"/>
              </w:rPr>
            </w:pPr>
            <w:r>
              <w:rPr>
                <w:szCs w:val="22"/>
              </w:rPr>
              <w:t>$</w:t>
            </w:r>
            <w:del w:id="188" w:author="Master Repository Process" w:date="2021-09-18T19:36:00Z">
              <w:r>
                <w:rPr>
                  <w:szCs w:val="22"/>
                </w:rPr>
                <w:delText>131</w:delText>
              </w:r>
            </w:del>
            <w:ins w:id="189" w:author="Master Repository Process" w:date="2021-09-18T19:36:00Z">
              <w:r>
                <w:rPr>
                  <w:szCs w:val="22"/>
                </w:rPr>
                <w:t>133</w:t>
              </w:r>
            </w:ins>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(e)</w:t>
            </w:r>
            <w:r>
              <w:rPr>
                <w:szCs w:val="22"/>
              </w:rPr>
              <w:tab/>
              <w:t>if the applicant holds non</w:t>
            </w:r>
            <w:r>
              <w:rPr>
                <w:szCs w:val="22"/>
              </w:rPr>
              <w:noBreakHyphen/>
              <w:t>practising registration</w:t>
            </w:r>
          </w:p>
        </w:tc>
        <w:tc>
          <w:tcPr>
            <w:tcW w:w="1559" w:type="dxa"/>
          </w:tcPr>
          <w:p>
            <w:pPr>
              <w:pStyle w:val="yTableNAm"/>
              <w:rPr>
                <w:szCs w:val="22"/>
              </w:rPr>
            </w:pPr>
          </w:p>
        </w:tc>
        <w:tc>
          <w:tcPr>
            <w:tcW w:w="1339" w:type="dxa"/>
          </w:tcPr>
          <w:p>
            <w:pPr>
              <w:pStyle w:val="yTableNAm"/>
              <w:rPr>
                <w:szCs w:val="22"/>
              </w:rPr>
            </w:pPr>
            <w:r>
              <w:rPr>
                <w:szCs w:val="22"/>
              </w:rPr>
              <w:t>no fee</w:t>
            </w:r>
          </w:p>
        </w:tc>
      </w:tr>
      <w:tr>
        <w:trPr>
          <w:cantSplit/>
        </w:trPr>
        <w:tc>
          <w:tcPr>
            <w:tcW w:w="567" w:type="dxa"/>
          </w:tcPr>
          <w:p>
            <w:pPr>
              <w:pStyle w:val="yTableNAm"/>
              <w:rPr>
                <w:szCs w:val="22"/>
              </w:rPr>
            </w:pPr>
            <w:r>
              <w:rPr>
                <w:szCs w:val="22"/>
              </w:rPr>
              <w:t>2.</w:t>
            </w:r>
          </w:p>
        </w:tc>
        <w:tc>
          <w:tcPr>
            <w:tcW w:w="3828" w:type="dxa"/>
          </w:tcPr>
          <w:p>
            <w:pPr>
              <w:pStyle w:val="yTableNAm"/>
              <w:rPr>
                <w:szCs w:val="22"/>
              </w:rPr>
            </w:pPr>
            <w:r>
              <w:rPr>
                <w:szCs w:val="22"/>
              </w:rPr>
              <w:t xml:space="preserve">Fee payable by a person who applies for full registration — </w:t>
            </w:r>
          </w:p>
          <w:p>
            <w:pPr>
              <w:pStyle w:val="yTableNAm"/>
              <w:ind w:left="567" w:hanging="567"/>
              <w:rPr>
                <w:szCs w:val="22"/>
              </w:rPr>
            </w:pPr>
            <w:r>
              <w:rPr>
                <w:szCs w:val="22"/>
              </w:rPr>
              <w:t>(a)</w:t>
            </w:r>
            <w:r>
              <w:rPr>
                <w:szCs w:val="22"/>
              </w:rPr>
              <w:tab/>
              <w:t>if the applicant has a teaching qualification from an accredited initial teacher education programme</w:t>
            </w:r>
          </w:p>
        </w:tc>
        <w:tc>
          <w:tcPr>
            <w:tcW w:w="1559" w:type="dxa"/>
          </w:tcPr>
          <w:p>
            <w:pPr>
              <w:pStyle w:val="yTableNAm"/>
              <w:rPr>
                <w:szCs w:val="22"/>
              </w:rPr>
            </w:pPr>
            <w:r>
              <w:rPr>
                <w:szCs w:val="22"/>
              </w:rPr>
              <w:t>s. 10(2)(e)</w:t>
            </w:r>
          </w:p>
        </w:tc>
        <w:tc>
          <w:tcPr>
            <w:tcW w:w="1339" w:type="dxa"/>
          </w:tcPr>
          <w:p>
            <w:pPr>
              <w:pStyle w:val="yTableNAm"/>
              <w:ind w:left="-108" w:right="142"/>
              <w:rPr>
                <w:szCs w:val="22"/>
              </w:rPr>
            </w:pPr>
            <w:r>
              <w:rPr>
                <w:szCs w:val="22"/>
              </w:rPr>
              <w:br/>
            </w:r>
          </w:p>
          <w:p>
            <w:pPr>
              <w:pStyle w:val="yTableNAm"/>
              <w:ind w:left="-108" w:right="142"/>
              <w:rPr>
                <w:szCs w:val="22"/>
              </w:rPr>
            </w:pPr>
            <w:r>
              <w:rPr>
                <w:szCs w:val="22"/>
              </w:rPr>
              <w:t>$</w:t>
            </w:r>
            <w:del w:id="190" w:author="Master Repository Process" w:date="2021-09-18T19:36:00Z">
              <w:r>
                <w:rPr>
                  <w:szCs w:val="22"/>
                </w:rPr>
                <w:delText>166</w:delText>
              </w:r>
            </w:del>
            <w:ins w:id="191" w:author="Master Repository Process" w:date="2021-09-18T19:36:00Z">
              <w:r>
                <w:rPr>
                  <w:szCs w:val="22"/>
                </w:rPr>
                <w:t>168.50</w:t>
              </w:r>
            </w:ins>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(b)</w:t>
            </w:r>
            <w:r>
              <w:rPr>
                <w:szCs w:val="22"/>
              </w:rPr>
              <w:tab/>
              <w:t>if the applicant has a teaching qualification conferred in Australia or New Zealand that the applicant wishes the Board to recognise as equivalent to such a qualification</w:t>
            </w:r>
          </w:p>
        </w:tc>
        <w:tc>
          <w:tcPr>
            <w:tcW w:w="1559" w:type="dxa"/>
          </w:tcPr>
          <w:p>
            <w:pPr>
              <w:pStyle w:val="yTableNAm"/>
              <w:rPr>
                <w:szCs w:val="22"/>
              </w:rPr>
            </w:pPr>
          </w:p>
        </w:tc>
        <w:tc>
          <w:tcPr>
            <w:tcW w:w="1339" w:type="dxa"/>
          </w:tcPr>
          <w:p>
            <w:pPr>
              <w:pStyle w:val="yTableNAm"/>
              <w:rPr>
                <w:szCs w:val="22"/>
              </w:rPr>
            </w:pPr>
            <w:r>
              <w:rPr>
                <w:szCs w:val="22"/>
              </w:rPr>
              <w:t>$</w:t>
            </w:r>
            <w:del w:id="192" w:author="Master Repository Process" w:date="2021-09-18T19:36:00Z">
              <w:r>
                <w:rPr>
                  <w:szCs w:val="22"/>
                </w:rPr>
                <w:delText>166</w:delText>
              </w:r>
            </w:del>
            <w:ins w:id="193" w:author="Master Repository Process" w:date="2021-09-18T19:36:00Z">
              <w:r>
                <w:rPr>
                  <w:szCs w:val="22"/>
                </w:rPr>
                <w:t>168.50</w:t>
              </w:r>
            </w:ins>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(c)</w:t>
            </w:r>
            <w:r>
              <w:rPr>
                <w:szCs w:val="22"/>
              </w:rPr>
              <w:tab/>
              <w:t>if the applicant has a teaching qualification conferred in a country other than Australia or New Zealand that the applicant wishes the Board to recognise as equivalent to such a qualification</w:t>
            </w:r>
          </w:p>
        </w:tc>
        <w:tc>
          <w:tcPr>
            <w:tcW w:w="1559" w:type="dxa"/>
          </w:tcPr>
          <w:p>
            <w:pPr>
              <w:pStyle w:val="yTableNAm"/>
              <w:rPr>
                <w:szCs w:val="22"/>
              </w:rPr>
            </w:pPr>
          </w:p>
        </w:tc>
        <w:tc>
          <w:tcPr>
            <w:tcW w:w="1339" w:type="dxa"/>
          </w:tcPr>
          <w:p>
            <w:pPr>
              <w:pStyle w:val="yTableNAm"/>
              <w:rPr>
                <w:szCs w:val="22"/>
              </w:rPr>
            </w:pPr>
            <w:r>
              <w:rPr>
                <w:szCs w:val="22"/>
              </w:rPr>
              <w:t>$</w:t>
            </w:r>
            <w:del w:id="194" w:author="Master Repository Process" w:date="2021-09-18T19:36:00Z">
              <w:r>
                <w:rPr>
                  <w:szCs w:val="22"/>
                </w:rPr>
                <w:delText>475</w:delText>
              </w:r>
            </w:del>
            <w:ins w:id="195" w:author="Master Repository Process" w:date="2021-09-18T19:36:00Z">
              <w:r>
                <w:rPr>
                  <w:szCs w:val="22"/>
                </w:rPr>
                <w:t>482</w:t>
              </w:r>
            </w:ins>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559" w:type="dxa"/>
          </w:tcPr>
          <w:p>
            <w:pPr>
              <w:pStyle w:val="yTableNAm"/>
              <w:rPr>
                <w:szCs w:val="22"/>
              </w:rPr>
            </w:pPr>
          </w:p>
        </w:tc>
        <w:tc>
          <w:tcPr>
            <w:tcW w:w="1339" w:type="dxa"/>
          </w:tcPr>
          <w:p>
            <w:pPr>
              <w:pStyle w:val="yTableNAm"/>
              <w:rPr>
                <w:szCs w:val="22"/>
              </w:rPr>
            </w:pPr>
            <w:r>
              <w:rPr>
                <w:szCs w:val="22"/>
              </w:rPr>
              <w:t>$</w:t>
            </w:r>
            <w:del w:id="196" w:author="Master Repository Process" w:date="2021-09-18T19:36:00Z">
              <w:r>
                <w:rPr>
                  <w:szCs w:val="22"/>
                </w:rPr>
                <w:delText>131</w:delText>
              </w:r>
            </w:del>
            <w:ins w:id="197" w:author="Master Repository Process" w:date="2021-09-18T19:36:00Z">
              <w:r>
                <w:rPr>
                  <w:szCs w:val="22"/>
                </w:rPr>
                <w:t>133</w:t>
              </w:r>
            </w:ins>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(e)</w:t>
            </w:r>
            <w:r>
              <w:rPr>
                <w:szCs w:val="22"/>
              </w:rPr>
              <w:tab/>
              <w:t>if the applicant holds provisional or non</w:t>
            </w:r>
            <w:r>
              <w:rPr>
                <w:szCs w:val="22"/>
              </w:rPr>
              <w:noBreakHyphen/>
              <w:t>practising registration</w:t>
            </w:r>
          </w:p>
        </w:tc>
        <w:tc>
          <w:tcPr>
            <w:tcW w:w="1559" w:type="dxa"/>
          </w:tcPr>
          <w:p>
            <w:pPr>
              <w:pStyle w:val="yTableNAm"/>
              <w:rPr>
                <w:szCs w:val="22"/>
              </w:rPr>
            </w:pPr>
          </w:p>
        </w:tc>
        <w:tc>
          <w:tcPr>
            <w:tcW w:w="1339" w:type="dxa"/>
          </w:tcPr>
          <w:p>
            <w:pPr>
              <w:pStyle w:val="yTableNAm"/>
              <w:rPr>
                <w:szCs w:val="22"/>
              </w:rPr>
            </w:pPr>
            <w:r>
              <w:rPr>
                <w:szCs w:val="22"/>
              </w:rPr>
              <w:t>no fee</w:t>
            </w:r>
          </w:p>
        </w:tc>
      </w:tr>
      <w:tr>
        <w:trPr>
          <w:cantSplit/>
        </w:trPr>
        <w:tc>
          <w:tcPr>
            <w:tcW w:w="567" w:type="dxa"/>
          </w:tcPr>
          <w:p>
            <w:pPr>
              <w:pStyle w:val="yTableNAm"/>
              <w:rPr>
                <w:szCs w:val="22"/>
              </w:rPr>
            </w:pPr>
            <w:r>
              <w:rPr>
                <w:szCs w:val="22"/>
              </w:rPr>
              <w:t>3.</w:t>
            </w:r>
          </w:p>
        </w:tc>
        <w:tc>
          <w:tcPr>
            <w:tcW w:w="3828" w:type="dxa"/>
          </w:tcPr>
          <w:p>
            <w:pPr>
              <w:pStyle w:val="yTableNAm"/>
              <w:rPr>
                <w:szCs w:val="22"/>
              </w:rPr>
            </w:pPr>
            <w:r>
              <w:rPr>
                <w:szCs w:val="22"/>
              </w:rPr>
              <w:t xml:space="preserve">Fee payable by a person who applies for limited registration — </w:t>
            </w:r>
          </w:p>
          <w:p>
            <w:pPr>
              <w:pStyle w:val="yTableNAm"/>
              <w:ind w:left="567" w:hanging="567"/>
              <w:rPr>
                <w:szCs w:val="22"/>
              </w:rPr>
            </w:pPr>
            <w:r>
              <w:rPr>
                <w:szCs w:val="22"/>
              </w:rPr>
              <w:t>(a)</w:t>
            </w:r>
            <w:r>
              <w:rPr>
                <w:szCs w:val="22"/>
              </w:rPr>
              <w:tab/>
              <w:t>if the application involves the consideration for approval of a qualification or qualifications conferred by a body that is not established, or primarily based, in Australia or New Zealand</w:t>
            </w:r>
          </w:p>
        </w:tc>
        <w:tc>
          <w:tcPr>
            <w:tcW w:w="1559" w:type="dxa"/>
          </w:tcPr>
          <w:p>
            <w:pPr>
              <w:pStyle w:val="yTableNAm"/>
              <w:rPr>
                <w:szCs w:val="22"/>
              </w:rPr>
            </w:pPr>
            <w:r>
              <w:rPr>
                <w:szCs w:val="22"/>
              </w:rPr>
              <w:t>s. 10(2)(e)</w:t>
            </w:r>
          </w:p>
        </w:tc>
        <w:tc>
          <w:tcPr>
            <w:tcW w:w="1339" w:type="dxa"/>
          </w:tcPr>
          <w:p>
            <w:pPr>
              <w:pStyle w:val="yTableNAm"/>
              <w:ind w:right="142"/>
              <w:rPr>
                <w:szCs w:val="22"/>
              </w:rPr>
            </w:pPr>
            <w:r>
              <w:rPr>
                <w:szCs w:val="22"/>
              </w:rPr>
              <w:br/>
            </w:r>
          </w:p>
          <w:p>
            <w:pPr>
              <w:pStyle w:val="yTableNAm"/>
              <w:ind w:right="142"/>
              <w:rPr>
                <w:szCs w:val="22"/>
              </w:rPr>
            </w:pPr>
            <w:r>
              <w:rPr>
                <w:szCs w:val="22"/>
              </w:rPr>
              <w:t>$</w:t>
            </w:r>
            <w:del w:id="198" w:author="Master Repository Process" w:date="2021-09-18T19:36:00Z">
              <w:r>
                <w:rPr>
                  <w:szCs w:val="22"/>
                </w:rPr>
                <w:delText>531</w:delText>
              </w:r>
            </w:del>
            <w:ins w:id="199" w:author="Master Repository Process" w:date="2021-09-18T19:36:00Z">
              <w:r>
                <w:rPr>
                  <w:szCs w:val="22"/>
                </w:rPr>
                <w:t>539</w:t>
              </w:r>
            </w:ins>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(b)</w:t>
            </w:r>
            <w:r>
              <w:rPr>
                <w:szCs w:val="22"/>
              </w:rPr>
              <w:tab/>
              <w:t>if the application involves a nominee participating in a teacher exchange programme approved by the Board for the purpose of this item</w:t>
            </w:r>
          </w:p>
          <w:p>
            <w:pPr>
              <w:pStyle w:val="yTableNAm"/>
              <w:ind w:left="567" w:hanging="567"/>
              <w:rPr>
                <w:szCs w:val="22"/>
              </w:rPr>
            </w:pPr>
            <w:r>
              <w:rPr>
                <w:szCs w:val="22"/>
              </w:rPr>
              <w:t>(c)</w:t>
            </w:r>
            <w:r>
              <w:rPr>
                <w:szCs w:val="22"/>
              </w:rPr>
              <w:tab/>
              <w:t>otherwise</w:t>
            </w:r>
          </w:p>
        </w:tc>
        <w:tc>
          <w:tcPr>
            <w:tcW w:w="1559" w:type="dxa"/>
          </w:tcPr>
          <w:p>
            <w:pPr>
              <w:pStyle w:val="yTableNAm"/>
              <w:rPr>
                <w:szCs w:val="22"/>
              </w:rPr>
            </w:pPr>
          </w:p>
        </w:tc>
        <w:tc>
          <w:tcPr>
            <w:tcW w:w="1339" w:type="dxa"/>
          </w:tcPr>
          <w:p>
            <w:pPr>
              <w:pStyle w:val="yTableNAm"/>
              <w:rPr>
                <w:szCs w:val="22"/>
              </w:rPr>
            </w:pPr>
            <w:r>
              <w:rPr>
                <w:szCs w:val="22"/>
              </w:rPr>
              <w:t>no fee</w:t>
            </w:r>
            <w:r>
              <w:rPr>
                <w:szCs w:val="22"/>
              </w:rPr>
              <w:br/>
            </w:r>
            <w:r>
              <w:rPr>
                <w:szCs w:val="22"/>
              </w:rPr>
              <w:br/>
            </w:r>
            <w:r>
              <w:rPr>
                <w:szCs w:val="22"/>
              </w:rPr>
              <w:br/>
            </w:r>
            <w:r>
              <w:rPr>
                <w:szCs w:val="22"/>
              </w:rPr>
              <w:br/>
            </w:r>
          </w:p>
          <w:p>
            <w:pPr>
              <w:pStyle w:val="yTableNAm"/>
              <w:rPr>
                <w:szCs w:val="22"/>
              </w:rPr>
            </w:pPr>
            <w:r>
              <w:rPr>
                <w:szCs w:val="22"/>
              </w:rPr>
              <w:t>$</w:t>
            </w:r>
            <w:del w:id="200" w:author="Master Repository Process" w:date="2021-09-18T19:36:00Z">
              <w:r>
                <w:rPr>
                  <w:szCs w:val="22"/>
                </w:rPr>
                <w:delText>220</w:delText>
              </w:r>
            </w:del>
            <w:ins w:id="201" w:author="Master Repository Process" w:date="2021-09-18T19:36:00Z">
              <w:r>
                <w:rPr>
                  <w:szCs w:val="22"/>
                </w:rPr>
                <w:t>223.50</w:t>
              </w:r>
            </w:ins>
          </w:p>
        </w:tc>
      </w:tr>
      <w:tr>
        <w:trPr>
          <w:cantSplit/>
        </w:trPr>
        <w:tc>
          <w:tcPr>
            <w:tcW w:w="567" w:type="dxa"/>
          </w:tcPr>
          <w:p>
            <w:pPr>
              <w:pStyle w:val="yTableNAm"/>
              <w:rPr>
                <w:szCs w:val="22"/>
              </w:rPr>
            </w:pPr>
            <w:r>
              <w:rPr>
                <w:szCs w:val="22"/>
              </w:rPr>
              <w:t>4.</w:t>
            </w:r>
          </w:p>
        </w:tc>
        <w:tc>
          <w:tcPr>
            <w:tcW w:w="3828" w:type="dxa"/>
          </w:tcPr>
          <w:p>
            <w:pPr>
              <w:pStyle w:val="yTableNAm"/>
              <w:rPr>
                <w:szCs w:val="22"/>
              </w:rPr>
            </w:pPr>
            <w:r>
              <w:rPr>
                <w:szCs w:val="22"/>
              </w:rPr>
              <w:t>Fee payable by a person who applies for non</w:t>
            </w:r>
            <w:r>
              <w:rPr>
                <w:szCs w:val="22"/>
              </w:rPr>
              <w:noBreakHyphen/>
              <w:t xml:space="preserve">practising registration — </w:t>
            </w:r>
          </w:p>
          <w:p>
            <w:pPr>
              <w:pStyle w:val="yTableNAm"/>
              <w:ind w:left="567" w:hanging="567"/>
              <w:rPr>
                <w:szCs w:val="22"/>
              </w:rPr>
            </w:pPr>
            <w:r>
              <w:rPr>
                <w:szCs w:val="22"/>
              </w:rPr>
              <w:t>(a)</w:t>
            </w:r>
            <w:r>
              <w:rPr>
                <w:szCs w:val="22"/>
              </w:rPr>
              <w:tab/>
              <w:t>eligible under section 18(a) of the Act</w:t>
            </w:r>
          </w:p>
          <w:p>
            <w:pPr>
              <w:pStyle w:val="yTableNAm"/>
              <w:ind w:left="567" w:hanging="567"/>
              <w:rPr>
                <w:szCs w:val="22"/>
              </w:rPr>
            </w:pPr>
            <w:r>
              <w:rPr>
                <w:szCs w:val="22"/>
              </w:rPr>
              <w:t>(b)</w:t>
            </w:r>
            <w:r>
              <w:rPr>
                <w:szCs w:val="22"/>
              </w:rPr>
              <w:tab/>
              <w:t>eligible under section</w:t>
            </w:r>
            <w:del w:id="202" w:author="Master Repository Process" w:date="2021-09-18T19:36:00Z">
              <w:r>
                <w:rPr>
                  <w:szCs w:val="22"/>
                </w:rPr>
                <w:delText xml:space="preserve"> </w:delText>
              </w:r>
            </w:del>
            <w:ins w:id="203" w:author="Master Repository Process" w:date="2021-09-18T19:36:00Z">
              <w:r>
                <w:rPr>
                  <w:szCs w:val="22"/>
                </w:rPr>
                <w:t> </w:t>
              </w:r>
            </w:ins>
            <w:r>
              <w:rPr>
                <w:szCs w:val="22"/>
              </w:rPr>
              <w:t>18(b) of the Act —</w:t>
            </w:r>
          </w:p>
        </w:tc>
        <w:tc>
          <w:tcPr>
            <w:tcW w:w="1559" w:type="dxa"/>
          </w:tcPr>
          <w:p>
            <w:pPr>
              <w:pStyle w:val="yTableNAm"/>
              <w:rPr>
                <w:szCs w:val="22"/>
              </w:rPr>
            </w:pPr>
            <w:r>
              <w:rPr>
                <w:szCs w:val="22"/>
              </w:rPr>
              <w:t>s. 10(2)(e)</w:t>
            </w:r>
          </w:p>
        </w:tc>
        <w:tc>
          <w:tcPr>
            <w:tcW w:w="1339" w:type="dxa"/>
          </w:tcPr>
          <w:p>
            <w:pPr>
              <w:pStyle w:val="yTableNAm"/>
              <w:ind w:right="142"/>
              <w:rPr>
                <w:szCs w:val="22"/>
              </w:rPr>
            </w:pPr>
            <w:r>
              <w:rPr>
                <w:szCs w:val="22"/>
              </w:rPr>
              <w:br/>
            </w:r>
          </w:p>
          <w:p>
            <w:pPr>
              <w:pStyle w:val="yTableNAm"/>
              <w:ind w:right="142"/>
              <w:rPr>
                <w:szCs w:val="22"/>
              </w:rPr>
            </w:pPr>
            <w:r>
              <w:rPr>
                <w:szCs w:val="22"/>
              </w:rPr>
              <w:t>no fee</w:t>
            </w:r>
          </w:p>
        </w:tc>
      </w:tr>
      <w:tr>
        <w:trPr>
          <w:cantSplit/>
        </w:trPr>
        <w:tc>
          <w:tcPr>
            <w:tcW w:w="567" w:type="dxa"/>
          </w:tcPr>
          <w:p>
            <w:pPr>
              <w:pStyle w:val="yTableNAm"/>
              <w:rPr>
                <w:szCs w:val="22"/>
              </w:rPr>
            </w:pPr>
          </w:p>
        </w:tc>
        <w:tc>
          <w:tcPr>
            <w:tcW w:w="3828" w:type="dxa"/>
          </w:tcPr>
          <w:p>
            <w:pPr>
              <w:pStyle w:val="yTableNAm"/>
              <w:tabs>
                <w:tab w:val="clear" w:pos="567"/>
                <w:tab w:val="left" w:pos="680"/>
              </w:tabs>
              <w:ind w:left="1135" w:hanging="851"/>
              <w:rPr>
                <w:szCs w:val="22"/>
              </w:rPr>
            </w:pPr>
            <w:r>
              <w:rPr>
                <w:szCs w:val="22"/>
              </w:rPr>
              <w:tab/>
              <w:t>(i)</w:t>
            </w:r>
            <w:r>
              <w:rPr>
                <w:szCs w:val="22"/>
              </w:rPr>
              <w:tab/>
              <w:t>if the applicant has a teaching qualification from an accredited initial teacher education programme</w:t>
            </w:r>
          </w:p>
        </w:tc>
        <w:tc>
          <w:tcPr>
            <w:tcW w:w="1559" w:type="dxa"/>
          </w:tcPr>
          <w:p>
            <w:pPr>
              <w:pStyle w:val="yTableNAm"/>
              <w:rPr>
                <w:szCs w:val="22"/>
              </w:rPr>
            </w:pPr>
          </w:p>
        </w:tc>
        <w:tc>
          <w:tcPr>
            <w:tcW w:w="1339" w:type="dxa"/>
          </w:tcPr>
          <w:p>
            <w:pPr>
              <w:pStyle w:val="yTableNAm"/>
              <w:rPr>
                <w:szCs w:val="22"/>
              </w:rPr>
            </w:pPr>
            <w:r>
              <w:rPr>
                <w:szCs w:val="22"/>
              </w:rPr>
              <w:t>$</w:t>
            </w:r>
            <w:del w:id="204" w:author="Master Repository Process" w:date="2021-09-18T19:36:00Z">
              <w:r>
                <w:rPr>
                  <w:szCs w:val="22"/>
                </w:rPr>
                <w:delText>166</w:delText>
              </w:r>
            </w:del>
            <w:ins w:id="205" w:author="Master Repository Process" w:date="2021-09-18T19:36:00Z">
              <w:r>
                <w:rPr>
                  <w:szCs w:val="22"/>
                </w:rPr>
                <w:t>168.50</w:t>
              </w:r>
            </w:ins>
          </w:p>
        </w:tc>
      </w:tr>
      <w:tr>
        <w:trPr>
          <w:cantSplit/>
        </w:trPr>
        <w:tc>
          <w:tcPr>
            <w:tcW w:w="567" w:type="dxa"/>
          </w:tcPr>
          <w:p>
            <w:pPr>
              <w:pStyle w:val="yTableNAm"/>
              <w:rPr>
                <w:szCs w:val="22"/>
              </w:rPr>
            </w:pPr>
          </w:p>
        </w:tc>
        <w:tc>
          <w:tcPr>
            <w:tcW w:w="3828" w:type="dxa"/>
          </w:tcPr>
          <w:p>
            <w:pPr>
              <w:pStyle w:val="yTableNAm"/>
              <w:tabs>
                <w:tab w:val="clear" w:pos="567"/>
                <w:tab w:val="left" w:pos="680"/>
              </w:tabs>
              <w:ind w:left="1135" w:hanging="851"/>
              <w:rPr>
                <w:szCs w:val="22"/>
              </w:rPr>
            </w:pPr>
            <w:r>
              <w:rPr>
                <w:szCs w:val="22"/>
              </w:rPr>
              <w:tab/>
              <w:t>(ii)</w:t>
            </w:r>
            <w:r>
              <w:rPr>
                <w:szCs w:val="22"/>
              </w:rPr>
              <w:tab/>
              <w:t>if the applicant has a teaching qualification conferred in Australia or New Zealand that the applicant wishes the Board to recognise as equivalent to such a qualification</w:t>
            </w:r>
          </w:p>
        </w:tc>
        <w:tc>
          <w:tcPr>
            <w:tcW w:w="1559" w:type="dxa"/>
          </w:tcPr>
          <w:p>
            <w:pPr>
              <w:pStyle w:val="yTableNAm"/>
              <w:rPr>
                <w:szCs w:val="22"/>
              </w:rPr>
            </w:pPr>
          </w:p>
        </w:tc>
        <w:tc>
          <w:tcPr>
            <w:tcW w:w="1339" w:type="dxa"/>
          </w:tcPr>
          <w:p>
            <w:pPr>
              <w:pStyle w:val="yTableNAm"/>
              <w:rPr>
                <w:szCs w:val="22"/>
              </w:rPr>
            </w:pPr>
            <w:r>
              <w:rPr>
                <w:szCs w:val="22"/>
              </w:rPr>
              <w:t>$</w:t>
            </w:r>
            <w:del w:id="206" w:author="Master Repository Process" w:date="2021-09-18T19:36:00Z">
              <w:r>
                <w:rPr>
                  <w:szCs w:val="22"/>
                </w:rPr>
                <w:delText>166</w:delText>
              </w:r>
            </w:del>
            <w:ins w:id="207" w:author="Master Repository Process" w:date="2021-09-18T19:36:00Z">
              <w:r>
                <w:rPr>
                  <w:szCs w:val="22"/>
                </w:rPr>
                <w:t>168.50</w:t>
              </w:r>
            </w:ins>
          </w:p>
        </w:tc>
      </w:tr>
      <w:tr>
        <w:trPr>
          <w:cantSplit/>
        </w:trPr>
        <w:tc>
          <w:tcPr>
            <w:tcW w:w="567" w:type="dxa"/>
          </w:tcPr>
          <w:p>
            <w:pPr>
              <w:pStyle w:val="yTableNAm"/>
              <w:rPr>
                <w:szCs w:val="22"/>
              </w:rPr>
            </w:pPr>
          </w:p>
        </w:tc>
        <w:tc>
          <w:tcPr>
            <w:tcW w:w="3828" w:type="dxa"/>
          </w:tcPr>
          <w:p>
            <w:pPr>
              <w:pStyle w:val="yTableNAm"/>
              <w:tabs>
                <w:tab w:val="clear" w:pos="567"/>
                <w:tab w:val="left" w:pos="680"/>
              </w:tabs>
              <w:ind w:left="1135" w:hanging="851"/>
              <w:rPr>
                <w:szCs w:val="22"/>
              </w:rPr>
            </w:pPr>
            <w:r>
              <w:rPr>
                <w:szCs w:val="22"/>
              </w:rPr>
              <w:tab/>
              <w:t>(iii)</w:t>
            </w:r>
            <w:r>
              <w:rPr>
                <w:szCs w:val="22"/>
              </w:rPr>
              <w:tab/>
              <w:t>if the applicant has a teaching qualification conferred in a country other than Australia or New Zealand that the applicant wishes the Board to recognise as equivalent to such a qualification</w:t>
            </w:r>
          </w:p>
        </w:tc>
        <w:tc>
          <w:tcPr>
            <w:tcW w:w="1559" w:type="dxa"/>
          </w:tcPr>
          <w:p>
            <w:pPr>
              <w:pStyle w:val="yTableNAm"/>
              <w:rPr>
                <w:szCs w:val="22"/>
              </w:rPr>
            </w:pPr>
          </w:p>
        </w:tc>
        <w:tc>
          <w:tcPr>
            <w:tcW w:w="1339" w:type="dxa"/>
          </w:tcPr>
          <w:p>
            <w:pPr>
              <w:pStyle w:val="yTableNAm"/>
              <w:rPr>
                <w:szCs w:val="22"/>
              </w:rPr>
            </w:pPr>
            <w:r>
              <w:rPr>
                <w:szCs w:val="22"/>
              </w:rPr>
              <w:t>$</w:t>
            </w:r>
            <w:del w:id="208" w:author="Master Repository Process" w:date="2021-09-18T19:36:00Z">
              <w:r>
                <w:rPr>
                  <w:szCs w:val="22"/>
                </w:rPr>
                <w:delText>475</w:delText>
              </w:r>
            </w:del>
            <w:ins w:id="209" w:author="Master Repository Process" w:date="2021-09-18T19:36:00Z">
              <w:r>
                <w:rPr>
                  <w:szCs w:val="22"/>
                </w:rPr>
                <w:t>482</w:t>
              </w:r>
            </w:ins>
          </w:p>
        </w:tc>
      </w:tr>
      <w:tr>
        <w:trPr>
          <w:cantSplit/>
        </w:trPr>
        <w:tc>
          <w:tcPr>
            <w:tcW w:w="567" w:type="dxa"/>
          </w:tcPr>
          <w:p>
            <w:pPr>
              <w:pStyle w:val="yTableNAm"/>
              <w:rPr>
                <w:szCs w:val="22"/>
              </w:rPr>
            </w:pPr>
            <w:r>
              <w:rPr>
                <w:szCs w:val="22"/>
              </w:rPr>
              <w:t>5.</w:t>
            </w:r>
          </w:p>
        </w:tc>
        <w:tc>
          <w:tcPr>
            <w:tcW w:w="3828" w:type="dxa"/>
          </w:tcPr>
          <w:p>
            <w:pPr>
              <w:pStyle w:val="yTableNAm"/>
              <w:rPr>
                <w:szCs w:val="22"/>
              </w:rPr>
            </w:pPr>
            <w:r>
              <w:rPr>
                <w:szCs w:val="22"/>
              </w:rPr>
              <w:t>Fee payable by a person who applies for the renewal of registration</w:t>
            </w:r>
          </w:p>
        </w:tc>
        <w:tc>
          <w:tcPr>
            <w:tcW w:w="1559" w:type="dxa"/>
          </w:tcPr>
          <w:p>
            <w:pPr>
              <w:pStyle w:val="yTableNAm"/>
              <w:rPr>
                <w:szCs w:val="22"/>
              </w:rPr>
            </w:pPr>
            <w:r>
              <w:rPr>
                <w:szCs w:val="22"/>
              </w:rPr>
              <w:t>s. 11(2)(d)</w:t>
            </w:r>
          </w:p>
        </w:tc>
        <w:tc>
          <w:tcPr>
            <w:tcW w:w="1339" w:type="dxa"/>
          </w:tcPr>
          <w:p>
            <w:pPr>
              <w:pStyle w:val="yTableNAm"/>
              <w:ind w:right="142"/>
              <w:rPr>
                <w:szCs w:val="22"/>
              </w:rPr>
            </w:pPr>
            <w:r>
              <w:rPr>
                <w:szCs w:val="22"/>
              </w:rPr>
              <w:t>$</w:t>
            </w:r>
            <w:del w:id="210" w:author="Master Repository Process" w:date="2021-09-18T19:36:00Z">
              <w:r>
                <w:rPr>
                  <w:szCs w:val="22"/>
                </w:rPr>
                <w:delText>52</w:delText>
              </w:r>
            </w:del>
            <w:ins w:id="211" w:author="Master Repository Process" w:date="2021-09-18T19:36:00Z">
              <w:r>
                <w:rPr>
                  <w:szCs w:val="22"/>
                </w:rPr>
                <w:t>53</w:t>
              </w:r>
            </w:ins>
          </w:p>
        </w:tc>
      </w:tr>
      <w:tr>
        <w:trPr>
          <w:cantSplit/>
        </w:trPr>
        <w:tc>
          <w:tcPr>
            <w:tcW w:w="567" w:type="dxa"/>
          </w:tcPr>
          <w:p>
            <w:pPr>
              <w:pStyle w:val="yTableNAm"/>
              <w:rPr>
                <w:szCs w:val="22"/>
              </w:rPr>
            </w:pPr>
            <w:r>
              <w:rPr>
                <w:szCs w:val="22"/>
              </w:rPr>
              <w:t>6.</w:t>
            </w:r>
          </w:p>
        </w:tc>
        <w:tc>
          <w:tcPr>
            <w:tcW w:w="3828" w:type="dxa"/>
          </w:tcPr>
          <w:p>
            <w:pPr>
              <w:pStyle w:val="yTableNAm"/>
              <w:rPr>
                <w:szCs w:val="22"/>
              </w:rPr>
            </w:pPr>
            <w:r>
              <w:rPr>
                <w:szCs w:val="22"/>
              </w:rPr>
              <w:t xml:space="preserve">Annual fee — </w:t>
            </w:r>
          </w:p>
          <w:p>
            <w:pPr>
              <w:pStyle w:val="yTableNAm"/>
              <w:ind w:left="567" w:hanging="567"/>
              <w:rPr>
                <w:szCs w:val="22"/>
              </w:rPr>
            </w:pPr>
            <w:r>
              <w:rPr>
                <w:szCs w:val="22"/>
              </w:rPr>
              <w:t>(a)</w:t>
            </w:r>
            <w:r>
              <w:rPr>
                <w:szCs w:val="22"/>
              </w:rPr>
              <w:tab/>
              <w:t>for the first year after registration is granted if it is granted in January, February, March, October, November or December</w:t>
            </w:r>
          </w:p>
          <w:p>
            <w:pPr>
              <w:pStyle w:val="yTableNAm"/>
              <w:rPr>
                <w:szCs w:val="22"/>
              </w:rPr>
            </w:pPr>
            <w:r>
              <w:rPr>
                <w:szCs w:val="22"/>
              </w:rPr>
              <w:t>(b)</w:t>
            </w:r>
            <w:r>
              <w:rPr>
                <w:szCs w:val="22"/>
              </w:rPr>
              <w:tab/>
              <w:t>otherwise</w:t>
            </w:r>
          </w:p>
        </w:tc>
        <w:tc>
          <w:tcPr>
            <w:tcW w:w="1559" w:type="dxa"/>
          </w:tcPr>
          <w:p>
            <w:pPr>
              <w:pStyle w:val="yTableNAm"/>
              <w:rPr>
                <w:szCs w:val="22"/>
              </w:rPr>
            </w:pPr>
            <w:r>
              <w:rPr>
                <w:szCs w:val="22"/>
              </w:rPr>
              <w:t>s. 35</w:t>
            </w:r>
          </w:p>
        </w:tc>
        <w:tc>
          <w:tcPr>
            <w:tcW w:w="1339" w:type="dxa"/>
          </w:tcPr>
          <w:p>
            <w:pPr>
              <w:pStyle w:val="yTableNAm"/>
              <w:ind w:right="142"/>
              <w:rPr>
                <w:szCs w:val="22"/>
              </w:rPr>
            </w:pPr>
          </w:p>
          <w:p>
            <w:pPr>
              <w:pStyle w:val="yTableNAm"/>
              <w:ind w:right="142"/>
              <w:rPr>
                <w:ins w:id="212" w:author="Master Repository Process" w:date="2021-09-18T19:36:00Z"/>
                <w:szCs w:val="22"/>
              </w:rPr>
            </w:pPr>
            <w:r>
              <w:rPr>
                <w:szCs w:val="22"/>
              </w:rPr>
              <w:t>$</w:t>
            </w:r>
            <w:del w:id="213" w:author="Master Repository Process" w:date="2021-09-18T19:36:00Z">
              <w:r>
                <w:rPr>
                  <w:szCs w:val="22"/>
                </w:rPr>
                <w:delText>44</w:delText>
              </w:r>
            </w:del>
            <w:ins w:id="214" w:author="Master Repository Process" w:date="2021-09-18T19:36:00Z">
              <w:r>
                <w:rPr>
                  <w:szCs w:val="22"/>
                </w:rPr>
                <w:t>45</w:t>
              </w:r>
              <w:r>
                <w:rPr>
                  <w:szCs w:val="22"/>
                </w:rPr>
                <w:br/>
              </w:r>
              <w:r>
                <w:rPr>
                  <w:szCs w:val="22"/>
                </w:rPr>
                <w:br/>
              </w:r>
              <w:r>
                <w:rPr>
                  <w:szCs w:val="22"/>
                </w:rPr>
                <w:br/>
              </w:r>
            </w:ins>
          </w:p>
          <w:p>
            <w:pPr>
              <w:pStyle w:val="yTableNAm"/>
              <w:rPr>
                <w:del w:id="215" w:author="Master Repository Process" w:date="2021-09-18T19:36:00Z"/>
                <w:szCs w:val="22"/>
              </w:rPr>
            </w:pPr>
            <w:ins w:id="216" w:author="Master Repository Process" w:date="2021-09-18T19:36:00Z">
              <w:r>
                <w:rPr>
                  <w:szCs w:val="22"/>
                </w:rPr>
                <w:t>$90</w:t>
              </w:r>
            </w:ins>
            <w:r>
              <w:rPr>
                <w:szCs w:val="22"/>
              </w:rPr>
              <w:t>.50</w:t>
            </w:r>
            <w:del w:id="217" w:author="Master Repository Process" w:date="2021-09-18T19:36:00Z">
              <w:r>
                <w:rPr>
                  <w:szCs w:val="22"/>
                </w:rPr>
                <w:br/>
              </w:r>
              <w:r>
                <w:rPr>
                  <w:szCs w:val="22"/>
                </w:rPr>
                <w:br/>
              </w:r>
              <w:r>
                <w:rPr>
                  <w:szCs w:val="22"/>
                </w:rPr>
                <w:br/>
              </w:r>
            </w:del>
          </w:p>
          <w:p>
            <w:pPr>
              <w:pStyle w:val="yTableNAm"/>
              <w:ind w:right="142"/>
              <w:rPr>
                <w:szCs w:val="22"/>
              </w:rPr>
            </w:pPr>
            <w:del w:id="218" w:author="Master Repository Process" w:date="2021-09-18T19:36:00Z">
              <w:r>
                <w:rPr>
                  <w:szCs w:val="22"/>
                </w:rPr>
                <w:delText>$89</w:delText>
              </w:r>
            </w:del>
          </w:p>
        </w:tc>
      </w:tr>
      <w:tr>
        <w:trPr>
          <w:cantSplit/>
        </w:trPr>
        <w:tc>
          <w:tcPr>
            <w:tcW w:w="567" w:type="dxa"/>
          </w:tcPr>
          <w:p>
            <w:pPr>
              <w:pStyle w:val="yTableNAm"/>
              <w:rPr>
                <w:szCs w:val="22"/>
              </w:rPr>
            </w:pPr>
            <w:r>
              <w:rPr>
                <w:szCs w:val="22"/>
              </w:rPr>
              <w:t>7.</w:t>
            </w:r>
          </w:p>
        </w:tc>
        <w:tc>
          <w:tcPr>
            <w:tcW w:w="3828" w:type="dxa"/>
          </w:tcPr>
          <w:p>
            <w:pPr>
              <w:pStyle w:val="yTableNAm"/>
              <w:rPr>
                <w:szCs w:val="22"/>
              </w:rPr>
            </w:pPr>
            <w:r>
              <w:rPr>
                <w:szCs w:val="22"/>
              </w:rPr>
              <w:t>Fee payable by a person for a criminal record check, obtained by Board with consent of the person under section 44 of the Act</w:t>
            </w:r>
          </w:p>
        </w:tc>
        <w:tc>
          <w:tcPr>
            <w:tcW w:w="1559" w:type="dxa"/>
          </w:tcPr>
          <w:p>
            <w:pPr>
              <w:pStyle w:val="yTableNAm"/>
              <w:rPr>
                <w:szCs w:val="22"/>
              </w:rPr>
            </w:pPr>
            <w:r>
              <w:rPr>
                <w:szCs w:val="22"/>
              </w:rPr>
              <w:t>s. 128(2)(i)</w:t>
            </w:r>
          </w:p>
        </w:tc>
        <w:tc>
          <w:tcPr>
            <w:tcW w:w="1339" w:type="dxa"/>
          </w:tcPr>
          <w:p>
            <w:pPr>
              <w:pStyle w:val="yTableNAm"/>
              <w:ind w:right="142"/>
              <w:rPr>
                <w:szCs w:val="22"/>
              </w:rPr>
            </w:pPr>
            <w:r>
              <w:rPr>
                <w:szCs w:val="22"/>
              </w:rPr>
              <w:t>$</w:t>
            </w:r>
            <w:del w:id="219" w:author="Master Repository Process" w:date="2021-09-18T19:36:00Z">
              <w:r>
                <w:rPr>
                  <w:szCs w:val="22"/>
                </w:rPr>
                <w:delText>55</w:delText>
              </w:r>
            </w:del>
            <w:ins w:id="220" w:author="Master Repository Process" w:date="2021-09-18T19:36:00Z">
              <w:r>
                <w:rPr>
                  <w:szCs w:val="22"/>
                </w:rPr>
                <w:t>56</w:t>
              </w:r>
            </w:ins>
          </w:p>
        </w:tc>
      </w:tr>
      <w:tr>
        <w:trPr>
          <w:cantSplit/>
        </w:trPr>
        <w:tc>
          <w:tcPr>
            <w:tcW w:w="567" w:type="dxa"/>
          </w:tcPr>
          <w:p>
            <w:pPr>
              <w:pStyle w:val="yTableNAm"/>
              <w:rPr>
                <w:szCs w:val="22"/>
              </w:rPr>
            </w:pPr>
            <w:r>
              <w:rPr>
                <w:szCs w:val="22"/>
              </w:rPr>
              <w:t>8.</w:t>
            </w:r>
          </w:p>
        </w:tc>
        <w:tc>
          <w:tcPr>
            <w:tcW w:w="3828" w:type="dxa"/>
          </w:tcPr>
          <w:p>
            <w:pPr>
              <w:pStyle w:val="yTableNAm"/>
              <w:rPr>
                <w:szCs w:val="22"/>
              </w:rPr>
            </w:pPr>
            <w:r>
              <w:rPr>
                <w:szCs w:val="22"/>
              </w:rPr>
              <w:t>Fee payable by a person who applies for a certified copy of the register or an entry in the register for the copy</w:t>
            </w:r>
          </w:p>
        </w:tc>
        <w:tc>
          <w:tcPr>
            <w:tcW w:w="1559" w:type="dxa"/>
          </w:tcPr>
          <w:p>
            <w:pPr>
              <w:pStyle w:val="yTableNAm"/>
              <w:rPr>
                <w:szCs w:val="22"/>
              </w:rPr>
            </w:pPr>
            <w:r>
              <w:rPr>
                <w:szCs w:val="22"/>
              </w:rPr>
              <w:t>s. 37(5)</w:t>
            </w:r>
          </w:p>
        </w:tc>
        <w:tc>
          <w:tcPr>
            <w:tcW w:w="1339" w:type="dxa"/>
          </w:tcPr>
          <w:p>
            <w:pPr>
              <w:pStyle w:val="yTableNAm"/>
              <w:tabs>
                <w:tab w:val="clear" w:pos="567"/>
              </w:tabs>
              <w:rPr>
                <w:szCs w:val="22"/>
              </w:rPr>
            </w:pPr>
            <w:r>
              <w:rPr>
                <w:szCs w:val="22"/>
              </w:rPr>
              <w:t>$</w:t>
            </w:r>
            <w:del w:id="221" w:author="Master Repository Process" w:date="2021-09-18T19:36:00Z">
              <w:r>
                <w:rPr>
                  <w:szCs w:val="22"/>
                </w:rPr>
                <w:delText>55</w:delText>
              </w:r>
            </w:del>
            <w:ins w:id="222" w:author="Master Repository Process" w:date="2021-09-18T19:36:00Z">
              <w:r>
                <w:rPr>
                  <w:szCs w:val="22"/>
                </w:rPr>
                <w:t>56</w:t>
              </w:r>
            </w:ins>
            <w:r>
              <w:rPr>
                <w:szCs w:val="22"/>
              </w:rPr>
              <w:t xml:space="preserve"> per entry up to a maximum fee of $</w:t>
            </w:r>
            <w:del w:id="223" w:author="Master Repository Process" w:date="2021-09-18T19:36:00Z">
              <w:r>
                <w:rPr>
                  <w:szCs w:val="22"/>
                </w:rPr>
                <w:delText>159</w:delText>
              </w:r>
            </w:del>
            <w:ins w:id="224" w:author="Master Repository Process" w:date="2021-09-18T19:36:00Z">
              <w:r>
                <w:rPr>
                  <w:szCs w:val="22"/>
                </w:rPr>
                <w:t>161.50</w:t>
              </w:r>
            </w:ins>
          </w:p>
        </w:tc>
      </w:tr>
      <w:tr>
        <w:trPr>
          <w:cantSplit/>
        </w:trPr>
        <w:tc>
          <w:tcPr>
            <w:tcW w:w="567" w:type="dxa"/>
          </w:tcPr>
          <w:p>
            <w:pPr>
              <w:pStyle w:val="yTableNAm"/>
              <w:rPr>
                <w:szCs w:val="22"/>
              </w:rPr>
            </w:pPr>
            <w:r>
              <w:rPr>
                <w:szCs w:val="22"/>
              </w:rPr>
              <w:t>9.</w:t>
            </w:r>
          </w:p>
        </w:tc>
        <w:tc>
          <w:tcPr>
            <w:tcW w:w="3828" w:type="dxa"/>
          </w:tcPr>
          <w:p>
            <w:pPr>
              <w:pStyle w:val="yTableNAm"/>
              <w:rPr>
                <w:szCs w:val="22"/>
              </w:rPr>
            </w:pPr>
            <w:r>
              <w:rPr>
                <w:szCs w:val="22"/>
              </w:rPr>
              <w:t>Late payment processing fee</w:t>
            </w:r>
          </w:p>
        </w:tc>
        <w:tc>
          <w:tcPr>
            <w:tcW w:w="1559" w:type="dxa"/>
          </w:tcPr>
          <w:p>
            <w:pPr>
              <w:pStyle w:val="yTableNAm"/>
              <w:rPr>
                <w:szCs w:val="22"/>
              </w:rPr>
            </w:pPr>
            <w:r>
              <w:rPr>
                <w:szCs w:val="22"/>
              </w:rPr>
              <w:t>r. 28(5)</w:t>
            </w:r>
          </w:p>
        </w:tc>
        <w:tc>
          <w:tcPr>
            <w:tcW w:w="1339" w:type="dxa"/>
          </w:tcPr>
          <w:p>
            <w:pPr>
              <w:pStyle w:val="yTableNAm"/>
              <w:ind w:right="142"/>
              <w:rPr>
                <w:szCs w:val="22"/>
              </w:rPr>
            </w:pPr>
            <w:r>
              <w:rPr>
                <w:szCs w:val="22"/>
              </w:rPr>
              <w:t>$</w:t>
            </w:r>
            <w:del w:id="225" w:author="Master Repository Process" w:date="2021-09-18T19:36:00Z">
              <w:r>
                <w:rPr>
                  <w:szCs w:val="22"/>
                </w:rPr>
                <w:delText>55</w:delText>
              </w:r>
            </w:del>
            <w:ins w:id="226" w:author="Master Repository Process" w:date="2021-09-18T19:36:00Z">
              <w:r>
                <w:rPr>
                  <w:szCs w:val="22"/>
                </w:rPr>
                <w:t>56</w:t>
              </w:r>
            </w:ins>
          </w:p>
        </w:tc>
      </w:tr>
      <w:tr>
        <w:trPr>
          <w:cantSplit/>
        </w:trPr>
        <w:tc>
          <w:tcPr>
            <w:tcW w:w="567" w:type="dxa"/>
          </w:tcPr>
          <w:p>
            <w:pPr>
              <w:pStyle w:val="yTableNAm"/>
              <w:rPr>
                <w:szCs w:val="22"/>
              </w:rPr>
            </w:pPr>
            <w:r>
              <w:rPr>
                <w:szCs w:val="22"/>
              </w:rPr>
              <w:t>10.</w:t>
            </w:r>
          </w:p>
        </w:tc>
        <w:tc>
          <w:tcPr>
            <w:tcW w:w="3828" w:type="dxa"/>
          </w:tcPr>
          <w:p>
            <w:pPr>
              <w:pStyle w:val="yTableNAm"/>
              <w:rPr>
                <w:szCs w:val="22"/>
              </w:rPr>
            </w:pPr>
            <w:r>
              <w:rPr>
                <w:szCs w:val="22"/>
              </w:rPr>
              <w:t>Fee payable for a replacement registration card</w:t>
            </w:r>
          </w:p>
        </w:tc>
        <w:tc>
          <w:tcPr>
            <w:tcW w:w="1559" w:type="dxa"/>
          </w:tcPr>
          <w:p>
            <w:pPr>
              <w:pStyle w:val="yTableNAm"/>
              <w:rPr>
                <w:szCs w:val="22"/>
              </w:rPr>
            </w:pPr>
            <w:r>
              <w:rPr>
                <w:szCs w:val="22"/>
              </w:rPr>
              <w:t>r. 20(4)</w:t>
            </w:r>
          </w:p>
        </w:tc>
        <w:tc>
          <w:tcPr>
            <w:tcW w:w="1339" w:type="dxa"/>
          </w:tcPr>
          <w:p>
            <w:pPr>
              <w:pStyle w:val="yTableNAm"/>
              <w:ind w:right="142"/>
              <w:rPr>
                <w:szCs w:val="22"/>
              </w:rPr>
            </w:pPr>
            <w:r>
              <w:rPr>
                <w:szCs w:val="22"/>
              </w:rPr>
              <w:t>$</w:t>
            </w:r>
            <w:del w:id="227" w:author="Master Repository Process" w:date="2021-09-18T19:36:00Z">
              <w:r>
                <w:rPr>
                  <w:szCs w:val="22"/>
                </w:rPr>
                <w:delText>55</w:delText>
              </w:r>
            </w:del>
            <w:ins w:id="228" w:author="Master Repository Process" w:date="2021-09-18T19:36:00Z">
              <w:r>
                <w:rPr>
                  <w:szCs w:val="22"/>
                </w:rPr>
                <w:t>56</w:t>
              </w:r>
            </w:ins>
          </w:p>
        </w:tc>
      </w:tr>
      <w:tr>
        <w:trPr>
          <w:cantSplit/>
        </w:trPr>
        <w:tc>
          <w:tcPr>
            <w:tcW w:w="567" w:type="dxa"/>
          </w:tcPr>
          <w:p>
            <w:pPr>
              <w:pStyle w:val="yTableNAm"/>
              <w:rPr>
                <w:szCs w:val="22"/>
              </w:rPr>
            </w:pPr>
            <w:r>
              <w:rPr>
                <w:szCs w:val="22"/>
              </w:rPr>
              <w:t>11.</w:t>
            </w:r>
          </w:p>
        </w:tc>
        <w:tc>
          <w:tcPr>
            <w:tcW w:w="3828" w:type="dxa"/>
          </w:tcPr>
          <w:p>
            <w:pPr>
              <w:pStyle w:val="yTableNAm"/>
              <w:rPr>
                <w:szCs w:val="22"/>
              </w:rPr>
            </w:pPr>
            <w:r>
              <w:rPr>
                <w:szCs w:val="22"/>
              </w:rPr>
              <w:t>Fee payable by a person seeking advice about additional qualifications required for registration</w:t>
            </w:r>
          </w:p>
        </w:tc>
        <w:tc>
          <w:tcPr>
            <w:tcW w:w="1559" w:type="dxa"/>
          </w:tcPr>
          <w:p>
            <w:pPr>
              <w:pStyle w:val="yTableNAm"/>
              <w:rPr>
                <w:szCs w:val="22"/>
              </w:rPr>
            </w:pPr>
            <w:r>
              <w:rPr>
                <w:szCs w:val="22"/>
              </w:rPr>
              <w:t>r. 19(2)(a)(i) or (ii)</w:t>
            </w:r>
          </w:p>
        </w:tc>
        <w:tc>
          <w:tcPr>
            <w:tcW w:w="1339" w:type="dxa"/>
          </w:tcPr>
          <w:p>
            <w:pPr>
              <w:pStyle w:val="yTableNAm"/>
              <w:ind w:right="142"/>
              <w:rPr>
                <w:szCs w:val="22"/>
              </w:rPr>
            </w:pPr>
            <w:r>
              <w:rPr>
                <w:szCs w:val="22"/>
              </w:rPr>
              <w:t>$</w:t>
            </w:r>
            <w:del w:id="229" w:author="Master Repository Process" w:date="2021-09-18T19:36:00Z">
              <w:r>
                <w:rPr>
                  <w:szCs w:val="22"/>
                </w:rPr>
                <w:delText>309</w:delText>
              </w:r>
            </w:del>
            <w:ins w:id="230" w:author="Master Repository Process" w:date="2021-09-18T19:36:00Z">
              <w:r>
                <w:rPr>
                  <w:szCs w:val="22"/>
                </w:rPr>
                <w:t>313.50</w:t>
              </w:r>
            </w:ins>
          </w:p>
        </w:tc>
      </w:tr>
      <w:tr>
        <w:trPr>
          <w:cantSplit/>
        </w:trPr>
        <w:tc>
          <w:tcPr>
            <w:tcW w:w="567" w:type="dxa"/>
            <w:tcBorders>
              <w:bottom w:val="single" w:sz="4" w:space="0" w:color="auto"/>
            </w:tcBorders>
          </w:tcPr>
          <w:p>
            <w:pPr>
              <w:pStyle w:val="yTableNAm"/>
              <w:rPr>
                <w:szCs w:val="22"/>
              </w:rPr>
            </w:pPr>
            <w:r>
              <w:rPr>
                <w:szCs w:val="22"/>
              </w:rPr>
              <w:t>12.</w:t>
            </w:r>
          </w:p>
        </w:tc>
        <w:tc>
          <w:tcPr>
            <w:tcW w:w="3828" w:type="dxa"/>
            <w:tcBorders>
              <w:bottom w:val="single" w:sz="4" w:space="0" w:color="auto"/>
            </w:tcBorders>
          </w:tcPr>
          <w:p>
            <w:pPr>
              <w:pStyle w:val="yTableNAm"/>
              <w:rPr>
                <w:szCs w:val="22"/>
              </w:rPr>
            </w:pPr>
            <w:r>
              <w:rPr>
                <w:szCs w:val="22"/>
              </w:rPr>
              <w:t>Fee payable by a person seeking advice about being a fit and proper person to be registered</w:t>
            </w:r>
          </w:p>
        </w:tc>
        <w:tc>
          <w:tcPr>
            <w:tcW w:w="1559" w:type="dxa"/>
            <w:tcBorders>
              <w:bottom w:val="single" w:sz="4" w:space="0" w:color="auto"/>
            </w:tcBorders>
          </w:tcPr>
          <w:p>
            <w:pPr>
              <w:pStyle w:val="yTableNAm"/>
              <w:rPr>
                <w:szCs w:val="22"/>
              </w:rPr>
            </w:pPr>
            <w:r>
              <w:rPr>
                <w:szCs w:val="22"/>
              </w:rPr>
              <w:t>r. 19(2)(b)</w:t>
            </w:r>
          </w:p>
        </w:tc>
        <w:tc>
          <w:tcPr>
            <w:tcW w:w="1339" w:type="dxa"/>
            <w:tcBorders>
              <w:bottom w:val="single" w:sz="4" w:space="0" w:color="auto"/>
            </w:tcBorders>
          </w:tcPr>
          <w:p>
            <w:pPr>
              <w:pStyle w:val="yTableNAm"/>
              <w:ind w:right="142"/>
              <w:rPr>
                <w:szCs w:val="22"/>
              </w:rPr>
            </w:pPr>
            <w:r>
              <w:rPr>
                <w:szCs w:val="22"/>
              </w:rPr>
              <w:t>$</w:t>
            </w:r>
            <w:del w:id="231" w:author="Master Repository Process" w:date="2021-09-18T19:36:00Z">
              <w:r>
                <w:rPr>
                  <w:szCs w:val="22"/>
                </w:rPr>
                <w:delText>55</w:delText>
              </w:r>
            </w:del>
            <w:ins w:id="232" w:author="Master Repository Process" w:date="2021-09-18T19:36:00Z">
              <w:r>
                <w:rPr>
                  <w:szCs w:val="22"/>
                </w:rPr>
                <w:t>56</w:t>
              </w:r>
            </w:ins>
          </w:p>
        </w:tc>
      </w:tr>
    </w:tbl>
    <w:p>
      <w:pPr>
        <w:pStyle w:val="yFootnotesection"/>
      </w:pPr>
      <w:r>
        <w:tab/>
        <w:t xml:space="preserve">[Schedule 1 </w:t>
      </w:r>
      <w:del w:id="233" w:author="Master Repository Process" w:date="2021-09-18T19:36:00Z">
        <w:r>
          <w:delText>amended in</w:delText>
        </w:r>
      </w:del>
      <w:ins w:id="234" w:author="Master Repository Process" w:date="2021-09-18T19:36:00Z">
        <w:r>
          <w:t>inserted:</w:t>
        </w:r>
      </w:ins>
      <w:r>
        <w:t xml:space="preserve"> Gazette </w:t>
      </w:r>
      <w:del w:id="235" w:author="Master Repository Process" w:date="2021-09-18T19:36:00Z">
        <w:r>
          <w:delText>13 Aug 2013 p. 3735-6; 1</w:delText>
        </w:r>
      </w:del>
      <w:ins w:id="236" w:author="Master Repository Process" w:date="2021-09-18T19:36:00Z">
        <w:r>
          <w:t>31</w:t>
        </w:r>
      </w:ins>
      <w:r>
        <w:t> Jul </w:t>
      </w:r>
      <w:del w:id="237" w:author="Master Repository Process" w:date="2021-09-18T19:36:00Z">
        <w:r>
          <w:delText>2014 p. 2339-40; 12 Jun 2015 p. 2024</w:delText>
        </w:r>
        <w:r>
          <w:noBreakHyphen/>
          <w:delText xml:space="preserve">5; </w:delText>
        </w:r>
      </w:del>
      <w:ins w:id="238" w:author="Master Repository Process" w:date="2021-09-18T19:36:00Z">
        <w:r>
          <w:t>2018 p. 2712</w:t>
        </w:r>
        <w:r>
          <w:noBreakHyphen/>
        </w:r>
      </w:ins>
      <w:r>
        <w:t>14</w:t>
      </w:r>
      <w:del w:id="239" w:author="Master Repository Process" w:date="2021-09-18T19:36:00Z">
        <w:r>
          <w:delText> Jun 2016 p. 1824</w:delText>
        </w:r>
        <w:r>
          <w:noBreakHyphen/>
          <w:delText>5; 27 Jun 2017 p. 3418</w:delText>
        </w:r>
        <w:r>
          <w:noBreakHyphen/>
          <w:delText>19</w:delText>
        </w:r>
      </w:del>
      <w:r>
        <w:t>.]</w:t>
      </w:r>
    </w:p>
    <w:p>
      <w:pPr>
        <w:pStyle w:val="yScheduleHeading"/>
      </w:pPr>
      <w:bookmarkStart w:id="240" w:name="_Toc65744886"/>
      <w:bookmarkStart w:id="241" w:name="_Toc486424888"/>
      <w:bookmarkStart w:id="242" w:name="_Toc425858583"/>
      <w:bookmarkStart w:id="243" w:name="_Toc425858633"/>
      <w:bookmarkStart w:id="244" w:name="_Toc427230871"/>
      <w:bookmarkStart w:id="245" w:name="_Toc453589053"/>
      <w:bookmarkStart w:id="246" w:name="_Toc455138891"/>
      <w:bookmarkStart w:id="247" w:name="_Toc455153233"/>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240"/>
      <w:bookmarkEnd w:id="241"/>
    </w:p>
    <w:bookmarkEnd w:id="242"/>
    <w:bookmarkEnd w:id="243"/>
    <w:bookmarkEnd w:id="244"/>
    <w:bookmarkEnd w:id="245"/>
    <w:bookmarkEnd w:id="246"/>
    <w:bookmarkEnd w:id="247"/>
    <w:p>
      <w:pPr>
        <w:pStyle w:val="yShoulderClause"/>
        <w:spacing w:after="60"/>
      </w:pPr>
      <w:r>
        <w:t xml:space="preserve"> [r.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r>
              <w:rPr>
                <w:szCs w:val="22"/>
              </w:rPr>
              <w:t>Mobile</w:t>
            </w:r>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49" w:name="_Toc65744887"/>
      <w:bookmarkStart w:id="250" w:name="_Toc486424889"/>
      <w:r>
        <w:t>Notes</w:t>
      </w:r>
      <w:bookmarkEnd w:id="249"/>
      <w:bookmarkEnd w:id="170"/>
      <w:bookmarkEnd w:id="171"/>
      <w:bookmarkEnd w:id="172"/>
      <w:bookmarkEnd w:id="173"/>
      <w:bookmarkEnd w:id="174"/>
      <w:bookmarkEnd w:id="175"/>
      <w:bookmarkEnd w:id="250"/>
    </w:p>
    <w:p>
      <w:pPr>
        <w:pStyle w:val="nStatement"/>
      </w:pPr>
      <w:del w:id="251" w:author="Master Repository Process" w:date="2021-09-18T19:36:00Z">
        <w:r>
          <w:rPr>
            <w:vertAlign w:val="superscript"/>
          </w:rPr>
          <w:delText>1</w:delText>
        </w:r>
        <w:r>
          <w:tab/>
        </w:r>
      </w:del>
      <w:r>
        <w:t xml:space="preserve">This is a compilation of the </w:t>
      </w:r>
      <w:r>
        <w:rPr>
          <w:i/>
          <w:noProof/>
        </w:rPr>
        <w:t>Teacher Registration (General) Regulations 2012</w:t>
      </w:r>
      <w:r>
        <w:t xml:space="preserve"> and includes </w:t>
      </w:r>
      <w:del w:id="252" w:author="Master Repository Process" w:date="2021-09-18T19:36:00Z">
        <w:r>
          <w:delText xml:space="preserve">the </w:delText>
        </w:r>
      </w:del>
      <w:r>
        <w:t xml:space="preserve">amendments made by </w:t>
      </w:r>
      <w:del w:id="253" w:author="Master Repository Process" w:date="2021-09-18T19:36:00Z">
        <w:r>
          <w:delText xml:space="preserve">the </w:delText>
        </w:r>
      </w:del>
      <w:r>
        <w:t>other written laws</w:t>
      </w:r>
      <w:del w:id="254" w:author="Master Repository Process" w:date="2021-09-18T19:36:00Z">
        <w:r>
          <w:delText xml:space="preserve"> referred to in the following table.  The table also contains</w:delText>
        </w:r>
      </w:del>
      <w:ins w:id="255" w:author="Master Repository Process" w:date="2021-09-18T19:36:00Z">
        <w:r>
          <w:t>. For provisions that have come into operation, and for</w:t>
        </w:r>
      </w:ins>
      <w:r>
        <w:t xml:space="preserve"> information about any </w:t>
      </w:r>
      <w:del w:id="256" w:author="Master Repository Process" w:date="2021-09-18T19:36:00Z">
        <w:r>
          <w:delText>reprint.</w:delText>
        </w:r>
      </w:del>
      <w:ins w:id="257" w:author="Master Repository Process" w:date="2021-09-18T19:36:00Z">
        <w:r>
          <w:t>reprints, see the compilation table.</w:t>
        </w:r>
      </w:ins>
    </w:p>
    <w:p>
      <w:pPr>
        <w:pStyle w:val="nHeading3"/>
      </w:pPr>
      <w:bookmarkStart w:id="258" w:name="_Toc65744888"/>
      <w:bookmarkStart w:id="259" w:name="_Toc486424890"/>
      <w:r>
        <w:t>Compilation table</w:t>
      </w:r>
      <w:bookmarkEnd w:id="258"/>
      <w:bookmarkEnd w:id="2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del w:id="260" w:author="Master Repository Process" w:date="2021-09-18T19:36:00Z">
              <w:r>
                <w:rPr>
                  <w:b/>
                </w:rPr>
                <w:delText>Gazettal</w:delText>
              </w:r>
            </w:del>
            <w:ins w:id="261" w:author="Master Repository Process" w:date="2021-09-18T19:36:00Z">
              <w:r>
                <w:rPr>
                  <w:b/>
                </w:rPr>
                <w:t>Published</w:t>
              </w:r>
            </w:ins>
          </w:p>
        </w:tc>
        <w:tc>
          <w:tcPr>
            <w:tcW w:w="2693" w:type="dxa"/>
            <w:gridSpan w:val="2"/>
          </w:tcPr>
          <w:p>
            <w:pPr>
              <w:pStyle w:val="nTable"/>
              <w:spacing w:after="40"/>
              <w:rPr>
                <w:b/>
              </w:rPr>
            </w:pPr>
            <w:r>
              <w:rPr>
                <w:b/>
              </w:rPr>
              <w:t>Commencement</w:t>
            </w:r>
          </w:p>
        </w:tc>
      </w:tr>
      <w:tr>
        <w:trPr>
          <w:gridBefore w:val="1"/>
          <w:wBefore w:w="28" w:type="dxa"/>
        </w:trPr>
        <w:tc>
          <w:tcPr>
            <w:tcW w:w="3118" w:type="dxa"/>
            <w:gridSpan w:val="2"/>
            <w:tcBorders>
              <w:top w:val="single" w:sz="8" w:space="0" w:color="auto"/>
              <w:bottom w:val="nil"/>
            </w:tcBorders>
          </w:tcPr>
          <w:p>
            <w:pPr>
              <w:pStyle w:val="nTable"/>
              <w:spacing w:after="40"/>
            </w:pPr>
            <w:r>
              <w:rPr>
                <w:i/>
              </w:rPr>
              <w:t>Teacher Registration (General) Regulations 2012</w:t>
            </w:r>
          </w:p>
        </w:tc>
        <w:tc>
          <w:tcPr>
            <w:tcW w:w="1276" w:type="dxa"/>
            <w:gridSpan w:val="2"/>
            <w:tcBorders>
              <w:top w:val="single" w:sz="8" w:space="0" w:color="auto"/>
              <w:bottom w:val="nil"/>
            </w:tcBorders>
          </w:tcPr>
          <w:p>
            <w:pPr>
              <w:pStyle w:val="nTable"/>
              <w:spacing w:after="40"/>
            </w:pPr>
            <w:r>
              <w:t>16 Nov 2012 p. 5571-609</w:t>
            </w:r>
          </w:p>
        </w:tc>
        <w:tc>
          <w:tcPr>
            <w:tcW w:w="2694" w:type="dxa"/>
            <w:gridSpan w:val="2"/>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rPr>
          <w:gridBefore w:val="1"/>
          <w:wBefore w:w="28" w:type="dxa"/>
        </w:trPr>
        <w:tc>
          <w:tcPr>
            <w:tcW w:w="3118" w:type="dxa"/>
            <w:gridSpan w:val="2"/>
            <w:tcBorders>
              <w:top w:val="nil"/>
              <w:bottom w:val="nil"/>
            </w:tcBorders>
          </w:tcPr>
          <w:p>
            <w:pPr>
              <w:pStyle w:val="nTable"/>
              <w:spacing w:after="40"/>
              <w:rPr>
                <w:i/>
              </w:rPr>
            </w:pPr>
            <w:r>
              <w:rPr>
                <w:i/>
              </w:rPr>
              <w:t>Teacher Registration (General) Amendment Regulations 2013</w:t>
            </w:r>
          </w:p>
        </w:tc>
        <w:tc>
          <w:tcPr>
            <w:tcW w:w="1276" w:type="dxa"/>
            <w:gridSpan w:val="2"/>
            <w:tcBorders>
              <w:top w:val="nil"/>
              <w:bottom w:val="nil"/>
            </w:tcBorders>
          </w:tcPr>
          <w:p>
            <w:pPr>
              <w:pStyle w:val="nTable"/>
              <w:spacing w:after="40"/>
            </w:pPr>
            <w:r>
              <w:t>7 May 2013 p. 1903-4</w:t>
            </w:r>
          </w:p>
        </w:tc>
        <w:tc>
          <w:tcPr>
            <w:tcW w:w="2694" w:type="dxa"/>
            <w:gridSpan w:val="2"/>
            <w:tcBorders>
              <w:top w:val="nil"/>
              <w:bottom w:val="nil"/>
            </w:tcBorders>
          </w:tcPr>
          <w:p>
            <w:pPr>
              <w:pStyle w:val="nTable"/>
              <w:spacing w:after="40"/>
              <w:rPr>
                <w:snapToGrid w:val="0"/>
                <w:spacing w:val="-2"/>
              </w:rPr>
            </w:pPr>
            <w:r>
              <w:t xml:space="preserve">7 May 2013 </w:t>
            </w:r>
            <w:r>
              <w:rPr>
                <w:snapToGrid w:val="0"/>
              </w:rPr>
              <w:t>(see note under r. 1)</w:t>
            </w:r>
          </w:p>
        </w:tc>
      </w:tr>
      <w:tr>
        <w:trPr>
          <w:gridBefore w:val="1"/>
          <w:wBefore w:w="28" w:type="dxa"/>
        </w:trPr>
        <w:tc>
          <w:tcPr>
            <w:tcW w:w="3118" w:type="dxa"/>
            <w:gridSpan w:val="2"/>
            <w:tcBorders>
              <w:top w:val="nil"/>
              <w:bottom w:val="nil"/>
            </w:tcBorders>
          </w:tcPr>
          <w:p>
            <w:pPr>
              <w:pStyle w:val="nTable"/>
              <w:spacing w:after="40"/>
              <w:rPr>
                <w:i/>
              </w:rPr>
            </w:pPr>
            <w:r>
              <w:rPr>
                <w:i/>
              </w:rPr>
              <w:t>Teacher Registration (General) Amendment Regulations (No. 2) 2013</w:t>
            </w:r>
          </w:p>
        </w:tc>
        <w:tc>
          <w:tcPr>
            <w:tcW w:w="1276" w:type="dxa"/>
            <w:gridSpan w:val="2"/>
            <w:tcBorders>
              <w:top w:val="nil"/>
              <w:bottom w:val="nil"/>
            </w:tcBorders>
          </w:tcPr>
          <w:p>
            <w:pPr>
              <w:pStyle w:val="nTable"/>
              <w:spacing w:after="40"/>
            </w:pPr>
            <w:r>
              <w:t>13 Aug 2013 p. 3733-6</w:t>
            </w:r>
          </w:p>
        </w:tc>
        <w:tc>
          <w:tcPr>
            <w:tcW w:w="2694" w:type="dxa"/>
            <w:gridSpan w:val="2"/>
            <w:tcBorders>
              <w:top w:val="nil"/>
              <w:bottom w:val="nil"/>
            </w:tcBorders>
          </w:tcPr>
          <w:p>
            <w:pPr>
              <w:pStyle w:val="nTable"/>
              <w:spacing w:after="40"/>
            </w:pPr>
            <w:r>
              <w:t>r. 1 and 2: 13 Aug 2013 (see r. 2(a));</w:t>
            </w:r>
            <w:r>
              <w:br/>
              <w:t>Regulations other than r. 1 and 2: 14 Aug 2013 (see r. 2(b))</w:t>
            </w:r>
          </w:p>
        </w:tc>
      </w:tr>
      <w:tr>
        <w:trPr>
          <w:gridBefore w:val="1"/>
          <w:wBefore w:w="28" w:type="dxa"/>
        </w:trPr>
        <w:tc>
          <w:tcPr>
            <w:tcW w:w="3118" w:type="dxa"/>
            <w:gridSpan w:val="2"/>
            <w:tcBorders>
              <w:top w:val="nil"/>
              <w:bottom w:val="nil"/>
            </w:tcBorders>
          </w:tcPr>
          <w:p>
            <w:pPr>
              <w:pStyle w:val="nTable"/>
              <w:spacing w:after="40"/>
              <w:rPr>
                <w:i/>
              </w:rPr>
            </w:pPr>
            <w:r>
              <w:rPr>
                <w:i/>
              </w:rPr>
              <w:t>Teacher Registration (General) Amendment Regulations 2014</w:t>
            </w:r>
          </w:p>
        </w:tc>
        <w:tc>
          <w:tcPr>
            <w:tcW w:w="1276" w:type="dxa"/>
            <w:gridSpan w:val="2"/>
            <w:tcBorders>
              <w:top w:val="nil"/>
              <w:bottom w:val="nil"/>
            </w:tcBorders>
          </w:tcPr>
          <w:p>
            <w:pPr>
              <w:pStyle w:val="nTable"/>
              <w:spacing w:after="40"/>
            </w:pPr>
            <w:r>
              <w:t>28 Jan 2014 p. 177-9</w:t>
            </w:r>
          </w:p>
        </w:tc>
        <w:tc>
          <w:tcPr>
            <w:tcW w:w="2694" w:type="dxa"/>
            <w:gridSpan w:val="2"/>
            <w:tcBorders>
              <w:top w:val="nil"/>
              <w:bottom w:val="nil"/>
            </w:tcBorders>
          </w:tcPr>
          <w:p>
            <w:pPr>
              <w:pStyle w:val="nTable"/>
              <w:spacing w:after="40"/>
            </w:pPr>
            <w:r>
              <w:t>r. 1 and 2: 28 Jan 2014 (see r. 2(a));</w:t>
            </w:r>
            <w:r>
              <w:br/>
              <w:t>Regulations other than r. 1 and 2: 10 Feb 2014 (see r. 2(b))</w:t>
            </w:r>
          </w:p>
        </w:tc>
      </w:tr>
      <w:tr>
        <w:trPr>
          <w:gridBefore w:val="1"/>
          <w:wBefore w:w="28" w:type="dxa"/>
        </w:trPr>
        <w:tc>
          <w:tcPr>
            <w:tcW w:w="3118" w:type="dxa"/>
            <w:gridSpan w:val="2"/>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gridSpan w:val="2"/>
            <w:tcBorders>
              <w:top w:val="nil"/>
              <w:bottom w:val="nil"/>
            </w:tcBorders>
          </w:tcPr>
          <w:p>
            <w:pPr>
              <w:pStyle w:val="nTable"/>
              <w:spacing w:after="40"/>
            </w:pPr>
            <w:r>
              <w:t>1 Jul 2014 p. 2339</w:t>
            </w:r>
            <w:r>
              <w:noBreakHyphen/>
              <w:t>40</w:t>
            </w:r>
          </w:p>
        </w:tc>
        <w:tc>
          <w:tcPr>
            <w:tcW w:w="2694" w:type="dxa"/>
            <w:gridSpan w:val="2"/>
            <w:tcBorders>
              <w:top w:val="nil"/>
              <w:bottom w:val="nil"/>
            </w:tcBorders>
          </w:tcPr>
          <w:p>
            <w:pPr>
              <w:pStyle w:val="nTable"/>
              <w:spacing w:after="40"/>
            </w:pPr>
            <w:r>
              <w:t>r. 1 and 2: 1 Jul 2014 (see r. 2(a));</w:t>
            </w:r>
            <w:r>
              <w:br/>
              <w:t>Regulations other than r. 1 and 2: 21 Jul 2014 (see r. 2(b))</w:t>
            </w:r>
          </w:p>
        </w:tc>
      </w:tr>
      <w:tr>
        <w:trPr>
          <w:gridBefore w:val="1"/>
          <w:wBefore w:w="28" w:type="dxa"/>
        </w:trPr>
        <w:tc>
          <w:tcPr>
            <w:tcW w:w="3118" w:type="dxa"/>
            <w:gridSpan w:val="2"/>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gridSpan w:val="2"/>
            <w:tcBorders>
              <w:top w:val="nil"/>
              <w:bottom w:val="nil"/>
            </w:tcBorders>
            <w:shd w:val="clear" w:color="auto" w:fill="auto"/>
          </w:tcPr>
          <w:p>
            <w:pPr>
              <w:pStyle w:val="nTable"/>
              <w:spacing w:after="40"/>
            </w:pPr>
            <w:r>
              <w:t>13 Mar 2015 p. 849</w:t>
            </w:r>
          </w:p>
        </w:tc>
        <w:tc>
          <w:tcPr>
            <w:tcW w:w="2694" w:type="dxa"/>
            <w:gridSpan w:val="2"/>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rPr>
          <w:gridBefore w:val="1"/>
          <w:wBefore w:w="28" w:type="dxa"/>
        </w:trPr>
        <w:tc>
          <w:tcPr>
            <w:tcW w:w="3118" w:type="dxa"/>
            <w:gridSpan w:val="2"/>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gridSpan w:val="2"/>
            <w:tcBorders>
              <w:top w:val="nil"/>
              <w:bottom w:val="nil"/>
            </w:tcBorders>
            <w:shd w:val="clear" w:color="auto" w:fill="auto"/>
          </w:tcPr>
          <w:p>
            <w:pPr>
              <w:pStyle w:val="nTable"/>
              <w:spacing w:after="40"/>
            </w:pPr>
            <w:r>
              <w:t>12 Jun 2015 p. 2024</w:t>
            </w:r>
            <w:r>
              <w:noBreakHyphen/>
              <w:t>5</w:t>
            </w:r>
          </w:p>
        </w:tc>
        <w:tc>
          <w:tcPr>
            <w:tcW w:w="2694" w:type="dxa"/>
            <w:gridSpan w:val="2"/>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rPr>
          <w:gridBefore w:val="1"/>
          <w:wBefore w:w="28" w:type="dxa"/>
        </w:trPr>
        <w:tc>
          <w:tcPr>
            <w:tcW w:w="7088" w:type="dxa"/>
            <w:gridSpan w:val="6"/>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r>
        <w:trPr>
          <w:gridBefore w:val="1"/>
          <w:wBefore w:w="28" w:type="dxa"/>
        </w:trPr>
        <w:tc>
          <w:tcPr>
            <w:tcW w:w="3118" w:type="dxa"/>
            <w:gridSpan w:val="2"/>
            <w:tcBorders>
              <w:top w:val="nil"/>
              <w:bottom w:val="nil"/>
            </w:tcBorders>
            <w:shd w:val="clear" w:color="auto" w:fill="auto"/>
          </w:tcPr>
          <w:p>
            <w:pPr>
              <w:pStyle w:val="nTable"/>
              <w:spacing w:after="40"/>
            </w:pPr>
            <w:r>
              <w:rPr>
                <w:i/>
              </w:rPr>
              <w:t>Teacher Registration Regulations (Fees) Amendment Regulations 2016</w:t>
            </w:r>
            <w:r>
              <w:t xml:space="preserve"> Pt. 2</w:t>
            </w:r>
          </w:p>
        </w:tc>
        <w:tc>
          <w:tcPr>
            <w:tcW w:w="1276" w:type="dxa"/>
            <w:gridSpan w:val="2"/>
            <w:tcBorders>
              <w:top w:val="nil"/>
              <w:bottom w:val="nil"/>
            </w:tcBorders>
            <w:shd w:val="clear" w:color="auto" w:fill="auto"/>
          </w:tcPr>
          <w:p>
            <w:pPr>
              <w:pStyle w:val="nTable"/>
              <w:spacing w:after="40"/>
            </w:pPr>
            <w:r>
              <w:t>14 Jun 2016 p. 1823</w:t>
            </w:r>
            <w:r>
              <w:noBreakHyphen/>
              <w:t>5</w:t>
            </w:r>
          </w:p>
        </w:tc>
        <w:tc>
          <w:tcPr>
            <w:tcW w:w="2694" w:type="dxa"/>
            <w:gridSpan w:val="2"/>
            <w:tcBorders>
              <w:top w:val="nil"/>
              <w:bottom w:val="nil"/>
            </w:tcBorders>
            <w:shd w:val="clear" w:color="auto" w:fill="auto"/>
          </w:tcPr>
          <w:p>
            <w:pPr>
              <w:pStyle w:val="nTable"/>
              <w:spacing w:after="40"/>
              <w:rPr>
                <w:snapToGrid w:val="0"/>
              </w:rPr>
            </w:pPr>
            <w:r>
              <w:rPr>
                <w:snapToGrid w:val="0"/>
              </w:rPr>
              <w:t>1 Jul 2016 (see r. 2(b))</w:t>
            </w:r>
          </w:p>
        </w:tc>
      </w:tr>
      <w:tr>
        <w:trPr>
          <w:gridBefore w:val="1"/>
          <w:wBefore w:w="28" w:type="dxa"/>
        </w:trPr>
        <w:tc>
          <w:tcPr>
            <w:tcW w:w="3118" w:type="dxa"/>
            <w:gridSpan w:val="2"/>
            <w:tcBorders>
              <w:top w:val="nil"/>
              <w:bottom w:val="nil"/>
            </w:tcBorders>
            <w:shd w:val="clear" w:color="auto" w:fill="auto"/>
          </w:tcPr>
          <w:p>
            <w:pPr>
              <w:pStyle w:val="nTable"/>
              <w:keepNext/>
              <w:spacing w:after="40"/>
              <w:rPr>
                <w:i/>
              </w:rPr>
            </w:pPr>
            <w:r>
              <w:rPr>
                <w:i/>
              </w:rPr>
              <w:t>Education and Training Regulations Amendment (Fees) Regulations 2017</w:t>
            </w:r>
            <w:r>
              <w:t xml:space="preserve"> Pt. 4</w:t>
            </w:r>
          </w:p>
        </w:tc>
        <w:tc>
          <w:tcPr>
            <w:tcW w:w="1276" w:type="dxa"/>
            <w:gridSpan w:val="2"/>
            <w:tcBorders>
              <w:top w:val="nil"/>
              <w:bottom w:val="nil"/>
            </w:tcBorders>
            <w:shd w:val="clear" w:color="auto" w:fill="auto"/>
          </w:tcPr>
          <w:p>
            <w:pPr>
              <w:pStyle w:val="nTable"/>
              <w:keepNext/>
              <w:spacing w:after="40"/>
            </w:pPr>
            <w:r>
              <w:t>27 Jun 2017 p. 3416</w:t>
            </w:r>
            <w:r>
              <w:noBreakHyphen/>
              <w:t>19</w:t>
            </w:r>
          </w:p>
        </w:tc>
        <w:tc>
          <w:tcPr>
            <w:tcW w:w="2694" w:type="dxa"/>
            <w:gridSpan w:val="2"/>
            <w:tcBorders>
              <w:top w:val="nil"/>
              <w:bottom w:val="nil"/>
            </w:tcBorders>
            <w:shd w:val="clear" w:color="auto" w:fill="auto"/>
          </w:tcPr>
          <w:p>
            <w:pPr>
              <w:pStyle w:val="nTable"/>
              <w:keepNext/>
              <w:spacing w:after="40"/>
              <w:rPr>
                <w:snapToGrid w:val="0"/>
              </w:rPr>
            </w:pPr>
            <w:r>
              <w:rPr>
                <w:snapToGrid w:val="0"/>
              </w:rPr>
              <w:t>1 Jul 2017 (see r. 2(b))</w:t>
            </w:r>
          </w:p>
        </w:tc>
      </w:tr>
    </w:tbl>
    <w:p>
      <w:pPr>
        <w:rPr>
          <w:del w:id="262" w:author="Master Repository Process" w:date="2021-09-18T19:36:00Z"/>
        </w:rPr>
      </w:pPr>
    </w:p>
    <w:p>
      <w:pPr>
        <w:rPr>
          <w:del w:id="263" w:author="Master Repository Process" w:date="2021-09-18T19:36:00Z"/>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ins w:id="265" w:author="Master Repository Process" w:date="2021-09-18T19:36:00Z"/>
        </w:trPr>
        <w:tc>
          <w:tcPr>
            <w:tcW w:w="3118" w:type="dxa"/>
            <w:tcBorders>
              <w:top w:val="nil"/>
              <w:bottom w:val="single" w:sz="4" w:space="0" w:color="auto"/>
            </w:tcBorders>
            <w:shd w:val="clear" w:color="auto" w:fill="auto"/>
          </w:tcPr>
          <w:p>
            <w:pPr>
              <w:pStyle w:val="nTable"/>
              <w:keepNext/>
              <w:spacing w:after="40"/>
              <w:rPr>
                <w:ins w:id="266" w:author="Master Repository Process" w:date="2021-09-18T19:36:00Z"/>
              </w:rPr>
            </w:pPr>
            <w:ins w:id="267" w:author="Master Repository Process" w:date="2021-09-18T19:36:00Z">
              <w:r>
                <w:rPr>
                  <w:i/>
                </w:rPr>
                <w:t>Education and Training Regulations Amendment (Fees and Charges) Regulations 2018</w:t>
              </w:r>
              <w:r>
                <w:t xml:space="preserve"> Pt. 2</w:t>
              </w:r>
            </w:ins>
          </w:p>
        </w:tc>
        <w:tc>
          <w:tcPr>
            <w:tcW w:w="1276" w:type="dxa"/>
            <w:tcBorders>
              <w:top w:val="nil"/>
              <w:bottom w:val="single" w:sz="4" w:space="0" w:color="auto"/>
            </w:tcBorders>
            <w:shd w:val="clear" w:color="auto" w:fill="auto"/>
          </w:tcPr>
          <w:p>
            <w:pPr>
              <w:pStyle w:val="nTable"/>
              <w:keepNext/>
              <w:spacing w:after="40"/>
              <w:rPr>
                <w:ins w:id="268" w:author="Master Repository Process" w:date="2021-09-18T19:36:00Z"/>
              </w:rPr>
            </w:pPr>
            <w:ins w:id="269" w:author="Master Repository Process" w:date="2021-09-18T19:36:00Z">
              <w:r>
                <w:t>31 Jul 2018 p. 2711-15</w:t>
              </w:r>
            </w:ins>
          </w:p>
        </w:tc>
        <w:tc>
          <w:tcPr>
            <w:tcW w:w="2694" w:type="dxa"/>
            <w:tcBorders>
              <w:top w:val="nil"/>
              <w:bottom w:val="single" w:sz="4" w:space="0" w:color="auto"/>
            </w:tcBorders>
            <w:shd w:val="clear" w:color="auto" w:fill="auto"/>
          </w:tcPr>
          <w:p>
            <w:pPr>
              <w:pStyle w:val="nTable"/>
              <w:keepNext/>
              <w:spacing w:after="40"/>
              <w:rPr>
                <w:ins w:id="270" w:author="Master Repository Process" w:date="2021-09-18T19:36:00Z"/>
                <w:snapToGrid w:val="0"/>
              </w:rPr>
            </w:pPr>
            <w:ins w:id="271" w:author="Master Repository Process" w:date="2021-09-18T19:36:00Z">
              <w:r>
                <w:rPr>
                  <w:snapToGrid w:val="0"/>
                </w:rPr>
                <w:t>1 Aug 2018 (see r. 2(b)(ii))</w:t>
              </w:r>
            </w:ins>
          </w:p>
        </w:tc>
      </w:tr>
    </w:tbl>
    <w:p>
      <w:pPr>
        <w:pStyle w:val="nHeading3"/>
        <w:rPr>
          <w:ins w:id="272" w:author="Master Repository Process" w:date="2021-09-18T19:36:00Z"/>
        </w:rPr>
      </w:pPr>
      <w:bookmarkStart w:id="273" w:name="_Toc65744889"/>
      <w:ins w:id="274" w:author="Master Repository Process" w:date="2021-09-18T19:36:00Z">
        <w:r>
          <w:t>Other notes</w:t>
        </w:r>
        <w:bookmarkEnd w:id="273"/>
      </w:ins>
    </w:p>
    <w:p>
      <w:pPr>
        <w:pStyle w:val="nNote"/>
        <w:spacing w:before="160"/>
        <w:rPr>
          <w:ins w:id="275" w:author="Master Repository Process" w:date="2021-09-18T19:36:00Z"/>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ins w:id="276" w:author="Master Repository Process" w:date="2021-09-18T19:36:00Z">
        <w:r>
          <w:rPr>
            <w:vertAlign w:val="superscript"/>
          </w:rPr>
          <w:t>1</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w:t>
        </w:r>
      </w:ins>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7" w:name="Coversheet"/>
    <w:bookmarkEnd w:id="2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48" w:name="Schedule"/>
    <w:bookmarkEnd w:id="2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304095731"/>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 w:name="WAFER_20180727153601" w:val="RemoveTocBookmarks,RemoveUnusedBookmarks,RemoveLanguageTags,UsedStyles,ResetPageSize"/>
    <w:docVar w:name="WAFER_20180727153601_GUID" w:val="b96bf920-f8f1-4056-a8aa-4de672f1700b"/>
    <w:docVar w:name="WAFER_20210226153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544_GUID" w:val="44bc127a-0902-4183-a0c0-6bfe3dc1c9e4"/>
    <w:docVar w:name="WAFER_20210304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04095731_GUID" w:val="c7ea6fe1-da92-489a-9c8c-b5b35d87cf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E8C7A2-C53D-424A-BDCA-1A1EC7E2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F95C-DC19-476A-8D66-C4D69EBA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7176</Words>
  <Characters>36601</Characters>
  <Application>Microsoft Office Word</Application>
  <DocSecurity>0</DocSecurity>
  <Lines>1220</Lines>
  <Paragraphs>643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01-d0-00 - 01-e0-03</dc:title>
  <dc:subject/>
  <dc:creator/>
  <cp:keywords/>
  <dc:description/>
  <cp:lastModifiedBy>Master Repository Process</cp:lastModifiedBy>
  <cp:revision>2</cp:revision>
  <cp:lastPrinted>2015-08-18T01:24:00Z</cp:lastPrinted>
  <dcterms:created xsi:type="dcterms:W3CDTF">2021-09-18T11:36:00Z</dcterms:created>
  <dcterms:modified xsi:type="dcterms:W3CDTF">2021-09-18T11:36:00Z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CommencementDate">
    <vt:lpwstr>20180801</vt:lpwstr>
  </property>
  <property fmtid="{D5CDD505-2E9C-101B-9397-08002B2CF9AE}" pid="7" name="FromSuffix">
    <vt:lpwstr>01-d0-00</vt:lpwstr>
  </property>
  <property fmtid="{D5CDD505-2E9C-101B-9397-08002B2CF9AE}" pid="8" name="FromAsAtDate">
    <vt:lpwstr>01 Jul 2017</vt:lpwstr>
  </property>
  <property fmtid="{D5CDD505-2E9C-101B-9397-08002B2CF9AE}" pid="9" name="ToSuffix">
    <vt:lpwstr>01-e0-03</vt:lpwstr>
  </property>
  <property fmtid="{D5CDD505-2E9C-101B-9397-08002B2CF9AE}" pid="10" name="ToAsAtDate">
    <vt:lpwstr>01 Aug 2018</vt:lpwstr>
  </property>
</Properties>
</file>