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2018</w:t>
      </w:r>
      <w:r>
        <w:fldChar w:fldCharType="end"/>
      </w:r>
      <w:r>
        <w:t xml:space="preserve">, </w:t>
      </w:r>
      <w:r>
        <w:fldChar w:fldCharType="begin"/>
      </w:r>
      <w:r>
        <w:instrText xml:space="preserve"> DocProperty FromSuffix </w:instrText>
      </w:r>
      <w:r>
        <w:fldChar w:fldCharType="separate"/>
      </w:r>
      <w:r>
        <w:t>05-o0-01</w:t>
      </w:r>
      <w:r>
        <w:fldChar w:fldCharType="end"/>
      </w:r>
      <w:r>
        <w:t>] and [</w:t>
      </w:r>
      <w:r>
        <w:fldChar w:fldCharType="begin"/>
      </w:r>
      <w:r>
        <w:instrText xml:space="preserve"> DocProperty ToAsAtDate</w:instrText>
      </w:r>
      <w:r>
        <w:fldChar w:fldCharType="separate"/>
      </w:r>
      <w:r>
        <w:t>24 Aug 2018</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[Long title amended</w:t>
      </w:r>
      <w:del w:id="2" w:author="svcMRProcess" w:date="2019-02-11T16:22:00Z">
        <w:r>
          <w:delText xml:space="preserve"> by</w:delText>
        </w:r>
      </w:del>
      <w:ins w:id="3" w:author="svcMRProcess" w:date="2019-02-11T16:22:00Z">
        <w:r>
          <w:t>:</w:t>
        </w:r>
      </w:ins>
      <w:r>
        <w:t xml:space="preserve"> No. 34 of 1980 s. 2; No. 58 of 1986 s. 14; No. 19 of 1989 s. 7; No. 68 of 1992 s. 4(3).] </w:t>
      </w:r>
    </w:p>
    <w:p>
      <w:pPr>
        <w:pStyle w:val="Heading2"/>
      </w:pPr>
      <w:bookmarkStart w:id="4" w:name="_Toc514857161"/>
      <w:bookmarkStart w:id="5" w:name="_Toc516652394"/>
      <w:bookmarkStart w:id="6" w:name="_Toc518571562"/>
      <w:bookmarkStart w:id="7" w:name="_Toc507595216"/>
      <w:bookmarkStart w:id="8" w:name="_Toc507596946"/>
      <w:r>
        <w:rPr>
          <w:rStyle w:val="CharPartNo"/>
        </w:rPr>
        <w:lastRenderedPageBreak/>
        <w:t>Part I</w:t>
      </w:r>
      <w:r>
        <w:t> — </w:t>
      </w:r>
      <w:r>
        <w:rPr>
          <w:rStyle w:val="CharPartText"/>
        </w:rPr>
        <w:t>The Tribunal</w:t>
      </w:r>
      <w:bookmarkEnd w:id="4"/>
      <w:bookmarkEnd w:id="5"/>
      <w:bookmarkEnd w:id="6"/>
      <w:bookmarkEnd w:id="7"/>
      <w:bookmarkEnd w:id="8"/>
      <w:r>
        <w:rPr>
          <w:rStyle w:val="CharPartText"/>
        </w:rPr>
        <w:t xml:space="preserve"> </w:t>
      </w:r>
    </w:p>
    <w:p>
      <w:pPr>
        <w:pStyle w:val="Heading3"/>
      </w:pPr>
      <w:bookmarkStart w:id="9" w:name="_Toc514857162"/>
      <w:bookmarkStart w:id="10" w:name="_Toc516652395"/>
      <w:bookmarkStart w:id="11" w:name="_Toc518571563"/>
      <w:bookmarkStart w:id="12" w:name="_Toc507595217"/>
      <w:bookmarkStart w:id="13" w:name="_Toc507596947"/>
      <w:r>
        <w:rPr>
          <w:rStyle w:val="CharDivNo"/>
        </w:rPr>
        <w:t>Division 1</w:t>
      </w:r>
      <w:r>
        <w:t> — </w:t>
      </w:r>
      <w:r>
        <w:rPr>
          <w:rStyle w:val="CharDivText"/>
        </w:rPr>
        <w:t>Preliminary</w:t>
      </w:r>
      <w:bookmarkEnd w:id="9"/>
      <w:bookmarkEnd w:id="10"/>
      <w:bookmarkEnd w:id="11"/>
      <w:bookmarkEnd w:id="12"/>
      <w:bookmarkEnd w:id="13"/>
    </w:p>
    <w:p>
      <w:pPr>
        <w:pStyle w:val="Footnoteheading"/>
      </w:pPr>
      <w:r>
        <w:tab/>
        <w:t>[Heading inserted</w:t>
      </w:r>
      <w:del w:id="14" w:author="svcMRProcess" w:date="2019-02-11T16:22:00Z">
        <w:r>
          <w:delText xml:space="preserve"> by</w:delText>
        </w:r>
      </w:del>
      <w:ins w:id="15" w:author="svcMRProcess" w:date="2019-02-11T16:22:00Z">
        <w:r>
          <w:t>:</w:t>
        </w:r>
      </w:ins>
      <w:r>
        <w:t xml:space="preserve"> No. 1 of 2018 s. 4.]</w:t>
      </w:r>
    </w:p>
    <w:p>
      <w:pPr>
        <w:pStyle w:val="Heading5"/>
        <w:rPr>
          <w:snapToGrid w:val="0"/>
        </w:rPr>
      </w:pPr>
      <w:bookmarkStart w:id="16" w:name="_Toc518571564"/>
      <w:bookmarkStart w:id="17" w:name="_Toc507596948"/>
      <w:r>
        <w:rPr>
          <w:rStyle w:val="CharSectno"/>
        </w:rPr>
        <w:t>1</w:t>
      </w:r>
      <w:r>
        <w:rPr>
          <w:snapToGrid w:val="0"/>
        </w:rPr>
        <w:t>.</w:t>
      </w:r>
      <w:r>
        <w:rPr>
          <w:snapToGrid w:val="0"/>
        </w:rPr>
        <w:tab/>
        <w:t>Short title</w:t>
      </w:r>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[Section 1 amended</w:t>
      </w:r>
      <w:del w:id="18" w:author="svcMRProcess" w:date="2019-02-11T16:22:00Z">
        <w:r>
          <w:delText xml:space="preserve"> by</w:delText>
        </w:r>
      </w:del>
      <w:ins w:id="19" w:author="svcMRProcess" w:date="2019-02-11T16:22:00Z">
        <w:r>
          <w:t>:</w:t>
        </w:r>
      </w:ins>
      <w:r>
        <w:t xml:space="preserve"> No. 34 of 1980 s. 3.] </w:t>
      </w:r>
    </w:p>
    <w:p>
      <w:pPr>
        <w:pStyle w:val="Heading5"/>
        <w:rPr>
          <w:snapToGrid w:val="0"/>
        </w:rPr>
      </w:pPr>
      <w:bookmarkStart w:id="20" w:name="_Toc518571565"/>
      <w:bookmarkStart w:id="21" w:name="_Toc507596949"/>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Deleted</w:t>
      </w:r>
      <w:del w:id="22" w:author="svcMRProcess" w:date="2019-02-11T16:22:00Z">
        <w:r>
          <w:delText xml:space="preserve"> by</w:delText>
        </w:r>
      </w:del>
      <w:ins w:id="23" w:author="svcMRProcess" w:date="2019-02-11T16:22:00Z">
        <w:r>
          <w:t>:</w:t>
        </w:r>
      </w:ins>
      <w:r>
        <w:t xml:space="preserve"> No. 58 of 1986 s. 15.] </w:t>
      </w:r>
    </w:p>
    <w:p>
      <w:pPr>
        <w:pStyle w:val="Heading5"/>
        <w:rPr>
          <w:snapToGrid w:val="0"/>
        </w:rPr>
      </w:pPr>
      <w:bookmarkStart w:id="24" w:name="_Toc518571566"/>
      <w:bookmarkStart w:id="25" w:name="_Toc507596950"/>
      <w:r>
        <w:rPr>
          <w:rStyle w:val="CharSectno"/>
        </w:rPr>
        <w:t>4</w:t>
      </w:r>
      <w:r>
        <w:rPr>
          <w:snapToGrid w:val="0"/>
        </w:rPr>
        <w:t>.</w:t>
      </w:r>
      <w:r>
        <w:rPr>
          <w:snapToGrid w:val="0"/>
        </w:rPr>
        <w:tab/>
        <w:t>Terms used</w:t>
      </w:r>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lastRenderedPageBreak/>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w:t>
      </w:r>
      <w:del w:id="26" w:author="svcMRProcess" w:date="2019-02-11T16:22:00Z">
        <w:r>
          <w:delText xml:space="preserve"> by</w:delText>
        </w:r>
      </w:del>
      <w:ins w:id="27" w:author="svcMRProcess" w:date="2019-02-11T16:22:00Z">
        <w:r>
          <w:t>:</w:t>
        </w:r>
      </w:ins>
      <w:r>
        <w:t xml:space="preserve"> No. 78 of 1984 s. 20; No. 34 of 1986 s. 4; No. 19 of 1989 s. 8; No. 38 of 1990 s. 7; No. 68 of 1992 s. 4(1) and (2); No. 56 of 2006 s. 6; No. 46 of 2016 s. 4.]</w:t>
      </w:r>
    </w:p>
    <w:p>
      <w:pPr>
        <w:pStyle w:val="Heading3"/>
        <w:keepLines/>
        <w:pageBreakBefore/>
        <w:spacing w:before="0"/>
      </w:pPr>
      <w:bookmarkStart w:id="28" w:name="_Toc514857166"/>
      <w:bookmarkStart w:id="29" w:name="_Toc516652399"/>
      <w:bookmarkStart w:id="30" w:name="_Toc518571567"/>
      <w:bookmarkStart w:id="31" w:name="_Toc507595221"/>
      <w:bookmarkStart w:id="32" w:name="_Toc507596951"/>
      <w:r>
        <w:rPr>
          <w:rStyle w:val="CharDivNo"/>
        </w:rPr>
        <w:t>Division 2</w:t>
      </w:r>
      <w:r>
        <w:t> — </w:t>
      </w:r>
      <w:r>
        <w:rPr>
          <w:rStyle w:val="CharDivText"/>
        </w:rPr>
        <w:t>Tribunal established</w:t>
      </w:r>
      <w:bookmarkEnd w:id="28"/>
      <w:bookmarkEnd w:id="29"/>
      <w:bookmarkEnd w:id="30"/>
      <w:bookmarkEnd w:id="31"/>
      <w:bookmarkEnd w:id="32"/>
    </w:p>
    <w:p>
      <w:pPr>
        <w:pStyle w:val="Footnoteheading"/>
      </w:pPr>
      <w:r>
        <w:tab/>
        <w:t>[Heading inserted</w:t>
      </w:r>
      <w:del w:id="33" w:author="svcMRProcess" w:date="2019-02-11T16:22:00Z">
        <w:r>
          <w:delText xml:space="preserve"> by</w:delText>
        </w:r>
      </w:del>
      <w:ins w:id="34" w:author="svcMRProcess" w:date="2019-02-11T16:22:00Z">
        <w:r>
          <w:t>:</w:t>
        </w:r>
      </w:ins>
      <w:r>
        <w:t xml:space="preserve"> No. 1 of 2018 s. 5.]</w:t>
      </w:r>
    </w:p>
    <w:p>
      <w:pPr>
        <w:pStyle w:val="Heading5"/>
        <w:rPr>
          <w:snapToGrid w:val="0"/>
        </w:rPr>
      </w:pPr>
      <w:bookmarkStart w:id="35" w:name="_Toc518571568"/>
      <w:bookmarkStart w:id="36" w:name="_Toc507596952"/>
      <w:r>
        <w:rPr>
          <w:rStyle w:val="CharSectno"/>
        </w:rPr>
        <w:t>5</w:t>
      </w:r>
      <w:r>
        <w:rPr>
          <w:snapToGrid w:val="0"/>
        </w:rPr>
        <w:t>.</w:t>
      </w:r>
      <w:r>
        <w:rPr>
          <w:snapToGrid w:val="0"/>
        </w:rPr>
        <w:tab/>
        <w:t>Establishment of Tribunal</w:t>
      </w:r>
      <w:bookmarkEnd w:id="35"/>
      <w:bookmarkEnd w:id="36"/>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[Section 5 amended</w:t>
      </w:r>
      <w:del w:id="37" w:author="svcMRProcess" w:date="2019-02-11T16:22:00Z">
        <w:r>
          <w:delText xml:space="preserve"> by</w:delText>
        </w:r>
      </w:del>
      <w:ins w:id="38" w:author="svcMRProcess" w:date="2019-02-11T16:22:00Z">
        <w:r>
          <w:t>:</w:t>
        </w:r>
      </w:ins>
      <w:r>
        <w:t xml:space="preserve"> No. 63 of 1978 s. 2; No. 42 of 1997 s. 8; No. 18 of 2009 s. 78.] </w:t>
      </w:r>
    </w:p>
    <w:p>
      <w:pPr>
        <w:pStyle w:val="Heading3"/>
      </w:pPr>
      <w:bookmarkStart w:id="39" w:name="_Toc514857168"/>
      <w:bookmarkStart w:id="40" w:name="_Toc516652401"/>
      <w:bookmarkStart w:id="41" w:name="_Toc518571569"/>
      <w:bookmarkStart w:id="42" w:name="_Toc507595223"/>
      <w:bookmarkStart w:id="43" w:name="_Toc507596953"/>
      <w:r>
        <w:rPr>
          <w:rStyle w:val="CharDivNo"/>
        </w:rPr>
        <w:t>Division 3</w:t>
      </w:r>
      <w:r>
        <w:t> — </w:t>
      </w:r>
      <w:r>
        <w:rPr>
          <w:rStyle w:val="CharDivText"/>
        </w:rPr>
        <w:t>Inquiries, determinations and reports</w:t>
      </w:r>
      <w:bookmarkEnd w:id="39"/>
      <w:bookmarkEnd w:id="40"/>
      <w:bookmarkEnd w:id="41"/>
      <w:bookmarkEnd w:id="42"/>
      <w:bookmarkEnd w:id="43"/>
    </w:p>
    <w:p>
      <w:pPr>
        <w:pStyle w:val="Footnoteheading"/>
      </w:pPr>
      <w:r>
        <w:tab/>
        <w:t>[Heading inserted</w:t>
      </w:r>
      <w:del w:id="44" w:author="svcMRProcess" w:date="2019-02-11T16:22:00Z">
        <w:r>
          <w:delText xml:space="preserve"> by</w:delText>
        </w:r>
      </w:del>
      <w:ins w:id="45" w:author="svcMRProcess" w:date="2019-02-11T16:22:00Z">
        <w:r>
          <w:t>:</w:t>
        </w:r>
      </w:ins>
      <w:r>
        <w:t xml:space="preserve"> No. 1 of 2018 s. 6.]</w:t>
      </w:r>
    </w:p>
    <w:p>
      <w:pPr>
        <w:pStyle w:val="Heading5"/>
        <w:rPr>
          <w:snapToGrid w:val="0"/>
        </w:rPr>
      </w:pPr>
      <w:bookmarkStart w:id="46" w:name="_Toc518571570"/>
      <w:bookmarkStart w:id="47" w:name="_Toc507596954"/>
      <w:r>
        <w:rPr>
          <w:rStyle w:val="CharSectno"/>
        </w:rPr>
        <w:t>5A</w:t>
      </w:r>
      <w:r>
        <w:rPr>
          <w:snapToGrid w:val="0"/>
        </w:rPr>
        <w:t>.</w:t>
      </w:r>
      <w:r>
        <w:rPr>
          <w:snapToGrid w:val="0"/>
        </w:rPr>
        <w:tab/>
        <w:t>Inquiry into and determination of remuneration of Governor</w:t>
      </w:r>
      <w:bookmarkEnd w:id="46"/>
      <w:bookmarkEnd w:id="47"/>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ins w:id="48" w:author="svcMRProcess" w:date="2019-02-11T16:22:00Z">
        <w:r>
          <w:rPr>
            <w:snapToGrid w:val="0"/>
          </w:rPr>
          <w:t xml:space="preserve"> and</w:t>
        </w:r>
      </w:ins>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del w:id="49" w:author="svcMRProcess" w:date="2019-02-11T16:22:00Z">
        <w:r>
          <w:rPr>
            <w:snapToGrid w:val="0"/>
            <w:vertAlign w:val="superscript"/>
          </w:rPr>
          <w:delText>1</w:delText>
        </w:r>
        <w:r>
          <w:rPr>
            <w:snapToGrid w:val="0"/>
          </w:rPr>
          <w:delText xml:space="preserve"> </w:delText>
        </w:r>
      </w:del>
      <w:r>
        <w:rPr>
          <w:snapToGrid w:val="0"/>
        </w:rPr>
        <w:t>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[Section 5A inserted</w:t>
      </w:r>
      <w:del w:id="50" w:author="svcMRProcess" w:date="2019-02-11T16:22:00Z">
        <w:r>
          <w:delText xml:space="preserve"> by</w:delText>
        </w:r>
      </w:del>
      <w:ins w:id="51" w:author="svcMRProcess" w:date="2019-02-11T16:22:00Z">
        <w:r>
          <w:t>:</w:t>
        </w:r>
      </w:ins>
      <w:r>
        <w:t xml:space="preserve"> No. 19 of 1989 s. 9; amended</w:t>
      </w:r>
      <w:del w:id="52" w:author="svcMRProcess" w:date="2019-02-11T16:22:00Z">
        <w:r>
          <w:delText xml:space="preserve"> by</w:delText>
        </w:r>
      </w:del>
      <w:ins w:id="53" w:author="svcMRProcess" w:date="2019-02-11T16:22:00Z">
        <w:r>
          <w:t>:</w:t>
        </w:r>
      </w:ins>
      <w:r>
        <w:t xml:space="preserve"> No. 77 of 2006 s. 4.] </w:t>
      </w:r>
    </w:p>
    <w:p>
      <w:pPr>
        <w:pStyle w:val="Heading5"/>
        <w:pageBreakBefore/>
        <w:spacing w:before="0"/>
        <w:rPr>
          <w:snapToGrid w:val="0"/>
        </w:rPr>
      </w:pPr>
      <w:bookmarkStart w:id="54" w:name="_Toc518571571"/>
      <w:bookmarkStart w:id="55" w:name="_Toc507596955"/>
      <w:r>
        <w:rPr>
          <w:rStyle w:val="CharSectno"/>
        </w:rPr>
        <w:t>6</w:t>
      </w:r>
      <w:r>
        <w:rPr>
          <w:snapToGrid w:val="0"/>
        </w:rPr>
        <w:t>.</w:t>
      </w:r>
      <w:r>
        <w:rPr>
          <w:snapToGrid w:val="0"/>
        </w:rPr>
        <w:tab/>
        <w:t>Other inquiries into and determinations of remuneration</w:t>
      </w:r>
      <w:bookmarkEnd w:id="54"/>
      <w:bookmarkEnd w:id="55"/>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[Section 6 amended</w:t>
      </w:r>
      <w:del w:id="56" w:author="svcMRProcess" w:date="2019-02-11T16:22:00Z">
        <w:r>
          <w:delText xml:space="preserve"> by</w:delText>
        </w:r>
      </w:del>
      <w:ins w:id="57" w:author="svcMRProcess" w:date="2019-02-11T16:22:00Z">
        <w:r>
          <w:t>:</w:t>
        </w:r>
      </w:ins>
      <w:r>
        <w:t xml:space="preserve"> No. 33 of 1979 s. 2; No. 34 of 1980 s. 5; No. 78 of 1984 s. 21; No. 40 of 1987 s. 104; No. 38 of 1990 s. 8; No. 49 of 1991 s. 3; No. 68 of 1992 s. 4(3) and 5; No. 6 of 1993 s. 11; No. 1 of 1995 s. 37; No. 49 of 1996 s. 64; No. 36 of 2000 </w:t>
      </w:r>
      <w:r>
        <w:rPr>
          <w:spacing w:val="-2"/>
        </w:rPr>
        <w:t>s</w:t>
      </w:r>
      <w:r>
        <w:t xml:space="preserve">. 57; No. 22 of 2001 s. 3; </w:t>
      </w:r>
      <w:del w:id="58" w:author="svcMRProcess" w:date="2019-02-11T16:22:00Z">
        <w:r>
          <w:delText>No.</w:delText>
        </w:r>
      </w:del>
      <w:ins w:id="59" w:author="svcMRProcess" w:date="2019-02-11T16:22:00Z">
        <w:r>
          <w:t>Gazette 15 Aug 2003 p. 3691; Act No.</w:t>
        </w:r>
      </w:ins>
      <w:r>
        <w:t xml:space="preserve"> 1 of 2005 s. 10(2); No. 56 of 2006 s. 7; No. 77 of 2006 s. 4; No. 32 of 2016 s. </w:t>
      </w:r>
      <w:del w:id="60" w:author="svcMRProcess" w:date="2019-02-11T16:22:00Z">
        <w:r>
          <w:delText>192; amended in Gazette 15 Aug 2003 p. 3691</w:delText>
        </w:r>
      </w:del>
      <w:ins w:id="61" w:author="svcMRProcess" w:date="2019-02-11T16:22:00Z">
        <w:r>
          <w:t>192</w:t>
        </w:r>
      </w:ins>
      <w:r>
        <w:t>.]</w:t>
      </w:r>
    </w:p>
    <w:p>
      <w:pPr>
        <w:pStyle w:val="Heading5"/>
        <w:spacing w:before="180"/>
      </w:pPr>
      <w:bookmarkStart w:id="62" w:name="_Toc518571572"/>
      <w:bookmarkStart w:id="63" w:name="_Toc507596956"/>
      <w:r>
        <w:rPr>
          <w:rStyle w:val="CharSectno"/>
        </w:rPr>
        <w:t>6A</w:t>
      </w:r>
      <w:r>
        <w:t>.</w:t>
      </w:r>
      <w:r>
        <w:tab/>
        <w:t xml:space="preserve">Tribunal’s functions under </w:t>
      </w:r>
      <w:r>
        <w:rPr>
          <w:i/>
        </w:rPr>
        <w:t>Parliamentary Superannuation Act 1970</w:t>
      </w:r>
      <w:bookmarkEnd w:id="62"/>
      <w:bookmarkEnd w:id="63"/>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w:t>
      </w:r>
      <w:del w:id="64" w:author="svcMRProcess" w:date="2019-02-11T16:22:00Z">
        <w:r>
          <w:delText xml:space="preserve"> by</w:delText>
        </w:r>
      </w:del>
      <w:ins w:id="65" w:author="svcMRProcess" w:date="2019-02-11T16:22:00Z">
        <w:r>
          <w:t>:</w:t>
        </w:r>
      </w:ins>
      <w:r>
        <w:t xml:space="preserve"> No. 37 of 2000 s. 20.]</w:t>
      </w:r>
    </w:p>
    <w:p>
      <w:pPr>
        <w:pStyle w:val="Heading5"/>
        <w:spacing w:before="180"/>
      </w:pPr>
      <w:bookmarkStart w:id="66" w:name="_Toc518571573"/>
      <w:bookmarkStart w:id="67" w:name="_Toc507596957"/>
      <w:r>
        <w:rPr>
          <w:rStyle w:val="CharSectno"/>
        </w:rPr>
        <w:t>6AA</w:t>
      </w:r>
      <w:r>
        <w:t>.</w:t>
      </w:r>
      <w:r>
        <w:tab/>
        <w:t>Redundancy benefits for members of Parliament</w:t>
      </w:r>
      <w:bookmarkEnd w:id="66"/>
      <w:bookmarkEnd w:id="67"/>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w:t>
      </w:r>
      <w:del w:id="68" w:author="svcMRProcess" w:date="2019-02-11T16:22:00Z">
        <w:r>
          <w:delText xml:space="preserve"> by</w:delText>
        </w:r>
      </w:del>
      <w:ins w:id="69" w:author="svcMRProcess" w:date="2019-02-11T16:22:00Z">
        <w:r>
          <w:t>:</w:t>
        </w:r>
      </w:ins>
      <w:r>
        <w:t xml:space="preserve"> No. 37 of 2000 s. 20; amended</w:t>
      </w:r>
      <w:del w:id="70" w:author="svcMRProcess" w:date="2019-02-11T16:22:00Z">
        <w:r>
          <w:delText xml:space="preserve"> by</w:delText>
        </w:r>
      </w:del>
      <w:ins w:id="71" w:author="svcMRProcess" w:date="2019-02-11T16:22:00Z">
        <w:r>
          <w:t>:</w:t>
        </w:r>
      </w:ins>
      <w:r>
        <w:t xml:space="preserve"> No. 77 of 2006 s. 4.]</w:t>
      </w:r>
    </w:p>
    <w:p>
      <w:pPr>
        <w:pStyle w:val="Heading5"/>
        <w:rPr>
          <w:snapToGrid w:val="0"/>
        </w:rPr>
      </w:pPr>
      <w:bookmarkStart w:id="72" w:name="_Toc518571574"/>
      <w:bookmarkStart w:id="73" w:name="_Toc507596958"/>
      <w:r>
        <w:rPr>
          <w:rStyle w:val="CharSectno"/>
        </w:rPr>
        <w:t>6B</w:t>
      </w:r>
      <w:r>
        <w:rPr>
          <w:snapToGrid w:val="0"/>
        </w:rPr>
        <w:t>.</w:t>
      </w:r>
      <w:r>
        <w:rPr>
          <w:snapToGrid w:val="0"/>
        </w:rPr>
        <w:tab/>
        <w:t>Determinations relating to entitlements of former Premiers, Ministers and members of Parliament</w:t>
      </w:r>
      <w:bookmarkEnd w:id="72"/>
      <w:bookmarkEnd w:id="73"/>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[Section 6B inserted</w:t>
      </w:r>
      <w:del w:id="74" w:author="svcMRProcess" w:date="2019-02-11T16:22:00Z">
        <w:r>
          <w:delText xml:space="preserve"> by</w:delText>
        </w:r>
      </w:del>
      <w:ins w:id="75" w:author="svcMRProcess" w:date="2019-02-11T16:22:00Z">
        <w:r>
          <w:t>:</w:t>
        </w:r>
      </w:ins>
      <w:r>
        <w:t xml:space="preserve"> No. 13 of 1987 s. 3; amended</w:t>
      </w:r>
      <w:del w:id="76" w:author="svcMRProcess" w:date="2019-02-11T16:22:00Z">
        <w:r>
          <w:delText xml:space="preserve"> by</w:delText>
        </w:r>
      </w:del>
      <w:ins w:id="77" w:author="svcMRProcess" w:date="2019-02-11T16:22:00Z">
        <w:r>
          <w:t>:</w:t>
        </w:r>
      </w:ins>
      <w:r>
        <w:t xml:space="preserve"> No. 6 of 1993 s. 11; No. 73 of 1994 s. 4; No. 49 of 1996 s. 64; No. 77 of 2006 s. 4.] </w:t>
      </w:r>
    </w:p>
    <w:p>
      <w:pPr>
        <w:pStyle w:val="Heading5"/>
        <w:rPr>
          <w:snapToGrid w:val="0"/>
        </w:rPr>
      </w:pPr>
      <w:bookmarkStart w:id="78" w:name="_Toc518571575"/>
      <w:bookmarkStart w:id="79" w:name="_Toc507596959"/>
      <w:r>
        <w:rPr>
          <w:rStyle w:val="CharSectno"/>
        </w:rPr>
        <w:t>6C</w:t>
      </w:r>
      <w:r>
        <w:rPr>
          <w:snapToGrid w:val="0"/>
        </w:rPr>
        <w:t>.</w:t>
      </w:r>
      <w:r>
        <w:rPr>
          <w:snapToGrid w:val="0"/>
        </w:rPr>
        <w:tab/>
        <w:t>Forfeiture of former office entitlements</w:t>
      </w:r>
      <w:bookmarkEnd w:id="78"/>
      <w:bookmarkEnd w:id="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w:t>
      </w:r>
      <w:del w:id="80" w:author="svcMRProcess" w:date="2019-02-11T16:22:00Z">
        <w:r>
          <w:delText xml:space="preserve"> by</w:delText>
        </w:r>
      </w:del>
      <w:ins w:id="81" w:author="svcMRProcess" w:date="2019-02-11T16:22:00Z">
        <w:r>
          <w:t>:</w:t>
        </w:r>
      </w:ins>
      <w:r>
        <w:t xml:space="preserve"> No. 45 of 1995 s. 4</w:t>
      </w:r>
      <w:r>
        <w:rPr>
          <w:vertAlign w:val="superscript"/>
        </w:rPr>
        <w:t xml:space="preserve"> </w:t>
      </w:r>
      <w:del w:id="82" w:author="svcMRProcess" w:date="2019-02-11T16:22:00Z">
        <w:r>
          <w:rPr>
            <w:i w:val="0"/>
            <w:iCs/>
            <w:vertAlign w:val="superscript"/>
          </w:rPr>
          <w:delText>4</w:delText>
        </w:r>
      </w:del>
      <w:ins w:id="83" w:author="svcMRProcess" w:date="2019-02-11T16:22:00Z">
        <w:r>
          <w:rPr>
            <w:i w:val="0"/>
            <w:iCs/>
            <w:vertAlign w:val="superscript"/>
          </w:rPr>
          <w:t>3</w:t>
        </w:r>
      </w:ins>
      <w:r>
        <w:t xml:space="preserve">.] </w:t>
      </w:r>
    </w:p>
    <w:p>
      <w:pPr>
        <w:pStyle w:val="Heading5"/>
        <w:rPr>
          <w:snapToGrid w:val="0"/>
        </w:rPr>
      </w:pPr>
      <w:bookmarkStart w:id="84" w:name="_Toc518571576"/>
      <w:bookmarkStart w:id="85" w:name="_Toc507596960"/>
      <w:r>
        <w:rPr>
          <w:rStyle w:val="CharSectno"/>
        </w:rPr>
        <w:t>7</w:t>
      </w:r>
      <w:r>
        <w:rPr>
          <w:snapToGrid w:val="0"/>
        </w:rPr>
        <w:t>.</w:t>
      </w:r>
      <w:r>
        <w:rPr>
          <w:snapToGrid w:val="0"/>
        </w:rPr>
        <w:tab/>
        <w:t>Inquiry into and report on judicial salaries</w:t>
      </w:r>
      <w:bookmarkEnd w:id="84"/>
      <w:bookmarkEnd w:id="85"/>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ins w:id="86" w:author="svcMRProcess" w:date="2019-02-11T16:22:00Z">
        <w:r>
          <w:rPr>
            <w:snapToGrid w:val="0"/>
          </w:rPr>
          <w:t xml:space="preserve"> and</w:t>
        </w:r>
      </w:ins>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[Section 7 amended</w:t>
      </w:r>
      <w:del w:id="87" w:author="svcMRProcess" w:date="2019-02-11T16:22:00Z">
        <w:r>
          <w:delText xml:space="preserve"> by</w:delText>
        </w:r>
      </w:del>
      <w:ins w:id="88" w:author="svcMRProcess" w:date="2019-02-11T16:22:00Z">
        <w:r>
          <w:t>:</w:t>
        </w:r>
      </w:ins>
      <w:r>
        <w:t xml:space="preserve">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89" w:name="_Toc518571577"/>
      <w:bookmarkStart w:id="90" w:name="_Toc507596961"/>
      <w:r>
        <w:rPr>
          <w:rStyle w:val="CharSectno"/>
        </w:rPr>
        <w:t>7A</w:t>
      </w:r>
      <w:r>
        <w:t>.</w:t>
      </w:r>
      <w:r>
        <w:tab/>
        <w:t>Determinations as to remuneration of local government CEOs</w:t>
      </w:r>
      <w:bookmarkEnd w:id="89"/>
      <w:bookmarkEnd w:id="90"/>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w:t>
      </w:r>
      <w:del w:id="91" w:author="svcMRProcess" w:date="2019-02-11T16:22:00Z">
        <w:r>
          <w:delText xml:space="preserve"> by</w:delText>
        </w:r>
      </w:del>
      <w:ins w:id="92" w:author="svcMRProcess" w:date="2019-02-11T16:22:00Z">
        <w:r>
          <w:t>:</w:t>
        </w:r>
      </w:ins>
      <w:r>
        <w:t xml:space="preserve"> No. 2 of 2012 s. 38.]</w:t>
      </w:r>
    </w:p>
    <w:p>
      <w:pPr>
        <w:pStyle w:val="Heading5"/>
      </w:pPr>
      <w:bookmarkStart w:id="93" w:name="_Toc518571578"/>
      <w:bookmarkStart w:id="94" w:name="_Toc507596962"/>
      <w:r>
        <w:rPr>
          <w:rStyle w:val="CharSectno"/>
        </w:rPr>
        <w:t>7B</w:t>
      </w:r>
      <w:r>
        <w:t>.</w:t>
      </w:r>
      <w:r>
        <w:tab/>
        <w:t>Determinations as to fees and allowances of local government councillors</w:t>
      </w:r>
      <w:bookmarkEnd w:id="93"/>
      <w:bookmarkEnd w:id="94"/>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w:t>
      </w:r>
      <w:del w:id="95" w:author="svcMRProcess" w:date="2019-02-11T16:22:00Z">
        <w:r>
          <w:delText xml:space="preserve"> by</w:delText>
        </w:r>
      </w:del>
      <w:ins w:id="96" w:author="svcMRProcess" w:date="2019-02-11T16:22:00Z">
        <w:r>
          <w:t>:</w:t>
        </w:r>
      </w:ins>
      <w:r>
        <w:t xml:space="preserve"> No. 2 of 2012 s. 39.]</w:t>
      </w:r>
    </w:p>
    <w:p>
      <w:pPr>
        <w:pStyle w:val="Heading5"/>
      </w:pPr>
      <w:bookmarkStart w:id="97" w:name="_Toc518571579"/>
      <w:bookmarkStart w:id="98" w:name="_Toc507596963"/>
      <w:r>
        <w:rPr>
          <w:rStyle w:val="CharSectno"/>
        </w:rPr>
        <w:t>7C</w:t>
      </w:r>
      <w:r>
        <w:t>.</w:t>
      </w:r>
      <w:r>
        <w:tab/>
        <w:t>Determinations as to remuneration of certain executive officers of Government entities</w:t>
      </w:r>
      <w:bookmarkEnd w:id="97"/>
      <w:bookmarkEnd w:id="98"/>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w:t>
      </w:r>
      <w:del w:id="99" w:author="svcMRProcess" w:date="2019-02-11T16:22:00Z">
        <w:r>
          <w:delText xml:space="preserve"> by</w:delText>
        </w:r>
      </w:del>
      <w:ins w:id="100" w:author="svcMRProcess" w:date="2019-02-11T16:22:00Z">
        <w:r>
          <w:t>:</w:t>
        </w:r>
      </w:ins>
      <w:r>
        <w:t xml:space="preserve"> No. 46 of 2016 s. 5.]</w:t>
      </w:r>
    </w:p>
    <w:p>
      <w:pPr>
        <w:pStyle w:val="Heading5"/>
        <w:spacing w:before="180"/>
      </w:pPr>
      <w:bookmarkStart w:id="101" w:name="_Toc518571580"/>
      <w:bookmarkStart w:id="102" w:name="_Toc507596964"/>
      <w:r>
        <w:rPr>
          <w:rStyle w:val="CharSectno"/>
        </w:rPr>
        <w:t>8</w:t>
      </w:r>
      <w:r>
        <w:t>.</w:t>
      </w:r>
      <w:r>
        <w:tab/>
        <w:t>Tribunal to report and make a determination annually</w:t>
      </w:r>
      <w:bookmarkEnd w:id="101"/>
      <w:bookmarkEnd w:id="102"/>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w:t>
      </w:r>
      <w:del w:id="103" w:author="svcMRProcess" w:date="2019-02-11T16:22:00Z">
        <w:r>
          <w:delText xml:space="preserve"> by</w:delText>
        </w:r>
      </w:del>
      <w:ins w:id="104" w:author="svcMRProcess" w:date="2019-02-11T16:22:00Z">
        <w:r>
          <w:t>:</w:t>
        </w:r>
      </w:ins>
      <w:r>
        <w:t xml:space="preserve"> No. 37 of 2000 s. 21; amended</w:t>
      </w:r>
      <w:del w:id="105" w:author="svcMRProcess" w:date="2019-02-11T16:22:00Z">
        <w:r>
          <w:delText xml:space="preserve"> by</w:delText>
        </w:r>
      </w:del>
      <w:ins w:id="106" w:author="svcMRProcess" w:date="2019-02-11T16:22:00Z">
        <w:r>
          <w:t>:</w:t>
        </w:r>
      </w:ins>
      <w:r>
        <w:t xml:space="preserve"> No. 49 of 2004 s. 13; No. 2 of 2012 s. 40; No. 46 of 2016 s. 6; No. 1 of 2018 s. 7.]</w:t>
      </w:r>
    </w:p>
    <w:p>
      <w:pPr>
        <w:pStyle w:val="Heading5"/>
        <w:rPr>
          <w:snapToGrid w:val="0"/>
        </w:rPr>
      </w:pPr>
      <w:bookmarkStart w:id="107" w:name="_Toc518571581"/>
      <w:bookmarkStart w:id="108" w:name="_Toc507596965"/>
      <w:r>
        <w:rPr>
          <w:rStyle w:val="CharSectno"/>
        </w:rPr>
        <w:t>9</w:t>
      </w:r>
      <w:r>
        <w:rPr>
          <w:snapToGrid w:val="0"/>
        </w:rPr>
        <w:t>.</w:t>
      </w:r>
      <w:r>
        <w:rPr>
          <w:snapToGrid w:val="0"/>
        </w:rPr>
        <w:tab/>
        <w:t>Meetings of Tribunal</w:t>
      </w:r>
      <w:bookmarkEnd w:id="107"/>
      <w:bookmarkEnd w:id="108"/>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ins w:id="109" w:author="svcMRProcess" w:date="2019-02-11T16:22:00Z">
        <w:r>
          <w:rPr>
            <w:snapToGrid w:val="0"/>
          </w:rPr>
          <w:t xml:space="preserve"> and</w:t>
        </w:r>
      </w:ins>
    </w:p>
    <w:p>
      <w:pPr>
        <w:pStyle w:val="Indenta"/>
        <w:rPr>
          <w:snapToGrid w:val="0"/>
        </w:rPr>
      </w:pPr>
      <w:r>
        <w:rPr>
          <w:snapToGrid w:val="0"/>
        </w:rPr>
        <w:tab/>
        <w:t>(b)</w:t>
      </w:r>
      <w:r>
        <w:rPr>
          <w:snapToGrid w:val="0"/>
        </w:rPr>
        <w:tab/>
        <w:t>2 members constitute a quorum;</w:t>
      </w:r>
      <w:ins w:id="110" w:author="svcMRProcess" w:date="2019-02-11T16:22:00Z">
        <w:r>
          <w:rPr>
            <w:snapToGrid w:val="0"/>
          </w:rPr>
          <w:t xml:space="preserve"> and</w:t>
        </w:r>
      </w:ins>
    </w:p>
    <w:p>
      <w:pPr>
        <w:pStyle w:val="Indenta"/>
        <w:rPr>
          <w:snapToGrid w:val="0"/>
        </w:rPr>
      </w:pPr>
      <w:r>
        <w:rPr>
          <w:snapToGrid w:val="0"/>
        </w:rPr>
        <w:tab/>
        <w:t>(c)</w:t>
      </w:r>
      <w:r>
        <w:rPr>
          <w:snapToGrid w:val="0"/>
        </w:rPr>
        <w:tab/>
        <w:t>all questions shall be decided by a majority of the votes of the members present and voting;</w:t>
      </w:r>
      <w:ins w:id="111" w:author="svcMRProcess" w:date="2019-02-11T16:22:00Z">
        <w:r>
          <w:rPr>
            <w:snapToGrid w:val="0"/>
          </w:rPr>
          <w:t xml:space="preserve"> and</w:t>
        </w:r>
      </w:ins>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112" w:name="_Toc518571582"/>
      <w:bookmarkStart w:id="113" w:name="_Toc507596966"/>
      <w:r>
        <w:rPr>
          <w:rStyle w:val="CharSectno"/>
        </w:rPr>
        <w:t>10</w:t>
      </w:r>
      <w:r>
        <w:rPr>
          <w:snapToGrid w:val="0"/>
        </w:rPr>
        <w:t>.</w:t>
      </w:r>
      <w:r>
        <w:rPr>
          <w:snapToGrid w:val="0"/>
        </w:rPr>
        <w:tab/>
        <w:t>Method of inquiry by Tribunal</w:t>
      </w:r>
      <w:bookmarkEnd w:id="112"/>
      <w:bookmarkEnd w:id="113"/>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[Section 10 amended</w:t>
      </w:r>
      <w:del w:id="114" w:author="svcMRProcess" w:date="2019-02-11T16:22:00Z">
        <w:r>
          <w:delText xml:space="preserve"> by</w:delText>
        </w:r>
      </w:del>
      <w:ins w:id="115" w:author="svcMRProcess" w:date="2019-02-11T16:22:00Z">
        <w:r>
          <w:t>:</w:t>
        </w:r>
      </w:ins>
      <w:r>
        <w:t xml:space="preserve"> No. 33 of 1979 s. 4; No. 38 of 1990 s. 9; No. 68 of 1992 s. 4(3); No. 32 of 1994 s. 19; No. 73 of 1994 s. 4; No. 49 of 2004 s. 13; No. 39 of 2010 s. 83; No. 2 of 2012 s. 41; No. 32 of 2016 s. 193; No. 46 of 2016 s. 7; No. 1 of 2018 s. 8.] </w:t>
      </w:r>
    </w:p>
    <w:p>
      <w:pPr>
        <w:pStyle w:val="Heading5"/>
      </w:pPr>
      <w:bookmarkStart w:id="116" w:name="_Toc518571583"/>
      <w:bookmarkStart w:id="117" w:name="_Toc507596967"/>
      <w:r>
        <w:rPr>
          <w:rStyle w:val="CharSectno"/>
        </w:rPr>
        <w:t>10A</w:t>
      </w:r>
      <w:r>
        <w:t>.</w:t>
      </w:r>
      <w:r>
        <w:tab/>
        <w:t>Tribunal to have regard to government financial matters</w:t>
      </w:r>
      <w:bookmarkEnd w:id="116"/>
      <w:bookmarkEnd w:id="117"/>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w:t>
      </w:r>
      <w:del w:id="118" w:author="svcMRProcess" w:date="2019-02-11T16:22:00Z">
        <w:r>
          <w:delText xml:space="preserve"> by</w:delText>
        </w:r>
      </w:del>
      <w:ins w:id="119" w:author="svcMRProcess" w:date="2019-02-11T16:22:00Z">
        <w:r>
          <w:t>:</w:t>
        </w:r>
      </w:ins>
      <w:r>
        <w:t xml:space="preserve"> No. 8 of 2014 s. 19; amended</w:t>
      </w:r>
      <w:del w:id="120" w:author="svcMRProcess" w:date="2019-02-11T16:22:00Z">
        <w:r>
          <w:delText xml:space="preserve"> by</w:delText>
        </w:r>
      </w:del>
      <w:ins w:id="121" w:author="svcMRProcess" w:date="2019-02-11T16:22:00Z">
        <w:r>
          <w:t>:</w:t>
        </w:r>
      </w:ins>
      <w:r>
        <w:t xml:space="preserve"> No. 46 of 2016 s. 8.]</w:t>
      </w:r>
    </w:p>
    <w:p>
      <w:pPr>
        <w:pStyle w:val="Heading3"/>
        <w:pageBreakBefore/>
        <w:spacing w:before="0"/>
      </w:pPr>
      <w:bookmarkStart w:id="122" w:name="_Toc514857183"/>
      <w:bookmarkStart w:id="123" w:name="_Toc516652416"/>
      <w:bookmarkStart w:id="124" w:name="_Toc518571584"/>
      <w:bookmarkStart w:id="125" w:name="_Toc507595238"/>
      <w:bookmarkStart w:id="126" w:name="_Toc507596968"/>
      <w:r>
        <w:rPr>
          <w:rStyle w:val="CharDivNo"/>
        </w:rPr>
        <w:t>Division 4</w:t>
      </w:r>
      <w:r>
        <w:t> — </w:t>
      </w:r>
      <w:r>
        <w:rPr>
          <w:rStyle w:val="CharDivText"/>
        </w:rPr>
        <w:t>No remuneration increases before 1 July 2021</w:t>
      </w:r>
      <w:bookmarkEnd w:id="122"/>
      <w:bookmarkEnd w:id="123"/>
      <w:bookmarkEnd w:id="124"/>
      <w:bookmarkEnd w:id="125"/>
      <w:bookmarkEnd w:id="126"/>
    </w:p>
    <w:p>
      <w:pPr>
        <w:pStyle w:val="Footnoteheading"/>
      </w:pPr>
      <w:r>
        <w:tab/>
        <w:t>[Heading inserted</w:t>
      </w:r>
      <w:del w:id="127" w:author="svcMRProcess" w:date="2019-02-11T16:22:00Z">
        <w:r>
          <w:delText xml:space="preserve"> by</w:delText>
        </w:r>
      </w:del>
      <w:ins w:id="128" w:author="svcMRProcess" w:date="2019-02-11T16:22:00Z">
        <w:r>
          <w:t>:</w:t>
        </w:r>
      </w:ins>
      <w:r>
        <w:t xml:space="preserve"> No. 1 of 2018 s. 9.]</w:t>
      </w:r>
    </w:p>
    <w:p>
      <w:pPr>
        <w:pStyle w:val="Heading5"/>
      </w:pPr>
      <w:bookmarkStart w:id="129" w:name="_Toc518571585"/>
      <w:bookmarkStart w:id="130" w:name="_Toc507594334"/>
      <w:bookmarkStart w:id="131" w:name="_Toc507596969"/>
      <w:r>
        <w:rPr>
          <w:rStyle w:val="CharSectno"/>
        </w:rPr>
        <w:t>10B</w:t>
      </w:r>
      <w:r>
        <w:t>.</w:t>
      </w:r>
      <w:r>
        <w:tab/>
        <w:t>Term used: commencement day</w:t>
      </w:r>
      <w:bookmarkEnd w:id="129"/>
      <w:bookmarkEnd w:id="130"/>
      <w:bookmarkEnd w:id="131"/>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w:t>
      </w:r>
      <w:del w:id="132" w:author="svcMRProcess" w:date="2019-02-11T16:22:00Z">
        <w:r>
          <w:delText xml:space="preserve"> by</w:delText>
        </w:r>
      </w:del>
      <w:ins w:id="133" w:author="svcMRProcess" w:date="2019-02-11T16:22:00Z">
        <w:r>
          <w:t>:</w:t>
        </w:r>
      </w:ins>
      <w:r>
        <w:t xml:space="preserve"> No. 1 of 2018 s. 9.]</w:t>
      </w:r>
    </w:p>
    <w:p>
      <w:pPr>
        <w:pStyle w:val="Heading5"/>
      </w:pPr>
      <w:bookmarkStart w:id="134" w:name="_Toc518571586"/>
      <w:bookmarkStart w:id="135" w:name="_Toc507596970"/>
      <w:r>
        <w:rPr>
          <w:rStyle w:val="CharSectno"/>
        </w:rPr>
        <w:t>10C</w:t>
      </w:r>
      <w:r>
        <w:t>.</w:t>
      </w:r>
      <w:r>
        <w:tab/>
        <w:t>No increases in Governor’s remuneration before 1 July 2021</w:t>
      </w:r>
      <w:bookmarkEnd w:id="134"/>
      <w:bookmarkEnd w:id="135"/>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w:t>
      </w:r>
      <w:del w:id="136" w:author="svcMRProcess" w:date="2019-02-11T16:22:00Z">
        <w:r>
          <w:delText xml:space="preserve"> by</w:delText>
        </w:r>
      </w:del>
      <w:ins w:id="137" w:author="svcMRProcess" w:date="2019-02-11T16:22:00Z">
        <w:r>
          <w:t>:</w:t>
        </w:r>
      </w:ins>
      <w:r>
        <w:t xml:space="preserve"> No. 1 of 2018 s. 9.]</w:t>
      </w:r>
    </w:p>
    <w:p>
      <w:pPr>
        <w:pStyle w:val="Heading5"/>
        <w:pageBreakBefore/>
        <w:spacing w:before="0"/>
      </w:pPr>
      <w:bookmarkStart w:id="138" w:name="_Toc518571587"/>
      <w:bookmarkStart w:id="139" w:name="_Toc507596971"/>
      <w:r>
        <w:rPr>
          <w:rStyle w:val="CharSectno"/>
        </w:rPr>
        <w:t>10D</w:t>
      </w:r>
      <w:r>
        <w:t>.</w:t>
      </w:r>
      <w:r>
        <w:tab/>
        <w:t>No increases in remuneration under s. 6 before 1 July 2021</w:t>
      </w:r>
      <w:bookmarkEnd w:id="138"/>
      <w:bookmarkEnd w:id="139"/>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the Tribunal has not previously determined the remuneration to be paid or provided in respect of an 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w:t>
      </w:r>
      <w:del w:id="140" w:author="svcMRProcess" w:date="2019-02-11T16:22:00Z">
        <w:r>
          <w:delText xml:space="preserve"> by</w:delText>
        </w:r>
      </w:del>
      <w:ins w:id="141" w:author="svcMRProcess" w:date="2019-02-11T16:22:00Z">
        <w:r>
          <w:t>:</w:t>
        </w:r>
      </w:ins>
      <w:r>
        <w:t xml:space="preserve"> No. 1 of 2018 s. 9.]</w:t>
      </w:r>
    </w:p>
    <w:p>
      <w:pPr>
        <w:pStyle w:val="Heading5"/>
      </w:pPr>
      <w:bookmarkStart w:id="142" w:name="_Toc518571588"/>
      <w:bookmarkStart w:id="143" w:name="_Toc507596972"/>
      <w:r>
        <w:rPr>
          <w:rStyle w:val="CharSectno"/>
        </w:rPr>
        <w:t>10E</w:t>
      </w:r>
      <w:r>
        <w:t>.</w:t>
      </w:r>
      <w:r>
        <w:tab/>
        <w:t>No increases in judicial remuneration before 1 July 2021</w:t>
      </w:r>
      <w:bookmarkEnd w:id="142"/>
      <w:bookmarkEnd w:id="143"/>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w:t>
      </w:r>
      <w:del w:id="144" w:author="svcMRProcess" w:date="2019-02-11T16:22:00Z">
        <w:r>
          <w:delText xml:space="preserve"> by</w:delText>
        </w:r>
      </w:del>
      <w:ins w:id="145" w:author="svcMRProcess" w:date="2019-02-11T16:22:00Z">
        <w:r>
          <w:t>:</w:t>
        </w:r>
      </w:ins>
      <w:r>
        <w:t xml:space="preserve"> No. 1 of 2018 s. 9.]</w:t>
      </w:r>
    </w:p>
    <w:p>
      <w:pPr>
        <w:pStyle w:val="Heading5"/>
      </w:pPr>
      <w:bookmarkStart w:id="146" w:name="_Toc518571589"/>
      <w:bookmarkStart w:id="147" w:name="_Toc507596973"/>
      <w:r>
        <w:rPr>
          <w:rStyle w:val="CharSectno"/>
        </w:rPr>
        <w:t>10F</w:t>
      </w:r>
      <w:r>
        <w:t>.</w:t>
      </w:r>
      <w:r>
        <w:tab/>
        <w:t>No increases in remuneration of certain executive officers of Government entities before 1 July 2021</w:t>
      </w:r>
      <w:bookmarkEnd w:id="146"/>
      <w:bookmarkEnd w:id="147"/>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w:t>
      </w:r>
      <w:del w:id="148" w:author="svcMRProcess" w:date="2019-02-11T16:22:00Z">
        <w:r>
          <w:delText xml:space="preserve"> by</w:delText>
        </w:r>
      </w:del>
      <w:ins w:id="149" w:author="svcMRProcess" w:date="2019-02-11T16:22:00Z">
        <w:r>
          <w:t>:</w:t>
        </w:r>
      </w:ins>
      <w:r>
        <w:t xml:space="preserve"> No. 1 of 2018 s. 9.]</w:t>
      </w:r>
    </w:p>
    <w:p>
      <w:pPr>
        <w:pStyle w:val="Heading5"/>
      </w:pPr>
      <w:bookmarkStart w:id="150" w:name="_Toc518571590"/>
      <w:bookmarkStart w:id="151" w:name="_Toc507596974"/>
      <w:r>
        <w:rPr>
          <w:rStyle w:val="CharSectno"/>
        </w:rPr>
        <w:t>10G</w:t>
      </w:r>
      <w:r>
        <w:t>.</w:t>
      </w:r>
      <w:r>
        <w:tab/>
        <w:t>Compensatory and catch-up determinations after 1 July 2021 prohibited</w:t>
      </w:r>
      <w:bookmarkEnd w:id="150"/>
      <w:bookmarkEnd w:id="151"/>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w:t>
      </w:r>
      <w:del w:id="152" w:author="svcMRProcess" w:date="2019-02-11T16:22:00Z">
        <w:r>
          <w:delText xml:space="preserve"> by</w:delText>
        </w:r>
      </w:del>
      <w:ins w:id="153" w:author="svcMRProcess" w:date="2019-02-11T16:22:00Z">
        <w:r>
          <w:t>:</w:t>
        </w:r>
      </w:ins>
      <w:r>
        <w:t xml:space="preserve"> No. 1 of 2018 s. 9.]</w:t>
      </w:r>
    </w:p>
    <w:p>
      <w:pPr>
        <w:pStyle w:val="Heading3"/>
      </w:pPr>
      <w:bookmarkStart w:id="154" w:name="_Toc514857190"/>
      <w:bookmarkStart w:id="155" w:name="_Toc516652423"/>
      <w:bookmarkStart w:id="156" w:name="_Toc518571591"/>
      <w:bookmarkStart w:id="157" w:name="_Toc507595245"/>
      <w:bookmarkStart w:id="158" w:name="_Toc507596975"/>
      <w:r>
        <w:rPr>
          <w:rStyle w:val="CharDivNo"/>
        </w:rPr>
        <w:t>Division 5</w:t>
      </w:r>
      <w:r>
        <w:t> — </w:t>
      </w:r>
      <w:r>
        <w:rPr>
          <w:rStyle w:val="CharDivText"/>
        </w:rPr>
        <w:t>Miscellaneous</w:t>
      </w:r>
      <w:bookmarkEnd w:id="154"/>
      <w:bookmarkEnd w:id="155"/>
      <w:bookmarkEnd w:id="156"/>
      <w:bookmarkEnd w:id="157"/>
      <w:bookmarkEnd w:id="158"/>
    </w:p>
    <w:p>
      <w:pPr>
        <w:pStyle w:val="Footnoteheading"/>
      </w:pPr>
      <w:r>
        <w:tab/>
        <w:t>[Heading inserted</w:t>
      </w:r>
      <w:del w:id="159" w:author="svcMRProcess" w:date="2019-02-11T16:22:00Z">
        <w:r>
          <w:delText xml:space="preserve"> by</w:delText>
        </w:r>
      </w:del>
      <w:ins w:id="160" w:author="svcMRProcess" w:date="2019-02-11T16:22:00Z">
        <w:r>
          <w:t>:</w:t>
        </w:r>
      </w:ins>
      <w:r>
        <w:t xml:space="preserve"> No. 1 of 2018 s. 10.]</w:t>
      </w:r>
    </w:p>
    <w:p>
      <w:pPr>
        <w:pStyle w:val="Heading5"/>
        <w:rPr>
          <w:snapToGrid w:val="0"/>
        </w:rPr>
      </w:pPr>
      <w:bookmarkStart w:id="161" w:name="_Toc518571592"/>
      <w:bookmarkStart w:id="162" w:name="_Toc507596976"/>
      <w:r>
        <w:rPr>
          <w:rStyle w:val="CharSectno"/>
        </w:rPr>
        <w:t>11</w:t>
      </w:r>
      <w:r>
        <w:rPr>
          <w:snapToGrid w:val="0"/>
        </w:rPr>
        <w:t>.</w:t>
      </w:r>
      <w:r>
        <w:rPr>
          <w:snapToGrid w:val="0"/>
        </w:rPr>
        <w:tab/>
        <w:t>Fees and allowances</w:t>
      </w:r>
      <w:bookmarkEnd w:id="161"/>
      <w:bookmarkEnd w:id="162"/>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63" w:name="_Toc514857192"/>
      <w:bookmarkStart w:id="164" w:name="_Toc516652425"/>
      <w:bookmarkStart w:id="165" w:name="_Toc518571593"/>
      <w:bookmarkStart w:id="166" w:name="_Toc507595247"/>
      <w:bookmarkStart w:id="167" w:name="_Toc50759697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163"/>
      <w:bookmarkEnd w:id="164"/>
      <w:bookmarkEnd w:id="165"/>
      <w:bookmarkEnd w:id="166"/>
      <w:bookmarkEnd w:id="167"/>
      <w:r>
        <w:rPr>
          <w:rStyle w:val="CharPartText"/>
        </w:rPr>
        <w:t xml:space="preserve"> </w:t>
      </w:r>
    </w:p>
    <w:p>
      <w:pPr>
        <w:pStyle w:val="Footnoteheading"/>
        <w:ind w:left="890"/>
        <w:rPr>
          <w:snapToGrid w:val="0"/>
        </w:rPr>
      </w:pPr>
      <w:r>
        <w:rPr>
          <w:snapToGrid w:val="0"/>
        </w:rPr>
        <w:tab/>
        <w:t>[Heading inserted</w:t>
      </w:r>
      <w:del w:id="168" w:author="svcMRProcess" w:date="2019-02-11T16:22:00Z">
        <w:r>
          <w:rPr>
            <w:snapToGrid w:val="0"/>
          </w:rPr>
          <w:delText xml:space="preserve"> by</w:delText>
        </w:r>
      </w:del>
      <w:ins w:id="169" w:author="svcMRProcess" w:date="2019-02-11T16:22:00Z">
        <w:r>
          <w:rPr>
            <w:snapToGrid w:val="0"/>
          </w:rPr>
          <w:t>:</w:t>
        </w:r>
      </w:ins>
      <w:r>
        <w:rPr>
          <w:snapToGrid w:val="0"/>
        </w:rPr>
        <w:t xml:space="preserve"> No. 34 of 1980 s. 7.] </w:t>
      </w:r>
    </w:p>
    <w:p>
      <w:pPr>
        <w:pStyle w:val="Heading5"/>
        <w:rPr>
          <w:snapToGrid w:val="0"/>
        </w:rPr>
      </w:pPr>
      <w:bookmarkStart w:id="170" w:name="_Toc518571594"/>
      <w:bookmarkStart w:id="171" w:name="_Toc507596978"/>
      <w:r>
        <w:rPr>
          <w:rStyle w:val="CharSectno"/>
        </w:rPr>
        <w:t>11A</w:t>
      </w:r>
      <w:r>
        <w:rPr>
          <w:snapToGrid w:val="0"/>
        </w:rPr>
        <w:t>.</w:t>
      </w:r>
      <w:r>
        <w:rPr>
          <w:snapToGrid w:val="0"/>
        </w:rPr>
        <w:tab/>
        <w:t>Arrangements for payment of travelling expenses by Treasurer</w:t>
      </w:r>
      <w:bookmarkEnd w:id="170"/>
      <w:bookmarkEnd w:id="171"/>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ins w:id="172" w:author="svcMRProcess" w:date="2019-02-11T16:22:00Z">
        <w:r>
          <w:rPr>
            <w:snapToGrid w:val="0"/>
          </w:rPr>
          <w:t xml:space="preserve"> and</w:t>
        </w:r>
      </w:ins>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[Section 11A inserted</w:t>
      </w:r>
      <w:del w:id="173" w:author="svcMRProcess" w:date="2019-02-11T16:22:00Z">
        <w:r>
          <w:delText xml:space="preserve"> by</w:delText>
        </w:r>
      </w:del>
      <w:ins w:id="174" w:author="svcMRProcess" w:date="2019-02-11T16:22:00Z">
        <w:r>
          <w:t>:</w:t>
        </w:r>
      </w:ins>
      <w:r>
        <w:t xml:space="preserve"> No. 34 of 1980 s. 7; amended</w:t>
      </w:r>
      <w:del w:id="175" w:author="svcMRProcess" w:date="2019-02-11T16:22:00Z">
        <w:r>
          <w:delText xml:space="preserve"> by</w:delText>
        </w:r>
      </w:del>
      <w:ins w:id="176" w:author="svcMRProcess" w:date="2019-02-11T16:22:00Z">
        <w:r>
          <w:t>:</w:t>
        </w:r>
      </w:ins>
      <w:r>
        <w:t xml:space="preserve"> No. 6 of 1993 s. 11; No. 49 of 1996 s. 64; No. 36 of 2000 s. 26; No. 77 of 2006 s. 4.] </w:t>
      </w:r>
    </w:p>
    <w:p>
      <w:pPr>
        <w:pStyle w:val="Heading5"/>
        <w:rPr>
          <w:snapToGrid w:val="0"/>
        </w:rPr>
      </w:pPr>
      <w:bookmarkStart w:id="177" w:name="_Toc518571595"/>
      <w:bookmarkStart w:id="178" w:name="_Toc507596979"/>
      <w:r>
        <w:rPr>
          <w:rStyle w:val="CharSectno"/>
        </w:rPr>
        <w:t>12</w:t>
      </w:r>
      <w:r>
        <w:rPr>
          <w:snapToGrid w:val="0"/>
        </w:rPr>
        <w:t>.</w:t>
      </w:r>
      <w:r>
        <w:rPr>
          <w:snapToGrid w:val="0"/>
        </w:rPr>
        <w:tab/>
        <w:t>Regulations</w:t>
      </w:r>
      <w:bookmarkEnd w:id="177"/>
      <w:bookmarkEnd w:id="17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w:t>
      </w:r>
      <w:del w:id="179" w:author="svcMRProcess" w:date="2019-02-11T16:22:00Z">
        <w:r>
          <w:delText xml:space="preserve"> by</w:delText>
        </w:r>
      </w:del>
      <w:ins w:id="180" w:author="svcMRProcess" w:date="2019-02-11T16:22:00Z">
        <w:r>
          <w:t>:</w:t>
        </w:r>
      </w:ins>
      <w:r>
        <w:t xml:space="preserve">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1" w:name="_Toc514857195"/>
      <w:bookmarkStart w:id="182" w:name="_Toc516652428"/>
      <w:bookmarkStart w:id="183" w:name="_Toc518571596"/>
      <w:bookmarkStart w:id="184" w:name="_Toc507595250"/>
      <w:bookmarkStart w:id="185" w:name="_Toc507596980"/>
      <w:r>
        <w:rPr>
          <w:rStyle w:val="CharSchNo"/>
        </w:rPr>
        <w:t>Schedule 1</w:t>
      </w:r>
      <w:r>
        <w:t> — </w:t>
      </w:r>
      <w:r>
        <w:rPr>
          <w:rStyle w:val="CharSchText"/>
        </w:rPr>
        <w:t>Offences</w:t>
      </w:r>
      <w:bookmarkEnd w:id="181"/>
      <w:bookmarkEnd w:id="182"/>
      <w:bookmarkEnd w:id="183"/>
      <w:bookmarkEnd w:id="184"/>
      <w:bookmarkEnd w:id="185"/>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[Schedule 1 inserted</w:t>
      </w:r>
      <w:del w:id="186" w:author="svcMRProcess" w:date="2019-02-11T16:22:00Z">
        <w:r>
          <w:delText xml:space="preserve"> by</w:delText>
        </w:r>
      </w:del>
      <w:ins w:id="187" w:author="svcMRProcess" w:date="2019-02-11T16:22:00Z">
        <w:r>
          <w:t>:</w:t>
        </w:r>
      </w:ins>
      <w:r>
        <w:t xml:space="preserve"> No. 45 of 1995 s. 5.] </w:t>
      </w:r>
    </w:p>
    <w:p>
      <w:pPr>
        <w:pStyle w:val="yScheduleHeading"/>
      </w:pPr>
      <w:bookmarkStart w:id="188" w:name="_Toc514857196"/>
      <w:bookmarkStart w:id="189" w:name="_Toc516652429"/>
      <w:bookmarkStart w:id="190" w:name="_Toc518571597"/>
      <w:bookmarkStart w:id="191" w:name="_Toc507595251"/>
      <w:bookmarkStart w:id="192" w:name="_Toc507596981"/>
      <w:r>
        <w:rPr>
          <w:rStyle w:val="CharSchNo"/>
        </w:rPr>
        <w:t>Schedule 2</w:t>
      </w:r>
      <w:r>
        <w:t> — </w:t>
      </w:r>
      <w:r>
        <w:rPr>
          <w:rStyle w:val="CharSchText"/>
        </w:rPr>
        <w:t>Entities that may be prescribed as Government entities and their executive officers</w:t>
      </w:r>
      <w:bookmarkEnd w:id="188"/>
      <w:bookmarkEnd w:id="189"/>
      <w:bookmarkEnd w:id="190"/>
      <w:bookmarkEnd w:id="191"/>
      <w:bookmarkEnd w:id="192"/>
    </w:p>
    <w:p>
      <w:pPr>
        <w:pStyle w:val="yShoulderClause"/>
        <w:spacing w:after="120"/>
      </w:pPr>
      <w:r>
        <w:t>[s. 7C]</w:t>
      </w:r>
    </w:p>
    <w:p>
      <w:pPr>
        <w:pStyle w:val="yFootnoteheading"/>
        <w:spacing w:after="60"/>
      </w:pPr>
      <w:r>
        <w:tab/>
        <w:t>[Heading inserted</w:t>
      </w:r>
      <w:del w:id="193" w:author="svcMRProcess" w:date="2019-02-11T16:22:00Z">
        <w:r>
          <w:delText xml:space="preserve"> by</w:delText>
        </w:r>
      </w:del>
      <w:ins w:id="194" w:author="svcMRProcess" w:date="2019-02-11T16:22:00Z">
        <w:r>
          <w:t>:</w:t>
        </w:r>
      </w:ins>
      <w:r>
        <w:t xml:space="preserve">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w:t>
      </w:r>
      <w:del w:id="195" w:author="svcMRProcess" w:date="2019-02-11T16:22:00Z">
        <w:r>
          <w:delText xml:space="preserve"> by</w:delText>
        </w:r>
      </w:del>
      <w:ins w:id="196" w:author="svcMRProcess" w:date="2019-02-11T16:22:00Z">
        <w:r>
          <w:t>:</w:t>
        </w:r>
      </w:ins>
      <w:r>
        <w:t xml:space="preserve"> No. 46 of 2016 s. 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98" w:name="_Toc514857197"/>
      <w:bookmarkStart w:id="199" w:name="_Toc516652430"/>
      <w:bookmarkStart w:id="200" w:name="_Toc518571598"/>
      <w:bookmarkStart w:id="201" w:name="_Toc507595252"/>
      <w:bookmarkStart w:id="202" w:name="_Toc507596982"/>
      <w:r>
        <w:t>Notes</w:t>
      </w:r>
      <w:bookmarkEnd w:id="198"/>
      <w:bookmarkEnd w:id="199"/>
      <w:bookmarkEnd w:id="200"/>
      <w:bookmarkEnd w:id="201"/>
      <w:bookmarkEnd w:id="202"/>
    </w:p>
    <w:p>
      <w:pPr>
        <w:pStyle w:val="nSubsection"/>
      </w:pPr>
      <w:r>
        <w:rPr>
          <w:vertAlign w:val="superscript"/>
        </w:rPr>
        <w:t>1</w:t>
      </w:r>
      <w:r>
        <w:tab/>
        <w:t xml:space="preserve">This is a compilation </w:t>
      </w:r>
      <w:del w:id="203" w:author="svcMRProcess" w:date="2019-02-11T16:22:00Z">
        <w:r>
          <w:rPr>
            <w:snapToGrid w:val="0"/>
          </w:rPr>
          <w:delText xml:space="preserve">of </w:delText>
        </w:r>
      </w:del>
      <w:r>
        <w:t xml:space="preserve">the </w:t>
      </w:r>
      <w:r>
        <w:rPr>
          <w:i/>
          <w:noProof/>
        </w:rPr>
        <w:t>Salaries and Allowances Act</w:t>
      </w:r>
      <w:del w:id="204" w:author="svcMRProcess" w:date="2019-02-11T16:22:00Z">
        <w:r>
          <w:rPr>
            <w:i/>
            <w:noProof/>
            <w:snapToGrid w:val="0"/>
          </w:rPr>
          <w:delText xml:space="preserve"> </w:delText>
        </w:r>
      </w:del>
      <w:ins w:id="205" w:author="svcMRProcess" w:date="2019-02-11T16:22:00Z">
        <w:r>
          <w:rPr>
            <w:i/>
            <w:noProof/>
          </w:rPr>
          <w:t> </w:t>
        </w:r>
      </w:ins>
      <w:r>
        <w:rPr>
          <w:i/>
          <w:noProof/>
        </w:rPr>
        <w:t>1975</w:t>
      </w:r>
      <w:r>
        <w:t xml:space="preserve"> and includes the amendments made by the other written laws referred to in the following table.  The table also contains information about any reprint.</w:t>
      </w:r>
    </w:p>
    <w:p>
      <w:pPr>
        <w:pStyle w:val="nHeading3"/>
        <w:rPr>
          <w:snapToGrid w:val="0"/>
        </w:rPr>
      </w:pPr>
      <w:bookmarkStart w:id="206" w:name="_Toc518571599"/>
      <w:bookmarkStart w:id="207" w:name="_Toc507596983"/>
      <w:r>
        <w:t>Compilation table</w:t>
      </w:r>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5"/>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w:t>
            </w:r>
            <w:del w:id="208" w:author="svcMRProcess" w:date="2019-02-11T16:22:00Z">
              <w:r>
                <w:rPr>
                  <w:vertAlign w:val="superscript"/>
                </w:rPr>
                <w:delText>5</w:delText>
              </w:r>
            </w:del>
            <w:ins w:id="209" w:author="svcMRProcess" w:date="2019-02-11T16:22:00Z">
              <w:r>
                <w:rPr>
                  <w:vertAlign w:val="superscript"/>
                </w:rPr>
                <w:t>4</w:t>
              </w:r>
            </w:ins>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1"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1"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1"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1"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1"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1"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1"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1"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1"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1"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1" w:type="dxa"/>
            <w:gridSpan w:val="2"/>
          </w:tcPr>
          <w:p>
            <w:pPr>
              <w:pStyle w:val="nTable"/>
              <w:spacing w:after="40"/>
            </w:pPr>
            <w:r>
              <w:t>30 Jun 1988 (see s. 2(1))</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1"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1"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1"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1"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1"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1"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1"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w:t>
            </w:r>
            <w:del w:id="210" w:author="svcMRProcess" w:date="2019-02-11T16:22:00Z">
              <w:r>
                <w:rPr>
                  <w:vertAlign w:val="superscript"/>
                </w:rPr>
                <w:delText>4</w:delText>
              </w:r>
            </w:del>
            <w:ins w:id="211" w:author="svcMRProcess" w:date="2019-02-11T16:22:00Z">
              <w:r>
                <w:rPr>
                  <w:vertAlign w:val="superscript"/>
                </w:rPr>
                <w:t>3</w:t>
              </w:r>
            </w:ins>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1"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1"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1"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w:t>
            </w:r>
            <w:del w:id="212" w:author="svcMRProcess" w:date="2019-02-11T16:22:00Z">
              <w:r>
                <w:delText>s. 62</w:delText>
              </w:r>
            </w:del>
            <w:ins w:id="213" w:author="svcMRProcess" w:date="2019-02-11T16:22:00Z">
              <w:r>
                <w:t>Sch. 4 cl. 9</w:t>
              </w:r>
            </w:ins>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1"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1" w:type="dxa"/>
            <w:gridSpan w:val="2"/>
          </w:tcPr>
          <w:p>
            <w:pPr>
              <w:pStyle w:val="nTable"/>
              <w:spacing w:after="40"/>
            </w:pPr>
            <w:r>
              <w:rPr>
                <w:snapToGrid w:val="0"/>
              </w:rPr>
              <w:t>20 May 2005 (see s. 2)</w:t>
            </w:r>
          </w:p>
        </w:tc>
      </w:tr>
      <w:tr>
        <w:trPr>
          <w:gridBefore w:val="1"/>
          <w:wBefore w:w="21" w:type="dxa"/>
          <w:cantSplit/>
        </w:trPr>
        <w:tc>
          <w:tcPr>
            <w:tcW w:w="7087"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1"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5" w:type="dxa"/>
          <w:cantSplit/>
        </w:trPr>
        <w:tc>
          <w:tcPr>
            <w:tcW w:w="7087"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gridSpan w:val="2"/>
            <w:shd w:val="clear" w:color="auto" w:fill="auto"/>
          </w:tcPr>
          <w:p>
            <w:pPr>
              <w:pStyle w:val="nTable"/>
              <w:spacing w:after="40"/>
            </w:pPr>
            <w:r>
              <w:rPr>
                <w:snapToGrid w:val="0"/>
              </w:rPr>
              <w:t>35 of 2014</w:t>
            </w:r>
          </w:p>
        </w:tc>
        <w:tc>
          <w:tcPr>
            <w:tcW w:w="1134" w:type="dxa"/>
            <w:gridSpan w:val="2"/>
            <w:shd w:val="clear" w:color="auto" w:fill="auto"/>
          </w:tcPr>
          <w:p>
            <w:pPr>
              <w:pStyle w:val="nTable"/>
              <w:spacing w:after="40"/>
            </w:pPr>
            <w:r>
              <w:t>9 Dec 2014</w:t>
            </w:r>
          </w:p>
        </w:tc>
        <w:tc>
          <w:tcPr>
            <w:tcW w:w="2551" w:type="dxa"/>
            <w:gridSpan w:val="2"/>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gridSpan w:val="2"/>
            <w:shd w:val="clear" w:color="auto" w:fill="auto"/>
          </w:tcPr>
          <w:p>
            <w:pPr>
              <w:pStyle w:val="nTable"/>
              <w:spacing w:after="40"/>
              <w:rPr>
                <w:snapToGrid w:val="0"/>
              </w:rPr>
            </w:pPr>
            <w:r>
              <w:t>32 of 2016</w:t>
            </w:r>
          </w:p>
        </w:tc>
        <w:tc>
          <w:tcPr>
            <w:tcW w:w="1134" w:type="dxa"/>
            <w:gridSpan w:val="2"/>
            <w:shd w:val="clear" w:color="auto" w:fill="auto"/>
          </w:tcPr>
          <w:p>
            <w:pPr>
              <w:pStyle w:val="nTable"/>
              <w:spacing w:after="40"/>
            </w:pPr>
            <w:r>
              <w:t>19 Oct 2016</w:t>
            </w:r>
          </w:p>
        </w:tc>
        <w:tc>
          <w:tcPr>
            <w:tcW w:w="2551" w:type="dxa"/>
            <w:gridSpan w:val="2"/>
            <w:shd w:val="clear" w:color="auto" w:fill="auto"/>
          </w:tcPr>
          <w:p>
            <w:pPr>
              <w:pStyle w:val="nTable"/>
              <w:spacing w:after="40"/>
              <w:rPr>
                <w:snapToGrid w:val="0"/>
              </w:rPr>
            </w:pPr>
            <w:r>
              <w:t xml:space="preserve">1 Oct 2017 (see s. 2(b) and </w:t>
            </w:r>
            <w:r>
              <w:rPr>
                <w:i/>
              </w:rPr>
              <w:t>Gazette</w:t>
            </w:r>
            <w:r>
              <w:t xml:space="preserve"> 9 Dec 2016 p. 5557)</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gridSpan w:val="2"/>
            <w:shd w:val="clear" w:color="auto" w:fill="auto"/>
          </w:tcPr>
          <w:p>
            <w:pPr>
              <w:pStyle w:val="nTable"/>
              <w:spacing w:after="40"/>
              <w:rPr>
                <w:snapToGrid w:val="0"/>
              </w:rPr>
            </w:pPr>
            <w:r>
              <w:rPr>
                <w:snapToGrid w:val="0"/>
              </w:rPr>
              <w:t>46 of 2016</w:t>
            </w:r>
          </w:p>
        </w:tc>
        <w:tc>
          <w:tcPr>
            <w:tcW w:w="1134" w:type="dxa"/>
            <w:gridSpan w:val="2"/>
            <w:shd w:val="clear" w:color="auto" w:fill="auto"/>
          </w:tcPr>
          <w:p>
            <w:pPr>
              <w:pStyle w:val="nTable"/>
              <w:spacing w:after="40"/>
            </w:pPr>
            <w:r>
              <w:t>7 Dec 2016</w:t>
            </w:r>
          </w:p>
        </w:tc>
        <w:tc>
          <w:tcPr>
            <w:tcW w:w="2551" w:type="dxa"/>
            <w:gridSpan w:val="2"/>
            <w:shd w:val="clear" w:color="auto" w:fill="auto"/>
          </w:tcPr>
          <w:p>
            <w:pPr>
              <w:pStyle w:val="nTable"/>
              <w:spacing w:after="40"/>
              <w:rPr>
                <w:snapToGrid w:val="0"/>
              </w:rPr>
            </w:pPr>
            <w:r>
              <w:rPr>
                <w:snapToGrid w:val="0"/>
              </w:rPr>
              <w:t>8 Dec 2016 (see s. 2(b))</w:t>
            </w:r>
          </w:p>
        </w:tc>
      </w:tr>
      <w:tr>
        <w:trPr>
          <w:gridAfter w:val="1"/>
          <w:wAfter w:w="24" w:type="dxa"/>
          <w:cantSplit/>
        </w:trPr>
        <w:tc>
          <w:tcPr>
            <w:tcW w:w="2269" w:type="dxa"/>
            <w:gridSpan w:val="2"/>
            <w:shd w:val="clear" w:color="auto" w:fill="auto"/>
          </w:tcPr>
          <w:p>
            <w:pPr>
              <w:pStyle w:val="nTable"/>
              <w:spacing w:after="40"/>
              <w:rPr>
                <w:i/>
                <w:snapToGrid w:val="0"/>
              </w:rPr>
            </w:pPr>
            <w:r>
              <w:rPr>
                <w:i/>
              </w:rPr>
              <w:t>Salaries and Allowances Amendment (Debt and Deficit Remediation) Act 2018</w:t>
            </w:r>
          </w:p>
        </w:tc>
        <w:tc>
          <w:tcPr>
            <w:tcW w:w="1134" w:type="dxa"/>
            <w:gridSpan w:val="2"/>
            <w:shd w:val="clear" w:color="auto" w:fill="auto"/>
          </w:tcPr>
          <w:p>
            <w:pPr>
              <w:pStyle w:val="nTable"/>
              <w:spacing w:after="40"/>
              <w:rPr>
                <w:snapToGrid w:val="0"/>
              </w:rPr>
            </w:pPr>
            <w:r>
              <w:rPr>
                <w:snapToGrid w:val="0"/>
              </w:rPr>
              <w:t>1 of 2018</w:t>
            </w:r>
          </w:p>
        </w:tc>
        <w:tc>
          <w:tcPr>
            <w:tcW w:w="1134" w:type="dxa"/>
            <w:gridSpan w:val="2"/>
            <w:shd w:val="clear" w:color="auto" w:fill="auto"/>
          </w:tcPr>
          <w:p>
            <w:pPr>
              <w:pStyle w:val="nTable"/>
              <w:spacing w:after="40"/>
            </w:pPr>
            <w:r>
              <w:t>27 Feb 2018</w:t>
            </w:r>
          </w:p>
        </w:tc>
        <w:tc>
          <w:tcPr>
            <w:tcW w:w="2551" w:type="dxa"/>
            <w:gridSpan w:val="2"/>
            <w:shd w:val="clear" w:color="auto" w:fill="auto"/>
          </w:tcPr>
          <w:p>
            <w:pPr>
              <w:pStyle w:val="nTable"/>
              <w:spacing w:after="40"/>
              <w:rPr>
                <w:snapToGrid w:val="0"/>
              </w:rPr>
            </w:pPr>
            <w:r>
              <w:rPr>
                <w:snapToGrid w:val="0"/>
              </w:rPr>
              <w:t>s. 1 and 2: 27 Feb 2018 (see</w:t>
            </w:r>
            <w:del w:id="214" w:author="svcMRProcess" w:date="2019-02-11T16:22:00Z">
              <w:r>
                <w:rPr>
                  <w:snapToGrid w:val="0"/>
                </w:rPr>
                <w:delText xml:space="preserve"> </w:delText>
              </w:r>
            </w:del>
            <w:ins w:id="215" w:author="svcMRProcess" w:date="2019-02-11T16:22:00Z">
              <w:r>
                <w:rPr>
                  <w:snapToGrid w:val="0"/>
                </w:rPr>
                <w:t> </w:t>
              </w:r>
            </w:ins>
            <w:r>
              <w:rPr>
                <w:snapToGrid w:val="0"/>
              </w:rPr>
              <w:t>s. 2(a));</w:t>
            </w:r>
            <w:r>
              <w:rPr>
                <w:snapToGrid w:val="0"/>
              </w:rPr>
              <w:br/>
              <w:t>Act other than s. 1 and 2: 28 Feb 2018 (see s. 2(b))</w:t>
            </w:r>
          </w:p>
        </w:tc>
      </w:tr>
      <w:tr>
        <w:trPr>
          <w:gridAfter w:val="1"/>
          <w:wAfter w:w="25" w:type="dxa"/>
          <w:cantSplit/>
          <w:ins w:id="216" w:author="svcMRProcess" w:date="2019-02-11T16:22:00Z"/>
        </w:trPr>
        <w:tc>
          <w:tcPr>
            <w:tcW w:w="7087" w:type="dxa"/>
            <w:gridSpan w:val="8"/>
            <w:tcBorders>
              <w:bottom w:val="single" w:sz="8" w:space="0" w:color="auto"/>
            </w:tcBorders>
            <w:shd w:val="clear" w:color="auto" w:fill="auto"/>
          </w:tcPr>
          <w:p>
            <w:pPr>
              <w:pStyle w:val="nTable"/>
              <w:spacing w:after="40"/>
              <w:rPr>
                <w:ins w:id="217" w:author="svcMRProcess" w:date="2019-02-11T16:22:00Z"/>
                <w:snapToGrid w:val="0"/>
              </w:rPr>
            </w:pPr>
            <w:ins w:id="218" w:author="svcMRProcess" w:date="2019-02-11T16:22:00Z">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del w:id="219" w:author="svcMRProcess" w:date="2019-02-11T16:22:00Z"/>
          <w:snapToGrid w:val="0"/>
        </w:rPr>
      </w:pPr>
      <w:del w:id="220" w:author="svcMRProcess" w:date="2019-02-11T16:22:00Z">
        <w:r>
          <w:rPr>
            <w:snapToGrid w:val="0"/>
            <w:vertAlign w:val="superscript"/>
          </w:rPr>
          <w:delText>3</w:delText>
        </w:r>
        <w:r>
          <w:rPr>
            <w:snapToGrid w:val="0"/>
          </w:rPr>
          <w:tab/>
          <w:delText>Footnote no longer applicable.</w:delText>
        </w:r>
      </w:del>
    </w:p>
    <w:p>
      <w:pPr>
        <w:pStyle w:val="nSubsection"/>
        <w:keepNext/>
        <w:rPr>
          <w:snapToGrid w:val="0"/>
        </w:rPr>
      </w:pPr>
      <w:del w:id="221" w:author="svcMRProcess" w:date="2019-02-11T16:22:00Z">
        <w:r>
          <w:rPr>
            <w:vertAlign w:val="superscript"/>
          </w:rPr>
          <w:delText>4</w:delText>
        </w:r>
      </w:del>
      <w:ins w:id="222" w:author="svcMRProcess" w:date="2019-02-11T16:22:00Z">
        <w:r>
          <w:rPr>
            <w:vertAlign w:val="superscript"/>
          </w:rPr>
          <w:t>3</w:t>
        </w:r>
      </w:ins>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del w:id="223" w:author="svcMRProcess" w:date="2019-02-11T16:22:00Z">
        <w:r>
          <w:rPr>
            <w:vertAlign w:val="superscript"/>
          </w:rPr>
          <w:delText>5</w:delText>
        </w:r>
      </w:del>
      <w:ins w:id="224" w:author="svcMRProcess" w:date="2019-02-11T16:22:00Z">
        <w:r>
          <w:rPr>
            <w:vertAlign w:val="superscript"/>
          </w:rPr>
          <w:t>4</w:t>
        </w:r>
      </w:ins>
      <w:r>
        <w:tab/>
        <w:t xml:space="preserve">Now known as the </w:t>
      </w:r>
      <w:r>
        <w:rPr>
          <w:i/>
        </w:rPr>
        <w:t>Salaries and Allowances Act 1975</w:t>
      </w:r>
      <w:r>
        <w:t>; short title changed (see note under s. 1).</w:t>
      </w:r>
    </w:p>
    <w:p/>
    <w:p>
      <w:pPr>
        <w:rPr>
          <w:del w:id="225" w:author="svcMRProcess" w:date="2019-02-11T16:22:00Z"/>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7" w:name="Coversheet"/>
    <w:bookmarkEnd w:id="2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The Tribunal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Preliminary</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97" w:name="Schedule"/>
    <w:bookmarkEnd w:id="1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3164024"/>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9750</Words>
  <Characters>45829</Characters>
  <Application>Microsoft Office Word</Application>
  <DocSecurity>0</DocSecurity>
  <Lines>1388</Lines>
  <Paragraphs>694</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05-o0-01 - 06-a0-03</dc:title>
  <dc:subject/>
  <dc:creator/>
  <cp:keywords/>
  <dc:description/>
  <cp:lastModifiedBy>svcMRProcess</cp:lastModifiedBy>
  <cp:revision>2</cp:revision>
  <cp:lastPrinted>2018-04-24T00:58:00Z</cp:lastPrinted>
  <dcterms:created xsi:type="dcterms:W3CDTF">2019-02-11T08:22:00Z</dcterms:created>
  <dcterms:modified xsi:type="dcterms:W3CDTF">2019-02-11T08:22:00Z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CommencementDate">
    <vt:lpwstr>20180824</vt:lpwstr>
  </property>
  <property fmtid="{D5CDD505-2E9C-101B-9397-08002B2CF9AE}" pid="8" name="FromSuffix">
    <vt:lpwstr>05-o0-01</vt:lpwstr>
  </property>
  <property fmtid="{D5CDD505-2E9C-101B-9397-08002B2CF9AE}" pid="9" name="FromAsAtDate">
    <vt:lpwstr>28 Feb 2018</vt:lpwstr>
  </property>
  <property fmtid="{D5CDD505-2E9C-101B-9397-08002B2CF9AE}" pid="10" name="ToSuffix">
    <vt:lpwstr>06-a0-03</vt:lpwstr>
  </property>
  <property fmtid="{D5CDD505-2E9C-101B-9397-08002B2CF9AE}" pid="11" name="ToAsAtDate">
    <vt:lpwstr>24 Aug 2018</vt:lpwstr>
  </property>
</Properties>
</file>