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27 Oct 2006</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5:21:00Z"/>
        </w:trPr>
        <w:tc>
          <w:tcPr>
            <w:tcW w:w="2434" w:type="dxa"/>
            <w:vMerge w:val="restart"/>
          </w:tcPr>
          <w:p>
            <w:pPr>
              <w:rPr>
                <w:ins w:id="1" w:author="Master Repository Process" w:date="2021-09-11T15:21:00Z"/>
              </w:rPr>
            </w:pPr>
          </w:p>
        </w:tc>
        <w:tc>
          <w:tcPr>
            <w:tcW w:w="2434" w:type="dxa"/>
            <w:vMerge w:val="restart"/>
          </w:tcPr>
          <w:p>
            <w:pPr>
              <w:jc w:val="center"/>
              <w:rPr>
                <w:ins w:id="2" w:author="Master Repository Process" w:date="2021-09-11T15:21:00Z"/>
              </w:rPr>
            </w:pPr>
            <w:ins w:id="3" w:author="Master Repository Process" w:date="2021-09-11T15:2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5:21:00Z"/>
              </w:rPr>
            </w:pPr>
          </w:p>
        </w:tc>
      </w:tr>
      <w:tr>
        <w:trPr>
          <w:cantSplit/>
          <w:ins w:id="5" w:author="Master Repository Process" w:date="2021-09-11T15:21:00Z"/>
        </w:trPr>
        <w:tc>
          <w:tcPr>
            <w:tcW w:w="2434" w:type="dxa"/>
            <w:vMerge/>
          </w:tcPr>
          <w:p>
            <w:pPr>
              <w:rPr>
                <w:ins w:id="6" w:author="Master Repository Process" w:date="2021-09-11T15:21:00Z"/>
              </w:rPr>
            </w:pPr>
          </w:p>
        </w:tc>
        <w:tc>
          <w:tcPr>
            <w:tcW w:w="2434" w:type="dxa"/>
            <w:vMerge/>
          </w:tcPr>
          <w:p>
            <w:pPr>
              <w:jc w:val="center"/>
              <w:rPr>
                <w:ins w:id="7" w:author="Master Repository Process" w:date="2021-09-11T15:21:00Z"/>
              </w:rPr>
            </w:pPr>
          </w:p>
        </w:tc>
        <w:tc>
          <w:tcPr>
            <w:tcW w:w="2434" w:type="dxa"/>
          </w:tcPr>
          <w:p>
            <w:pPr>
              <w:keepNext/>
              <w:rPr>
                <w:ins w:id="8" w:author="Master Repository Process" w:date="2021-09-11T15:21:00Z"/>
                <w:b/>
                <w:sz w:val="22"/>
              </w:rPr>
            </w:pPr>
            <w:ins w:id="9" w:author="Master Repository Process" w:date="2021-09-11T15:21:00Z">
              <w:r>
                <w:rPr>
                  <w:b/>
                  <w:sz w:val="22"/>
                </w:rPr>
                <w:t xml:space="preserve">Reprinted under the </w:t>
              </w:r>
              <w:r>
                <w:rPr>
                  <w:b/>
                  <w:i/>
                  <w:sz w:val="22"/>
                </w:rPr>
                <w:t>Reprints Act 1984</w:t>
              </w:r>
              <w:r>
                <w:rPr>
                  <w:b/>
                  <w:sz w:val="22"/>
                </w:rPr>
                <w:t xml:space="preserve"> as at 27</w:t>
              </w:r>
              <w:r>
                <w:rPr>
                  <w:b/>
                  <w:snapToGrid w:val="0"/>
                  <w:sz w:val="22"/>
                </w:rPr>
                <w:t xml:space="preserve"> October 2006</w:t>
              </w:r>
            </w:ins>
          </w:p>
        </w:tc>
      </w:tr>
    </w:tbl>
    <w:p>
      <w:pPr>
        <w:pStyle w:val="WA"/>
      </w:pPr>
      <w:r>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10" w:name="_Toc142711689"/>
      <w:bookmarkStart w:id="11" w:name="_Toc142711865"/>
      <w:bookmarkStart w:id="12" w:name="_Toc142711901"/>
      <w:bookmarkStart w:id="13" w:name="_Toc142721491"/>
      <w:bookmarkStart w:id="14" w:name="_Toc148923482"/>
      <w:bookmarkStart w:id="15" w:name="_Toc148925006"/>
      <w:bookmarkStart w:id="16" w:name="_Toc149017028"/>
      <w:bookmarkStart w:id="17" w:name="_Toc150921446"/>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p>
    <w:p>
      <w:pPr>
        <w:pStyle w:val="Heading5"/>
        <w:rPr>
          <w:snapToGrid w:val="0"/>
        </w:rPr>
      </w:pPr>
      <w:bookmarkStart w:id="19" w:name="_Toc438270020"/>
      <w:bookmarkStart w:id="20" w:name="_Toc492433117"/>
      <w:bookmarkStart w:id="21" w:name="_Toc316886"/>
      <w:bookmarkStart w:id="22" w:name="_Toc142711690"/>
      <w:bookmarkStart w:id="23" w:name="_Toc150921447"/>
      <w:bookmarkStart w:id="24" w:name="_Toc142721492"/>
      <w:r>
        <w:rPr>
          <w:rStyle w:val="CharSectno"/>
        </w:rPr>
        <w:t>1</w:t>
      </w:r>
      <w:r>
        <w:rPr>
          <w:snapToGrid w:val="0"/>
        </w:rPr>
        <w:t>.</w:t>
      </w:r>
      <w:r>
        <w:rPr>
          <w:snapToGrid w:val="0"/>
        </w:rPr>
        <w:tab/>
        <w:t>Citation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25" w:name="_Toc438270021"/>
      <w:bookmarkStart w:id="26" w:name="_Toc492433118"/>
      <w:bookmarkStart w:id="27" w:name="_Toc316887"/>
      <w:bookmarkStart w:id="28" w:name="_Toc142711691"/>
      <w:bookmarkStart w:id="29" w:name="_Toc150921448"/>
      <w:bookmarkStart w:id="30" w:name="_Toc142721493"/>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del w:id="31" w:author="Master Repository Process" w:date="2021-09-11T15:21:00Z"/>
          <w:snapToGrid w:val="0"/>
        </w:rPr>
      </w:pPr>
      <w:bookmarkStart w:id="32" w:name="_Toc142721494"/>
      <w:bookmarkStart w:id="33" w:name="_Toc438270022"/>
      <w:bookmarkStart w:id="34" w:name="_Toc492433119"/>
      <w:bookmarkStart w:id="35" w:name="_Toc316888"/>
      <w:bookmarkStart w:id="36" w:name="_Toc142711692"/>
      <w:bookmarkStart w:id="37" w:name="_Toc150921449"/>
      <w:del w:id="38" w:author="Master Repository Process" w:date="2021-09-11T15:21:00Z">
        <w:r>
          <w:rPr>
            <w:rStyle w:val="CharSectno"/>
          </w:rPr>
          <w:delText>3</w:delText>
        </w:r>
        <w:r>
          <w:rPr>
            <w:snapToGrid w:val="0"/>
          </w:rPr>
          <w:delText>.</w:delText>
        </w:r>
        <w:r>
          <w:rPr>
            <w:snapToGrid w:val="0"/>
          </w:rPr>
          <w:tab/>
          <w:delText>Interpretation</w:delText>
        </w:r>
        <w:bookmarkEnd w:id="32"/>
        <w:r>
          <w:rPr>
            <w:snapToGrid w:val="0"/>
          </w:rPr>
          <w:delText xml:space="preserve"> </w:delText>
        </w:r>
      </w:del>
    </w:p>
    <w:p>
      <w:pPr>
        <w:pStyle w:val="Heading5"/>
        <w:rPr>
          <w:ins w:id="39" w:author="Master Repository Process" w:date="2021-09-11T15:21:00Z"/>
          <w:snapToGrid w:val="0"/>
        </w:rPr>
      </w:pPr>
      <w:ins w:id="40" w:author="Master Repository Process" w:date="2021-09-11T15:21:00Z">
        <w:r>
          <w:rPr>
            <w:rStyle w:val="CharSectno"/>
          </w:rPr>
          <w:t>3</w:t>
        </w:r>
        <w:r>
          <w:rPr>
            <w:snapToGrid w:val="0"/>
          </w:rPr>
          <w:t>.</w:t>
        </w:r>
        <w:r>
          <w:rPr>
            <w:snapToGrid w:val="0"/>
          </w:rPr>
          <w:tab/>
        </w:r>
        <w:bookmarkEnd w:id="33"/>
        <w:bookmarkEnd w:id="34"/>
        <w:bookmarkEnd w:id="35"/>
        <w:bookmarkEnd w:id="36"/>
        <w:r>
          <w:rPr>
            <w:snapToGrid w:val="0"/>
          </w:rPr>
          <w:t>Terms used in these regulations</w:t>
        </w:r>
        <w:bookmarkEnd w:id="37"/>
      </w:ins>
    </w:p>
    <w:p>
      <w:pPr>
        <w:pStyle w:val="Subsection"/>
        <w:rPr>
          <w:snapToGrid w:val="0"/>
        </w:rPr>
      </w:pPr>
      <w:r>
        <w:rPr>
          <w:snapToGrid w:val="0"/>
        </w:rPr>
        <w:tab/>
        <w:t>(1)</w:t>
      </w:r>
      <w:r>
        <w:rPr>
          <w:snapToGrid w:val="0"/>
        </w:rPr>
        <w:tab/>
        <w:t>In these regulations, unless the contrary intention appears — </w:t>
      </w:r>
    </w:p>
    <w:p>
      <w:pPr>
        <w:pStyle w:val="Defstart"/>
      </w:pPr>
      <w:r>
        <w:rPr>
          <w:b/>
        </w:rPr>
        <w:tab/>
      </w:r>
      <w:del w:id="41" w:author="Master Repository Process" w:date="2021-09-11T15:21:00Z">
        <w:r>
          <w:rPr>
            <w:b/>
          </w:rPr>
          <w:delText>“</w:delText>
        </w:r>
      </w:del>
      <w:r>
        <w:rPr>
          <w:rStyle w:val="CharDefText"/>
        </w:rPr>
        <w:t>accrued long service leave</w:t>
      </w:r>
      <w:del w:id="42" w:author="Master Repository Process" w:date="2021-09-11T15:21:00Z">
        <w:r>
          <w:rPr>
            <w:b/>
          </w:rPr>
          <w:delText>”</w:delText>
        </w:r>
      </w:del>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r>
      <w:del w:id="43" w:author="Master Repository Process" w:date="2021-09-11T15:21:00Z">
        <w:r>
          <w:rPr>
            <w:b/>
          </w:rPr>
          <w:delText>“</w:delText>
        </w:r>
      </w:del>
      <w:r>
        <w:rPr>
          <w:rStyle w:val="CharDefText"/>
        </w:rPr>
        <w:t>award</w:t>
      </w:r>
      <w:del w:id="44" w:author="Master Repository Process" w:date="2021-09-11T15:21:00Z">
        <w:r>
          <w:rPr>
            <w:b/>
          </w:rPr>
          <w:delText>”</w:delText>
        </w:r>
      </w:del>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spacing w:before="80"/>
      </w:pPr>
      <w:r>
        <w:tab/>
        <w:t>[(c)</w:t>
      </w:r>
      <w:r>
        <w:tab/>
        <w:t>deleted]</w:t>
      </w:r>
    </w:p>
    <w:p>
      <w:pPr>
        <w:pStyle w:val="Defpara"/>
      </w:pPr>
      <w:r>
        <w:tab/>
        <w:t>(d)</w:t>
      </w:r>
      <w:r>
        <w:tab/>
        <w:t>a Commonwealth award;</w:t>
      </w:r>
    </w:p>
    <w:p>
      <w:pPr>
        <w:pStyle w:val="Defstart"/>
      </w:pPr>
      <w:r>
        <w:rPr>
          <w:b/>
        </w:rPr>
        <w:tab/>
      </w:r>
      <w:del w:id="45" w:author="Master Repository Process" w:date="2021-09-11T15:21:00Z">
        <w:r>
          <w:rPr>
            <w:b/>
          </w:rPr>
          <w:delText>“</w:delText>
        </w:r>
      </w:del>
      <w:r>
        <w:rPr>
          <w:rStyle w:val="CharDefText"/>
        </w:rPr>
        <w:t>Commonwealth award</w:t>
      </w:r>
      <w:del w:id="46" w:author="Master Repository Process" w:date="2021-09-11T15:21:00Z">
        <w:r>
          <w:rPr>
            <w:b/>
          </w:rPr>
          <w:delText>”</w:delText>
        </w:r>
      </w:del>
      <w:r>
        <w:t xml:space="preserve"> means an award, certified agreement or enterprise flexibility agreement under the </w:t>
      </w:r>
      <w:r>
        <w:rPr>
          <w:i/>
        </w:rPr>
        <w:t>Industrial Relations Act 1988</w:t>
      </w:r>
      <w:r>
        <w:t xml:space="preserve"> of the Commonwealth;</w:t>
      </w:r>
    </w:p>
    <w:p>
      <w:pPr>
        <w:pStyle w:val="Defstart"/>
      </w:pPr>
      <w:r>
        <w:rPr>
          <w:b/>
        </w:rPr>
        <w:tab/>
      </w:r>
      <w:del w:id="47" w:author="Master Repository Process" w:date="2021-09-11T15:21:00Z">
        <w:r>
          <w:rPr>
            <w:b/>
          </w:rPr>
          <w:delText>“</w:delText>
        </w:r>
      </w:del>
      <w:r>
        <w:rPr>
          <w:rStyle w:val="CharDefText"/>
        </w:rPr>
        <w:t>continuous service</w:t>
      </w:r>
      <w:del w:id="48" w:author="Master Repository Process" w:date="2021-09-11T15:21:00Z">
        <w:r>
          <w:rPr>
            <w:b/>
          </w:rPr>
          <w:delText>”</w:delText>
        </w:r>
      </w:del>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r>
      <w:del w:id="49" w:author="Master Repository Process" w:date="2021-09-11T15:21:00Z">
        <w:r>
          <w:rPr>
            <w:b/>
          </w:rPr>
          <w:delText>“</w:delText>
        </w:r>
      </w:del>
      <w:r>
        <w:rPr>
          <w:rStyle w:val="CharDefText"/>
        </w:rPr>
        <w:t>enterprise bargaining allowance</w:t>
      </w:r>
      <w:del w:id="50" w:author="Master Repository Process" w:date="2021-09-11T15:21:00Z">
        <w:r>
          <w:rPr>
            <w:b/>
          </w:rPr>
          <w:delText>”</w:delText>
        </w:r>
      </w:del>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rPr>
          <w:snapToGrid w:val="0"/>
        </w:rPr>
      </w:pPr>
      <w:r>
        <w:rPr>
          <w:snapToGrid w:val="0"/>
        </w:rPr>
        <w:tab/>
        <w:t>(i)</w:t>
      </w:r>
      <w:r>
        <w:rPr>
          <w:snapToGrid w:val="0"/>
        </w:rPr>
        <w:tab/>
        <w:t xml:space="preserve">an enterprise flexibility agreement the implementation of which has been approved under the </w:t>
      </w:r>
      <w:r>
        <w:rPr>
          <w:i/>
          <w:snapToGrid w:val="0"/>
        </w:rPr>
        <w:t>Industrial Relations Act 1988</w:t>
      </w:r>
      <w:r>
        <w:rPr>
          <w:snapToGrid w:val="0"/>
        </w:rPr>
        <w:t xml:space="preserve"> of the Commonwealth;</w:t>
      </w:r>
    </w:p>
    <w:p>
      <w:pPr>
        <w:pStyle w:val="Defsubpara"/>
        <w:rPr>
          <w:snapToGrid w:val="0"/>
        </w:rPr>
      </w:pPr>
      <w:r>
        <w:rPr>
          <w:snapToGrid w:val="0"/>
        </w:rPr>
        <w:tab/>
        <w:t>(ii)</w:t>
      </w:r>
      <w:r>
        <w:rPr>
          <w:snapToGrid w:val="0"/>
        </w:rPr>
        <w:tab/>
        <w:t>an agreement that is a certified agreement under that Act;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Ednotedefsubpara"/>
        <w:tabs>
          <w:tab w:val="clear" w:pos="2047"/>
        </w:tabs>
        <w:rPr>
          <w:del w:id="51" w:author="Master Repository Process" w:date="2021-09-11T15:21:00Z"/>
          <w:i w:val="0"/>
        </w:rPr>
      </w:pPr>
      <w:r>
        <w:rPr>
          <w:b/>
        </w:rPr>
        <w:tab/>
      </w:r>
      <w:del w:id="52" w:author="Master Repository Process" w:date="2021-09-11T15:21:00Z">
        <w:r>
          <w:rPr>
            <w:i w:val="0"/>
          </w:rPr>
          <w:delText>[(iv)</w:delText>
        </w:r>
        <w:r>
          <w:rPr>
            <w:i w:val="0"/>
          </w:rPr>
          <w:tab/>
          <w:delText>deleted]</w:delText>
        </w:r>
      </w:del>
    </w:p>
    <w:p>
      <w:pPr>
        <w:pStyle w:val="Defstart"/>
      </w:pPr>
      <w:del w:id="53" w:author="Master Repository Process" w:date="2021-09-11T15:21:00Z">
        <w:r>
          <w:rPr>
            <w:b/>
          </w:rPr>
          <w:tab/>
          <w:delText>“</w:delText>
        </w:r>
      </w:del>
      <w:r>
        <w:rPr>
          <w:rStyle w:val="CharDefText"/>
        </w:rPr>
        <w:t>pay</w:t>
      </w:r>
      <w:del w:id="54" w:author="Master Repository Process" w:date="2021-09-11T15:21:00Z">
        <w:r>
          <w:rPr>
            <w:b/>
          </w:rPr>
          <w:delText>”</w:delText>
        </w:r>
      </w:del>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del w:id="55" w:author="Master Repository Process" w:date="2021-09-11T15:21:00Z">
        <w:r>
          <w:tab/>
        </w:r>
      </w:del>
      <w:r>
        <w:tab/>
        <w:t>but does not include an allowance of any other kind unless the Minister has approved the allowance for the purposes of this definition;</w:t>
      </w:r>
    </w:p>
    <w:p>
      <w:pPr>
        <w:pStyle w:val="Defstart"/>
        <w:tabs>
          <w:tab w:val="clear" w:pos="879"/>
          <w:tab w:val="left" w:pos="851"/>
        </w:tabs>
        <w:ind w:left="1276"/>
      </w:pPr>
      <w:r>
        <w:rPr>
          <w:b/>
        </w:rPr>
        <w:tab/>
      </w:r>
      <w:del w:id="56" w:author="Master Repository Process" w:date="2021-09-11T15:21:00Z">
        <w:r>
          <w:rPr>
            <w:b/>
          </w:rPr>
          <w:delText>“</w:delText>
        </w:r>
      </w:del>
      <w:r>
        <w:rPr>
          <w:rStyle w:val="CharDefText"/>
        </w:rPr>
        <w:t>registered employee</w:t>
      </w:r>
      <w:del w:id="57" w:author="Master Repository Process" w:date="2021-09-11T15:21:00Z">
        <w:r>
          <w:rPr>
            <w:b/>
          </w:rPr>
          <w:delText>”</w:delText>
        </w:r>
      </w:del>
      <w:r>
        <w:t xml:space="preserve"> means an employee who is registered under regulation 11;</w:t>
      </w:r>
    </w:p>
    <w:p>
      <w:pPr>
        <w:pStyle w:val="Defstart"/>
        <w:tabs>
          <w:tab w:val="clear" w:pos="879"/>
          <w:tab w:val="left" w:pos="851"/>
          <w:tab w:val="left" w:pos="1276"/>
        </w:tabs>
        <w:ind w:left="1276"/>
      </w:pPr>
      <w:r>
        <w:rPr>
          <w:b/>
        </w:rPr>
        <w:tab/>
      </w:r>
      <w:del w:id="58" w:author="Master Repository Process" w:date="2021-09-11T15:21:00Z">
        <w:r>
          <w:rPr>
            <w:b/>
          </w:rPr>
          <w:delText>“</w:delText>
        </w:r>
      </w:del>
      <w:r>
        <w:rPr>
          <w:rStyle w:val="CharDefText"/>
        </w:rPr>
        <w:t>suitable office, post or position</w:t>
      </w:r>
      <w:del w:id="59" w:author="Master Repository Process" w:date="2021-09-11T15:21:00Z">
        <w:r>
          <w:rPr>
            <w:b/>
          </w:rPr>
          <w:delText>”</w:delText>
        </w:r>
      </w:del>
      <w:r>
        <w:t xml:space="preserve"> or </w:t>
      </w:r>
      <w:del w:id="60" w:author="Master Repository Process" w:date="2021-09-11T15:21:00Z">
        <w:r>
          <w:rPr>
            <w:b/>
          </w:rPr>
          <w:delText>“</w:delText>
        </w:r>
      </w:del>
      <w:r>
        <w:rPr>
          <w:rStyle w:val="CharDefText"/>
        </w:rPr>
        <w:t>suitable employment</w:t>
      </w:r>
      <w:del w:id="61" w:author="Master Repository Process" w:date="2021-09-11T15:21:00Z">
        <w:r>
          <w:rPr>
            <w:b/>
          </w:rPr>
          <w:delText>”</w:delText>
        </w:r>
      </w:del>
      <w:r>
        <w:t xml:space="preserve"> has the meaning given by section 94(6) of the Act as read with subregulations (2) and (3);</w:t>
      </w:r>
    </w:p>
    <w:p>
      <w:pPr>
        <w:pStyle w:val="Defstart"/>
      </w:pPr>
      <w:r>
        <w:rPr>
          <w:b/>
        </w:rPr>
        <w:tab/>
      </w:r>
      <w:del w:id="62" w:author="Master Repository Process" w:date="2021-09-11T15:21:00Z">
        <w:r>
          <w:rPr>
            <w:b/>
          </w:rPr>
          <w:delText>“</w:delText>
        </w:r>
      </w:del>
      <w:r>
        <w:rPr>
          <w:rStyle w:val="CharDefText"/>
        </w:rPr>
        <w:t>the employee’s average weekly hours</w:t>
      </w:r>
      <w:del w:id="63" w:author="Master Repository Process" w:date="2021-09-11T15:21:00Z">
        <w:r>
          <w:rPr>
            <w:b/>
          </w:rPr>
          <w:delText>”</w:delText>
        </w:r>
      </w:del>
      <w:r>
        <w:t xml:space="preserve"> means the average number of hours (not including overtime) that the employee worked each week during the employee’s period of continuous service;</w:t>
      </w:r>
    </w:p>
    <w:p>
      <w:pPr>
        <w:pStyle w:val="Defstart"/>
      </w:pPr>
      <w:r>
        <w:rPr>
          <w:b/>
        </w:rPr>
        <w:tab/>
      </w:r>
      <w:del w:id="64" w:author="Master Repository Process" w:date="2021-09-11T15:21:00Z">
        <w:r>
          <w:rPr>
            <w:b/>
          </w:rPr>
          <w:delText>“</w:delText>
        </w:r>
      </w:del>
      <w:r>
        <w:rPr>
          <w:rStyle w:val="CharDefText"/>
        </w:rPr>
        <w:t>the employee’s full</w:t>
      </w:r>
      <w:r>
        <w:rPr>
          <w:rStyle w:val="CharDefText"/>
        </w:rPr>
        <w:noBreakHyphen/>
        <w:t>time weekly pay</w:t>
      </w:r>
      <w:del w:id="65" w:author="Master Repository Process" w:date="2021-09-11T15:21:00Z">
        <w:r>
          <w:rPr>
            <w:b/>
          </w:rPr>
          <w:delText>”</w:delText>
        </w:r>
      </w:del>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r>
      <w:del w:id="66" w:author="Master Repository Process" w:date="2021-09-11T15:21:00Z">
        <w:r>
          <w:rPr>
            <w:b/>
          </w:rPr>
          <w:delText>“</w:delText>
        </w:r>
      </w:del>
      <w:r>
        <w:rPr>
          <w:rStyle w:val="CharDefText"/>
        </w:rPr>
        <w:t>the employee’s period of continuous service</w:t>
      </w:r>
      <w:del w:id="67" w:author="Master Repository Process" w:date="2021-09-11T15:21:00Z">
        <w:r>
          <w:rPr>
            <w:b/>
          </w:rPr>
          <w:delText>”</w:delText>
        </w:r>
      </w:del>
      <w:r>
        <w:t xml:space="preserve"> means the period of continuous service in the Public Sector (including a ministerial office) served by the employee — </w:t>
      </w:r>
    </w:p>
    <w:p>
      <w:pPr>
        <w:pStyle w:val="Defpara"/>
      </w:pPr>
      <w:r>
        <w:tab/>
        <w:t>(a)</w:t>
      </w:r>
      <w:r>
        <w:tab/>
        <w:t>in any period greater than 10 years for which, in the Minister’s opinion, there are reliable records of the hours worked each week by the employee; or</w:t>
      </w:r>
    </w:p>
    <w:p>
      <w:pPr>
        <w:pStyle w:val="Defpara"/>
      </w:pPr>
      <w:r>
        <w:tab/>
        <w:t>(b)</w:t>
      </w:r>
      <w:r>
        <w:tab/>
        <w:t>if paragraph (a) does not apply, in the period of 10 years,</w:t>
      </w:r>
    </w:p>
    <w:p>
      <w:pPr>
        <w:pStyle w:val="Defstart"/>
      </w:pPr>
      <w:del w:id="68" w:author="Master Repository Process" w:date="2021-09-11T15:21:00Z">
        <w:r>
          <w:tab/>
        </w:r>
      </w:del>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r>
      <w:del w:id="69" w:author="Master Repository Process" w:date="2021-09-11T15:21:00Z">
        <w:r>
          <w:rPr>
            <w:b/>
          </w:rPr>
          <w:delText>“</w:delText>
        </w:r>
      </w:del>
      <w:r>
        <w:rPr>
          <w:rStyle w:val="CharDefText"/>
        </w:rPr>
        <w:t>the employee’s potential full</w:t>
      </w:r>
      <w:r>
        <w:rPr>
          <w:rStyle w:val="CharDefText"/>
        </w:rPr>
        <w:noBreakHyphen/>
        <w:t>time weekly hours</w:t>
      </w:r>
      <w:del w:id="70" w:author="Master Repository Process" w:date="2021-09-11T15:21:00Z">
        <w:r>
          <w:rPr>
            <w:b/>
          </w:rPr>
          <w:delText>”</w:delText>
        </w:r>
      </w:del>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spacing w:before="120"/>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spacing w:before="120"/>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spacing w:before="120"/>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w:t>
      </w:r>
    </w:p>
    <w:p>
      <w:pPr>
        <w:pStyle w:val="Heading5"/>
        <w:rPr>
          <w:snapToGrid w:val="0"/>
        </w:rPr>
      </w:pPr>
      <w:bookmarkStart w:id="71" w:name="_Toc438270023"/>
      <w:bookmarkStart w:id="72" w:name="_Toc492433120"/>
      <w:bookmarkStart w:id="73" w:name="_Toc316889"/>
      <w:bookmarkStart w:id="74" w:name="_Toc142711693"/>
      <w:bookmarkStart w:id="75" w:name="_Toc150921450"/>
      <w:bookmarkStart w:id="76" w:name="_Toc142721495"/>
      <w:r>
        <w:rPr>
          <w:rStyle w:val="CharSectno"/>
        </w:rPr>
        <w:t>4</w:t>
      </w:r>
      <w:r>
        <w:rPr>
          <w:snapToGrid w:val="0"/>
        </w:rPr>
        <w:t>.</w:t>
      </w:r>
      <w:r>
        <w:rPr>
          <w:snapToGrid w:val="0"/>
        </w:rPr>
        <w:tab/>
        <w:t>Application</w:t>
      </w:r>
      <w:bookmarkEnd w:id="71"/>
      <w:bookmarkEnd w:id="72"/>
      <w:bookmarkEnd w:id="73"/>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Subject to subregulation (2), these regulations apply to and in relation to all employees in departments or organisations and to all employing authorities of departments or organisations.</w:t>
      </w:r>
    </w:p>
    <w:p>
      <w:pPr>
        <w:pStyle w:val="Subsection"/>
        <w:spacing w:before="120"/>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w:t>
      </w:r>
    </w:p>
    <w:p>
      <w:pPr>
        <w:pStyle w:val="Indenta"/>
        <w:rPr>
          <w:snapToGrid w:val="0"/>
        </w:rPr>
      </w:pPr>
      <w:r>
        <w:rPr>
          <w:snapToGrid w:val="0"/>
        </w:rPr>
        <w:tab/>
        <w:t>(b)</w:t>
      </w:r>
      <w:r>
        <w:rPr>
          <w:snapToGrid w:val="0"/>
        </w:rPr>
        <w:tab/>
        <w:t>whose employment in the Public Sector is terminated because of misconduct or substandard or unsatisfactory performance;</w:t>
      </w:r>
    </w:p>
    <w:p>
      <w:pPr>
        <w:pStyle w:val="Indenta"/>
        <w:rPr>
          <w:snapToGrid w:val="0"/>
        </w:rPr>
      </w:pPr>
      <w:r>
        <w:rPr>
          <w:snapToGrid w:val="0"/>
        </w:rPr>
        <w:tab/>
        <w:t>(c)</w:t>
      </w:r>
      <w:r>
        <w:rPr>
          <w:snapToGrid w:val="0"/>
        </w:rPr>
        <w:tab/>
        <w:t>who is dismissed under Division 3 of Part 5 of the Act;</w:t>
      </w:r>
    </w:p>
    <w:p>
      <w:pPr>
        <w:pStyle w:val="Indenta"/>
        <w:rPr>
          <w:snapToGrid w:val="0"/>
        </w:rPr>
      </w:pPr>
      <w:r>
        <w:rPr>
          <w:snapToGrid w:val="0"/>
        </w:rPr>
        <w:tab/>
        <w:t>(d)</w:t>
      </w:r>
      <w:r>
        <w:rPr>
          <w:snapToGrid w:val="0"/>
        </w:rPr>
        <w:tab/>
        <w:t>who is employed under a contract of employment that has a fixed term and who is not a permanent officer; or</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del w:id="77" w:author="Master Repository Process" w:date="2021-09-11T15:21:00Z">
        <w:r>
          <w:rPr>
            <w:b/>
            <w:snapToGrid w:val="0"/>
          </w:rPr>
          <w:delText>“</w:delText>
        </w:r>
      </w:del>
      <w:r>
        <w:rPr>
          <w:rStyle w:val="CharDefText"/>
        </w:rPr>
        <w:t>seasonal employee</w:t>
      </w:r>
      <w:del w:id="78" w:author="Master Repository Process" w:date="2021-09-11T15:21:00Z">
        <w:r>
          <w:rPr>
            <w:b/>
            <w:snapToGrid w:val="0"/>
          </w:rPr>
          <w:delText>”</w:delText>
        </w:r>
      </w:del>
      <w:r>
        <w:rPr>
          <w:snapToGrid w:val="0"/>
        </w:rPr>
        <w:t xml:space="preserve"> means an employee who is employed to work for limited periods during a season of the year.</w:t>
      </w:r>
    </w:p>
    <w:p>
      <w:pPr>
        <w:pStyle w:val="Footnotesection"/>
      </w:pPr>
      <w:r>
        <w:tab/>
        <w:t>[Regulation 4 amended in Gazette 16 Aug 1996 p. 4050.]</w:t>
      </w:r>
    </w:p>
    <w:p>
      <w:pPr>
        <w:pStyle w:val="Heading2"/>
      </w:pPr>
      <w:bookmarkStart w:id="79" w:name="_Toc142711694"/>
      <w:bookmarkStart w:id="80" w:name="_Toc142711870"/>
      <w:bookmarkStart w:id="81" w:name="_Toc142711906"/>
      <w:bookmarkStart w:id="82" w:name="_Toc142721496"/>
      <w:bookmarkStart w:id="83" w:name="_Toc148923487"/>
      <w:bookmarkStart w:id="84" w:name="_Toc148925011"/>
      <w:bookmarkStart w:id="85" w:name="_Toc149017033"/>
      <w:bookmarkStart w:id="86" w:name="_Toc150921451"/>
      <w:r>
        <w:rPr>
          <w:rStyle w:val="CharPartNo"/>
        </w:rPr>
        <w:t>Part 1A</w:t>
      </w:r>
      <w:r>
        <w:t> — </w:t>
      </w:r>
      <w:r>
        <w:rPr>
          <w:rStyle w:val="CharPartText"/>
        </w:rPr>
        <w:t>Notice of redundancy</w:t>
      </w:r>
      <w:bookmarkEnd w:id="79"/>
      <w:bookmarkEnd w:id="80"/>
      <w:bookmarkEnd w:id="81"/>
      <w:bookmarkEnd w:id="82"/>
      <w:bookmarkEnd w:id="83"/>
      <w:bookmarkEnd w:id="84"/>
      <w:bookmarkEnd w:id="85"/>
      <w:bookmarkEnd w:id="86"/>
    </w:p>
    <w:p>
      <w:pPr>
        <w:pStyle w:val="Footnoteheading"/>
      </w:pPr>
      <w:r>
        <w:tab/>
        <w:t>[Heading inserted in Gazette 1 Sep 2000 p. 5020.]</w:t>
      </w:r>
    </w:p>
    <w:p>
      <w:pPr>
        <w:pStyle w:val="Heading5"/>
      </w:pPr>
      <w:bookmarkStart w:id="87" w:name="_Toc142711695"/>
      <w:bookmarkStart w:id="88" w:name="_Toc150921452"/>
      <w:bookmarkStart w:id="89" w:name="_Toc142721497"/>
      <w:bookmarkStart w:id="90" w:name="_Toc492433121"/>
      <w:bookmarkStart w:id="91" w:name="_Toc316890"/>
      <w:r>
        <w:rPr>
          <w:rStyle w:val="CharSectno"/>
        </w:rPr>
        <w:t>4AA</w:t>
      </w:r>
      <w:r>
        <w:t>.</w:t>
      </w:r>
      <w:r>
        <w:tab/>
        <w:t>Entitlement to be consulted regarding redundancy</w:t>
      </w:r>
      <w:bookmarkEnd w:id="87"/>
      <w:bookmarkEnd w:id="88"/>
      <w:bookmarkEnd w:id="89"/>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 and</w:t>
      </w:r>
    </w:p>
    <w:p>
      <w:pPr>
        <w:pStyle w:val="Indenta"/>
      </w:pPr>
      <w:r>
        <w:tab/>
        <w:t>(b)</w:t>
      </w:r>
      <w:r>
        <w:tab/>
        <w:t>the employee may become surplus to the requirements of the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the office, post or position is to be abolished; and</w:t>
      </w:r>
    </w:p>
    <w:p>
      <w:pPr>
        <w:pStyle w:val="Indenti"/>
      </w:pPr>
      <w:r>
        <w:tab/>
        <w:t>(ii)</w:t>
      </w:r>
      <w:r>
        <w:tab/>
        <w:t>the employee may become surplus to the requirements of the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w:t>
      </w:r>
    </w:p>
    <w:p>
      <w:pPr>
        <w:pStyle w:val="Heading5"/>
      </w:pPr>
      <w:bookmarkStart w:id="92" w:name="_Toc142711696"/>
      <w:bookmarkStart w:id="93" w:name="_Toc150921453"/>
      <w:bookmarkStart w:id="94" w:name="_Toc142721498"/>
      <w:r>
        <w:rPr>
          <w:rStyle w:val="CharSectno"/>
        </w:rPr>
        <w:t>4A</w:t>
      </w:r>
      <w:r>
        <w:t>.</w:t>
      </w:r>
      <w:r>
        <w:tab/>
        <w:t>Entitlement to notice of redundancy and pay in lieu</w:t>
      </w:r>
      <w:bookmarkEnd w:id="90"/>
      <w:bookmarkEnd w:id="91"/>
      <w:bookmarkEnd w:id="92"/>
      <w:bookmarkEnd w:id="93"/>
      <w:bookmarkEnd w:id="94"/>
    </w:p>
    <w:p>
      <w:pPr>
        <w:pStyle w:val="Subsection"/>
      </w:pPr>
      <w:r>
        <w:tab/>
        <w:t>(1)</w:t>
      </w:r>
      <w:r>
        <w:tab/>
        <w:t xml:space="preserve">In this regulation — </w:t>
      </w:r>
    </w:p>
    <w:p>
      <w:pPr>
        <w:pStyle w:val="Defstart"/>
      </w:pPr>
      <w:r>
        <w:tab/>
      </w:r>
      <w:del w:id="95" w:author="Master Repository Process" w:date="2021-09-11T15:21:00Z">
        <w:r>
          <w:rPr>
            <w:b/>
          </w:rPr>
          <w:delText>“</w:delText>
        </w:r>
      </w:del>
      <w:r>
        <w:rPr>
          <w:rStyle w:val="CharDefText"/>
        </w:rPr>
        <w:t>pay</w:t>
      </w:r>
      <w:del w:id="96" w:author="Master Repository Process" w:date="2021-09-11T15:21:00Z">
        <w:r>
          <w:rPr>
            <w:b/>
          </w:rPr>
          <w:delText>”</w:delText>
        </w:r>
      </w:del>
      <w:r>
        <w:t xml:space="preserve"> has the same meaning as it has in regulation 20(7).</w:t>
      </w:r>
    </w:p>
    <w:p>
      <w:pPr>
        <w:pStyle w:val="Subsection"/>
      </w:pPr>
      <w:r>
        <w:tab/>
        <w:t>(2)</w:t>
      </w:r>
      <w:r>
        <w:tab/>
        <w:t xml:space="preserve">The employing authority of an employee — </w:t>
      </w:r>
    </w:p>
    <w:p>
      <w:pPr>
        <w:pStyle w:val="Indenta"/>
      </w:pPr>
      <w:r>
        <w:tab/>
        <w:t>(a)</w:t>
      </w:r>
      <w:r>
        <w:tab/>
        <w:t>whose office, post or position is to be abolished; and</w:t>
      </w:r>
    </w:p>
    <w:p>
      <w:pPr>
        <w:pStyle w:val="Indenta"/>
      </w:pPr>
      <w:r>
        <w:tab/>
        <w:t>(b)</w:t>
      </w:r>
      <w:r>
        <w:tab/>
        <w:t>who will become surplus to the requirements of his or her department or organisation,</w:t>
      </w:r>
    </w:p>
    <w:p>
      <w:pPr>
        <w:pStyle w:val="Subsection"/>
      </w:pPr>
      <w:r>
        <w:tab/>
      </w:r>
      <w:r>
        <w:tab/>
        <w:t>must give the employee at least 12 weeks’ written notice of the fact.</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w:t>
      </w:r>
    </w:p>
    <w:p>
      <w:pPr>
        <w:pStyle w:val="Heading2"/>
      </w:pPr>
      <w:bookmarkStart w:id="97" w:name="_Toc142711697"/>
      <w:bookmarkStart w:id="98" w:name="_Toc142711873"/>
      <w:bookmarkStart w:id="99" w:name="_Toc142711909"/>
      <w:bookmarkStart w:id="100" w:name="_Toc142721499"/>
      <w:bookmarkStart w:id="101" w:name="_Toc148923490"/>
      <w:bookmarkStart w:id="102" w:name="_Toc148925014"/>
      <w:bookmarkStart w:id="103" w:name="_Toc149017036"/>
      <w:bookmarkStart w:id="104" w:name="_Toc150921454"/>
      <w:r>
        <w:rPr>
          <w:rStyle w:val="CharPartNo"/>
        </w:rPr>
        <w:t>Part 2</w:t>
      </w:r>
      <w:r>
        <w:rPr>
          <w:rStyle w:val="CharDivNo"/>
        </w:rPr>
        <w:t> </w:t>
      </w:r>
      <w:r>
        <w:t>—</w:t>
      </w:r>
      <w:r>
        <w:rPr>
          <w:rStyle w:val="CharDivText"/>
        </w:rPr>
        <w:t> </w:t>
      </w:r>
      <w:r>
        <w:rPr>
          <w:rStyle w:val="CharPartText"/>
        </w:rPr>
        <w:t>Transfer and voluntary severance</w:t>
      </w:r>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38270024"/>
      <w:bookmarkStart w:id="106" w:name="_Toc492433122"/>
      <w:bookmarkStart w:id="107" w:name="_Toc316891"/>
      <w:bookmarkStart w:id="108" w:name="_Toc142711698"/>
      <w:bookmarkStart w:id="109" w:name="_Toc150921455"/>
      <w:bookmarkStart w:id="110" w:name="_Toc142721500"/>
      <w:r>
        <w:rPr>
          <w:rStyle w:val="CharSectno"/>
        </w:rPr>
        <w:t>5</w:t>
      </w:r>
      <w:r>
        <w:rPr>
          <w:snapToGrid w:val="0"/>
        </w:rPr>
        <w:t>.</w:t>
      </w:r>
      <w:r>
        <w:rPr>
          <w:snapToGrid w:val="0"/>
        </w:rPr>
        <w:tab/>
        <w:t>Certain employees may be transferred</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The employing authority of an employee whose office, post or position in a department or organisation is abolished may transfer that employee from the abolished office, post or position to another office, post or position in the department or organisation </w:t>
      </w:r>
      <w:del w:id="111" w:author="Master Repository Process" w:date="2021-09-11T15:21:00Z">
        <w:r>
          <w:rPr>
            <w:snapToGrid w:val="0"/>
          </w:rPr>
          <w:delText>(</w:delText>
        </w:r>
        <w:r>
          <w:rPr>
            <w:b/>
            <w:snapToGrid w:val="0"/>
          </w:rPr>
          <w:delText>“</w:delText>
        </w:r>
      </w:del>
      <w:ins w:id="112" w:author="Master Repository Process" w:date="2021-09-11T15:21:00Z">
        <w:r>
          <w:rPr>
            <w:snapToGrid w:val="0"/>
          </w:rPr>
          <w:t>(</w:t>
        </w:r>
      </w:ins>
      <w:r>
        <w:rPr>
          <w:rStyle w:val="CharDefText"/>
        </w:rPr>
        <w:t>the new office, post or position</w:t>
      </w:r>
      <w:del w:id="113" w:author="Master Repository Process" w:date="2021-09-11T15:21:00Z">
        <w:r>
          <w:rPr>
            <w:b/>
            <w:snapToGrid w:val="0"/>
          </w:rPr>
          <w:delText>”</w:delText>
        </w:r>
        <w:r>
          <w:rPr>
            <w:snapToGrid w:val="0"/>
          </w:rPr>
          <w:delText>)</w:delText>
        </w:r>
      </w:del>
      <w:ins w:id="114" w:author="Master Repository Process" w:date="2021-09-11T15:21:00Z">
        <w:r>
          <w:rPr>
            <w:snapToGrid w:val="0"/>
          </w:rPr>
          <w:t>)</w:t>
        </w:r>
      </w:ins>
      <w:r>
        <w:rPr>
          <w:snapToGrid w:val="0"/>
        </w:rPr>
        <w:t xml:space="preserve">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115" w:name="_Toc438270025"/>
      <w:bookmarkStart w:id="116" w:name="_Toc492433123"/>
      <w:bookmarkStart w:id="117" w:name="_Toc316892"/>
      <w:bookmarkStart w:id="118" w:name="_Toc142711699"/>
      <w:bookmarkStart w:id="119" w:name="_Toc150921456"/>
      <w:bookmarkStart w:id="120" w:name="_Toc142721501"/>
      <w:r>
        <w:rPr>
          <w:rStyle w:val="CharSectno"/>
        </w:rPr>
        <w:t>6</w:t>
      </w:r>
      <w:r>
        <w:rPr>
          <w:snapToGrid w:val="0"/>
        </w:rPr>
        <w:t>.</w:t>
      </w:r>
      <w:r>
        <w:rPr>
          <w:snapToGrid w:val="0"/>
        </w:rPr>
        <w:tab/>
        <w:t>Voluntary severance for certain employees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is, or is to be, abolished; and</w:t>
      </w:r>
    </w:p>
    <w:p>
      <w:pPr>
        <w:pStyle w:val="Indenta"/>
        <w:rPr>
          <w:snapToGrid w:val="0"/>
        </w:rPr>
      </w:pPr>
      <w:r>
        <w:rPr>
          <w:snapToGrid w:val="0"/>
        </w:rPr>
        <w:tab/>
        <w:t>(b)</w:t>
      </w:r>
      <w:r>
        <w:rPr>
          <w:snapToGrid w:val="0"/>
        </w:rPr>
        <w:tab/>
        <w:t>who is, or will become, surplus to the requirements of his or her department or organisation,</w:t>
      </w:r>
    </w:p>
    <w:p>
      <w:pPr>
        <w:pStyle w:val="Subsection"/>
        <w:rPr>
          <w:snapToGrid w:val="0"/>
        </w:rPr>
      </w:pPr>
      <w:r>
        <w:rPr>
          <w:snapToGrid w:val="0"/>
        </w:rPr>
        <w:tab/>
      </w:r>
      <w:r>
        <w:rPr>
          <w:snapToGrid w:val="0"/>
        </w:rPr>
        <w:tab/>
        <w:t>may, with the prior approval of the Minister, offer the employee voluntary severance.</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An employing authority which makes a severance payment to an employee under this regulation shall give the Minister such information concerning the severance payment as the Minister requires.</w:t>
      </w:r>
    </w:p>
    <w:p>
      <w:pPr>
        <w:pStyle w:val="Heading5"/>
        <w:rPr>
          <w:snapToGrid w:val="0"/>
        </w:rPr>
      </w:pPr>
      <w:bookmarkStart w:id="121" w:name="_Toc438270026"/>
      <w:bookmarkStart w:id="122" w:name="_Toc492433124"/>
      <w:bookmarkStart w:id="123" w:name="_Toc316893"/>
      <w:bookmarkStart w:id="124" w:name="_Toc142711700"/>
      <w:bookmarkStart w:id="125" w:name="_Toc150921457"/>
      <w:bookmarkStart w:id="126" w:name="_Toc142721502"/>
      <w:r>
        <w:rPr>
          <w:rStyle w:val="CharSectno"/>
        </w:rPr>
        <w:t>7</w:t>
      </w:r>
      <w:r>
        <w:rPr>
          <w:snapToGrid w:val="0"/>
        </w:rPr>
        <w:t>.</w:t>
      </w:r>
      <w:r>
        <w:rPr>
          <w:snapToGrid w:val="0"/>
        </w:rPr>
        <w:tab/>
        <w:t>Substituted voluntary severance for surplus employees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office, post or position of an employee is abolished and the employee is surplus to the requirements of his or her department or organisation </w:t>
      </w:r>
      <w:del w:id="127" w:author="Master Repository Process" w:date="2021-09-11T15:21:00Z">
        <w:r>
          <w:rPr>
            <w:snapToGrid w:val="0"/>
          </w:rPr>
          <w:delText>(</w:delText>
        </w:r>
        <w:r>
          <w:rPr>
            <w:b/>
            <w:snapToGrid w:val="0"/>
          </w:rPr>
          <w:delText>“</w:delText>
        </w:r>
      </w:del>
      <w:ins w:id="128" w:author="Master Repository Process" w:date="2021-09-11T15:21:00Z">
        <w:r>
          <w:rPr>
            <w:snapToGrid w:val="0"/>
          </w:rPr>
          <w:t>(</w:t>
        </w:r>
      </w:ins>
      <w:r>
        <w:rPr>
          <w:rStyle w:val="CharDefText"/>
        </w:rPr>
        <w:t>the surplus employee</w:t>
      </w:r>
      <w:del w:id="129" w:author="Master Repository Process" w:date="2021-09-11T15:21:00Z">
        <w:r>
          <w:rPr>
            <w:b/>
            <w:snapToGrid w:val="0"/>
          </w:rPr>
          <w:delText>”</w:delText>
        </w:r>
        <w:r>
          <w:rPr>
            <w:snapToGrid w:val="0"/>
          </w:rPr>
          <w:delText>);</w:delText>
        </w:r>
      </w:del>
      <w:ins w:id="130" w:author="Master Repository Process" w:date="2021-09-11T15:21:00Z">
        <w:r>
          <w:rPr>
            <w:snapToGrid w:val="0"/>
          </w:rPr>
          <w:t>);</w:t>
        </w:r>
      </w:ins>
    </w:p>
    <w:p>
      <w:pPr>
        <w:pStyle w:val="Indenta"/>
        <w:rPr>
          <w:snapToGrid w:val="0"/>
        </w:rPr>
      </w:pPr>
      <w:r>
        <w:rPr>
          <w:snapToGrid w:val="0"/>
        </w:rPr>
        <w:tab/>
        <w:t>(b)</w:t>
      </w:r>
      <w:r>
        <w:rPr>
          <w:snapToGrid w:val="0"/>
        </w:rPr>
        <w:tab/>
        <w:t xml:space="preserve">the surplus employee is willing to be transferred to the office, position or post of another employee in another department or organisation who wishes to resign his or her office, post or position </w:t>
      </w:r>
      <w:del w:id="131" w:author="Master Repository Process" w:date="2021-09-11T15:21:00Z">
        <w:r>
          <w:rPr>
            <w:snapToGrid w:val="0"/>
          </w:rPr>
          <w:delText>(</w:delText>
        </w:r>
        <w:r>
          <w:rPr>
            <w:b/>
            <w:snapToGrid w:val="0"/>
          </w:rPr>
          <w:delText>“</w:delText>
        </w:r>
      </w:del>
      <w:ins w:id="132" w:author="Master Repository Process" w:date="2021-09-11T15:21:00Z">
        <w:r>
          <w:rPr>
            <w:snapToGrid w:val="0"/>
          </w:rPr>
          <w:t>(</w:t>
        </w:r>
      </w:ins>
      <w:r>
        <w:rPr>
          <w:rStyle w:val="CharDefText"/>
        </w:rPr>
        <w:t>the other employee</w:t>
      </w:r>
      <w:del w:id="133" w:author="Master Repository Process" w:date="2021-09-11T15:21:00Z">
        <w:r>
          <w:rPr>
            <w:b/>
            <w:snapToGrid w:val="0"/>
          </w:rPr>
          <w:delText>”</w:delText>
        </w:r>
        <w:r>
          <w:rPr>
            <w:snapToGrid w:val="0"/>
          </w:rPr>
          <w:delText>);</w:delText>
        </w:r>
      </w:del>
      <w:ins w:id="134" w:author="Master Repository Process" w:date="2021-09-11T15:21:00Z">
        <w:r>
          <w:rPr>
            <w:snapToGrid w:val="0"/>
          </w:rPr>
          <w:t>);</w:t>
        </w:r>
      </w:ins>
      <w:r>
        <w:rPr>
          <w:snapToGrid w:val="0"/>
        </w:rPr>
        <w:t xml:space="preserve"> and</w:t>
      </w:r>
    </w:p>
    <w:p>
      <w:pPr>
        <w:pStyle w:val="Indenta"/>
        <w:rPr>
          <w:snapToGrid w:val="0"/>
        </w:rPr>
      </w:pPr>
      <w:r>
        <w:rPr>
          <w:snapToGrid w:val="0"/>
        </w:rPr>
        <w:tab/>
        <w:t>(c)</w:t>
      </w:r>
      <w:r>
        <w:rPr>
          <w:snapToGrid w:val="0"/>
        </w:rPr>
        <w:tab/>
        <w:t>the Minister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An employing authority which makes a severance payment under subregulation (2) is to give the Minister such information concerning the severance payment as the Minister requires.</w:t>
      </w:r>
    </w:p>
    <w:p>
      <w:pPr>
        <w:pStyle w:val="Heading2"/>
      </w:pPr>
      <w:bookmarkStart w:id="135" w:name="_Toc142711701"/>
      <w:bookmarkStart w:id="136" w:name="_Toc142711877"/>
      <w:bookmarkStart w:id="137" w:name="_Toc142711913"/>
      <w:bookmarkStart w:id="138" w:name="_Toc142721503"/>
      <w:bookmarkStart w:id="139" w:name="_Toc148923494"/>
      <w:bookmarkStart w:id="140" w:name="_Toc148925018"/>
      <w:bookmarkStart w:id="141" w:name="_Toc149017040"/>
      <w:bookmarkStart w:id="142" w:name="_Toc150921458"/>
      <w:r>
        <w:rPr>
          <w:rStyle w:val="CharPartNo"/>
        </w:rPr>
        <w:t>Part 3</w:t>
      </w:r>
      <w:r>
        <w:rPr>
          <w:rStyle w:val="CharDivNo"/>
        </w:rPr>
        <w:t> </w:t>
      </w:r>
      <w:r>
        <w:t>—</w:t>
      </w:r>
      <w:r>
        <w:rPr>
          <w:rStyle w:val="CharDivText"/>
        </w:rPr>
        <w:t> </w:t>
      </w:r>
      <w:r>
        <w:rPr>
          <w:rStyle w:val="CharPartText"/>
        </w:rPr>
        <w:t>Privatization and contracting out</w:t>
      </w:r>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438270027"/>
      <w:bookmarkStart w:id="144" w:name="_Toc492433125"/>
      <w:bookmarkStart w:id="145" w:name="_Toc316894"/>
      <w:bookmarkStart w:id="146" w:name="_Toc142711702"/>
      <w:bookmarkStart w:id="147" w:name="_Toc150921459"/>
      <w:bookmarkStart w:id="148" w:name="_Toc142721504"/>
      <w:r>
        <w:rPr>
          <w:rStyle w:val="CharSectno"/>
        </w:rPr>
        <w:t>8</w:t>
      </w:r>
      <w:r>
        <w:rPr>
          <w:snapToGrid w:val="0"/>
        </w:rPr>
        <w:t>.</w:t>
      </w:r>
      <w:r>
        <w:rPr>
          <w:snapToGrid w:val="0"/>
        </w:rPr>
        <w:tab/>
        <w:t>Private sector offers of offices, posts or positions on privatization or contracting out</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149" w:name="_Toc438270028"/>
      <w:bookmarkStart w:id="150" w:name="_Toc492433126"/>
      <w:bookmarkStart w:id="151" w:name="_Toc316895"/>
      <w:bookmarkStart w:id="152" w:name="_Toc142711703"/>
      <w:bookmarkStart w:id="153" w:name="_Toc150921460"/>
      <w:bookmarkStart w:id="154" w:name="_Toc142721505"/>
      <w:r>
        <w:rPr>
          <w:rStyle w:val="CharSectno"/>
        </w:rPr>
        <w:t>9</w:t>
      </w:r>
      <w:r>
        <w:rPr>
          <w:snapToGrid w:val="0"/>
        </w:rPr>
        <w:t>.</w:t>
      </w:r>
      <w:r>
        <w:rPr>
          <w:snapToGrid w:val="0"/>
        </w:rPr>
        <w:tab/>
        <w:t>Benefits to which employees accepting offers of employment are entitled</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v:imagedata r:id="rId15"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del w:id="155" w:author="Master Repository Process" w:date="2021-09-11T15:21:00Z">
        <w:r>
          <w:rPr>
            <w:b/>
            <w:snapToGrid w:val="0"/>
          </w:rPr>
          <w:delText>“</w:delText>
        </w:r>
      </w:del>
      <w:r>
        <w:rPr>
          <w:rStyle w:val="CharDefText"/>
        </w:rPr>
        <w:t>pay</w:t>
      </w:r>
      <w:del w:id="156" w:author="Master Repository Process" w:date="2021-09-11T15:21:00Z">
        <w:r>
          <w:rPr>
            <w:b/>
            <w:snapToGrid w:val="0"/>
          </w:rPr>
          <w:delText>”</w:delText>
        </w:r>
      </w:del>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An employee mentioned in subregulation (4) is entitled to such payments as are determined by the Minister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w:t>
      </w:r>
    </w:p>
    <w:p>
      <w:pPr>
        <w:pStyle w:val="Heading5"/>
        <w:rPr>
          <w:snapToGrid w:val="0"/>
        </w:rPr>
      </w:pPr>
      <w:bookmarkStart w:id="157" w:name="_Toc438270029"/>
      <w:bookmarkStart w:id="158" w:name="_Toc492433127"/>
      <w:bookmarkStart w:id="159" w:name="_Toc316896"/>
      <w:bookmarkStart w:id="160" w:name="_Toc142711704"/>
      <w:bookmarkStart w:id="161" w:name="_Toc150921461"/>
      <w:bookmarkStart w:id="162" w:name="_Toc142721506"/>
      <w:r>
        <w:rPr>
          <w:rStyle w:val="CharSectno"/>
        </w:rPr>
        <w:t>10</w:t>
      </w:r>
      <w:r>
        <w:rPr>
          <w:snapToGrid w:val="0"/>
        </w:rPr>
        <w:t>.</w:t>
      </w:r>
      <w:r>
        <w:rPr>
          <w:snapToGrid w:val="0"/>
        </w:rPr>
        <w:tab/>
        <w:t>Employees dismissed under certain sections of Act not entitled to certain payments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An employee who is dismissed under section 86(3)(a) or (9)(b)(i), 88(1)(b)(i) or 89(1) of the Act is not entitled to any payment under regulation 9 or to a severance payment.</w:t>
      </w:r>
    </w:p>
    <w:p>
      <w:pPr>
        <w:pStyle w:val="Heading2"/>
      </w:pPr>
      <w:bookmarkStart w:id="163" w:name="_Toc142711705"/>
      <w:bookmarkStart w:id="164" w:name="_Toc142711881"/>
      <w:bookmarkStart w:id="165" w:name="_Toc142711917"/>
      <w:bookmarkStart w:id="166" w:name="_Toc142721507"/>
      <w:bookmarkStart w:id="167" w:name="_Toc148923498"/>
      <w:bookmarkStart w:id="168" w:name="_Toc148925022"/>
      <w:bookmarkStart w:id="169" w:name="_Toc149017044"/>
      <w:bookmarkStart w:id="170" w:name="_Toc150921462"/>
      <w:r>
        <w:rPr>
          <w:rStyle w:val="CharPartNo"/>
        </w:rPr>
        <w:t>Part 4</w:t>
      </w:r>
      <w:r>
        <w:rPr>
          <w:rStyle w:val="CharDivNo"/>
        </w:rPr>
        <w:t> </w:t>
      </w:r>
      <w:r>
        <w:t>—</w:t>
      </w:r>
      <w:r>
        <w:rPr>
          <w:rStyle w:val="CharDivText"/>
        </w:rPr>
        <w:t> </w:t>
      </w:r>
      <w:r>
        <w:rPr>
          <w:rStyle w:val="CharPartText"/>
        </w:rPr>
        <w:t>Registered employees</w:t>
      </w:r>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38270030"/>
      <w:bookmarkStart w:id="172" w:name="_Toc492433128"/>
      <w:bookmarkStart w:id="173" w:name="_Toc316897"/>
      <w:bookmarkStart w:id="174" w:name="_Toc142711706"/>
      <w:bookmarkStart w:id="175" w:name="_Toc150921463"/>
      <w:bookmarkStart w:id="176" w:name="_Toc142721508"/>
      <w:r>
        <w:rPr>
          <w:rStyle w:val="CharSectno"/>
        </w:rPr>
        <w:t>11</w:t>
      </w:r>
      <w:r>
        <w:rPr>
          <w:snapToGrid w:val="0"/>
        </w:rPr>
        <w:t>.</w:t>
      </w:r>
      <w:r>
        <w:rPr>
          <w:snapToGrid w:val="0"/>
        </w:rPr>
        <w:tab/>
        <w:t>Registration of employees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has been abolished or who is otherwise surplus to the requirements of his or her department or organisation; and</w:t>
      </w:r>
    </w:p>
    <w:p>
      <w:pPr>
        <w:pStyle w:val="Indenta"/>
        <w:rPr>
          <w:snapToGrid w:val="0"/>
        </w:rPr>
      </w:pPr>
      <w:r>
        <w:rPr>
          <w:snapToGrid w:val="0"/>
        </w:rPr>
        <w:tab/>
        <w:t>(b)</w:t>
      </w:r>
      <w:r>
        <w:rPr>
          <w:snapToGrid w:val="0"/>
        </w:rPr>
        <w:tab/>
        <w:t>who cannot be transferred within his or her department or organisation,</w:t>
      </w:r>
    </w:p>
    <w:p>
      <w:pPr>
        <w:pStyle w:val="Subsection"/>
        <w:rPr>
          <w:snapToGrid w:val="0"/>
        </w:rPr>
      </w:pPr>
      <w:r>
        <w:rPr>
          <w:snapToGrid w:val="0"/>
        </w:rPr>
        <w:tab/>
      </w:r>
      <w:r>
        <w:rPr>
          <w:snapToGrid w:val="0"/>
        </w:rPr>
        <w:tab/>
        <w:t>may apply to the Minister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on such form as the Minister approves.</w:t>
      </w:r>
    </w:p>
    <w:p>
      <w:pPr>
        <w:pStyle w:val="Subsection"/>
        <w:rPr>
          <w:snapToGrid w:val="0"/>
        </w:rPr>
      </w:pPr>
      <w:r>
        <w:rPr>
          <w:snapToGrid w:val="0"/>
        </w:rPr>
        <w:tab/>
        <w:t>(3)</w:t>
      </w:r>
      <w:r>
        <w:rPr>
          <w:snapToGrid w:val="0"/>
        </w:rPr>
        <w:tab/>
        <w:t>If, on an application made under subregulation (1), the Minister is satisfied that the employee is an employee of the kind described in that subregulation, the Minister may register the employee.</w:t>
      </w:r>
    </w:p>
    <w:p>
      <w:pPr>
        <w:pStyle w:val="Footnotesection"/>
      </w:pPr>
      <w:r>
        <w:tab/>
        <w:t>[Regulation 11 amended in Gazette 16 Aug 1996 p. 4050.]</w:t>
      </w:r>
    </w:p>
    <w:p>
      <w:pPr>
        <w:pStyle w:val="Heading5"/>
        <w:rPr>
          <w:snapToGrid w:val="0"/>
        </w:rPr>
      </w:pPr>
      <w:bookmarkStart w:id="177" w:name="_Toc438270031"/>
      <w:bookmarkStart w:id="178" w:name="_Toc492433129"/>
      <w:bookmarkStart w:id="179" w:name="_Toc316898"/>
      <w:bookmarkStart w:id="180" w:name="_Toc142711707"/>
      <w:bookmarkStart w:id="181" w:name="_Toc150921464"/>
      <w:bookmarkStart w:id="182" w:name="_Toc142721509"/>
      <w:r>
        <w:rPr>
          <w:rStyle w:val="CharSectno"/>
        </w:rPr>
        <w:t>12</w:t>
      </w:r>
      <w:r>
        <w:rPr>
          <w:snapToGrid w:val="0"/>
        </w:rPr>
        <w:t>.</w:t>
      </w:r>
      <w:r>
        <w:rPr>
          <w:snapToGrid w:val="0"/>
        </w:rPr>
        <w:tab/>
        <w:t>Special leave for registered employees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rPr>
          <w:snapToGrid w:val="0"/>
        </w:rPr>
      </w:pPr>
      <w:bookmarkStart w:id="183" w:name="_Toc438270032"/>
      <w:bookmarkStart w:id="184" w:name="_Toc492433130"/>
      <w:bookmarkStart w:id="185" w:name="_Toc316899"/>
      <w:bookmarkStart w:id="186" w:name="_Toc142711708"/>
      <w:bookmarkStart w:id="187" w:name="_Toc150921465"/>
      <w:bookmarkStart w:id="188" w:name="_Toc142721510"/>
      <w:r>
        <w:rPr>
          <w:rStyle w:val="CharSectno"/>
        </w:rPr>
        <w:t>13</w:t>
      </w:r>
      <w:r>
        <w:rPr>
          <w:snapToGrid w:val="0"/>
        </w:rPr>
        <w:t>.</w:t>
      </w:r>
      <w:r>
        <w:rPr>
          <w:snapToGrid w:val="0"/>
        </w:rPr>
        <w:tab/>
        <w:t>Redeployment of registered employees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(2)</w:t>
      </w:r>
      <w:r>
        <w:rPr>
          <w:snapToGrid w:val="0"/>
        </w:rPr>
        <w:tab/>
        <w:t>If the Minister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the Minister may in writing direct the registered employee forthwith to accept that offer.</w:t>
      </w:r>
    </w:p>
    <w:p>
      <w:pPr>
        <w:pStyle w:val="Subsection"/>
        <w:rPr>
          <w:snapToGrid w:val="0"/>
        </w:rPr>
      </w:pPr>
      <w:r>
        <w:rPr>
          <w:snapToGrid w:val="0"/>
        </w:rPr>
        <w:tab/>
        <w:t>(3)</w:t>
      </w:r>
      <w:r>
        <w:rPr>
          <w:snapToGrid w:val="0"/>
        </w:rPr>
        <w:tab/>
        <w:t>If the Minister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the Minister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Heading5"/>
        <w:rPr>
          <w:snapToGrid w:val="0"/>
        </w:rPr>
      </w:pPr>
      <w:bookmarkStart w:id="189" w:name="_Toc438270033"/>
      <w:bookmarkStart w:id="190" w:name="_Toc492433131"/>
      <w:bookmarkStart w:id="191" w:name="_Toc316900"/>
      <w:bookmarkStart w:id="192" w:name="_Toc142711709"/>
      <w:bookmarkStart w:id="193" w:name="_Toc150921466"/>
      <w:bookmarkStart w:id="194" w:name="_Toc142721511"/>
      <w:r>
        <w:rPr>
          <w:rStyle w:val="CharSectno"/>
        </w:rPr>
        <w:t>14</w:t>
      </w:r>
      <w:r>
        <w:rPr>
          <w:snapToGrid w:val="0"/>
        </w:rPr>
        <w:t>.</w:t>
      </w:r>
      <w:r>
        <w:rPr>
          <w:snapToGrid w:val="0"/>
        </w:rPr>
        <w:tab/>
        <w:t>Retraining of registered employees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 Minister.</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such longer period as the Minister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Heading5"/>
        <w:rPr>
          <w:snapToGrid w:val="0"/>
        </w:rPr>
      </w:pPr>
      <w:bookmarkStart w:id="195" w:name="_Toc438270034"/>
      <w:bookmarkStart w:id="196" w:name="_Toc492433132"/>
      <w:bookmarkStart w:id="197" w:name="_Toc316901"/>
      <w:bookmarkStart w:id="198" w:name="_Toc142711710"/>
      <w:bookmarkStart w:id="199" w:name="_Toc150921467"/>
      <w:bookmarkStart w:id="200" w:name="_Toc142721512"/>
      <w:r>
        <w:rPr>
          <w:rStyle w:val="CharSectno"/>
        </w:rPr>
        <w:t>15</w:t>
      </w:r>
      <w:r>
        <w:rPr>
          <w:snapToGrid w:val="0"/>
        </w:rPr>
        <w:t>.</w:t>
      </w:r>
      <w:r>
        <w:rPr>
          <w:snapToGrid w:val="0"/>
        </w:rPr>
        <w:tab/>
        <w:t>Voluntary severance for certain registered employees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 Minister,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An employing authority which makes a severance payment to a registered employee under this regulation shall give the Minister such information concerning the severance payment as the Minister requires.</w:t>
      </w:r>
    </w:p>
    <w:p>
      <w:pPr>
        <w:pStyle w:val="Heading5"/>
        <w:rPr>
          <w:snapToGrid w:val="0"/>
        </w:rPr>
      </w:pPr>
      <w:bookmarkStart w:id="201" w:name="_Toc438270035"/>
      <w:bookmarkStart w:id="202" w:name="_Toc492433133"/>
      <w:bookmarkStart w:id="203" w:name="_Toc316902"/>
      <w:bookmarkStart w:id="204" w:name="_Toc142711711"/>
      <w:bookmarkStart w:id="205" w:name="_Toc150921468"/>
      <w:bookmarkStart w:id="206" w:name="_Toc142721513"/>
      <w:r>
        <w:rPr>
          <w:rStyle w:val="CharSectno"/>
        </w:rPr>
        <w:t>16</w:t>
      </w:r>
      <w:r>
        <w:rPr>
          <w:snapToGrid w:val="0"/>
        </w:rPr>
        <w:t>.</w:t>
      </w:r>
      <w:r>
        <w:rPr>
          <w:snapToGrid w:val="0"/>
        </w:rPr>
        <w:tab/>
        <w:t>Voluntary severance initiated by registered employees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 Minister,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An employing authority which makes a severance payment to an applicant under this regulation shall give the Minister such information concerning the severance payment as the Minister requires.</w:t>
      </w:r>
    </w:p>
    <w:p>
      <w:pPr>
        <w:pStyle w:val="Heading5"/>
        <w:rPr>
          <w:snapToGrid w:val="0"/>
        </w:rPr>
      </w:pPr>
      <w:bookmarkStart w:id="207" w:name="_Toc438270036"/>
      <w:bookmarkStart w:id="208" w:name="_Toc492433134"/>
      <w:bookmarkStart w:id="209" w:name="_Toc316903"/>
      <w:bookmarkStart w:id="210" w:name="_Toc142711712"/>
      <w:bookmarkStart w:id="211" w:name="_Toc150921469"/>
      <w:bookmarkStart w:id="212" w:name="_Toc142721514"/>
      <w:r>
        <w:rPr>
          <w:rStyle w:val="CharSectno"/>
        </w:rPr>
        <w:t>17</w:t>
      </w:r>
      <w:r>
        <w:rPr>
          <w:snapToGrid w:val="0"/>
        </w:rPr>
        <w:t>.</w:t>
      </w:r>
      <w:r>
        <w:rPr>
          <w:snapToGrid w:val="0"/>
        </w:rPr>
        <w:tab/>
        <w:t>Substituted voluntary severance for surplus registered employees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registered employee is willing to be transferred to the office, position or post of an employee who wishes to resign his or her office, post or position </w:t>
      </w:r>
      <w:del w:id="213" w:author="Master Repository Process" w:date="2021-09-11T15:21:00Z">
        <w:r>
          <w:rPr>
            <w:snapToGrid w:val="0"/>
          </w:rPr>
          <w:delText>(</w:delText>
        </w:r>
        <w:r>
          <w:rPr>
            <w:b/>
            <w:snapToGrid w:val="0"/>
          </w:rPr>
          <w:delText>“</w:delText>
        </w:r>
      </w:del>
      <w:ins w:id="214" w:author="Master Repository Process" w:date="2021-09-11T15:21:00Z">
        <w:r>
          <w:rPr>
            <w:snapToGrid w:val="0"/>
          </w:rPr>
          <w:t>(</w:t>
        </w:r>
      </w:ins>
      <w:r>
        <w:rPr>
          <w:rStyle w:val="CharDefText"/>
        </w:rPr>
        <w:t>the other employee</w:t>
      </w:r>
      <w:del w:id="215" w:author="Master Repository Process" w:date="2021-09-11T15:21:00Z">
        <w:r>
          <w:rPr>
            <w:b/>
            <w:snapToGrid w:val="0"/>
          </w:rPr>
          <w:delText>”</w:delText>
        </w:r>
        <w:r>
          <w:rPr>
            <w:snapToGrid w:val="0"/>
          </w:rPr>
          <w:delText>);</w:delText>
        </w:r>
      </w:del>
      <w:ins w:id="216" w:author="Master Repository Process" w:date="2021-09-11T15:21:00Z">
        <w:r>
          <w:rPr>
            <w:snapToGrid w:val="0"/>
          </w:rPr>
          <w:t>);</w:t>
        </w:r>
      </w:ins>
      <w:r>
        <w:rPr>
          <w:snapToGrid w:val="0"/>
        </w:rPr>
        <w:t xml:space="preserve"> and</w:t>
      </w:r>
    </w:p>
    <w:p>
      <w:pPr>
        <w:pStyle w:val="Indenta"/>
        <w:rPr>
          <w:snapToGrid w:val="0"/>
        </w:rPr>
      </w:pPr>
      <w:r>
        <w:rPr>
          <w:snapToGrid w:val="0"/>
        </w:rPr>
        <w:tab/>
        <w:t>(b)</w:t>
      </w:r>
      <w:r>
        <w:rPr>
          <w:snapToGrid w:val="0"/>
        </w:rPr>
        <w:tab/>
        <w:t>the Minister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An employing authority which makes a severance payment under subregulation (2) is to give the Minister such information concerning the severance payment as the Minister requires.</w:t>
      </w:r>
    </w:p>
    <w:p>
      <w:pPr>
        <w:pStyle w:val="Heading5"/>
        <w:rPr>
          <w:snapToGrid w:val="0"/>
        </w:rPr>
      </w:pPr>
      <w:bookmarkStart w:id="217" w:name="_Toc438270037"/>
      <w:bookmarkStart w:id="218" w:name="_Toc492433135"/>
      <w:bookmarkStart w:id="219" w:name="_Toc316904"/>
      <w:bookmarkStart w:id="220" w:name="_Toc142711713"/>
      <w:bookmarkStart w:id="221" w:name="_Toc150921470"/>
      <w:bookmarkStart w:id="222" w:name="_Toc142721515"/>
      <w:r>
        <w:rPr>
          <w:rStyle w:val="CharSectno"/>
        </w:rPr>
        <w:t>18</w:t>
      </w:r>
      <w:r>
        <w:rPr>
          <w:snapToGrid w:val="0"/>
        </w:rPr>
        <w:t>.</w:t>
      </w:r>
      <w:r>
        <w:rPr>
          <w:snapToGrid w:val="0"/>
        </w:rPr>
        <w:tab/>
        <w:t>Benefits to which registered employees accepting offers of offices, posts or positions are entitled</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 xml:space="preserve">as so accepted, entitles the registered employee to a rate of pay less than that the registered employee was entitled to in respect of the office, post or position occupied by the registered employee immediately before he or she became a registered employee </w:t>
      </w:r>
      <w:del w:id="223" w:author="Master Repository Process" w:date="2021-09-11T15:21:00Z">
        <w:r>
          <w:rPr>
            <w:snapToGrid w:val="0"/>
          </w:rPr>
          <w:delText>(</w:delText>
        </w:r>
        <w:r>
          <w:rPr>
            <w:b/>
            <w:snapToGrid w:val="0"/>
          </w:rPr>
          <w:delText>“</w:delText>
        </w:r>
      </w:del>
      <w:ins w:id="224" w:author="Master Repository Process" w:date="2021-09-11T15:21:00Z">
        <w:r>
          <w:rPr>
            <w:snapToGrid w:val="0"/>
          </w:rPr>
          <w:t>(</w:t>
        </w:r>
      </w:ins>
      <w:r>
        <w:rPr>
          <w:rStyle w:val="CharDefText"/>
        </w:rPr>
        <w:t>the previous office, post or position</w:t>
      </w:r>
      <w:del w:id="225" w:author="Master Repository Process" w:date="2021-09-11T15:21:00Z">
        <w:r>
          <w:rPr>
            <w:b/>
            <w:snapToGrid w:val="0"/>
          </w:rPr>
          <w:delText>”</w:delText>
        </w:r>
        <w:r>
          <w:rPr>
            <w:snapToGrid w:val="0"/>
          </w:rPr>
          <w:delText>),</w:delText>
        </w:r>
      </w:del>
      <w:ins w:id="226" w:author="Master Repository Process" w:date="2021-09-11T15:21:00Z">
        <w:r>
          <w:rPr>
            <w:snapToGrid w:val="0"/>
          </w:rPr>
          <w:t>),</w:t>
        </w:r>
      </w:ins>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An employee mentioned in subregulation (6) is entitled to such benefits and payments as are determined by the Minister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w:t>
      </w:r>
    </w:p>
    <w:p>
      <w:pPr>
        <w:pStyle w:val="Heading5"/>
        <w:rPr>
          <w:snapToGrid w:val="0"/>
        </w:rPr>
      </w:pPr>
      <w:bookmarkStart w:id="227" w:name="_Toc438270038"/>
      <w:bookmarkStart w:id="228" w:name="_Toc492433136"/>
      <w:bookmarkStart w:id="229" w:name="_Toc316905"/>
      <w:bookmarkStart w:id="230" w:name="_Toc142711714"/>
      <w:bookmarkStart w:id="231" w:name="_Toc150921471"/>
      <w:bookmarkStart w:id="232" w:name="_Toc142721516"/>
      <w:r>
        <w:rPr>
          <w:rStyle w:val="CharSectno"/>
        </w:rPr>
        <w:t>19</w:t>
      </w:r>
      <w:r>
        <w:rPr>
          <w:snapToGrid w:val="0"/>
        </w:rPr>
        <w:t>.</w:t>
      </w:r>
      <w:r>
        <w:rPr>
          <w:snapToGrid w:val="0"/>
        </w:rPr>
        <w:tab/>
        <w:t>Benefits to which registered employees accepting private sector employment are entitled</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If the Minister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 id="_x0000_i1026" type="#_x0000_t75" style="width:52.5pt;height:15pt">
            <v:imagedata r:id="rId16"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del w:id="233" w:author="Master Repository Process" w:date="2021-09-11T15:21:00Z">
        <w:r>
          <w:rPr>
            <w:b/>
            <w:snapToGrid w:val="0"/>
          </w:rPr>
          <w:delText>“</w:delText>
        </w:r>
      </w:del>
      <w:r>
        <w:rPr>
          <w:rStyle w:val="CharDefText"/>
        </w:rPr>
        <w:t>pay</w:t>
      </w:r>
      <w:del w:id="234" w:author="Master Repository Process" w:date="2021-09-11T15:21:00Z">
        <w:r>
          <w:rPr>
            <w:b/>
            <w:snapToGrid w:val="0"/>
          </w:rPr>
          <w:delText>”</w:delText>
        </w:r>
      </w:del>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An employee mentioned in subregulation (4) is entitled to such payments as are determined by the Minister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w:t>
      </w:r>
    </w:p>
    <w:p>
      <w:pPr>
        <w:pStyle w:val="Heading2"/>
      </w:pPr>
      <w:bookmarkStart w:id="235" w:name="_Toc142711715"/>
      <w:bookmarkStart w:id="236" w:name="_Toc142711891"/>
      <w:bookmarkStart w:id="237" w:name="_Toc142711927"/>
      <w:bookmarkStart w:id="238" w:name="_Toc142721517"/>
      <w:bookmarkStart w:id="239" w:name="_Toc148923508"/>
      <w:bookmarkStart w:id="240" w:name="_Toc148925032"/>
      <w:bookmarkStart w:id="241" w:name="_Toc149017054"/>
      <w:bookmarkStart w:id="242" w:name="_Toc150921472"/>
      <w:r>
        <w:rPr>
          <w:rStyle w:val="CharPartNo"/>
        </w:rPr>
        <w:t>Part 5</w:t>
      </w:r>
      <w:r>
        <w:rPr>
          <w:rStyle w:val="CharDivNo"/>
        </w:rPr>
        <w:t> </w:t>
      </w:r>
      <w:r>
        <w:t>—</w:t>
      </w:r>
      <w:r>
        <w:rPr>
          <w:rStyle w:val="CharDivText"/>
        </w:rPr>
        <w:t> </w:t>
      </w:r>
      <w:r>
        <w:rPr>
          <w:rStyle w:val="CharPartText"/>
        </w:rPr>
        <w:t>Voluntary severance payments and other benefits</w:t>
      </w:r>
      <w:bookmarkEnd w:id="235"/>
      <w:bookmarkEnd w:id="236"/>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438270039"/>
      <w:bookmarkStart w:id="244" w:name="_Toc492433137"/>
      <w:bookmarkStart w:id="245" w:name="_Toc316906"/>
      <w:bookmarkStart w:id="246" w:name="_Toc142711716"/>
      <w:bookmarkStart w:id="247" w:name="_Toc150921473"/>
      <w:bookmarkStart w:id="248" w:name="_Toc142721518"/>
      <w:r>
        <w:rPr>
          <w:rStyle w:val="CharSectno"/>
        </w:rPr>
        <w:t>20</w:t>
      </w:r>
      <w:r>
        <w:rPr>
          <w:snapToGrid w:val="0"/>
        </w:rPr>
        <w:t>.</w:t>
      </w:r>
      <w:r>
        <w:rPr>
          <w:snapToGrid w:val="0"/>
        </w:rPr>
        <w:tab/>
        <w:t>Severance payments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Ednotesubsection"/>
        <w:rPr>
          <w:del w:id="249" w:author="Master Repository Process" w:date="2021-09-11T15:21:00Z"/>
        </w:rPr>
      </w:pPr>
      <w:del w:id="250" w:author="Master Repository Process" w:date="2021-09-11T15:21:00Z">
        <w:r>
          <w:tab/>
          <w:delText>[(2a)-(2b)</w:delText>
        </w:r>
        <w:r>
          <w:tab/>
          <w:delText>repealed]</w:delText>
        </w:r>
      </w:del>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pict>
          <v:shape id="_x0000_i1027" type="#_x0000_t75" style="width:52.5pt;height:15pt">
            <v:imagedata r:id="rId17" o:title=""/>
          </v:shape>
        </w:pi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An employee mentioned in subregulation (4) is entitled to such payment as is determined by the Minister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If the Minister is satisfied that before the commencement of these regulations an employing authority, with the approval of the government, gave notice to any class of employees that a severance payment higher than that provided for by this regulation would apply to that class of employees, the Minister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r>
      <w:del w:id="251" w:author="Master Repository Process" w:date="2021-09-11T15:21:00Z">
        <w:r>
          <w:rPr>
            <w:b/>
          </w:rPr>
          <w:delText>“</w:delText>
        </w:r>
      </w:del>
      <w:r>
        <w:rPr>
          <w:rStyle w:val="CharDefText"/>
        </w:rPr>
        <w:t>pay</w:t>
      </w:r>
      <w:del w:id="252" w:author="Master Repository Process" w:date="2021-09-11T15:21:00Z">
        <w:r>
          <w:rPr>
            <w:b/>
          </w:rPr>
          <w:delText>”</w:delText>
        </w:r>
      </w:del>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8 Aug 2006 p. 2905.] </w:t>
      </w:r>
    </w:p>
    <w:p>
      <w:pPr>
        <w:pStyle w:val="Heading5"/>
        <w:rPr>
          <w:snapToGrid w:val="0"/>
        </w:rPr>
      </w:pPr>
      <w:bookmarkStart w:id="253" w:name="_Toc438270040"/>
      <w:bookmarkStart w:id="254" w:name="_Toc492433138"/>
      <w:bookmarkStart w:id="255" w:name="_Toc316907"/>
      <w:bookmarkStart w:id="256" w:name="_Toc142711717"/>
      <w:bookmarkStart w:id="257" w:name="_Toc150921474"/>
      <w:bookmarkStart w:id="258" w:name="_Toc142721519"/>
      <w:r>
        <w:rPr>
          <w:rStyle w:val="CharSectno"/>
        </w:rPr>
        <w:t>21</w:t>
      </w:r>
      <w:r>
        <w:rPr>
          <w:snapToGrid w:val="0"/>
        </w:rPr>
        <w:t>.</w:t>
      </w:r>
      <w:r>
        <w:rPr>
          <w:snapToGrid w:val="0"/>
        </w:rPr>
        <w:tab/>
        <w:t>Other benefits payable on voluntary severance</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259" w:name="_Toc438270041"/>
      <w:bookmarkStart w:id="260" w:name="_Toc492433139"/>
      <w:bookmarkStart w:id="261" w:name="_Toc316908"/>
      <w:bookmarkStart w:id="262" w:name="_Toc142711718"/>
      <w:bookmarkStart w:id="263" w:name="_Toc150921475"/>
      <w:bookmarkStart w:id="264" w:name="_Toc142721520"/>
      <w:r>
        <w:rPr>
          <w:rStyle w:val="CharSectno"/>
        </w:rPr>
        <w:t>22</w:t>
      </w:r>
      <w:r>
        <w:rPr>
          <w:snapToGrid w:val="0"/>
        </w:rPr>
        <w:t>.</w:t>
      </w:r>
      <w:r>
        <w:rPr>
          <w:snapToGrid w:val="0"/>
        </w:rPr>
        <w:tab/>
        <w:t>Restriction on employment in Public Sector</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Subject to subregulation (2), a person to whom a severance payment is made under regulation 6, 7, 15, 16 or 17 shall not subsequently be employed in the Public Sector before the expiry of the number of weeks </w:t>
      </w:r>
      <w:del w:id="265" w:author="Master Repository Process" w:date="2021-09-11T15:21:00Z">
        <w:r>
          <w:rPr>
            <w:snapToGrid w:val="0"/>
          </w:rPr>
          <w:delText>(</w:delText>
        </w:r>
        <w:r>
          <w:rPr>
            <w:b/>
            <w:snapToGrid w:val="0"/>
          </w:rPr>
          <w:delText>“</w:delText>
        </w:r>
      </w:del>
      <w:ins w:id="266" w:author="Master Repository Process" w:date="2021-09-11T15:21:00Z">
        <w:r>
          <w:rPr>
            <w:snapToGrid w:val="0"/>
          </w:rPr>
          <w:t>(</w:t>
        </w:r>
      </w:ins>
      <w:r>
        <w:rPr>
          <w:rStyle w:val="CharDefText"/>
        </w:rPr>
        <w:t>the period of restriction</w:t>
      </w:r>
      <w:del w:id="267" w:author="Master Repository Process" w:date="2021-09-11T15:21:00Z">
        <w:r>
          <w:rPr>
            <w:b/>
            <w:snapToGrid w:val="0"/>
          </w:rPr>
          <w:delText>”</w:delText>
        </w:r>
        <w:r>
          <w:rPr>
            <w:snapToGrid w:val="0"/>
          </w:rPr>
          <w:delText>)</w:delText>
        </w:r>
      </w:del>
      <w:ins w:id="268" w:author="Master Repository Process" w:date="2021-09-11T15:21:00Z">
        <w:r>
          <w:rPr>
            <w:snapToGrid w:val="0"/>
          </w:rPr>
          <w:t>)</w:t>
        </w:r>
      </w:ins>
      <w:r>
        <w:rPr>
          <w:snapToGrid w:val="0"/>
        </w:rPr>
        <w:t xml:space="preserve"> after the day on which the severance payment is made that is equal to the total of — </w:t>
      </w:r>
    </w:p>
    <w:p>
      <w:pPr>
        <w:pStyle w:val="Indenta"/>
        <w:rPr>
          <w:snapToGrid w:val="0"/>
        </w:rPr>
      </w:pPr>
      <w:r>
        <w:rPr>
          <w:snapToGrid w:val="0"/>
        </w:rPr>
        <w:tab/>
        <w:t>(a)</w:t>
      </w:r>
      <w:r>
        <w:rPr>
          <w:snapToGrid w:val="0"/>
        </w:rPr>
        <w:tab/>
        <w:t xml:space="preserve">the number of weeks in respect of which the person received a severance payment under this Part </w:t>
      </w:r>
      <w:del w:id="269" w:author="Master Repository Process" w:date="2021-09-11T15:21:00Z">
        <w:r>
          <w:rPr>
            <w:snapToGrid w:val="0"/>
          </w:rPr>
          <w:delText>(</w:delText>
        </w:r>
        <w:r>
          <w:rPr>
            <w:b/>
            <w:snapToGrid w:val="0"/>
          </w:rPr>
          <w:delText>“</w:delText>
        </w:r>
      </w:del>
      <w:ins w:id="270" w:author="Master Repository Process" w:date="2021-09-11T15:21:00Z">
        <w:r>
          <w:rPr>
            <w:snapToGrid w:val="0"/>
          </w:rPr>
          <w:t>(</w:t>
        </w:r>
      </w:ins>
      <w:r>
        <w:rPr>
          <w:rStyle w:val="CharDefText"/>
        </w:rPr>
        <w:t>the severance pay period</w:t>
      </w:r>
      <w:del w:id="271" w:author="Master Repository Process" w:date="2021-09-11T15:21:00Z">
        <w:r>
          <w:rPr>
            <w:b/>
            <w:snapToGrid w:val="0"/>
          </w:rPr>
          <w:delText>”</w:delText>
        </w:r>
        <w:r>
          <w:rPr>
            <w:snapToGrid w:val="0"/>
          </w:rPr>
          <w:delText>);</w:delText>
        </w:r>
      </w:del>
      <w:ins w:id="272" w:author="Master Repository Process" w:date="2021-09-11T15:21:00Z">
        <w:r>
          <w:rPr>
            <w:snapToGrid w:val="0"/>
          </w:rPr>
          <w:t>);</w:t>
        </w:r>
      </w:ins>
      <w:r>
        <w:rPr>
          <w:snapToGrid w:val="0"/>
        </w:rPr>
        <w:t xml:space="preserve">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The Minister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Heading2"/>
      </w:pPr>
      <w:bookmarkStart w:id="273" w:name="_Toc142711719"/>
      <w:bookmarkStart w:id="274" w:name="_Toc142711895"/>
      <w:bookmarkStart w:id="275" w:name="_Toc142711931"/>
      <w:bookmarkStart w:id="276" w:name="_Toc142721521"/>
      <w:bookmarkStart w:id="277" w:name="_Toc148923512"/>
      <w:bookmarkStart w:id="278" w:name="_Toc148925036"/>
      <w:bookmarkStart w:id="279" w:name="_Toc149017058"/>
      <w:bookmarkStart w:id="280" w:name="_Toc150921476"/>
      <w:r>
        <w:rPr>
          <w:rStyle w:val="CharPartNo"/>
        </w:rPr>
        <w:t>Part 6</w:t>
      </w:r>
      <w:r>
        <w:rPr>
          <w:rStyle w:val="CharDivNo"/>
        </w:rPr>
        <w:t> </w:t>
      </w:r>
      <w:r>
        <w:t>—</w:t>
      </w:r>
      <w:r>
        <w:rPr>
          <w:rStyle w:val="CharDivText"/>
        </w:rPr>
        <w:t> </w:t>
      </w:r>
      <w:r>
        <w:rPr>
          <w:rStyle w:val="CharPartText"/>
        </w:rPr>
        <w:t>General</w:t>
      </w:r>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438270042"/>
      <w:bookmarkStart w:id="282" w:name="_Toc492433140"/>
      <w:bookmarkStart w:id="283" w:name="_Toc316909"/>
      <w:bookmarkStart w:id="284" w:name="_Toc142711720"/>
      <w:bookmarkStart w:id="285" w:name="_Toc150921477"/>
      <w:bookmarkStart w:id="286" w:name="_Toc142721522"/>
      <w:r>
        <w:rPr>
          <w:rStyle w:val="CharSectno"/>
        </w:rPr>
        <w:t>23</w:t>
      </w:r>
      <w:r>
        <w:rPr>
          <w:snapToGrid w:val="0"/>
        </w:rPr>
        <w:t>.</w:t>
      </w:r>
      <w:r>
        <w:rPr>
          <w:snapToGrid w:val="0"/>
        </w:rPr>
        <w:tab/>
        <w:t>Rate of pay of surplus employees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287" w:name="_Toc438270043"/>
      <w:bookmarkStart w:id="288" w:name="_Toc492433141"/>
      <w:bookmarkStart w:id="289" w:name="_Toc316910"/>
      <w:bookmarkStart w:id="290" w:name="_Toc142711721"/>
      <w:bookmarkStart w:id="291" w:name="_Toc150921478"/>
      <w:bookmarkStart w:id="292" w:name="_Toc142721523"/>
      <w:r>
        <w:rPr>
          <w:rStyle w:val="CharSectno"/>
        </w:rPr>
        <w:t>24</w:t>
      </w:r>
      <w:r>
        <w:rPr>
          <w:snapToGrid w:val="0"/>
        </w:rPr>
        <w:t>.</w:t>
      </w:r>
      <w:r>
        <w:rPr>
          <w:snapToGrid w:val="0"/>
        </w:rPr>
        <w:tab/>
        <w:t>Employing authorities to notify Minister of vacancies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Subject to subregulation (2), whenever a vacancy occurs in an office, post or position in a department or organisation, the employing authority of the department or organisation shall in writing notify the Minister of the vacancy and the vacancy shall not be filled without the approval of the Minister.</w:t>
      </w:r>
    </w:p>
    <w:p>
      <w:pPr>
        <w:pStyle w:val="Subsection"/>
        <w:rPr>
          <w:snapToGrid w:val="0"/>
        </w:rPr>
      </w:pPr>
      <w:r>
        <w:rPr>
          <w:snapToGrid w:val="0"/>
        </w:rPr>
        <w:tab/>
        <w:t>(2)</w:t>
      </w:r>
      <w:r>
        <w:rPr>
          <w:snapToGrid w:val="0"/>
        </w:rPr>
        <w:tab/>
        <w:t>The Minister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Heading5"/>
        <w:rPr>
          <w:snapToGrid w:val="0"/>
        </w:rPr>
      </w:pPr>
      <w:bookmarkStart w:id="293" w:name="_Toc438270044"/>
      <w:bookmarkStart w:id="294" w:name="_Toc492433142"/>
      <w:bookmarkStart w:id="295" w:name="_Toc316911"/>
      <w:bookmarkStart w:id="296" w:name="_Toc142711722"/>
      <w:bookmarkStart w:id="297" w:name="_Toc150921479"/>
      <w:bookmarkStart w:id="298" w:name="_Toc142721524"/>
      <w:r>
        <w:rPr>
          <w:rStyle w:val="CharSectno"/>
        </w:rPr>
        <w:t>25</w:t>
      </w:r>
      <w:r>
        <w:rPr>
          <w:snapToGrid w:val="0"/>
        </w:rPr>
        <w:t>.</w:t>
      </w:r>
      <w:r>
        <w:rPr>
          <w:snapToGrid w:val="0"/>
        </w:rPr>
        <w:tab/>
        <w:t>Prescribed period for certain references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nHeading2"/>
      </w:pPr>
      <w:bookmarkStart w:id="299" w:name="_Toc142711723"/>
      <w:bookmarkStart w:id="300" w:name="_Toc142711899"/>
      <w:bookmarkStart w:id="301" w:name="_Toc142711935"/>
      <w:bookmarkStart w:id="302" w:name="_Toc142721525"/>
      <w:bookmarkStart w:id="303" w:name="_Toc148923516"/>
      <w:bookmarkStart w:id="304" w:name="_Toc148925040"/>
      <w:bookmarkStart w:id="305" w:name="_Toc149017062"/>
      <w:bookmarkStart w:id="306" w:name="_Toc150921480"/>
      <w:r>
        <w:t>Notes</w:t>
      </w:r>
      <w:bookmarkEnd w:id="299"/>
      <w:bookmarkEnd w:id="300"/>
      <w:bookmarkEnd w:id="301"/>
      <w:bookmarkEnd w:id="302"/>
      <w:bookmarkEnd w:id="303"/>
      <w:bookmarkEnd w:id="304"/>
      <w:bookmarkEnd w:id="305"/>
      <w:bookmarkEnd w:id="306"/>
    </w:p>
    <w:p>
      <w:pPr>
        <w:pStyle w:val="nSubsection"/>
        <w:rPr>
          <w:snapToGrid w:val="0"/>
        </w:rPr>
      </w:pPr>
      <w:r>
        <w:rPr>
          <w:snapToGrid w:val="0"/>
          <w:vertAlign w:val="superscript"/>
        </w:rPr>
        <w:t>1</w:t>
      </w:r>
      <w:r>
        <w:rPr>
          <w:snapToGrid w:val="0"/>
        </w:rPr>
        <w:tab/>
        <w:t>This</w:t>
      </w:r>
      <w:del w:id="307" w:author="Master Repository Process" w:date="2021-09-11T15:21:00Z">
        <w:r>
          <w:rPr>
            <w:snapToGrid w:val="0"/>
          </w:rPr>
          <w:delText> </w:delText>
        </w:r>
      </w:del>
      <w:ins w:id="308" w:author="Master Repository Process" w:date="2021-09-11T15:21:00Z">
        <w:r>
          <w:rPr>
            <w:snapToGrid w:val="0"/>
          </w:rPr>
          <w:t xml:space="preserve"> reprint </w:t>
        </w:r>
      </w:ins>
      <w:r>
        <w:rPr>
          <w:snapToGrid w:val="0"/>
        </w:rPr>
        <w:t xml:space="preserve">is a compilation </w:t>
      </w:r>
      <w:ins w:id="309" w:author="Master Repository Process" w:date="2021-09-11T15:21:00Z">
        <w:r>
          <w:rPr>
            <w:snapToGrid w:val="0"/>
          </w:rPr>
          <w:t xml:space="preserve">as at 27 October 2006 </w:t>
        </w:r>
      </w:ins>
      <w:r>
        <w:rPr>
          <w:snapToGrid w:val="0"/>
        </w:rPr>
        <w:t xml:space="preserve">of the </w:t>
      </w:r>
      <w:r>
        <w:rPr>
          <w:i/>
          <w:noProof/>
          <w:snapToGrid w:val="0"/>
        </w:rPr>
        <w:t>Public Sector Management (Redeployment and Redundancy) Regulations</w:t>
      </w:r>
      <w:del w:id="310" w:author="Master Repository Process" w:date="2021-09-11T15:21:00Z">
        <w:r>
          <w:rPr>
            <w:i/>
            <w:snapToGrid w:val="0"/>
          </w:rPr>
          <w:delText> </w:delText>
        </w:r>
      </w:del>
      <w:ins w:id="311" w:author="Master Repository Process" w:date="2021-09-11T15:21:00Z">
        <w:r>
          <w:rPr>
            <w:i/>
            <w:noProof/>
            <w:snapToGrid w:val="0"/>
          </w:rPr>
          <w:t xml:space="preserve"> </w:t>
        </w:r>
      </w:ins>
      <w:r>
        <w:rPr>
          <w:i/>
          <w:noProof/>
          <w:snapToGrid w:val="0"/>
        </w:rPr>
        <w:t>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2" w:name="_Toc150921481"/>
      <w:bookmarkStart w:id="313" w:name="_Toc142711724"/>
      <w:bookmarkStart w:id="314" w:name="_Toc142721526"/>
      <w:r>
        <w:rPr>
          <w:snapToGrid w:val="0"/>
        </w:rPr>
        <w:t>Compilation table</w:t>
      </w:r>
      <w:bookmarkEnd w:id="312"/>
      <w:bookmarkEnd w:id="313"/>
      <w:bookmarkEnd w:id="314"/>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Public Sector Management (Redeployment and Redundancy) Regulations 1994</w:t>
            </w:r>
          </w:p>
        </w:tc>
        <w:tc>
          <w:tcPr>
            <w:tcW w:w="1276" w:type="dxa"/>
            <w:tcBorders>
              <w:top w:val="single" w:sz="8" w:space="0" w:color="auto"/>
            </w:tcBorders>
          </w:tcPr>
          <w:p>
            <w:pPr>
              <w:pStyle w:val="nTable"/>
              <w:spacing w:after="40"/>
              <w:rPr>
                <w:sz w:val="19"/>
              </w:rPr>
            </w:pPr>
            <w:r>
              <w:rPr>
                <w:sz w:val="19"/>
              </w:rPr>
              <w:t>30 Sep 1994 p. 5033</w:t>
            </w:r>
            <w:r>
              <w:rPr>
                <w:sz w:val="19"/>
              </w:rPr>
              <w:noBreakHyphen/>
              <w:t>55</w:t>
            </w:r>
          </w:p>
        </w:tc>
        <w:tc>
          <w:tcPr>
            <w:tcW w:w="2693" w:type="dxa"/>
            <w:tcBorders>
              <w:top w:val="single" w:sz="8" w:space="0" w:color="auto"/>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3119" w:type="dxa"/>
          </w:tcPr>
          <w:p>
            <w:pPr>
              <w:pStyle w:val="nTable"/>
              <w:spacing w:after="40"/>
              <w:ind w:right="113"/>
              <w:rPr>
                <w:sz w:val="19"/>
              </w:rPr>
            </w:pPr>
            <w:r>
              <w:rPr>
                <w:i/>
                <w:sz w:val="19"/>
              </w:rPr>
              <w:t>Public Sector Management (Redeployment and Redundancy) Amendment Regulations 1995</w:t>
            </w:r>
          </w:p>
        </w:tc>
        <w:tc>
          <w:tcPr>
            <w:tcW w:w="1276" w:type="dxa"/>
          </w:tcPr>
          <w:p>
            <w:pPr>
              <w:pStyle w:val="nTable"/>
              <w:spacing w:after="40"/>
              <w:rPr>
                <w:sz w:val="19"/>
              </w:rPr>
            </w:pPr>
            <w:r>
              <w:rPr>
                <w:sz w:val="19"/>
              </w:rPr>
              <w:t>12 Dec 1995 p. 6067</w:t>
            </w:r>
            <w:r>
              <w:rPr>
                <w:sz w:val="19"/>
              </w:rPr>
              <w:noBreakHyphen/>
              <w:t>8</w:t>
            </w:r>
          </w:p>
        </w:tc>
        <w:tc>
          <w:tcPr>
            <w:tcW w:w="2693" w:type="dxa"/>
          </w:tcPr>
          <w:p>
            <w:pPr>
              <w:pStyle w:val="nTable"/>
              <w:spacing w:after="40"/>
              <w:rPr>
                <w:sz w:val="19"/>
              </w:rPr>
            </w:pPr>
            <w:r>
              <w:rPr>
                <w:sz w:val="19"/>
              </w:rPr>
              <w:t>12 Dec 1995</w:t>
            </w:r>
          </w:p>
        </w:tc>
      </w:tr>
      <w:tr>
        <w:trPr>
          <w:cantSplit/>
        </w:trPr>
        <w:tc>
          <w:tcPr>
            <w:tcW w:w="3119" w:type="dxa"/>
          </w:tcPr>
          <w:p>
            <w:pPr>
              <w:pStyle w:val="nTable"/>
              <w:spacing w:after="40"/>
              <w:ind w:right="113"/>
              <w:rPr>
                <w:sz w:val="19"/>
              </w:rPr>
            </w:pPr>
            <w:r>
              <w:rPr>
                <w:i/>
                <w:sz w:val="19"/>
              </w:rPr>
              <w:t>Public Sector Management (Redeployment and Redundancy) Amendment Regulations 1996</w:t>
            </w:r>
          </w:p>
        </w:tc>
        <w:tc>
          <w:tcPr>
            <w:tcW w:w="1276" w:type="dxa"/>
          </w:tcPr>
          <w:p>
            <w:pPr>
              <w:pStyle w:val="nTable"/>
              <w:spacing w:after="40"/>
              <w:rPr>
                <w:sz w:val="19"/>
              </w:rPr>
            </w:pPr>
            <w:r>
              <w:rPr>
                <w:sz w:val="19"/>
              </w:rPr>
              <w:t>24 May 1996 p. 2166</w:t>
            </w:r>
            <w:r>
              <w:rPr>
                <w:sz w:val="19"/>
              </w:rPr>
              <w:noBreakHyphen/>
              <w:t>8</w:t>
            </w:r>
          </w:p>
        </w:tc>
        <w:tc>
          <w:tcPr>
            <w:tcW w:w="2693" w:type="dxa"/>
          </w:tcPr>
          <w:p>
            <w:pPr>
              <w:pStyle w:val="nTable"/>
              <w:spacing w:after="40"/>
              <w:rPr>
                <w:sz w:val="19"/>
              </w:rPr>
            </w:pPr>
            <w:r>
              <w:rPr>
                <w:sz w:val="19"/>
              </w:rPr>
              <w:t>24 May 1996</w:t>
            </w:r>
          </w:p>
        </w:tc>
      </w:tr>
      <w:tr>
        <w:trPr>
          <w:cantSplit/>
        </w:trPr>
        <w:tc>
          <w:tcPr>
            <w:tcW w:w="3119" w:type="dxa"/>
          </w:tcPr>
          <w:p>
            <w:pPr>
              <w:pStyle w:val="nTable"/>
              <w:spacing w:after="40"/>
              <w:ind w:right="113"/>
              <w:rPr>
                <w:sz w:val="19"/>
              </w:rPr>
            </w:pPr>
            <w:r>
              <w:rPr>
                <w:i/>
                <w:sz w:val="19"/>
              </w:rPr>
              <w:t>Public Sector Management (Redeployment and Redundancy) Amendment Regulations (No. 2) 1996</w:t>
            </w:r>
          </w:p>
        </w:tc>
        <w:tc>
          <w:tcPr>
            <w:tcW w:w="1276" w:type="dxa"/>
          </w:tcPr>
          <w:p>
            <w:pPr>
              <w:pStyle w:val="nTable"/>
              <w:spacing w:after="40"/>
              <w:rPr>
                <w:sz w:val="19"/>
              </w:rPr>
            </w:pPr>
            <w:r>
              <w:rPr>
                <w:sz w:val="19"/>
              </w:rPr>
              <w:t>16 Aug 1996 p. 4049</w:t>
            </w:r>
            <w:r>
              <w:rPr>
                <w:sz w:val="19"/>
              </w:rPr>
              <w:noBreakHyphen/>
              <w:t>50</w:t>
            </w:r>
          </w:p>
        </w:tc>
        <w:tc>
          <w:tcPr>
            <w:tcW w:w="2693" w:type="dxa"/>
          </w:tcPr>
          <w:p>
            <w:pPr>
              <w:pStyle w:val="nTable"/>
              <w:spacing w:after="40"/>
              <w:rPr>
                <w:sz w:val="19"/>
              </w:rPr>
            </w:pPr>
            <w:r>
              <w:rPr>
                <w:sz w:val="19"/>
              </w:rPr>
              <w:t>16 Aug 1996</w:t>
            </w:r>
          </w:p>
        </w:tc>
      </w:tr>
      <w:tr>
        <w:trPr>
          <w:cantSplit/>
        </w:trPr>
        <w:tc>
          <w:tcPr>
            <w:tcW w:w="3119" w:type="dxa"/>
          </w:tcPr>
          <w:p>
            <w:pPr>
              <w:pStyle w:val="nTable"/>
              <w:spacing w:after="40"/>
              <w:ind w:right="113"/>
              <w:rPr>
                <w:i/>
                <w:sz w:val="19"/>
              </w:rPr>
            </w:pPr>
            <w:r>
              <w:rPr>
                <w:i/>
                <w:sz w:val="19"/>
              </w:rPr>
              <w:t>Public Sector Management (Redeployment and Redundancy) Amendment Regulations 2000</w:t>
            </w:r>
            <w:del w:id="315" w:author="Master Repository Process" w:date="2021-09-11T15:21:00Z">
              <w:r>
                <w:rPr>
                  <w:i/>
                  <w:sz w:val="19"/>
                </w:rPr>
                <w:delText>.</w:delText>
              </w:r>
            </w:del>
          </w:p>
        </w:tc>
        <w:tc>
          <w:tcPr>
            <w:tcW w:w="1276" w:type="dxa"/>
          </w:tcPr>
          <w:p>
            <w:pPr>
              <w:pStyle w:val="nTable"/>
              <w:spacing w:after="40"/>
              <w:rPr>
                <w:sz w:val="19"/>
              </w:rPr>
            </w:pPr>
            <w:r>
              <w:rPr>
                <w:sz w:val="19"/>
              </w:rPr>
              <w:t>1 Sep 2000 p. 5019</w:t>
            </w:r>
            <w:r>
              <w:rPr>
                <w:sz w:val="19"/>
              </w:rPr>
              <w:noBreakHyphen/>
              <w:t>20</w:t>
            </w:r>
          </w:p>
        </w:tc>
        <w:tc>
          <w:tcPr>
            <w:tcW w:w="2693" w:type="dxa"/>
          </w:tcPr>
          <w:p>
            <w:pPr>
              <w:pStyle w:val="nTable"/>
              <w:spacing w:after="40"/>
              <w:rPr>
                <w:sz w:val="19"/>
              </w:rPr>
            </w:pPr>
            <w:r>
              <w:rPr>
                <w:sz w:val="19"/>
              </w:rPr>
              <w:t>1 Sep 2000</w:t>
            </w:r>
          </w:p>
        </w:tc>
      </w:tr>
      <w:tr>
        <w:trPr>
          <w:cantSplit/>
        </w:trPr>
        <w:tc>
          <w:tcPr>
            <w:tcW w:w="7088" w:type="dxa"/>
            <w:gridSpan w:val="3"/>
          </w:tcPr>
          <w:p>
            <w:pPr>
              <w:pStyle w:val="nTable"/>
              <w:spacing w:after="40"/>
              <w:rPr>
                <w:sz w:val="19"/>
              </w:rPr>
            </w:pPr>
            <w:r>
              <w:rPr>
                <w:b/>
                <w:sz w:val="19"/>
              </w:rPr>
              <w:t xml:space="preserve">Reprint of the </w:t>
            </w:r>
            <w:r>
              <w:rPr>
                <w:b/>
                <w:i/>
                <w:sz w:val="19"/>
              </w:rPr>
              <w:t>Public Sector Management (Redeployment and Redundancy) Regulations</w:t>
            </w:r>
            <w:del w:id="316" w:author="Master Repository Process" w:date="2021-09-11T15:21:00Z">
              <w:r>
                <w:rPr>
                  <w:b/>
                  <w:i/>
                  <w:sz w:val="19"/>
                </w:rPr>
                <w:delText xml:space="preserve"> </w:delText>
              </w:r>
            </w:del>
            <w:ins w:id="317" w:author="Master Repository Process" w:date="2021-09-11T15:21:00Z">
              <w:r>
                <w:rPr>
                  <w:b/>
                  <w:i/>
                  <w:sz w:val="19"/>
                </w:rPr>
                <w:t> </w:t>
              </w:r>
            </w:ins>
            <w:r>
              <w:rPr>
                <w:b/>
                <w:i/>
                <w:sz w:val="19"/>
              </w:rPr>
              <w:t>1994</w:t>
            </w:r>
            <w:r>
              <w:rPr>
                <w:b/>
                <w:sz w:val="19"/>
              </w:rPr>
              <w:t xml:space="preserve"> as at 1 Mar 2002 </w:t>
            </w:r>
            <w:r>
              <w:rPr>
                <w:sz w:val="19"/>
              </w:rPr>
              <w:t>(includes amendments listed above)</w:t>
            </w:r>
          </w:p>
        </w:tc>
      </w:tr>
      <w:tr>
        <w:trPr>
          <w:cantSplit/>
        </w:trPr>
        <w:tc>
          <w:tcPr>
            <w:tcW w:w="3119" w:type="dxa"/>
          </w:tcPr>
          <w:p>
            <w:pPr>
              <w:pStyle w:val="nTable"/>
              <w:spacing w:after="40"/>
              <w:ind w:right="113"/>
              <w:rPr>
                <w:i/>
                <w:sz w:val="19"/>
              </w:rPr>
            </w:pPr>
            <w:r>
              <w:rPr>
                <w:i/>
                <w:sz w:val="19"/>
              </w:rPr>
              <w:t>Public Sector Management (Redeployment and Redundancy) Amendment Regulations 2002</w:t>
            </w:r>
          </w:p>
        </w:tc>
        <w:tc>
          <w:tcPr>
            <w:tcW w:w="1276" w:type="dxa"/>
          </w:tcPr>
          <w:p>
            <w:pPr>
              <w:pStyle w:val="nTable"/>
              <w:spacing w:after="40"/>
              <w:rPr>
                <w:sz w:val="19"/>
              </w:rPr>
            </w:pPr>
            <w:r>
              <w:rPr>
                <w:sz w:val="19"/>
              </w:rPr>
              <w:t>19 Apr 2002 p. 2117-18</w:t>
            </w:r>
          </w:p>
        </w:tc>
        <w:tc>
          <w:tcPr>
            <w:tcW w:w="2693" w:type="dxa"/>
          </w:tcPr>
          <w:p>
            <w:pPr>
              <w:pStyle w:val="nTable"/>
              <w:spacing w:after="40"/>
              <w:rPr>
                <w:sz w:val="19"/>
              </w:rPr>
            </w:pPr>
            <w:r>
              <w:rPr>
                <w:sz w:val="19"/>
              </w:rPr>
              <w:t>19 Apr 2002</w:t>
            </w:r>
          </w:p>
        </w:tc>
      </w:tr>
      <w:tr>
        <w:trPr>
          <w:cantSplit/>
        </w:trPr>
        <w:tc>
          <w:tcPr>
            <w:tcW w:w="3119" w:type="dxa"/>
            <w:tcBorders>
              <w:bottom w:val="nil"/>
            </w:tcBorders>
          </w:tcPr>
          <w:p>
            <w:pPr>
              <w:pStyle w:val="nTable"/>
              <w:spacing w:after="40"/>
              <w:ind w:right="113"/>
              <w:rPr>
                <w:i/>
                <w:sz w:val="19"/>
              </w:rPr>
            </w:pPr>
            <w:r>
              <w:rPr>
                <w:i/>
                <w:sz w:val="19"/>
              </w:rPr>
              <w:t>Public Sector Management (Redeployment and Redundancy) Amendment Regulations 2003</w:t>
            </w:r>
          </w:p>
        </w:tc>
        <w:tc>
          <w:tcPr>
            <w:tcW w:w="1276" w:type="dxa"/>
            <w:tcBorders>
              <w:bottom w:val="nil"/>
            </w:tcBorders>
          </w:tcPr>
          <w:p>
            <w:pPr>
              <w:pStyle w:val="nTable"/>
              <w:spacing w:after="40"/>
              <w:rPr>
                <w:sz w:val="19"/>
              </w:rPr>
            </w:pPr>
            <w:r>
              <w:rPr>
                <w:sz w:val="19"/>
              </w:rPr>
              <w:t>16 May 2003 p. 1703</w:t>
            </w:r>
          </w:p>
        </w:tc>
        <w:tc>
          <w:tcPr>
            <w:tcW w:w="2693" w:type="dxa"/>
            <w:tcBorders>
              <w:bottom w:val="nil"/>
            </w:tcBorders>
          </w:tcPr>
          <w:p>
            <w:pPr>
              <w:pStyle w:val="nTable"/>
              <w:spacing w:after="40"/>
              <w:rPr>
                <w:sz w:val="19"/>
              </w:rPr>
            </w:pPr>
            <w:r>
              <w:rPr>
                <w:sz w:val="19"/>
              </w:rPr>
              <w:t>16 May 2003</w:t>
            </w:r>
          </w:p>
        </w:tc>
      </w:tr>
      <w:tr>
        <w:trPr>
          <w:cantSplit/>
        </w:trPr>
        <w:tc>
          <w:tcPr>
            <w:tcW w:w="3119" w:type="dxa"/>
            <w:tcBorders>
              <w:bottom w:val="nil"/>
            </w:tcBorders>
          </w:tcPr>
          <w:p>
            <w:pPr>
              <w:pStyle w:val="nTable"/>
              <w:spacing w:after="40"/>
              <w:ind w:right="113"/>
              <w:rPr>
                <w:i/>
                <w:sz w:val="19"/>
              </w:rPr>
            </w:pPr>
            <w:r>
              <w:rPr>
                <w:i/>
                <w:sz w:val="19"/>
              </w:rPr>
              <w:t>Labour Relations Reform (Consequential Amendments) Regulations 2003</w:t>
            </w:r>
            <w:r>
              <w:rPr>
                <w:sz w:val="19"/>
              </w:rPr>
              <w:t xml:space="preserve"> r. 15</w:t>
            </w:r>
          </w:p>
        </w:tc>
        <w:tc>
          <w:tcPr>
            <w:tcW w:w="1276" w:type="dxa"/>
            <w:tcBorders>
              <w:bottom w:val="nil"/>
            </w:tcBorders>
          </w:tcPr>
          <w:p>
            <w:pPr>
              <w:pStyle w:val="nTable"/>
              <w:spacing w:after="40"/>
              <w:rPr>
                <w:sz w:val="19"/>
              </w:rPr>
            </w:pPr>
            <w:r>
              <w:rPr>
                <w:sz w:val="19"/>
              </w:rPr>
              <w:t>15 Aug 2003 p. 3685-92</w:t>
            </w:r>
          </w:p>
        </w:tc>
        <w:tc>
          <w:tcPr>
            <w:tcW w:w="2693" w:type="dxa"/>
            <w:tcBorders>
              <w:bottom w:val="nil"/>
            </w:tcBorders>
          </w:tcPr>
          <w:p>
            <w:pPr>
              <w:pStyle w:val="nTable"/>
              <w:spacing w:after="40"/>
              <w:rPr>
                <w:sz w:val="19"/>
              </w:rPr>
            </w:pPr>
            <w:r>
              <w:rPr>
                <w:sz w:val="19"/>
              </w:rPr>
              <w:t>15 Sep 2003 (see r. 2)</w:t>
            </w:r>
          </w:p>
        </w:tc>
      </w:tr>
      <w:tr>
        <w:trPr>
          <w:cantSplit/>
        </w:trPr>
        <w:tc>
          <w:tcPr>
            <w:tcW w:w="3119" w:type="dxa"/>
            <w:tcBorders>
              <w:top w:val="nil"/>
              <w:bottom w:val="nil"/>
            </w:tcBorders>
          </w:tcPr>
          <w:p>
            <w:pPr>
              <w:pStyle w:val="nTable"/>
              <w:spacing w:after="40"/>
              <w:ind w:right="113"/>
              <w:rPr>
                <w:i/>
                <w:sz w:val="19"/>
              </w:rPr>
            </w:pPr>
            <w:r>
              <w:rPr>
                <w:i/>
                <w:sz w:val="19"/>
              </w:rPr>
              <w:t>Public Sector Management (Redeployment and Redundancy) Amendment Regulations 2006</w:t>
            </w:r>
          </w:p>
        </w:tc>
        <w:tc>
          <w:tcPr>
            <w:tcW w:w="1276" w:type="dxa"/>
            <w:tcBorders>
              <w:top w:val="nil"/>
              <w:bottom w:val="nil"/>
            </w:tcBorders>
          </w:tcPr>
          <w:p>
            <w:pPr>
              <w:pStyle w:val="nTable"/>
              <w:spacing w:after="40"/>
              <w:rPr>
                <w:sz w:val="19"/>
              </w:rPr>
            </w:pPr>
            <w:r>
              <w:rPr>
                <w:sz w:val="19"/>
              </w:rPr>
              <w:t>8 Aug 2006 p. 2903</w:t>
            </w:r>
            <w:r>
              <w:rPr>
                <w:sz w:val="19"/>
              </w:rPr>
              <w:noBreakHyphen/>
              <w:t>5</w:t>
            </w:r>
          </w:p>
        </w:tc>
        <w:tc>
          <w:tcPr>
            <w:tcW w:w="2693" w:type="dxa"/>
            <w:tcBorders>
              <w:top w:val="nil"/>
              <w:bottom w:val="nil"/>
            </w:tcBorders>
          </w:tcPr>
          <w:p>
            <w:pPr>
              <w:pStyle w:val="nTable"/>
              <w:spacing w:after="40"/>
              <w:rPr>
                <w:sz w:val="19"/>
              </w:rPr>
            </w:pPr>
            <w:r>
              <w:rPr>
                <w:sz w:val="19"/>
              </w:rPr>
              <w:t>8 Aug 2006</w:t>
            </w:r>
          </w:p>
        </w:tc>
      </w:tr>
      <w:tr>
        <w:trPr>
          <w:cantSplit/>
          <w:ins w:id="318" w:author="Master Repository Process" w:date="2021-09-11T15:21:00Z"/>
        </w:trPr>
        <w:tc>
          <w:tcPr>
            <w:tcW w:w="7088" w:type="dxa"/>
            <w:gridSpan w:val="3"/>
            <w:tcBorders>
              <w:top w:val="nil"/>
              <w:bottom w:val="single" w:sz="8" w:space="0" w:color="auto"/>
            </w:tcBorders>
          </w:tcPr>
          <w:p>
            <w:pPr>
              <w:pStyle w:val="nTable"/>
              <w:spacing w:after="40"/>
              <w:rPr>
                <w:ins w:id="319" w:author="Master Repository Process" w:date="2021-09-11T15:21:00Z"/>
                <w:sz w:val="19"/>
              </w:rPr>
            </w:pPr>
            <w:ins w:id="320" w:author="Master Repository Process" w:date="2021-09-11T15:21:00Z">
              <w:r>
                <w:rPr>
                  <w:b/>
                  <w:sz w:val="19"/>
                </w:rPr>
                <w:t xml:space="preserve">Reprint 2: The </w:t>
              </w:r>
              <w:r>
                <w:rPr>
                  <w:b/>
                  <w:i/>
                  <w:sz w:val="19"/>
                </w:rPr>
                <w:t>Public Sector Management (Redeployment and Redundancy) Regulations 1994</w:t>
              </w:r>
              <w:r>
                <w:rPr>
                  <w:b/>
                  <w:sz w:val="19"/>
                </w:rPr>
                <w:t xml:space="preserve"> as at 27 Oct 2006 </w:t>
              </w:r>
              <w:r>
                <w:rPr>
                  <w:sz w:val="19"/>
                </w:rPr>
                <w:t>(includes amendments listed above)</w:t>
              </w:r>
            </w:ins>
          </w:p>
        </w:tc>
      </w:tr>
    </w:tbl>
    <w:p>
      <w:pPr>
        <w:rPr>
          <w:sz w:val="16"/>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(Redeployment and Redundancy)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7801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EA46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B09D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942F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BAA0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E813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1EF5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4C0C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484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BE86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048DD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1F0F3F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7EB5B97-F5D5-4A6F-A6AB-3C0325B0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6400</Words>
  <Characters>32133</Characters>
  <Application>Microsoft Office Word</Application>
  <DocSecurity>0</DocSecurity>
  <Lines>868</Lines>
  <Paragraphs>423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38110</CharactersWithSpaces>
  <SharedDoc>false</SharedDoc>
  <HLinks>
    <vt:vector size="12" baseType="variant">
      <vt:variant>
        <vt:i4>65542</vt:i4>
      </vt:variant>
      <vt:variant>
        <vt:i4>4259</vt:i4>
      </vt:variant>
      <vt:variant>
        <vt:i4>1025</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01-d0-03 - 02-a0-04</dc:title>
  <dc:subject/>
  <dc:creator/>
  <cp:keywords/>
  <dc:description/>
  <cp:lastModifiedBy>Master Repository Process</cp:lastModifiedBy>
  <cp:revision>2</cp:revision>
  <cp:lastPrinted>2006-10-19T02:30:00Z</cp:lastPrinted>
  <dcterms:created xsi:type="dcterms:W3CDTF">2021-09-11T07:20:00Z</dcterms:created>
  <dcterms:modified xsi:type="dcterms:W3CDTF">2021-09-11T07:21:00Z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20061027</vt:lpwstr>
  </property>
  <property fmtid="{D5CDD505-2E9C-101B-9397-08002B2CF9AE}" pid="4" name="DocumentType">
    <vt:lpwstr>Reg</vt:lpwstr>
  </property>
  <property fmtid="{D5CDD505-2E9C-101B-9397-08002B2CF9AE}" pid="5" name="OwlsUID">
    <vt:i4>4722</vt:i4>
  </property>
  <property fmtid="{D5CDD505-2E9C-101B-9397-08002B2CF9AE}" pid="6" name="ReprintedAsAt">
    <vt:filetime>2006-10-26T16:00:00Z</vt:filetime>
  </property>
  <property fmtid="{D5CDD505-2E9C-101B-9397-08002B2CF9AE}" pid="7" name="ReprintNo">
    <vt:lpwstr>2</vt:lpwstr>
  </property>
  <property fmtid="{D5CDD505-2E9C-101B-9397-08002B2CF9AE}" pid="8" name="FromSuffix">
    <vt:lpwstr>01-d0-03</vt:lpwstr>
  </property>
  <property fmtid="{D5CDD505-2E9C-101B-9397-08002B2CF9AE}" pid="9" name="FromAsAtDate">
    <vt:lpwstr>08 Aug 2006</vt:lpwstr>
  </property>
  <property fmtid="{D5CDD505-2E9C-101B-9397-08002B2CF9AE}" pid="10" name="ToSuffix">
    <vt:lpwstr>02-a0-04</vt:lpwstr>
  </property>
  <property fmtid="{D5CDD505-2E9C-101B-9397-08002B2CF9AE}" pid="11" name="ToAsAtDate">
    <vt:lpwstr>27 Oct 2006</vt:lpwstr>
  </property>
</Properties>
</file>