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2017</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13 Nov 2018</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 w:name="_Toc529883300"/>
      <w:bookmarkStart w:id="2" w:name="_Toc473730069"/>
      <w:r>
        <w:rPr>
          <w:rStyle w:val="CharSectno"/>
        </w:rPr>
        <w:t>1</w:t>
      </w:r>
      <w:bookmarkStart w:id="3" w:name="_GoBack"/>
      <w:bookmarkEnd w:id="3"/>
      <w:r>
        <w:t>.</w:t>
      </w:r>
      <w:r>
        <w:tab/>
        <w:t>Citation</w:t>
      </w:r>
      <w:bookmarkEnd w:id="1"/>
      <w:bookmarkEnd w:id="2"/>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4" w:name="_Toc529883301"/>
      <w:bookmarkStart w:id="5" w:name="_Toc473730070"/>
      <w:r>
        <w:rPr>
          <w:rStyle w:val="CharSectno"/>
        </w:rPr>
        <w:t>2</w:t>
      </w:r>
      <w:r>
        <w:rPr>
          <w:spacing w:val="-2"/>
        </w:rPr>
        <w:t>.</w:t>
      </w:r>
      <w:r>
        <w:rPr>
          <w:spacing w:val="-2"/>
        </w:rPr>
        <w:tab/>
        <w:t>Commencement</w:t>
      </w:r>
      <w:bookmarkEnd w:id="4"/>
      <w:bookmarkEnd w:id="5"/>
    </w:p>
    <w:p>
      <w:pPr>
        <w:pStyle w:val="Subsection"/>
      </w:pPr>
      <w:r>
        <w:tab/>
      </w:r>
      <w:r>
        <w:tab/>
        <w:t>These regulations come into operation on 1 February 2005.</w:t>
      </w:r>
    </w:p>
    <w:p>
      <w:pPr>
        <w:pStyle w:val="Heading5"/>
        <w:spacing w:before="240"/>
      </w:pPr>
      <w:bookmarkStart w:id="6" w:name="_Toc529883302"/>
      <w:bookmarkStart w:id="7" w:name="_Toc473730071"/>
      <w:r>
        <w:rPr>
          <w:rStyle w:val="CharSectno"/>
        </w:rPr>
        <w:t>3</w:t>
      </w:r>
      <w:r>
        <w:t>.</w:t>
      </w:r>
      <w:r>
        <w:tab/>
        <w:t>Terms used</w:t>
      </w:r>
      <w:bookmarkEnd w:id="6"/>
      <w:bookmarkEnd w:id="7"/>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lastRenderedPageBreak/>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in Gazette 1 Jun 2007 p. 2525</w:t>
      </w:r>
      <w:r>
        <w:noBreakHyphen/>
        <w:t>6; amended in Gazette 8 Nov 2013 p.</w:t>
      </w:r>
      <w:r>
        <w:rPr>
          <w:sz w:val="19"/>
        </w:rPr>
        <w:t> </w:t>
      </w:r>
      <w:r>
        <w:t>4995-7.]</w:t>
      </w:r>
    </w:p>
    <w:p>
      <w:pPr>
        <w:pStyle w:val="Heading5"/>
      </w:pPr>
      <w:bookmarkStart w:id="8" w:name="_Toc529883303"/>
      <w:bookmarkStart w:id="9" w:name="_Toc473730072"/>
      <w:r>
        <w:rPr>
          <w:rStyle w:val="CharSectno"/>
        </w:rPr>
        <w:t>4</w:t>
      </w:r>
      <w:r>
        <w:t>.</w:t>
      </w:r>
      <w:r>
        <w:tab/>
        <w:t>Authorised persons (s. 3)</w:t>
      </w:r>
      <w:bookmarkEnd w:id="8"/>
      <w:bookmarkEnd w:id="9"/>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10" w:name="_Toc529883304"/>
      <w:bookmarkStart w:id="11" w:name="_Toc473730073"/>
      <w:r>
        <w:rPr>
          <w:rStyle w:val="CharSectno"/>
        </w:rPr>
        <w:t>5</w:t>
      </w:r>
      <w:r>
        <w:t>.</w:t>
      </w:r>
      <w:r>
        <w:tab/>
        <w:t>Corresponding Acts (s. 3)</w:t>
      </w:r>
      <w:bookmarkEnd w:id="10"/>
      <w:bookmarkEnd w:id="11"/>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12" w:name="_Toc529883305"/>
      <w:bookmarkStart w:id="13" w:name="_Toc473730074"/>
      <w:r>
        <w:rPr>
          <w:rStyle w:val="CharSectno"/>
        </w:rPr>
        <w:t>6</w:t>
      </w:r>
      <w:r>
        <w:t>.</w:t>
      </w:r>
      <w:r>
        <w:tab/>
        <w:t>Corresponding offender reporting orders (s. 3)</w:t>
      </w:r>
      <w:bookmarkEnd w:id="12"/>
      <w:bookmarkEnd w:id="13"/>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14" w:name="_Toc529883306"/>
      <w:bookmarkStart w:id="15" w:name="_Toc473730075"/>
      <w:r>
        <w:rPr>
          <w:rStyle w:val="CharSectno"/>
        </w:rPr>
        <w:t>6A</w:t>
      </w:r>
      <w:r>
        <w:t>.</w:t>
      </w:r>
      <w:r>
        <w:tab/>
        <w:t>Sentences (s. 3)</w:t>
      </w:r>
      <w:bookmarkEnd w:id="14"/>
      <w:bookmarkEnd w:id="15"/>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16" w:name="_Toc529883307"/>
      <w:bookmarkStart w:id="17" w:name="_Toc473730076"/>
      <w:r>
        <w:rPr>
          <w:rStyle w:val="CharSectno"/>
        </w:rPr>
        <w:t>7</w:t>
      </w:r>
      <w:r>
        <w:t>.</w:t>
      </w:r>
      <w:r>
        <w:tab/>
        <w:t>Supervising authorities (s. 3)</w:t>
      </w:r>
      <w:bookmarkEnd w:id="16"/>
      <w:bookmarkEnd w:id="17"/>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Public Health Act 2016</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in Gazette 1 Jun 2007 p. 2528; 16 Jun 2015 p. 2077</w:t>
      </w:r>
      <w:r>
        <w:noBreakHyphen/>
        <w:t>8; 10 Jan 2017 p. 222.]</w:t>
      </w:r>
    </w:p>
    <w:p>
      <w:pPr>
        <w:pStyle w:val="Heading5"/>
      </w:pPr>
      <w:bookmarkStart w:id="18" w:name="_Toc529883308"/>
      <w:bookmarkStart w:id="19" w:name="_Toc473730077"/>
      <w:r>
        <w:rPr>
          <w:rStyle w:val="CharSectno"/>
        </w:rPr>
        <w:t>8</w:t>
      </w:r>
      <w:r>
        <w:t>.</w:t>
      </w:r>
      <w:r>
        <w:tab/>
        <w:t>Offences — relevance if committed by child (s. 6)</w:t>
      </w:r>
      <w:bookmarkEnd w:id="18"/>
      <w:bookmarkEnd w:id="19"/>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in Gazette 1 Jul 2011 p. 2746</w:t>
      </w:r>
      <w:r>
        <w:noBreakHyphen/>
        <w:t>7.]</w:t>
      </w:r>
    </w:p>
    <w:p>
      <w:pPr>
        <w:pStyle w:val="Heading5"/>
      </w:pPr>
      <w:bookmarkStart w:id="20" w:name="_Toc529883309"/>
      <w:bookmarkStart w:id="21" w:name="_Toc473730078"/>
      <w:r>
        <w:rPr>
          <w:rStyle w:val="CharSectno"/>
        </w:rPr>
        <w:t>9</w:t>
      </w:r>
      <w:r>
        <w:t>.</w:t>
      </w:r>
      <w:r>
        <w:tab/>
        <w:t>Foreign witness protection laws (s. 6 and 75)</w:t>
      </w:r>
      <w:bookmarkEnd w:id="20"/>
      <w:bookmarkEnd w:id="21"/>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22" w:name="_Toc529883310"/>
      <w:bookmarkStart w:id="23" w:name="_Toc473730079"/>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22"/>
      <w:bookmarkEnd w:id="23"/>
    </w:p>
    <w:p>
      <w:pPr>
        <w:pStyle w:val="Subsection"/>
      </w:pPr>
      <w:r>
        <w:tab/>
      </w:r>
      <w:r>
        <w:tab/>
        <w:t>For the purposes of section 8 of the Act, 1 February 2005 is specified.</w:t>
      </w:r>
    </w:p>
    <w:p>
      <w:pPr>
        <w:pStyle w:val="Heading5"/>
      </w:pPr>
      <w:bookmarkStart w:id="24" w:name="_Toc529883311"/>
      <w:bookmarkStart w:id="25" w:name="_Toc473730080"/>
      <w:r>
        <w:rPr>
          <w:rStyle w:val="CharSectno"/>
        </w:rPr>
        <w:t>11A</w:t>
      </w:r>
      <w:r>
        <w:t>.</w:t>
      </w:r>
      <w:r>
        <w:tab/>
        <w:t>Class 1 offences (s. 10)</w:t>
      </w:r>
      <w:bookmarkEnd w:id="24"/>
      <w:bookmarkEnd w:id="25"/>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in Gazette 21 Jan 2011 p. 158.]</w:t>
      </w:r>
    </w:p>
    <w:p>
      <w:pPr>
        <w:pStyle w:val="Heading5"/>
      </w:pPr>
      <w:bookmarkStart w:id="26" w:name="_Toc529883312"/>
      <w:bookmarkStart w:id="27" w:name="_Toc473730081"/>
      <w:r>
        <w:rPr>
          <w:rStyle w:val="CharSectno"/>
        </w:rPr>
        <w:t>11</w:t>
      </w:r>
      <w:r>
        <w:t>.</w:t>
      </w:r>
      <w:r>
        <w:tab/>
        <w:t>Class 2 offences (s. 11)</w:t>
      </w:r>
      <w:bookmarkEnd w:id="26"/>
      <w:bookmarkEnd w:id="27"/>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in Gazette 21 Jan 2011 p. 158.]</w:t>
      </w:r>
    </w:p>
    <w:p>
      <w:pPr>
        <w:pStyle w:val="Heading5"/>
      </w:pPr>
      <w:bookmarkStart w:id="28" w:name="_Toc529883313"/>
      <w:bookmarkStart w:id="29" w:name="_Toc473730082"/>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28"/>
      <w:bookmarkEnd w:id="29"/>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30" w:name="_Toc529883314"/>
      <w:bookmarkStart w:id="31" w:name="_Toc473730083"/>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30"/>
      <w:bookmarkEnd w:id="31"/>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32" w:name="_Toc529883315"/>
      <w:bookmarkStart w:id="33" w:name="_Toc473730084"/>
      <w:r>
        <w:rPr>
          <w:rStyle w:val="CharSectno"/>
        </w:rPr>
        <w:t>14</w:t>
      </w:r>
      <w:r>
        <w:t>.</w:t>
      </w:r>
      <w:r>
        <w:tab/>
        <w:t>Directions as to police station or approved place at which reportable offender must report (s. 34)</w:t>
      </w:r>
      <w:bookmarkEnd w:id="32"/>
      <w:bookmarkEnd w:id="33"/>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34" w:name="_Toc529883316"/>
      <w:bookmarkStart w:id="35" w:name="_Toc473730085"/>
      <w:r>
        <w:rPr>
          <w:rStyle w:val="CharSectno"/>
        </w:rPr>
        <w:t>15</w:t>
      </w:r>
      <w:r>
        <w:t>.</w:t>
      </w:r>
      <w:r>
        <w:tab/>
        <w:t>Prescribed form of identification (s. 38(2A)(a)(iv))</w:t>
      </w:r>
      <w:bookmarkEnd w:id="34"/>
      <w:bookmarkEnd w:id="35"/>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in Gazette 5 Aug 2014 p. 2830.]</w:t>
      </w:r>
    </w:p>
    <w:p>
      <w:pPr>
        <w:pStyle w:val="Heading5"/>
      </w:pPr>
      <w:bookmarkStart w:id="36" w:name="_Toc529883317"/>
      <w:bookmarkStart w:id="37" w:name="_Toc473730086"/>
      <w:r>
        <w:rPr>
          <w:rStyle w:val="CharSectno"/>
        </w:rPr>
        <w:t>16</w:t>
      </w:r>
      <w:r>
        <w:t>.</w:t>
      </w:r>
      <w:r>
        <w:tab/>
        <w:t>Prescribed distance — reporting by remote offenders (s. 43)</w:t>
      </w:r>
      <w:bookmarkEnd w:id="36"/>
      <w:bookmarkEnd w:id="37"/>
    </w:p>
    <w:p>
      <w:pPr>
        <w:pStyle w:val="Subsection"/>
      </w:pPr>
      <w:r>
        <w:tab/>
      </w:r>
      <w:r>
        <w:tab/>
        <w:t>For the purposes of section 43(1) of the Act, the prescribed distance is 100 km.</w:t>
      </w:r>
    </w:p>
    <w:p>
      <w:pPr>
        <w:pStyle w:val="Heading5"/>
      </w:pPr>
      <w:bookmarkStart w:id="38" w:name="_Toc529883318"/>
      <w:bookmarkStart w:id="39" w:name="_Toc473730087"/>
      <w:r>
        <w:rPr>
          <w:rStyle w:val="CharSectno"/>
        </w:rPr>
        <w:t>17</w:t>
      </w:r>
      <w:r>
        <w:t>.</w:t>
      </w:r>
      <w:r>
        <w:tab/>
        <w:t>Offences — approval by Commissioner of suspension of reporting obligations (s. 61)</w:t>
      </w:r>
      <w:bookmarkEnd w:id="38"/>
      <w:bookmarkEnd w:id="39"/>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 8 Nov 2013 p.</w:t>
      </w:r>
      <w:r>
        <w:rPr>
          <w:sz w:val="19"/>
        </w:rPr>
        <w:t> </w:t>
      </w:r>
      <w:r>
        <w:t>4997.]</w:t>
      </w:r>
    </w:p>
    <w:p>
      <w:pPr>
        <w:pStyle w:val="Heading5"/>
      </w:pPr>
      <w:bookmarkStart w:id="40" w:name="_Toc529883319"/>
      <w:bookmarkStart w:id="41" w:name="_Toc473730088"/>
      <w:r>
        <w:rPr>
          <w:rStyle w:val="CharSectno"/>
        </w:rPr>
        <w:t>18</w:t>
      </w:r>
      <w:r>
        <w:t>.</w:t>
      </w:r>
      <w:r>
        <w:tab/>
        <w:t>Sentences — approval by Commissioner of suspension of reporting obligations (s. 61)</w:t>
      </w:r>
      <w:bookmarkEnd w:id="40"/>
      <w:bookmarkEnd w:id="41"/>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in Gazette 8 Nov 2013 p.</w:t>
      </w:r>
      <w:r>
        <w:rPr>
          <w:sz w:val="19"/>
        </w:rPr>
        <w:t> </w:t>
      </w:r>
      <w:r>
        <w:t>4998.]</w:t>
      </w:r>
    </w:p>
    <w:p>
      <w:pPr>
        <w:pStyle w:val="Heading5"/>
      </w:pPr>
      <w:bookmarkStart w:id="42" w:name="_Toc529883320"/>
      <w:bookmarkStart w:id="43" w:name="_Toc473730089"/>
      <w:r>
        <w:rPr>
          <w:rStyle w:val="CharSectno"/>
        </w:rPr>
        <w:t>19</w:t>
      </w:r>
      <w:r>
        <w:t>.</w:t>
      </w:r>
      <w:r>
        <w:tab/>
        <w:t>Persons required to give notice of reporting obligations etc. to reportable offenders (s. 67)</w:t>
      </w:r>
      <w:bookmarkEnd w:id="42"/>
      <w:bookmarkEnd w:id="4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in Gazette 1 Jun 2007 p. 2528; 16 Jun 2015 p. 2078.]</w:t>
      </w:r>
    </w:p>
    <w:p>
      <w:pPr>
        <w:pStyle w:val="Heading5"/>
      </w:pPr>
      <w:bookmarkStart w:id="44" w:name="_Toc529883321"/>
      <w:bookmarkStart w:id="45" w:name="_Toc473730090"/>
      <w:r>
        <w:rPr>
          <w:rStyle w:val="CharSectno"/>
        </w:rPr>
        <w:t>20</w:t>
      </w:r>
      <w:r>
        <w:t>.</w:t>
      </w:r>
      <w:r>
        <w:tab/>
        <w:t>Details to be included in notice given by supervising authority to Commissioner (s. 70)</w:t>
      </w:r>
      <w:bookmarkEnd w:id="44"/>
      <w:bookmarkEnd w:id="45"/>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46" w:name="_Toc529883322"/>
      <w:bookmarkStart w:id="47" w:name="_Toc473730091"/>
      <w:r>
        <w:rPr>
          <w:rStyle w:val="CharSectno"/>
        </w:rPr>
        <w:t>21</w:t>
      </w:r>
      <w:r>
        <w:t>.</w:t>
      </w:r>
      <w:r>
        <w:tab/>
        <w:t>Corresponding protection orders (s. 85)</w:t>
      </w:r>
      <w:bookmarkEnd w:id="46"/>
      <w:bookmarkEnd w:id="47"/>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Indenta"/>
      </w:pPr>
      <w:r>
        <w:tab/>
        <w:t>(e)</w:t>
      </w:r>
      <w:r>
        <w:tab/>
        <w:t xml:space="preserve">a control order made under the </w:t>
      </w:r>
      <w:r>
        <w:rPr>
          <w:i/>
        </w:rPr>
        <w:t>Child Sex Offenders Registration Act 2006</w:t>
      </w:r>
      <w:r>
        <w:t xml:space="preserve"> (South Australia) Part 5C;</w:t>
      </w:r>
    </w:p>
    <w:p>
      <w:pPr>
        <w:pStyle w:val="Indenta"/>
      </w:pPr>
      <w:r>
        <w:tab/>
        <w:t>(f)</w:t>
      </w:r>
      <w:r>
        <w:tab/>
        <w:t xml:space="preserve">a restraining order made under the </w:t>
      </w:r>
      <w:r>
        <w:rPr>
          <w:i/>
        </w:rPr>
        <w:t>Summary Procedure Act 1921</w:t>
      </w:r>
      <w:r>
        <w:t xml:space="preserve"> (South Australia) section 99AA(1)(a)(i);</w:t>
      </w:r>
    </w:p>
    <w:p>
      <w:pPr>
        <w:pStyle w:val="Indenta"/>
      </w:pPr>
      <w:r>
        <w:tab/>
        <w:t>(g)</w:t>
      </w:r>
      <w:r>
        <w:tab/>
        <w:t xml:space="preserve">a prohibition order made under the </w:t>
      </w:r>
      <w:r>
        <w:rPr>
          <w:i/>
        </w:rPr>
        <w:t xml:space="preserve">Sex Offenders Registration Act 2004 </w:t>
      </w:r>
      <w:r>
        <w:t>(Victoria)</w:t>
      </w:r>
      <w:r>
        <w:rPr>
          <w:i/>
        </w:rPr>
        <w:t xml:space="preserve"> </w:t>
      </w:r>
      <w:r>
        <w:t>Part 4A.</w:t>
      </w:r>
    </w:p>
    <w:p>
      <w:pPr>
        <w:pStyle w:val="Footnotesection"/>
      </w:pPr>
      <w:r>
        <w:tab/>
        <w:t>[Regulation 21 amended in Gazette 14 Nov 2008 p. 4878; 25 Nov 2008 p. 4990; 30 Nov 2012 p. 5802; 8 Nov 2013 p.</w:t>
      </w:r>
      <w:r>
        <w:rPr>
          <w:sz w:val="19"/>
        </w:rPr>
        <w:t> </w:t>
      </w:r>
      <w:r>
        <w:t>4998; 13 Jan 2017 p. 360.]</w:t>
      </w:r>
    </w:p>
    <w:p>
      <w:pPr>
        <w:pStyle w:val="Heading5"/>
      </w:pPr>
      <w:bookmarkStart w:id="48" w:name="_Toc529883323"/>
      <w:bookmarkStart w:id="49" w:name="_Toc473730092"/>
      <w:r>
        <w:rPr>
          <w:rStyle w:val="CharSectno"/>
        </w:rPr>
        <w:t>22</w:t>
      </w:r>
      <w:r>
        <w:t>.</w:t>
      </w:r>
      <w:r>
        <w:tab/>
        <w:t>Application for recognition of corresponding protection orders (s. 108(2)(a))</w:t>
      </w:r>
      <w:bookmarkEnd w:id="48"/>
      <w:bookmarkEnd w:id="49"/>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in Gazette 1 Jun 2007 p. 2526; amended in Gazette 8 Nov 2013 p.</w:t>
      </w:r>
      <w:r>
        <w:rPr>
          <w:sz w:val="19"/>
        </w:rPr>
        <w:t> </w:t>
      </w:r>
      <w:r>
        <w:t>4998.]</w:t>
      </w:r>
    </w:p>
    <w:p>
      <w:pPr>
        <w:pStyle w:val="Heading5"/>
      </w:pPr>
      <w:bookmarkStart w:id="50" w:name="_Toc529883324"/>
      <w:bookmarkStart w:id="51" w:name="_Toc473730093"/>
      <w:r>
        <w:rPr>
          <w:rStyle w:val="CharSectno"/>
        </w:rPr>
        <w:t>23</w:t>
      </w:r>
      <w:r>
        <w:t>.</w:t>
      </w:r>
      <w:r>
        <w:tab/>
        <w:t>Recognition of corresponding protection orders (s. 108(2)(b))</w:t>
      </w:r>
      <w:bookmarkEnd w:id="50"/>
      <w:bookmarkEnd w:id="51"/>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 amended in Gazette 8 Nov 2013 p.</w:t>
      </w:r>
      <w:r>
        <w:rPr>
          <w:sz w:val="19"/>
        </w:rPr>
        <w:t> </w:t>
      </w:r>
      <w:r>
        <w:t>4999.]</w:t>
      </w:r>
    </w:p>
    <w:p>
      <w:pPr>
        <w:pStyle w:val="Heading5"/>
      </w:pPr>
      <w:bookmarkStart w:id="52" w:name="_Toc529883325"/>
      <w:bookmarkStart w:id="53" w:name="_Toc473730094"/>
      <w:r>
        <w:rPr>
          <w:rStyle w:val="CharSectno"/>
        </w:rPr>
        <w:t>24</w:t>
      </w:r>
      <w:r>
        <w:t>.</w:t>
      </w:r>
      <w:r>
        <w:tab/>
        <w:t>Effect of recognition of corresponding protection orders (s. 108(2)(d))</w:t>
      </w:r>
      <w:bookmarkEnd w:id="52"/>
      <w:bookmarkEnd w:id="53"/>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in Gazette 1 Jun 2007 p. 2527; amended in Gazette 8 Nov 2013 p. 4999.]</w:t>
      </w:r>
    </w:p>
    <w:p>
      <w:pPr>
        <w:pStyle w:val="Heading5"/>
      </w:pPr>
      <w:bookmarkStart w:id="54" w:name="_Toc529883326"/>
      <w:bookmarkStart w:id="55" w:name="_Toc473730095"/>
      <w:r>
        <w:rPr>
          <w:rStyle w:val="CharSectno"/>
        </w:rPr>
        <w:t>25</w:t>
      </w:r>
      <w:r>
        <w:t>.</w:t>
      </w:r>
      <w:r>
        <w:tab/>
        <w:t>Variation or revocation of recognised order in a foreign jurisdiction</w:t>
      </w:r>
      <w:bookmarkEnd w:id="54"/>
      <w:bookmarkEnd w:id="55"/>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56" w:name="_Toc529883327"/>
      <w:bookmarkStart w:id="57" w:name="_Toc473730096"/>
      <w:r>
        <w:rPr>
          <w:rStyle w:val="CharSectno"/>
        </w:rPr>
        <w:t>26A</w:t>
      </w:r>
      <w:r>
        <w:t>.</w:t>
      </w:r>
      <w:r>
        <w:tab/>
        <w:t>Authorisation of absences from assessment or treatment (s. 94A(5)(a))</w:t>
      </w:r>
      <w:bookmarkEnd w:id="56"/>
      <w:bookmarkEnd w:id="57"/>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in Gazette 8 Nov 2013 p.</w:t>
      </w:r>
      <w:r>
        <w:rPr>
          <w:sz w:val="19"/>
        </w:rPr>
        <w:t> </w:t>
      </w:r>
      <w:r>
        <w:t>4999</w:t>
      </w:r>
      <w:r>
        <w:noBreakHyphen/>
        <w:t>5001.]</w:t>
      </w:r>
    </w:p>
    <w:p>
      <w:pPr>
        <w:pStyle w:val="Heading5"/>
      </w:pPr>
      <w:bookmarkStart w:id="58" w:name="_Toc529883328"/>
      <w:bookmarkStart w:id="59" w:name="_Toc473730097"/>
      <w:r>
        <w:rPr>
          <w:rStyle w:val="CharSectno"/>
        </w:rPr>
        <w:t>26B</w:t>
      </w:r>
      <w:r>
        <w:t>.</w:t>
      </w:r>
      <w:r>
        <w:tab/>
        <w:t>Reports by persons providing assessment or administering treatment (s. 94A(5)(c))</w:t>
      </w:r>
      <w:bookmarkEnd w:id="58"/>
      <w:bookmarkEnd w:id="59"/>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pPr>
      <w:r>
        <w:tab/>
        <w:t>(5)</w:t>
      </w:r>
      <w:r>
        <w:tab/>
        <w:t>A report provided under this regulation must be in writing.</w:t>
      </w:r>
    </w:p>
    <w:p>
      <w:pPr>
        <w:pStyle w:val="Footnotesection"/>
      </w:pPr>
      <w:r>
        <w:tab/>
        <w:t>[Regulation 26B inserted in Gazette 8 Nov 2013 p.</w:t>
      </w:r>
      <w:r>
        <w:rPr>
          <w:sz w:val="19"/>
        </w:rPr>
        <w:t> </w:t>
      </w:r>
      <w:r>
        <w:t>5001.]</w:t>
      </w:r>
    </w:p>
    <w:p>
      <w:pPr>
        <w:pStyle w:val="Heading5"/>
      </w:pPr>
      <w:bookmarkStart w:id="60" w:name="_Toc529883329"/>
      <w:bookmarkStart w:id="61" w:name="_Toc473730098"/>
      <w:r>
        <w:rPr>
          <w:rStyle w:val="CharSectno"/>
        </w:rPr>
        <w:t>26C</w:t>
      </w:r>
      <w:r>
        <w:t>.</w:t>
      </w:r>
      <w:r>
        <w:tab/>
        <w:t>Manner of making requirement to give a sample (s. 94B(8)(a))</w:t>
      </w:r>
      <w:bookmarkEnd w:id="60"/>
      <w:bookmarkEnd w:id="61"/>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in Gazette 8 Nov 2013 p.</w:t>
      </w:r>
      <w:r>
        <w:rPr>
          <w:sz w:val="19"/>
        </w:rPr>
        <w:t> </w:t>
      </w:r>
      <w:r>
        <w:t>5002.]</w:t>
      </w:r>
    </w:p>
    <w:p>
      <w:pPr>
        <w:pStyle w:val="Heading5"/>
      </w:pPr>
      <w:bookmarkStart w:id="62" w:name="_Toc529883330"/>
      <w:bookmarkStart w:id="63" w:name="_Toc473730099"/>
      <w:r>
        <w:rPr>
          <w:rStyle w:val="CharSectno"/>
        </w:rPr>
        <w:t>26D</w:t>
      </w:r>
      <w:r>
        <w:t>.</w:t>
      </w:r>
      <w:r>
        <w:tab/>
        <w:t>Manner of conducting breath test (s. 94B(8)(b))</w:t>
      </w:r>
      <w:bookmarkEnd w:id="62"/>
      <w:bookmarkEnd w:id="63"/>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in Gazette 8 Nov 2013 p.</w:t>
      </w:r>
      <w:r>
        <w:rPr>
          <w:sz w:val="19"/>
        </w:rPr>
        <w:t> </w:t>
      </w:r>
      <w:r>
        <w:t>5002</w:t>
      </w:r>
      <w:r>
        <w:noBreakHyphen/>
        <w:t>3.]</w:t>
      </w:r>
    </w:p>
    <w:p>
      <w:pPr>
        <w:pStyle w:val="Heading5"/>
      </w:pPr>
      <w:bookmarkStart w:id="64" w:name="_Toc529883331"/>
      <w:bookmarkStart w:id="65" w:name="_Toc473730100"/>
      <w:r>
        <w:rPr>
          <w:rStyle w:val="CharSectno"/>
        </w:rPr>
        <w:t>26E</w:t>
      </w:r>
      <w:r>
        <w:t>.</w:t>
      </w:r>
      <w:r>
        <w:tab/>
        <w:t>Authorised sample collectors to take or collect samples (s. 94B(8)(b))</w:t>
      </w:r>
      <w:bookmarkEnd w:id="64"/>
      <w:bookmarkEnd w:id="65"/>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in Gazette 8 Nov 2013 p.</w:t>
      </w:r>
      <w:r>
        <w:rPr>
          <w:sz w:val="19"/>
        </w:rPr>
        <w:t> </w:t>
      </w:r>
      <w:r>
        <w:t>5003</w:t>
      </w:r>
      <w:r>
        <w:noBreakHyphen/>
        <w:t>4.]</w:t>
      </w:r>
    </w:p>
    <w:p>
      <w:pPr>
        <w:pStyle w:val="Heading5"/>
      </w:pPr>
      <w:bookmarkStart w:id="66" w:name="_Toc529883332"/>
      <w:bookmarkStart w:id="67" w:name="_Toc473730101"/>
      <w:r>
        <w:rPr>
          <w:rStyle w:val="CharSectno"/>
        </w:rPr>
        <w:t>26F</w:t>
      </w:r>
      <w:r>
        <w:t>.</w:t>
      </w:r>
      <w:r>
        <w:tab/>
        <w:t>Manner of taking sample of blood or collecting sample of urine (s. 94B(8)(b))</w:t>
      </w:r>
      <w:bookmarkEnd w:id="66"/>
      <w:bookmarkEnd w:id="67"/>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in Gazette 8 Nov 2013 p.</w:t>
      </w:r>
      <w:r>
        <w:rPr>
          <w:sz w:val="19"/>
        </w:rPr>
        <w:t> </w:t>
      </w:r>
      <w:r>
        <w:t>5004</w:t>
      </w:r>
      <w:r>
        <w:noBreakHyphen/>
        <w:t>6.]</w:t>
      </w:r>
    </w:p>
    <w:p>
      <w:pPr>
        <w:pStyle w:val="Heading5"/>
      </w:pPr>
      <w:bookmarkStart w:id="68" w:name="_Toc529883333"/>
      <w:bookmarkStart w:id="69" w:name="_Toc473730102"/>
      <w:r>
        <w:rPr>
          <w:rStyle w:val="CharSectno"/>
        </w:rPr>
        <w:t>26G</w:t>
      </w:r>
      <w:r>
        <w:t>.</w:t>
      </w:r>
      <w:r>
        <w:tab/>
        <w:t>Collection of samples (s. 94B(8)(e))</w:t>
      </w:r>
      <w:bookmarkEnd w:id="68"/>
      <w:bookmarkEnd w:id="69"/>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in Gazette 8 Nov 2013 p.</w:t>
      </w:r>
      <w:r>
        <w:rPr>
          <w:sz w:val="19"/>
        </w:rPr>
        <w:t> </w:t>
      </w:r>
      <w:r>
        <w:t>5006</w:t>
      </w:r>
      <w:r>
        <w:noBreakHyphen/>
        <w:t>7.]</w:t>
      </w:r>
    </w:p>
    <w:p>
      <w:pPr>
        <w:pStyle w:val="Heading5"/>
      </w:pPr>
      <w:bookmarkStart w:id="70" w:name="_Toc529883334"/>
      <w:bookmarkStart w:id="71" w:name="_Toc473730103"/>
      <w:r>
        <w:rPr>
          <w:rStyle w:val="CharSectno"/>
        </w:rPr>
        <w:t>26H</w:t>
      </w:r>
      <w:r>
        <w:t>.</w:t>
      </w:r>
      <w:r>
        <w:tab/>
        <w:t>Authorisation of persons as analysts (s. 94B(8)(c))</w:t>
      </w:r>
      <w:bookmarkEnd w:id="70"/>
      <w:bookmarkEnd w:id="71"/>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in Gazette 8 Nov 2013 p.</w:t>
      </w:r>
      <w:r>
        <w:rPr>
          <w:sz w:val="19"/>
        </w:rPr>
        <w:t> </w:t>
      </w:r>
      <w:r>
        <w:t>5007.]</w:t>
      </w:r>
    </w:p>
    <w:p>
      <w:pPr>
        <w:pStyle w:val="Heading5"/>
      </w:pPr>
      <w:bookmarkStart w:id="72" w:name="_Toc529883335"/>
      <w:bookmarkStart w:id="73" w:name="_Toc473730104"/>
      <w:r>
        <w:rPr>
          <w:rStyle w:val="CharSectno"/>
        </w:rPr>
        <w:t>26I</w:t>
      </w:r>
      <w:r>
        <w:t>.</w:t>
      </w:r>
      <w:r>
        <w:tab/>
        <w:t>Reporting results of analysis (s. 94B(8)(d))</w:t>
      </w:r>
      <w:bookmarkEnd w:id="72"/>
      <w:bookmarkEnd w:id="73"/>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in Gazette 8 Nov 2013 p.</w:t>
      </w:r>
      <w:r>
        <w:rPr>
          <w:sz w:val="19"/>
        </w:rPr>
        <w:t> </w:t>
      </w:r>
      <w:r>
        <w:t>5007</w:t>
      </w:r>
      <w:r>
        <w:noBreakHyphen/>
        <w:t>8.]</w:t>
      </w:r>
    </w:p>
    <w:p>
      <w:pPr>
        <w:pStyle w:val="Heading5"/>
      </w:pPr>
      <w:bookmarkStart w:id="74" w:name="_Toc529883336"/>
      <w:bookmarkStart w:id="75" w:name="_Toc473730105"/>
      <w:r>
        <w:rPr>
          <w:rStyle w:val="CharSectno"/>
        </w:rPr>
        <w:t>26J</w:t>
      </w:r>
      <w:r>
        <w:t>.</w:t>
      </w:r>
      <w:r>
        <w:tab/>
        <w:t>Testing of equipment used in conducting breath tests (s. 94B(8)(g))</w:t>
      </w:r>
      <w:bookmarkEnd w:id="74"/>
      <w:bookmarkEnd w:id="75"/>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in Gazette 8 Nov 2013 p.</w:t>
      </w:r>
      <w:r>
        <w:rPr>
          <w:sz w:val="19"/>
        </w:rPr>
        <w:t> </w:t>
      </w:r>
      <w:r>
        <w:t>5008.]</w:t>
      </w:r>
    </w:p>
    <w:p>
      <w:pPr>
        <w:pStyle w:val="Heading5"/>
      </w:pPr>
      <w:bookmarkStart w:id="76" w:name="_Toc529883337"/>
      <w:bookmarkStart w:id="77" w:name="_Toc473730106"/>
      <w:r>
        <w:rPr>
          <w:rStyle w:val="CharSectno"/>
        </w:rPr>
        <w:t>26K</w:t>
      </w:r>
      <w:r>
        <w:t>.</w:t>
      </w:r>
      <w:r>
        <w:tab/>
        <w:t>Certificate evidence (s. 94B(8)(i))</w:t>
      </w:r>
      <w:bookmarkEnd w:id="76"/>
      <w:bookmarkEnd w:id="77"/>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pPr>
      <w:r>
        <w:tab/>
        <w:t>(e)</w:t>
      </w:r>
      <w:r>
        <w:tab/>
        <w:t xml:space="preserve">a certificate purporting to be signed by an analyst certifying — </w:t>
      </w:r>
    </w:p>
    <w:p>
      <w:pPr>
        <w:pStyle w:val="Indenti"/>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in Gazette 8 Nov 2013 p.</w:t>
      </w:r>
      <w:r>
        <w:rPr>
          <w:sz w:val="19"/>
        </w:rPr>
        <w:t> </w:t>
      </w:r>
      <w:r>
        <w:t>5008</w:t>
      </w:r>
      <w:r>
        <w:noBreakHyphen/>
        <w:t>9.]</w:t>
      </w:r>
    </w:p>
    <w:p>
      <w:pPr>
        <w:pStyle w:val="Heading5"/>
        <w:spacing w:before="800"/>
      </w:pPr>
      <w:bookmarkStart w:id="78" w:name="_Toc529883338"/>
      <w:bookmarkStart w:id="79" w:name="_Toc473730107"/>
      <w:r>
        <w:rPr>
          <w:rStyle w:val="CharSectno"/>
        </w:rPr>
        <w:t>26</w:t>
      </w:r>
      <w:r>
        <w:t>.</w:t>
      </w:r>
      <w:r>
        <w:tab/>
        <w:t>Forms</w:t>
      </w:r>
      <w:bookmarkEnd w:id="78"/>
      <w:bookmarkEnd w:id="79"/>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0" w:name="_Toc529868730"/>
      <w:bookmarkStart w:id="81" w:name="_Toc529883339"/>
      <w:bookmarkStart w:id="82" w:name="_Toc473727953"/>
      <w:bookmarkStart w:id="83" w:name="_Toc473730108"/>
      <w:r>
        <w:rPr>
          <w:rStyle w:val="CharSchNo"/>
        </w:rPr>
        <w:t>Schedule 1</w:t>
      </w:r>
      <w:r>
        <w:rPr>
          <w:rStyle w:val="CharSDivNo"/>
        </w:rPr>
        <w:t> </w:t>
      </w:r>
      <w:r>
        <w:t>—</w:t>
      </w:r>
      <w:r>
        <w:rPr>
          <w:rStyle w:val="CharSDivText"/>
        </w:rPr>
        <w:t> </w:t>
      </w:r>
      <w:r>
        <w:rPr>
          <w:rStyle w:val="CharSchText"/>
        </w:rPr>
        <w:t>Forms</w:t>
      </w:r>
      <w:bookmarkEnd w:id="80"/>
      <w:bookmarkEnd w:id="81"/>
      <w:bookmarkEnd w:id="82"/>
      <w:bookmarkEnd w:id="83"/>
    </w:p>
    <w:p>
      <w:pPr>
        <w:pStyle w:val="yShoulderClause"/>
      </w:pPr>
      <w:r>
        <w:t>[r. 26]</w:t>
      </w:r>
    </w:p>
    <w:p>
      <w:pPr>
        <w:pStyle w:val="yFootnotesection"/>
      </w:pPr>
      <w:r>
        <w:tab/>
        <w:t>[Heading inserted in Gazette 9 Dec 2005 p. 5888; amended in Gazette 1 Jun 2007 p. 2528.]</w:t>
      </w:r>
    </w:p>
    <w:p>
      <w:pPr>
        <w:pStyle w:val="yHeading5"/>
        <w:spacing w:after="80"/>
      </w:pPr>
      <w:bookmarkStart w:id="84" w:name="_Toc529883340"/>
      <w:bookmarkStart w:id="85" w:name="_Toc473730109"/>
      <w:r>
        <w:rPr>
          <w:rStyle w:val="CharSClsNo"/>
        </w:rPr>
        <w:t>1</w:t>
      </w:r>
      <w:r>
        <w:t>.</w:t>
      </w:r>
      <w:r>
        <w:tab/>
        <w:t>Summons: Application for order</w:t>
      </w:r>
      <w:bookmarkEnd w:id="84"/>
      <w:bookmarkEnd w:id="8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 amended in Gazette 8 Nov 2013 p. 5010.]</w:t>
      </w:r>
    </w:p>
    <w:p>
      <w:pPr>
        <w:pStyle w:val="yHeading5"/>
        <w:pageBreakBefore/>
        <w:spacing w:after="80"/>
      </w:pPr>
      <w:bookmarkStart w:id="86" w:name="_Toc529883341"/>
      <w:bookmarkStart w:id="87" w:name="_Toc473730110"/>
      <w:r>
        <w:rPr>
          <w:rStyle w:val="CharSClsNo"/>
        </w:rPr>
        <w:t>2</w:t>
      </w:r>
      <w:r>
        <w:t>.</w:t>
      </w:r>
      <w:r>
        <w:tab/>
        <w:t>Summons: Further hearing after interim order</w:t>
      </w:r>
      <w:bookmarkEnd w:id="86"/>
      <w:bookmarkEnd w:id="87"/>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 xml:space="preserve">90; amended in Gazette </w:t>
      </w:r>
      <w:r>
        <w:rPr>
          <w:szCs w:val="22"/>
        </w:rPr>
        <w:t>8 Nov 2013 p. </w:t>
      </w:r>
      <w:r>
        <w:t>5010.]</w:t>
      </w:r>
    </w:p>
    <w:p>
      <w:pPr>
        <w:pStyle w:val="yHeading5"/>
        <w:pageBreakBefore/>
        <w:spacing w:after="80"/>
      </w:pPr>
      <w:bookmarkStart w:id="88" w:name="_Toc529883342"/>
      <w:bookmarkStart w:id="89" w:name="_Toc473730111"/>
      <w:r>
        <w:rPr>
          <w:rStyle w:val="CharSClsNo"/>
        </w:rPr>
        <w:t>3</w:t>
      </w:r>
      <w:r>
        <w:t>.</w:t>
      </w:r>
      <w:r>
        <w:tab/>
        <w:t>Summons: Application to vary or revoke child protection order</w:t>
      </w:r>
      <w:bookmarkEnd w:id="88"/>
      <w:bookmarkEnd w:id="89"/>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 xml:space="preserve">1; amended in Gazette </w:t>
      </w:r>
      <w:r>
        <w:rPr>
          <w:szCs w:val="22"/>
        </w:rPr>
        <w:t>8 Nov 2013 p</w:t>
      </w:r>
      <w:r>
        <w:rPr>
          <w:sz w:val="24"/>
        </w:rPr>
        <w:t>.</w:t>
      </w:r>
      <w:r>
        <w:rPr>
          <w:sz w:val="19"/>
        </w:rPr>
        <w:t> </w:t>
      </w:r>
      <w:r>
        <w:t>5010.]</w:t>
      </w:r>
    </w:p>
    <w:p>
      <w:pPr>
        <w:pStyle w:val="yHeading5"/>
        <w:pageBreakBefore/>
      </w:pPr>
      <w:bookmarkStart w:id="90" w:name="_Toc529883343"/>
      <w:bookmarkStart w:id="91" w:name="_Toc473730112"/>
      <w:r>
        <w:rPr>
          <w:rStyle w:val="CharSClsNo"/>
        </w:rPr>
        <w:t>4</w:t>
      </w:r>
      <w:r>
        <w:t>.</w:t>
      </w:r>
      <w:r>
        <w:tab/>
        <w:t>Certificate of authorised breath tester (r. 26D(8))</w:t>
      </w:r>
      <w:bookmarkEnd w:id="90"/>
      <w:bookmarkEnd w:id="91"/>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in Gazette </w:t>
      </w:r>
      <w:r>
        <w:rPr>
          <w:szCs w:val="22"/>
        </w:rPr>
        <w:t>8 Nov 2013 p</w:t>
      </w:r>
      <w:r>
        <w:t>. 5010</w:t>
      </w:r>
      <w:r>
        <w:noBreakHyphen/>
        <w:t>11.]</w:t>
      </w:r>
    </w:p>
    <w:p>
      <w:pPr>
        <w:pStyle w:val="yHeading5"/>
        <w:spacing w:after="80"/>
      </w:pPr>
      <w:bookmarkStart w:id="92" w:name="_Toc529883344"/>
      <w:bookmarkStart w:id="93" w:name="_Toc473730113"/>
      <w:r>
        <w:rPr>
          <w:rStyle w:val="CharSClsNo"/>
        </w:rPr>
        <w:t>5</w:t>
      </w:r>
      <w:r>
        <w:t>.</w:t>
      </w:r>
      <w:r>
        <w:tab/>
        <w:t>Request to take sample of blood or urine (r. 26F(2))</w:t>
      </w:r>
      <w:bookmarkEnd w:id="92"/>
      <w:bookmarkEnd w:id="9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in Gazette </w:t>
      </w:r>
      <w:r>
        <w:rPr>
          <w:szCs w:val="22"/>
        </w:rPr>
        <w:t>8 Nov 2013 p</w:t>
      </w:r>
      <w:r>
        <w:t>. 5011</w:t>
      </w:r>
      <w:r>
        <w:noBreakHyphen/>
        <w:t>12.]</w:t>
      </w:r>
    </w:p>
    <w:p>
      <w:pPr>
        <w:pStyle w:val="yHeading5"/>
        <w:pageBreakBefore/>
        <w:rPr>
          <w:bCs/>
        </w:rPr>
      </w:pPr>
      <w:bookmarkStart w:id="94" w:name="_Toc529883345"/>
      <w:bookmarkStart w:id="95" w:name="_Toc473730114"/>
      <w:r>
        <w:rPr>
          <w:rStyle w:val="CharSClsNo"/>
        </w:rPr>
        <w:t>6</w:t>
      </w:r>
      <w:r>
        <w:t>.</w:t>
      </w:r>
      <w:r>
        <w:tab/>
        <w:t>Certificate of authorised sample collector (r. 26G(5))</w:t>
      </w:r>
      <w:bookmarkEnd w:id="94"/>
      <w:bookmarkEnd w:id="95"/>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in Gazette </w:t>
      </w:r>
      <w:r>
        <w:rPr>
          <w:szCs w:val="22"/>
        </w:rPr>
        <w:t>8 Nov 2013 p</w:t>
      </w:r>
      <w:r>
        <w:t>. 5013</w:t>
      </w:r>
      <w:r>
        <w:noBreakHyphen/>
        <w:t>14.]</w:t>
      </w:r>
    </w:p>
    <w:p>
      <w:pPr>
        <w:pStyle w:val="yHeading5"/>
        <w:pageBreakBefore/>
      </w:pPr>
      <w:bookmarkStart w:id="96" w:name="_Toc529883346"/>
      <w:bookmarkStart w:id="97" w:name="_Toc473730115"/>
      <w:r>
        <w:rPr>
          <w:rStyle w:val="CharSClsNo"/>
        </w:rPr>
        <w:t>7</w:t>
      </w:r>
      <w:r>
        <w:t>.</w:t>
      </w:r>
      <w:r>
        <w:tab/>
        <w:t>Certificate of analyst (r. 26I(3))</w:t>
      </w:r>
      <w:bookmarkEnd w:id="96"/>
      <w:bookmarkEnd w:id="97"/>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in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99" w:name="_Toc529868738"/>
      <w:bookmarkStart w:id="100" w:name="_Toc529883347"/>
      <w:bookmarkStart w:id="101" w:name="_Toc473727961"/>
      <w:bookmarkStart w:id="102" w:name="_Toc473730116"/>
      <w:r>
        <w:t>Notes</w:t>
      </w:r>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w:t>
      </w:r>
      <w:ins w:id="103" w:author="Master Repository Process" w:date="2021-07-31T20:34:00Z">
        <w:r>
          <w:t> </w:t>
        </w:r>
        <w:r>
          <w:rPr>
            <w:vertAlign w:val="superscript"/>
          </w:rPr>
          <w:t>1a</w:t>
        </w:r>
      </w:ins>
      <w:r>
        <w:rPr>
          <w:snapToGrid w:val="0"/>
        </w:rPr>
        <w:t>.  The table also contains information about any reprint.</w:t>
      </w:r>
    </w:p>
    <w:p>
      <w:pPr>
        <w:pStyle w:val="nHeading3"/>
      </w:pPr>
      <w:bookmarkStart w:id="104" w:name="_Toc529883348"/>
      <w:bookmarkStart w:id="105" w:name="_Toc473730117"/>
      <w:r>
        <w:t>Compilation table</w:t>
      </w:r>
      <w:bookmarkEnd w:id="104"/>
      <w:bookmarkEnd w:id="10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2014</w:t>
            </w:r>
          </w:p>
        </w:tc>
        <w:tc>
          <w:tcPr>
            <w:tcW w:w="1276" w:type="dxa"/>
            <w:shd w:val="clear" w:color="auto" w:fill="auto"/>
          </w:tcPr>
          <w:p>
            <w:pPr>
              <w:pStyle w:val="nTable"/>
              <w:spacing w:after="40"/>
              <w:rPr>
                <w:rFonts w:ascii="Times" w:hAnsi="Times"/>
              </w:rPr>
            </w:pPr>
            <w:r>
              <w:rPr>
                <w:rFonts w:ascii="Times" w:hAnsi="Times"/>
              </w:rPr>
              <w:t>5 Aug 2014 p. 2830</w:t>
            </w:r>
          </w:p>
        </w:tc>
        <w:tc>
          <w:tcPr>
            <w:tcW w:w="2694" w:type="dxa"/>
            <w:shd w:val="clear" w:color="auto" w:fill="auto"/>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shd w:val="clear" w:color="auto" w:fill="auto"/>
          </w:tcPr>
          <w:p>
            <w:pPr>
              <w:pStyle w:val="nTable"/>
              <w:spacing w:after="40"/>
              <w:rPr>
                <w:i/>
              </w:rPr>
            </w:pPr>
            <w:r>
              <w:rPr>
                <w:i/>
              </w:rPr>
              <w:t>Community Protection (Offender Reporting) Amendment Regulations 2015</w:t>
            </w:r>
          </w:p>
        </w:tc>
        <w:tc>
          <w:tcPr>
            <w:tcW w:w="1276" w:type="dxa"/>
            <w:shd w:val="clear" w:color="auto" w:fill="auto"/>
          </w:tcPr>
          <w:p>
            <w:pPr>
              <w:pStyle w:val="nTable"/>
              <w:spacing w:after="40"/>
              <w:rPr>
                <w:rFonts w:ascii="Times" w:hAnsi="Times"/>
              </w:rPr>
            </w:pPr>
            <w:r>
              <w:rPr>
                <w:rFonts w:ascii="Times" w:hAnsi="Times"/>
              </w:rPr>
              <w:t>16 Jun 2015 p. 2077</w:t>
            </w:r>
            <w:r>
              <w:rPr>
                <w:rFonts w:ascii="Times" w:hAnsi="Times"/>
              </w:rPr>
              <w:noBreakHyphen/>
              <w:t>8</w:t>
            </w:r>
          </w:p>
        </w:tc>
        <w:tc>
          <w:tcPr>
            <w:tcW w:w="2694" w:type="dxa"/>
            <w:shd w:val="clear" w:color="auto" w:fill="auto"/>
          </w:tcPr>
          <w:p>
            <w:pPr>
              <w:pStyle w:val="nTable"/>
              <w:spacing w:after="40"/>
              <w:rPr>
                <w:rFonts w:ascii="Times" w:hAnsi="Times"/>
                <w:snapToGrid w:val="0"/>
              </w:rPr>
            </w:pPr>
            <w:r>
              <w:rPr>
                <w:rFonts w:ascii="Times" w:hAnsi="Times"/>
                <w:snapToGrid w:val="0"/>
              </w:rPr>
              <w:t>r. 1 and 2: 16 Jun 2015 (see r. 2(a));</w:t>
            </w:r>
            <w:r>
              <w:rPr>
                <w:rFonts w:ascii="Times" w:hAnsi="Times"/>
                <w:snapToGrid w:val="0"/>
              </w:rPr>
              <w:br/>
              <w:t xml:space="preserve">Regulations other than r. 1 and 2: 17 Jun 2015 (see r. 2(b) and </w:t>
            </w:r>
            <w:r>
              <w:rPr>
                <w:rFonts w:ascii="Times" w:hAnsi="Times"/>
                <w:i/>
                <w:snapToGrid w:val="0"/>
              </w:rPr>
              <w:t>Gazette</w:t>
            </w:r>
            <w:r>
              <w:rPr>
                <w:rFonts w:ascii="Times" w:hAnsi="Times"/>
                <w:snapToGrid w:val="0"/>
              </w:rPr>
              <w:t xml:space="preserve"> 16 Jun 2015 p. 2071)</w:t>
            </w:r>
          </w:p>
        </w:tc>
      </w:tr>
      <w:tr>
        <w:trPr>
          <w:cantSplit/>
        </w:trPr>
        <w:tc>
          <w:tcPr>
            <w:tcW w:w="3118" w:type="dxa"/>
            <w:shd w:val="clear" w:color="auto" w:fill="auto"/>
          </w:tcPr>
          <w:p>
            <w:pPr>
              <w:pStyle w:val="nTable"/>
              <w:spacing w:after="40"/>
              <w:rPr>
                <w:i/>
              </w:rPr>
            </w:pPr>
            <w:r>
              <w:rPr>
                <w:i/>
              </w:rPr>
              <w:t xml:space="preserve">Police Service Regulations Amendment (Public Health) Regulations 2016 </w:t>
            </w:r>
            <w:r>
              <w:t>Pt. 2 </w:t>
            </w:r>
          </w:p>
        </w:tc>
        <w:tc>
          <w:tcPr>
            <w:tcW w:w="1276" w:type="dxa"/>
            <w:shd w:val="clear" w:color="auto" w:fill="auto"/>
          </w:tcPr>
          <w:p>
            <w:pPr>
              <w:pStyle w:val="nTable"/>
              <w:spacing w:after="40"/>
              <w:rPr>
                <w:rFonts w:ascii="Times" w:hAnsi="Times"/>
              </w:rPr>
            </w:pPr>
            <w:r>
              <w:t>10 Jan 2017 p. 221-4</w:t>
            </w:r>
          </w:p>
        </w:tc>
        <w:tc>
          <w:tcPr>
            <w:tcW w:w="2694" w:type="dxa"/>
            <w:shd w:val="clear" w:color="auto" w:fill="auto"/>
          </w:tcPr>
          <w:p>
            <w:pPr>
              <w:pStyle w:val="nTable"/>
              <w:spacing w:after="40"/>
              <w:rPr>
                <w:rFonts w:ascii="Times" w:hAnsi="Times"/>
                <w:snapToGrid w:val="0"/>
              </w:rPr>
            </w:pPr>
            <w:r>
              <w:t xml:space="preserve">24 Jan 2017 (see r. 2(b) and </w:t>
            </w:r>
            <w:r>
              <w:rPr>
                <w:i/>
              </w:rPr>
              <w:t>Gazette</w:t>
            </w:r>
            <w:r>
              <w:t xml:space="preserve"> 10 Jan 2017 p. 165)</w:t>
            </w:r>
          </w:p>
        </w:tc>
      </w:tr>
      <w:tr>
        <w:trPr>
          <w:cantSplit/>
        </w:trPr>
        <w:tc>
          <w:tcPr>
            <w:tcW w:w="3118" w:type="dxa"/>
            <w:tcBorders>
              <w:bottom w:val="single" w:sz="4" w:space="0" w:color="auto"/>
            </w:tcBorders>
            <w:shd w:val="clear" w:color="auto" w:fill="auto"/>
          </w:tcPr>
          <w:p>
            <w:pPr>
              <w:pStyle w:val="nTable"/>
              <w:spacing w:after="40"/>
            </w:pPr>
            <w:r>
              <w:rPr>
                <w:i/>
              </w:rPr>
              <w:t>Community Protection (Offender Reporting) Amendment Regulations 2017</w:t>
            </w:r>
          </w:p>
        </w:tc>
        <w:tc>
          <w:tcPr>
            <w:tcW w:w="1276" w:type="dxa"/>
            <w:tcBorders>
              <w:bottom w:val="single" w:sz="4" w:space="0" w:color="auto"/>
            </w:tcBorders>
            <w:shd w:val="clear" w:color="auto" w:fill="auto"/>
          </w:tcPr>
          <w:p>
            <w:pPr>
              <w:pStyle w:val="nTable"/>
              <w:spacing w:after="40"/>
              <w:rPr>
                <w:rFonts w:ascii="Times" w:hAnsi="Times"/>
              </w:rPr>
            </w:pPr>
            <w:r>
              <w:rPr>
                <w:rFonts w:ascii="Times" w:hAnsi="Times"/>
              </w:rPr>
              <w:t>13 Jan 2017 p. 359</w:t>
            </w:r>
            <w:r>
              <w:rPr>
                <w:rFonts w:ascii="Times" w:hAnsi="Times"/>
              </w:rPr>
              <w:noBreakHyphen/>
              <w:t>60</w:t>
            </w:r>
          </w:p>
        </w:tc>
        <w:tc>
          <w:tcPr>
            <w:tcW w:w="2694"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 xml:space="preserve">r. 1 and 2: </w:t>
            </w:r>
            <w:r>
              <w:rPr>
                <w:rFonts w:ascii="Times" w:hAnsi="Times"/>
              </w:rPr>
              <w:t>13 Jan 2017</w:t>
            </w:r>
            <w:r>
              <w:rPr>
                <w:rFonts w:ascii="Times" w:hAnsi="Times"/>
                <w:snapToGrid w:val="0"/>
              </w:rPr>
              <w:t xml:space="preserve"> (see r. 2(a));</w:t>
            </w:r>
            <w:r>
              <w:rPr>
                <w:rFonts w:ascii="Times" w:hAnsi="Times"/>
                <w:snapToGrid w:val="0"/>
              </w:rPr>
              <w:br/>
              <w:t xml:space="preserve">Regulations other than r. 1, 2 and 4(2): </w:t>
            </w:r>
            <w:r>
              <w:rPr>
                <w:rFonts w:ascii="Times" w:hAnsi="Times"/>
              </w:rPr>
              <w:t>14 Jan 2017</w:t>
            </w:r>
            <w:r>
              <w:rPr>
                <w:rFonts w:ascii="Times" w:hAnsi="Times"/>
                <w:snapToGrid w:val="0"/>
              </w:rPr>
              <w:t xml:space="preserve"> (see r. 2(c));</w:t>
            </w:r>
            <w:r>
              <w:rPr>
                <w:rFonts w:ascii="Times" w:hAnsi="Times"/>
                <w:snapToGrid w:val="0"/>
              </w:rPr>
              <w:br/>
              <w:t>r. 4(2): 2 Feb 2017 (see r. 2(b) and s. 2(2) of 2016/021 (Vic))</w:t>
            </w:r>
          </w:p>
        </w:tc>
      </w:tr>
    </w:tbl>
    <w:p>
      <w:pPr>
        <w:pStyle w:val="nSubsection"/>
        <w:spacing w:before="360"/>
        <w:rPr>
          <w:ins w:id="106" w:author="Master Repository Process" w:date="2021-07-31T20:34:00Z"/>
        </w:rPr>
      </w:pPr>
      <w:ins w:id="107" w:author="Master Repository Process" w:date="2021-07-31T20:3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 w:author="Master Repository Process" w:date="2021-07-31T20:34:00Z"/>
        </w:rPr>
      </w:pPr>
      <w:bookmarkStart w:id="109" w:name="_Toc529883349"/>
      <w:ins w:id="110" w:author="Master Repository Process" w:date="2021-07-31T20:34:00Z">
        <w:r>
          <w:t>Provisions that have not come into operation</w:t>
        </w:r>
        <w:bookmarkEnd w:id="10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1" w:author="Master Repository Process" w:date="2021-07-31T20:34:00Z"/>
        </w:trPr>
        <w:tc>
          <w:tcPr>
            <w:tcW w:w="3118" w:type="dxa"/>
            <w:tcBorders>
              <w:bottom w:val="single" w:sz="8" w:space="0" w:color="auto"/>
            </w:tcBorders>
          </w:tcPr>
          <w:p>
            <w:pPr>
              <w:pStyle w:val="nTable"/>
              <w:spacing w:after="40"/>
              <w:rPr>
                <w:ins w:id="112" w:author="Master Repository Process" w:date="2021-07-31T20:34:00Z"/>
                <w:b/>
              </w:rPr>
            </w:pPr>
            <w:ins w:id="113" w:author="Master Repository Process" w:date="2021-07-31T20:34:00Z">
              <w:r>
                <w:rPr>
                  <w:b/>
                </w:rPr>
                <w:t>Citation</w:t>
              </w:r>
            </w:ins>
          </w:p>
        </w:tc>
        <w:tc>
          <w:tcPr>
            <w:tcW w:w="1276" w:type="dxa"/>
            <w:tcBorders>
              <w:bottom w:val="single" w:sz="8" w:space="0" w:color="auto"/>
            </w:tcBorders>
          </w:tcPr>
          <w:p>
            <w:pPr>
              <w:pStyle w:val="nTable"/>
              <w:spacing w:after="40"/>
              <w:rPr>
                <w:ins w:id="114" w:author="Master Repository Process" w:date="2021-07-31T20:34:00Z"/>
                <w:b/>
              </w:rPr>
            </w:pPr>
            <w:ins w:id="115" w:author="Master Repository Process" w:date="2021-07-31T20:34:00Z">
              <w:r>
                <w:rPr>
                  <w:b/>
                </w:rPr>
                <w:t>Gazettal</w:t>
              </w:r>
            </w:ins>
          </w:p>
        </w:tc>
        <w:tc>
          <w:tcPr>
            <w:tcW w:w="2693" w:type="dxa"/>
            <w:tcBorders>
              <w:bottom w:val="single" w:sz="8" w:space="0" w:color="auto"/>
            </w:tcBorders>
          </w:tcPr>
          <w:p>
            <w:pPr>
              <w:pStyle w:val="nTable"/>
              <w:spacing w:after="40"/>
              <w:rPr>
                <w:ins w:id="116" w:author="Master Repository Process" w:date="2021-07-31T20:34:00Z"/>
                <w:b/>
              </w:rPr>
            </w:pPr>
            <w:ins w:id="117" w:author="Master Repository Process" w:date="2021-07-31T20:34:00Z">
              <w:r>
                <w:rPr>
                  <w:b/>
                </w:rPr>
                <w:t>Commencement</w:t>
              </w:r>
            </w:ins>
          </w:p>
        </w:tc>
      </w:tr>
      <w:tr>
        <w:trPr>
          <w:ins w:id="118" w:author="Master Repository Process" w:date="2021-07-31T20:34:00Z"/>
        </w:trPr>
        <w:tc>
          <w:tcPr>
            <w:tcW w:w="3118" w:type="dxa"/>
            <w:tcBorders>
              <w:bottom w:val="single" w:sz="4" w:space="0" w:color="auto"/>
            </w:tcBorders>
          </w:tcPr>
          <w:p>
            <w:pPr>
              <w:pStyle w:val="nTable"/>
              <w:spacing w:after="40"/>
              <w:rPr>
                <w:ins w:id="119" w:author="Master Repository Process" w:date="2021-07-31T20:34:00Z"/>
              </w:rPr>
            </w:pPr>
            <w:ins w:id="120" w:author="Master Repository Process" w:date="2021-07-31T20:34:00Z">
              <w:r>
                <w:rPr>
                  <w:i/>
                </w:rPr>
                <w:t xml:space="preserve">Community Protection (Offender Reporting) Amendment Regulations 2018 </w:t>
              </w:r>
              <w:r>
                <w:t>r. 3 and 4</w:t>
              </w:r>
              <w:r>
                <w:rPr>
                  <w:noProof/>
                </w:rPr>
                <w:t> </w:t>
              </w:r>
              <w:r>
                <w:rPr>
                  <w:noProof/>
                  <w:vertAlign w:val="superscript"/>
                </w:rPr>
                <w:t>4</w:t>
              </w:r>
            </w:ins>
          </w:p>
        </w:tc>
        <w:tc>
          <w:tcPr>
            <w:tcW w:w="1276" w:type="dxa"/>
            <w:tcBorders>
              <w:bottom w:val="single" w:sz="4" w:space="0" w:color="auto"/>
            </w:tcBorders>
          </w:tcPr>
          <w:p>
            <w:pPr>
              <w:pStyle w:val="nTable"/>
              <w:spacing w:after="40"/>
              <w:rPr>
                <w:ins w:id="121" w:author="Master Repository Process" w:date="2021-07-31T20:34:00Z"/>
              </w:rPr>
            </w:pPr>
            <w:ins w:id="122" w:author="Master Repository Process" w:date="2021-07-31T20:34:00Z">
              <w:r>
                <w:t>13 Nov 2018 p. 4432</w:t>
              </w:r>
              <w:r>
                <w:noBreakHyphen/>
                <w:t>3</w:t>
              </w:r>
            </w:ins>
          </w:p>
        </w:tc>
        <w:tc>
          <w:tcPr>
            <w:tcW w:w="2693" w:type="dxa"/>
            <w:tcBorders>
              <w:bottom w:val="single" w:sz="4" w:space="0" w:color="auto"/>
            </w:tcBorders>
          </w:tcPr>
          <w:p>
            <w:pPr>
              <w:pStyle w:val="nTable"/>
              <w:spacing w:after="40"/>
              <w:rPr>
                <w:ins w:id="123" w:author="Master Repository Process" w:date="2021-07-31T20:34:00Z"/>
              </w:rPr>
            </w:pPr>
            <w:ins w:id="124" w:author="Master Repository Process" w:date="2021-07-31T20:34:00Z">
              <w:r>
                <w:rPr>
                  <w:noProof/>
                </w:rPr>
                <w:t>1 Dec 2018 (see r. 2(b))</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pStyle w:val="nSubsection"/>
        <w:rPr>
          <w:ins w:id="125" w:author="Master Repository Process" w:date="2021-07-31T20:34:00Z"/>
          <w:snapToGrid w:val="0"/>
        </w:rPr>
      </w:pPr>
      <w:ins w:id="126" w:author="Master Repository Process" w:date="2021-07-31T20:34:00Z">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 xml:space="preserve">Community Protection (Offender Reporting) Amendment Regulations 2018 </w:t>
        </w:r>
        <w:r>
          <w:t>r. 3 and 4</w:t>
        </w:r>
        <w:r>
          <w:rPr>
            <w:noProof/>
          </w:rPr>
          <w:t xml:space="preserve"> </w:t>
        </w:r>
        <w:r>
          <w:t>h</w:t>
        </w:r>
        <w:r>
          <w:rPr>
            <w:snapToGrid w:val="0"/>
          </w:rPr>
          <w:t>ad not come into operation.  They read as follows:</w:t>
        </w:r>
      </w:ins>
    </w:p>
    <w:p>
      <w:pPr>
        <w:pStyle w:val="BlankOpen"/>
        <w:rPr>
          <w:ins w:id="127" w:author="Master Repository Process" w:date="2021-07-31T20:34:00Z"/>
          <w:snapToGrid w:val="0"/>
        </w:rPr>
      </w:pPr>
    </w:p>
    <w:p>
      <w:pPr>
        <w:pStyle w:val="nzHeading5"/>
        <w:rPr>
          <w:ins w:id="128" w:author="Master Repository Process" w:date="2021-07-31T20:34:00Z"/>
          <w:snapToGrid w:val="0"/>
        </w:rPr>
      </w:pPr>
      <w:bookmarkStart w:id="129" w:name="_Toc523393683"/>
      <w:bookmarkStart w:id="130" w:name="_Toc523393768"/>
      <w:ins w:id="131" w:author="Master Repository Process" w:date="2021-07-31T20:34:00Z">
        <w:r>
          <w:rPr>
            <w:rStyle w:val="CharSectno"/>
          </w:rPr>
          <w:t>3</w:t>
        </w:r>
        <w:r>
          <w:rPr>
            <w:snapToGrid w:val="0"/>
          </w:rPr>
          <w:t>.</w:t>
        </w:r>
        <w:r>
          <w:rPr>
            <w:snapToGrid w:val="0"/>
          </w:rPr>
          <w:tab/>
          <w:t>Regulations amended</w:t>
        </w:r>
        <w:bookmarkEnd w:id="129"/>
        <w:bookmarkEnd w:id="130"/>
      </w:ins>
    </w:p>
    <w:p>
      <w:pPr>
        <w:pStyle w:val="nzSubsection"/>
        <w:rPr>
          <w:ins w:id="132" w:author="Master Repository Process" w:date="2021-07-31T20:34:00Z"/>
        </w:rPr>
      </w:pPr>
      <w:ins w:id="133" w:author="Master Repository Process" w:date="2021-07-31T20:34:00Z">
        <w:r>
          <w:tab/>
        </w:r>
        <w:r>
          <w:tab/>
          <w:t xml:space="preserve">These </w:t>
        </w:r>
        <w:r>
          <w:rPr>
            <w:spacing w:val="-2"/>
          </w:rPr>
          <w:t>regulations amend</w:t>
        </w:r>
        <w:r>
          <w:t xml:space="preserve"> the </w:t>
        </w:r>
        <w:r>
          <w:rPr>
            <w:i/>
          </w:rPr>
          <w:t>Community Protection (Offender Reporting) Regulations 2004</w:t>
        </w:r>
        <w:r>
          <w:t>.</w:t>
        </w:r>
      </w:ins>
    </w:p>
    <w:p>
      <w:pPr>
        <w:pStyle w:val="nzHeading5"/>
        <w:rPr>
          <w:ins w:id="134" w:author="Master Repository Process" w:date="2021-07-31T20:34:00Z"/>
        </w:rPr>
      </w:pPr>
      <w:bookmarkStart w:id="135" w:name="_Toc523393684"/>
      <w:bookmarkStart w:id="136" w:name="_Toc523393769"/>
      <w:ins w:id="137" w:author="Master Repository Process" w:date="2021-07-31T20:34:00Z">
        <w:r>
          <w:rPr>
            <w:rStyle w:val="CharSectno"/>
          </w:rPr>
          <w:t>4</w:t>
        </w:r>
        <w:r>
          <w:t>.</w:t>
        </w:r>
        <w:r>
          <w:tab/>
          <w:t>Regulation 3 amended</w:t>
        </w:r>
        <w:bookmarkEnd w:id="135"/>
        <w:bookmarkEnd w:id="136"/>
      </w:ins>
    </w:p>
    <w:p>
      <w:pPr>
        <w:pStyle w:val="nzSubsection"/>
        <w:rPr>
          <w:ins w:id="138" w:author="Master Repository Process" w:date="2021-07-31T20:34:00Z"/>
        </w:rPr>
      </w:pPr>
      <w:ins w:id="139" w:author="Master Repository Process" w:date="2021-07-31T20:34:00Z">
        <w:r>
          <w:tab/>
        </w:r>
        <w:r>
          <w:tab/>
          <w:t xml:space="preserve">In regulation 3 delete the definition of </w:t>
        </w:r>
        <w:r>
          <w:rPr>
            <w:b/>
            <w:i/>
          </w:rPr>
          <w:t>registered nurse</w:t>
        </w:r>
        <w:r>
          <w:t xml:space="preserve"> and insert:</w:t>
        </w:r>
      </w:ins>
    </w:p>
    <w:p>
      <w:pPr>
        <w:pStyle w:val="BlankOpen"/>
        <w:rPr>
          <w:ins w:id="140" w:author="Master Repository Process" w:date="2021-07-31T20:34:00Z"/>
        </w:rPr>
      </w:pPr>
    </w:p>
    <w:p>
      <w:pPr>
        <w:pStyle w:val="nzDefstart"/>
        <w:rPr>
          <w:ins w:id="141" w:author="Master Repository Process" w:date="2021-07-31T20:34:00Z"/>
        </w:rPr>
      </w:pPr>
      <w:ins w:id="142" w:author="Master Repository Process" w:date="2021-07-31T20:34:00Z">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ins>
    </w:p>
    <w:p>
      <w:pPr>
        <w:pStyle w:val="BlankClose"/>
        <w:rPr>
          <w:ins w:id="143" w:author="Master Repository Process" w:date="2021-07-31T20:34: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8" w:name="Schedule"/>
    <w:bookmarkEnd w:id="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13101542"/>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 w:name="WAFER_20170201154430" w:val="RemoveTocBookmarks,RemoveUnusedBookmarks,RemoveLanguageTags,UsedStyles,ResetPageSize"/>
    <w:docVar w:name="WAFER_20170201154430_GUID" w:val="34dfeead-29e1-453b-b96d-5531c6a3cdff"/>
    <w:docVar w:name="WAFER_20181113101542" w:val="RemoveTocBookmarks,RemoveUnusedBookmarks,RemoveLanguageTags,UsedStyles,ResetPageSize"/>
    <w:docVar w:name="WAFER_20181113101542_GUID" w:val="25e6f50d-dd60-4399-8c01-00ffddfa4d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92F5407-CE9C-42DF-9AF7-791B495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72EA-6A6F-4745-8D54-9903112A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8339</Words>
  <Characters>45868</Characters>
  <Application>Microsoft Office Word</Application>
  <DocSecurity>0</DocSecurity>
  <Lines>1433</Lines>
  <Paragraphs>860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03-g0-01 - 03-h0-00</dc:title>
  <dc:subject/>
  <dc:creator/>
  <cp:keywords/>
  <dc:description/>
  <cp:lastModifiedBy>Master Repository Process</cp:lastModifiedBy>
  <cp:revision>2</cp:revision>
  <cp:lastPrinted>2014-04-04T05:23:00Z</cp:lastPrinted>
  <dcterms:created xsi:type="dcterms:W3CDTF">2021-07-31T12:34:00Z</dcterms:created>
  <dcterms:modified xsi:type="dcterms:W3CDTF">2021-07-31T12:34:00Z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CommencementDate">
    <vt:lpwstr>20181113</vt:lpwstr>
  </property>
  <property fmtid="{D5CDD505-2E9C-101B-9397-08002B2CF9AE}" pid="8" name="FromSuffix">
    <vt:lpwstr>03-g0-01</vt:lpwstr>
  </property>
  <property fmtid="{D5CDD505-2E9C-101B-9397-08002B2CF9AE}" pid="9" name="FromAsAtDate">
    <vt:lpwstr>02 Feb 2017</vt:lpwstr>
  </property>
  <property fmtid="{D5CDD505-2E9C-101B-9397-08002B2CF9AE}" pid="10" name="ToSuffix">
    <vt:lpwstr>03-h0-00</vt:lpwstr>
  </property>
  <property fmtid="{D5CDD505-2E9C-101B-9397-08002B2CF9AE}" pid="11" name="ToAsAtDate">
    <vt:lpwstr>13 Nov 2018</vt:lpwstr>
  </property>
</Properties>
</file>