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Information Authority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2015</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4-17T16:51:00Z"/>
        </w:trPr>
        <w:tc>
          <w:tcPr>
            <w:tcW w:w="2434" w:type="dxa"/>
            <w:vMerge w:val="restart"/>
          </w:tcPr>
          <w:p>
            <w:pPr>
              <w:rPr>
                <w:del w:id="2" w:author="svcMRProcess" w:date="2020-04-17T16:51:00Z"/>
              </w:rPr>
            </w:pPr>
          </w:p>
        </w:tc>
        <w:tc>
          <w:tcPr>
            <w:tcW w:w="2434" w:type="dxa"/>
            <w:vMerge w:val="restart"/>
          </w:tcPr>
          <w:p>
            <w:pPr>
              <w:jc w:val="center"/>
              <w:rPr>
                <w:del w:id="3" w:author="svcMRProcess" w:date="2020-04-17T16:51:00Z"/>
              </w:rPr>
            </w:pPr>
            <w:del w:id="4" w:author="svcMRProcess" w:date="2020-04-17T16:5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4-17T16:51:00Z"/>
              </w:rPr>
            </w:pPr>
            <w:del w:id="6" w:author="svcMRProcess" w:date="2020-04-17T16:5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4-17T16:51:00Z"/>
        </w:trPr>
        <w:tc>
          <w:tcPr>
            <w:tcW w:w="2434" w:type="dxa"/>
            <w:vMerge/>
          </w:tcPr>
          <w:p>
            <w:pPr>
              <w:rPr>
                <w:del w:id="8" w:author="svcMRProcess" w:date="2020-04-17T16:51:00Z"/>
              </w:rPr>
            </w:pPr>
          </w:p>
        </w:tc>
        <w:tc>
          <w:tcPr>
            <w:tcW w:w="2434" w:type="dxa"/>
            <w:vMerge/>
          </w:tcPr>
          <w:p>
            <w:pPr>
              <w:jc w:val="center"/>
              <w:rPr>
                <w:del w:id="9" w:author="svcMRProcess" w:date="2020-04-17T16:51:00Z"/>
              </w:rPr>
            </w:pPr>
          </w:p>
        </w:tc>
        <w:tc>
          <w:tcPr>
            <w:tcW w:w="2434" w:type="dxa"/>
          </w:tcPr>
          <w:p>
            <w:pPr>
              <w:keepNext/>
              <w:rPr>
                <w:del w:id="10" w:author="svcMRProcess" w:date="2020-04-17T16:51:00Z"/>
                <w:b/>
                <w:sz w:val="22"/>
              </w:rPr>
            </w:pPr>
            <w:del w:id="11" w:author="svcMRProcess" w:date="2020-04-17T16:51:00Z">
              <w:r>
                <w:rPr>
                  <w:b/>
                  <w:sz w:val="22"/>
                </w:rPr>
                <w:delText>at 4 September 2015</w:delText>
              </w:r>
            </w:del>
          </w:p>
        </w:tc>
      </w:tr>
    </w:tbl>
    <w:p>
      <w:pPr>
        <w:pStyle w:val="WA"/>
      </w:pPr>
      <w:r>
        <w:t>Western Australia</w:t>
      </w:r>
    </w:p>
    <w:p>
      <w:pPr>
        <w:pStyle w:val="NameofActReg"/>
        <w:suppressLineNumbers/>
        <w:spacing w:before="120" w:after="840"/>
      </w:pPr>
      <w:r>
        <w:t>Land Information Authority Act 2006</w:t>
      </w:r>
    </w:p>
    <w:p>
      <w:pPr>
        <w:pStyle w:val="LongTitle"/>
        <w:suppressLineNumbers/>
        <w:rPr>
          <w:snapToGrid w:val="0"/>
        </w:rPr>
      </w:pPr>
      <w:r>
        <w:rPr>
          <w:snapToGrid w:val="0"/>
        </w:rPr>
        <w:t>A</w:t>
      </w:r>
      <w:bookmarkStart w:id="12" w:name="_GoBack"/>
      <w:bookmarkEnd w:id="12"/>
      <w:r>
        <w:rPr>
          <w:snapToGrid w:val="0"/>
        </w:rPr>
        <w:t>n Act to establish a State agency to administer certain land information and provide and promote the use of land information and related goods and services; and to provide for related matters, including the amendment of certain Acts</w:t>
      </w:r>
      <w:r>
        <w:rPr>
          <w:snapToGrid w:val="0"/>
          <w:vertAlign w:val="superscript"/>
        </w:rPr>
        <w:t> </w:t>
      </w:r>
      <w:del w:id="13" w:author="svcMRProcess" w:date="2020-04-17T16:51:00Z">
        <w:r>
          <w:rPr>
            <w:snapToGrid w:val="0"/>
            <w:vertAlign w:val="superscript"/>
          </w:rPr>
          <w:delText>2</w:delText>
        </w:r>
      </w:del>
      <w:ins w:id="14" w:author="svcMRProcess" w:date="2020-04-17T16:51:00Z">
        <w:r>
          <w:rPr>
            <w:snapToGrid w:val="0"/>
            <w:vertAlign w:val="superscript"/>
          </w:rPr>
          <w:t>1</w:t>
        </w:r>
      </w:ins>
      <w:r>
        <w:rPr>
          <w:snapToGrid w:val="0"/>
        </w:rPr>
        <w:t>.</w:t>
      </w:r>
    </w:p>
    <w:p>
      <w:pPr>
        <w:pStyle w:val="Heading2"/>
      </w:pPr>
      <w:bookmarkStart w:id="15" w:name="_Toc37949477"/>
      <w:bookmarkStart w:id="16" w:name="_Toc37949603"/>
      <w:bookmarkStart w:id="17" w:name="_Toc42610549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5"/>
      <w:bookmarkEnd w:id="16"/>
      <w:bookmarkEnd w:id="17"/>
    </w:p>
    <w:p>
      <w:pPr>
        <w:pStyle w:val="Heading5"/>
        <w:rPr>
          <w:snapToGrid w:val="0"/>
        </w:rPr>
      </w:pPr>
      <w:bookmarkStart w:id="18" w:name="_Toc37949604"/>
      <w:bookmarkStart w:id="19" w:name="_Toc426105494"/>
      <w:r>
        <w:rPr>
          <w:rStyle w:val="CharSectno"/>
        </w:rPr>
        <w:t>1</w:t>
      </w:r>
      <w:r>
        <w:rPr>
          <w:snapToGrid w:val="0"/>
        </w:rPr>
        <w:t>.</w:t>
      </w:r>
      <w:r>
        <w:rPr>
          <w:snapToGrid w:val="0"/>
        </w:rPr>
        <w:tab/>
        <w:t>Short title</w:t>
      </w:r>
      <w:bookmarkEnd w:id="18"/>
      <w:bookmarkEnd w:id="19"/>
    </w:p>
    <w:p>
      <w:pPr>
        <w:pStyle w:val="Subsection"/>
        <w:ind w:right="566"/>
        <w:rPr>
          <w:snapToGrid w:val="0"/>
        </w:rPr>
      </w:pPr>
      <w:r>
        <w:rPr>
          <w:snapToGrid w:val="0"/>
        </w:rPr>
        <w:tab/>
      </w:r>
      <w:r>
        <w:rPr>
          <w:snapToGrid w:val="0"/>
        </w:rPr>
        <w:tab/>
        <w:t>This is the</w:t>
      </w:r>
      <w:r>
        <w:rPr>
          <w:i/>
          <w:snapToGrid w:val="0"/>
        </w:rPr>
        <w:t xml:space="preserve"> Land Information Authority Act 2006</w:t>
      </w:r>
      <w:del w:id="20" w:author="svcMRProcess" w:date="2020-04-17T16:51:00Z">
        <w:r>
          <w:rPr>
            <w:i/>
            <w:snapToGrid w:val="0"/>
          </w:rPr>
          <w:delText xml:space="preserve"> </w:delText>
        </w:r>
        <w:r>
          <w:rPr>
            <w:iCs/>
            <w:snapToGrid w:val="0"/>
            <w:vertAlign w:val="superscript"/>
          </w:rPr>
          <w:delText>1</w:delText>
        </w:r>
      </w:del>
      <w:r>
        <w:rPr>
          <w:snapToGrid w:val="0"/>
        </w:rPr>
        <w:t>.</w:t>
      </w:r>
    </w:p>
    <w:p>
      <w:pPr>
        <w:pStyle w:val="Heading5"/>
        <w:rPr>
          <w:snapToGrid w:val="0"/>
        </w:rPr>
      </w:pPr>
      <w:bookmarkStart w:id="21" w:name="_Toc37949605"/>
      <w:bookmarkStart w:id="22" w:name="_Toc426105495"/>
      <w:r>
        <w:rPr>
          <w:rStyle w:val="CharSectno"/>
        </w:rPr>
        <w:t>2</w:t>
      </w:r>
      <w:r>
        <w:rPr>
          <w:snapToGrid w:val="0"/>
        </w:rPr>
        <w:t>.</w:t>
      </w:r>
      <w:r>
        <w:rPr>
          <w:snapToGrid w:val="0"/>
        </w:rPr>
        <w:tab/>
        <w:t>Commencement</w:t>
      </w:r>
      <w:bookmarkEnd w:id="21"/>
      <w:bookmarkEnd w:id="22"/>
    </w:p>
    <w:p>
      <w:pPr>
        <w:pStyle w:val="Subsection"/>
      </w:pPr>
      <w:r>
        <w:tab/>
        <w:t>(1)</w:t>
      </w:r>
      <w:r>
        <w:tab/>
        <w:t>This Act, other than this Part, comes into operation on a day fixed by proclamation</w:t>
      </w:r>
      <w:del w:id="23" w:author="svcMRProcess" w:date="2020-04-17T16:51:00Z">
        <w:r>
          <w:rPr>
            <w:vertAlign w:val="superscript"/>
          </w:rPr>
          <w:delText> 1</w:delText>
        </w:r>
      </w:del>
      <w:r>
        <w:t>.</w:t>
      </w:r>
    </w:p>
    <w:p>
      <w:pPr>
        <w:pStyle w:val="Subsection"/>
      </w:pPr>
      <w:r>
        <w:tab/>
        <w:t>(2)</w:t>
      </w:r>
      <w:r>
        <w:tab/>
        <w:t>This Part comes into operation on the day after the day on which this Act receives the Royal Assent.</w:t>
      </w:r>
    </w:p>
    <w:p>
      <w:pPr>
        <w:pStyle w:val="Heading5"/>
      </w:pPr>
      <w:bookmarkStart w:id="24" w:name="_Toc37949606"/>
      <w:bookmarkStart w:id="25" w:name="_Toc426105496"/>
      <w:r>
        <w:rPr>
          <w:rStyle w:val="CharSectno"/>
        </w:rPr>
        <w:t>3</w:t>
      </w:r>
      <w:r>
        <w:t>.</w:t>
      </w:r>
      <w:r>
        <w:tab/>
        <w:t>Terms used</w:t>
      </w:r>
      <w:bookmarkEnd w:id="24"/>
      <w:bookmarkEnd w:id="25"/>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 5;</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26" w:name="_Toc37949607"/>
      <w:bookmarkStart w:id="27" w:name="_Toc426105497"/>
      <w:r>
        <w:rPr>
          <w:rStyle w:val="CharSectno"/>
        </w:rPr>
        <w:lastRenderedPageBreak/>
        <w:t>4</w:t>
      </w:r>
      <w:r>
        <w:t>.</w:t>
      </w:r>
      <w:r>
        <w:tab/>
        <w:t>Relationship between this Act and certain other Acts</w:t>
      </w:r>
      <w:bookmarkEnd w:id="26"/>
      <w:bookmarkEnd w:id="27"/>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28" w:name="_Toc37949482"/>
      <w:bookmarkStart w:id="29" w:name="_Toc37949608"/>
      <w:bookmarkStart w:id="30" w:name="_Toc426105498"/>
      <w:r>
        <w:rPr>
          <w:rStyle w:val="CharPartNo"/>
        </w:rPr>
        <w:lastRenderedPageBreak/>
        <w:t>Part 2</w:t>
      </w:r>
      <w:r>
        <w:t xml:space="preserve"> — </w:t>
      </w:r>
      <w:r>
        <w:rPr>
          <w:rStyle w:val="CharPartText"/>
        </w:rPr>
        <w:t>Western Australian Land Information Authority</w:t>
      </w:r>
      <w:bookmarkEnd w:id="28"/>
      <w:bookmarkEnd w:id="29"/>
      <w:bookmarkEnd w:id="30"/>
    </w:p>
    <w:p>
      <w:pPr>
        <w:pStyle w:val="Heading5"/>
      </w:pPr>
      <w:bookmarkStart w:id="31" w:name="_Toc37949609"/>
      <w:bookmarkStart w:id="32" w:name="_Toc426105499"/>
      <w:r>
        <w:rPr>
          <w:rStyle w:val="CharSectno"/>
        </w:rPr>
        <w:t>5</w:t>
      </w:r>
      <w:r>
        <w:t>.</w:t>
      </w:r>
      <w:r>
        <w:tab/>
        <w:t>Authority established</w:t>
      </w:r>
      <w:bookmarkEnd w:id="31"/>
      <w:bookmarkEnd w:id="32"/>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33" w:name="_Toc37949610"/>
      <w:bookmarkStart w:id="34" w:name="_Toc426105500"/>
      <w:r>
        <w:rPr>
          <w:rStyle w:val="CharSectno"/>
        </w:rPr>
        <w:t>6</w:t>
      </w:r>
      <w:r>
        <w:t>.</w:t>
      </w:r>
      <w:r>
        <w:tab/>
        <w:t>Status</w:t>
      </w:r>
      <w:bookmarkEnd w:id="33"/>
      <w:bookmarkEnd w:id="34"/>
    </w:p>
    <w:p>
      <w:pPr>
        <w:pStyle w:val="Subsection"/>
      </w:pPr>
      <w:r>
        <w:tab/>
      </w:r>
      <w:r>
        <w:tab/>
        <w:t>The Authority is an agent of the State and, except as stated in section 72, has the status, immunities, and privileges of the State.</w:t>
      </w:r>
    </w:p>
    <w:p>
      <w:pPr>
        <w:pStyle w:val="Heading5"/>
      </w:pPr>
      <w:bookmarkStart w:id="35" w:name="_Toc37949611"/>
      <w:bookmarkStart w:id="36" w:name="_Toc426105501"/>
      <w:r>
        <w:rPr>
          <w:rStyle w:val="CharSectno"/>
        </w:rPr>
        <w:t>7</w:t>
      </w:r>
      <w:r>
        <w:t>.</w:t>
      </w:r>
      <w:r>
        <w:tab/>
        <w:t>Authority to be SES organisation</w:t>
      </w:r>
      <w:bookmarkEnd w:id="35"/>
      <w:bookmarkEnd w:id="36"/>
    </w:p>
    <w:p>
      <w:pPr>
        <w:pStyle w:val="Subsection"/>
      </w:pPr>
      <w:r>
        <w:tab/>
      </w:r>
      <w:r>
        <w:tab/>
        <w:t xml:space="preserve">The Authority is to be an SES organisation under the </w:t>
      </w:r>
      <w:r>
        <w:rPr>
          <w:i/>
        </w:rPr>
        <w:t>Public Sector Management Act 1994</w:t>
      </w:r>
      <w:r>
        <w:t>.</w:t>
      </w:r>
    </w:p>
    <w:p>
      <w:pPr>
        <w:pStyle w:val="Heading2"/>
      </w:pPr>
      <w:bookmarkStart w:id="37" w:name="_Toc37949486"/>
      <w:bookmarkStart w:id="38" w:name="_Toc37949612"/>
      <w:bookmarkStart w:id="39" w:name="_Toc426105502"/>
      <w:r>
        <w:rPr>
          <w:rStyle w:val="CharPartNo"/>
        </w:rPr>
        <w:t>Part 3</w:t>
      </w:r>
      <w:r>
        <w:t xml:space="preserve"> — </w:t>
      </w:r>
      <w:r>
        <w:rPr>
          <w:rStyle w:val="CharPartText"/>
        </w:rPr>
        <w:t>Functions of Authority</w:t>
      </w:r>
      <w:bookmarkEnd w:id="37"/>
      <w:bookmarkEnd w:id="38"/>
      <w:bookmarkEnd w:id="39"/>
    </w:p>
    <w:p>
      <w:pPr>
        <w:pStyle w:val="Heading5"/>
      </w:pPr>
      <w:bookmarkStart w:id="40" w:name="_Toc37949613"/>
      <w:bookmarkStart w:id="41" w:name="_Toc426105503"/>
      <w:r>
        <w:rPr>
          <w:rStyle w:val="CharSectno"/>
        </w:rPr>
        <w:t>8</w:t>
      </w:r>
      <w:r>
        <w:t>.</w:t>
      </w:r>
      <w:r>
        <w:tab/>
        <w:t>Dual objectives of Authority</w:t>
      </w:r>
      <w:bookmarkEnd w:id="40"/>
      <w:bookmarkEnd w:id="41"/>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42" w:name="_Toc37949614"/>
      <w:bookmarkStart w:id="43" w:name="_Toc426105504"/>
      <w:r>
        <w:rPr>
          <w:rStyle w:val="CharSectno"/>
        </w:rPr>
        <w:t>9</w:t>
      </w:r>
      <w:r>
        <w:t>.</w:t>
      </w:r>
      <w:r>
        <w:tab/>
        <w:t>Functions</w:t>
      </w:r>
      <w:bookmarkEnd w:id="42"/>
      <w:bookmarkEnd w:id="43"/>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spacing w:before="180"/>
      </w:pPr>
      <w:bookmarkStart w:id="44" w:name="_Toc37949615"/>
      <w:bookmarkStart w:id="45" w:name="_Toc426105505"/>
      <w:r>
        <w:rPr>
          <w:rStyle w:val="CharSectno"/>
        </w:rPr>
        <w:t>10</w:t>
      </w:r>
      <w:r>
        <w:t>.</w:t>
      </w:r>
      <w:r>
        <w:tab/>
        <w:t>Guiding principles</w:t>
      </w:r>
      <w:bookmarkEnd w:id="44"/>
      <w:bookmarkEnd w:id="45"/>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46" w:name="_Toc37949616"/>
      <w:bookmarkStart w:id="47" w:name="_Toc426105506"/>
      <w:r>
        <w:rPr>
          <w:rStyle w:val="CharSectno"/>
        </w:rPr>
        <w:t>11</w:t>
      </w:r>
      <w:r>
        <w:t>.</w:t>
      </w:r>
      <w:r>
        <w:tab/>
        <w:t>Duty to act in accordance with policy instruments</w:t>
      </w:r>
      <w:bookmarkEnd w:id="46"/>
      <w:bookmarkEnd w:id="47"/>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48" w:name="_Toc37949617"/>
      <w:bookmarkStart w:id="49" w:name="_Toc426105507"/>
      <w:r>
        <w:rPr>
          <w:rStyle w:val="CharSectno"/>
        </w:rPr>
        <w:t>12</w:t>
      </w:r>
      <w:r>
        <w:t>.</w:t>
      </w:r>
      <w:r>
        <w:tab/>
        <w:t>Powers generally</w:t>
      </w:r>
      <w:bookmarkEnd w:id="48"/>
      <w:bookmarkEnd w:id="49"/>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50" w:name="_Toc37949618"/>
      <w:bookmarkStart w:id="51" w:name="_Toc426105508"/>
      <w:r>
        <w:rPr>
          <w:rStyle w:val="CharSectno"/>
        </w:rPr>
        <w:t>13</w:t>
      </w:r>
      <w:r>
        <w:t>.</w:t>
      </w:r>
      <w:r>
        <w:tab/>
        <w:t>Transactions that require Minister’s approval</w:t>
      </w:r>
      <w:bookmarkEnd w:id="50"/>
      <w:bookmarkEnd w:id="51"/>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52" w:name="_Toc37949619"/>
      <w:bookmarkStart w:id="53" w:name="_Toc426105509"/>
      <w:r>
        <w:rPr>
          <w:rStyle w:val="CharSectno"/>
        </w:rPr>
        <w:t>14</w:t>
      </w:r>
      <w:r>
        <w:t>.</w:t>
      </w:r>
      <w:r>
        <w:tab/>
        <w:t>Exemptions from s. 13</w:t>
      </w:r>
      <w:bookmarkEnd w:id="52"/>
      <w:bookmarkEnd w:id="53"/>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54" w:name="_Toc37949620"/>
      <w:bookmarkStart w:id="55" w:name="_Toc426105510"/>
      <w:r>
        <w:rPr>
          <w:rStyle w:val="CharSectno"/>
        </w:rPr>
        <w:t>15</w:t>
      </w:r>
      <w:r>
        <w:t>.</w:t>
      </w:r>
      <w:r>
        <w:tab/>
        <w:t>Term used in s. 13 and 14: transaction</w:t>
      </w:r>
      <w:bookmarkEnd w:id="54"/>
      <w:bookmarkEnd w:id="55"/>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56" w:name="_Toc37949621"/>
      <w:bookmarkStart w:id="57" w:name="_Toc426105511"/>
      <w:r>
        <w:rPr>
          <w:rStyle w:val="CharSectno"/>
        </w:rPr>
        <w:t>16</w:t>
      </w:r>
      <w:r>
        <w:t>.</w:t>
      </w:r>
      <w:r>
        <w:tab/>
        <w:t>Pricing principles</w:t>
      </w:r>
      <w:bookmarkEnd w:id="56"/>
      <w:bookmarkEnd w:id="57"/>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58" w:name="_Toc37949622"/>
      <w:bookmarkStart w:id="59" w:name="_Toc426105512"/>
      <w:r>
        <w:rPr>
          <w:rStyle w:val="CharSectno"/>
        </w:rPr>
        <w:t>17</w:t>
      </w:r>
      <w:r>
        <w:t>.</w:t>
      </w:r>
      <w:r>
        <w:tab/>
        <w:t>Certain information free of charge in exceptional cases</w:t>
      </w:r>
      <w:bookmarkEnd w:id="58"/>
      <w:bookmarkEnd w:id="59"/>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60" w:name="_Toc37949623"/>
      <w:bookmarkStart w:id="61" w:name="_Toc426105513"/>
      <w:r>
        <w:rPr>
          <w:rStyle w:val="CharSectno"/>
        </w:rPr>
        <w:t>18</w:t>
      </w:r>
      <w:r>
        <w:t>.</w:t>
      </w:r>
      <w:r>
        <w:tab/>
        <w:t xml:space="preserve">Use of names for </w:t>
      </w:r>
      <w:r>
        <w:rPr>
          <w:snapToGrid w:val="0"/>
        </w:rPr>
        <w:t>Authority</w:t>
      </w:r>
      <w:r>
        <w:t xml:space="preserve"> and its operations</w:t>
      </w:r>
      <w:bookmarkEnd w:id="60"/>
      <w:bookmarkEnd w:id="61"/>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62" w:name="_Toc37949624"/>
      <w:bookmarkStart w:id="63" w:name="_Toc426105514"/>
      <w:r>
        <w:rPr>
          <w:rStyle w:val="CharSectno"/>
        </w:rPr>
        <w:t>19</w:t>
      </w:r>
      <w:r>
        <w:t>.</w:t>
      </w:r>
      <w:r>
        <w:tab/>
        <w:t>Acting beyond limits of State</w:t>
      </w:r>
      <w:bookmarkEnd w:id="62"/>
      <w:bookmarkEnd w:id="63"/>
    </w:p>
    <w:p>
      <w:pPr>
        <w:pStyle w:val="Subsection"/>
      </w:pPr>
      <w:r>
        <w:tab/>
      </w:r>
      <w:r>
        <w:tab/>
        <w:t>In performing functions under this Act, the Authority is not confined to acting within the territorial limits of the State or the Commonwealth.</w:t>
      </w:r>
    </w:p>
    <w:p>
      <w:pPr>
        <w:pStyle w:val="Heading5"/>
      </w:pPr>
      <w:bookmarkStart w:id="64" w:name="_Toc37949625"/>
      <w:bookmarkStart w:id="65" w:name="_Toc426105515"/>
      <w:r>
        <w:rPr>
          <w:rStyle w:val="CharSectno"/>
        </w:rPr>
        <w:t>20</w:t>
      </w:r>
      <w:r>
        <w:t>.</w:t>
      </w:r>
      <w:r>
        <w:tab/>
        <w:t>Delegation by Authority</w:t>
      </w:r>
      <w:bookmarkEnd w:id="64"/>
      <w:bookmarkEnd w:id="65"/>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66" w:name="_Toc37949500"/>
      <w:bookmarkStart w:id="67" w:name="_Toc37949626"/>
      <w:bookmarkStart w:id="68" w:name="_Toc426105516"/>
      <w:r>
        <w:rPr>
          <w:rStyle w:val="CharPartNo"/>
        </w:rPr>
        <w:t>Part 4</w:t>
      </w:r>
      <w:r>
        <w:t> — </w:t>
      </w:r>
      <w:r>
        <w:rPr>
          <w:rStyle w:val="CharPartText"/>
        </w:rPr>
        <w:t>General administration of Authority</w:t>
      </w:r>
      <w:bookmarkEnd w:id="66"/>
      <w:bookmarkEnd w:id="67"/>
      <w:bookmarkEnd w:id="68"/>
    </w:p>
    <w:p>
      <w:pPr>
        <w:pStyle w:val="Heading3"/>
      </w:pPr>
      <w:bookmarkStart w:id="69" w:name="_Toc37949501"/>
      <w:bookmarkStart w:id="70" w:name="_Toc37949627"/>
      <w:bookmarkStart w:id="71" w:name="_Toc426105517"/>
      <w:r>
        <w:rPr>
          <w:rStyle w:val="CharDivNo"/>
        </w:rPr>
        <w:t>Division 1</w:t>
      </w:r>
      <w:r>
        <w:t> — </w:t>
      </w:r>
      <w:r>
        <w:rPr>
          <w:rStyle w:val="CharDivText"/>
        </w:rPr>
        <w:t>Board of Management</w:t>
      </w:r>
      <w:bookmarkEnd w:id="69"/>
      <w:bookmarkEnd w:id="70"/>
      <w:bookmarkEnd w:id="71"/>
    </w:p>
    <w:p>
      <w:pPr>
        <w:pStyle w:val="Heading4"/>
      </w:pPr>
      <w:bookmarkStart w:id="72" w:name="_Toc37949502"/>
      <w:bookmarkStart w:id="73" w:name="_Toc37949628"/>
      <w:bookmarkStart w:id="74" w:name="_Toc426105518"/>
      <w:r>
        <w:t>Subdivision 1 — General provisions</w:t>
      </w:r>
      <w:bookmarkEnd w:id="72"/>
      <w:bookmarkEnd w:id="73"/>
      <w:bookmarkEnd w:id="74"/>
    </w:p>
    <w:p>
      <w:pPr>
        <w:pStyle w:val="Heading5"/>
        <w:spacing w:before="180"/>
      </w:pPr>
      <w:bookmarkStart w:id="75" w:name="_Toc37949629"/>
      <w:bookmarkStart w:id="76" w:name="_Toc426105519"/>
      <w:r>
        <w:rPr>
          <w:rStyle w:val="CharSectno"/>
        </w:rPr>
        <w:t>21</w:t>
      </w:r>
      <w:r>
        <w:t>.</w:t>
      </w:r>
      <w:r>
        <w:tab/>
        <w:t>Board is governing body</w:t>
      </w:r>
      <w:bookmarkEnd w:id="75"/>
      <w:bookmarkEnd w:id="76"/>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80"/>
      </w:pPr>
      <w:bookmarkStart w:id="77" w:name="_Toc37949630"/>
      <w:bookmarkStart w:id="78" w:name="_Toc426105520"/>
      <w:r>
        <w:rPr>
          <w:rStyle w:val="CharSectno"/>
        </w:rPr>
        <w:t>22</w:t>
      </w:r>
      <w:r>
        <w:t>.</w:t>
      </w:r>
      <w:r>
        <w:tab/>
        <w:t>How board is constituted</w:t>
      </w:r>
      <w:bookmarkEnd w:id="77"/>
      <w:bookmarkEnd w:id="78"/>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80"/>
      </w:pPr>
      <w:bookmarkStart w:id="79" w:name="_Toc37949631"/>
      <w:bookmarkStart w:id="80" w:name="_Toc426105521"/>
      <w:r>
        <w:rPr>
          <w:rStyle w:val="CharSectno"/>
        </w:rPr>
        <w:t>23</w:t>
      </w:r>
      <w:r>
        <w:t>.</w:t>
      </w:r>
      <w:r>
        <w:tab/>
        <w:t>Remuneration and allowances</w:t>
      </w:r>
      <w:bookmarkEnd w:id="79"/>
      <w:bookmarkEnd w:id="80"/>
    </w:p>
    <w:p>
      <w:pPr>
        <w:pStyle w:val="Subsection"/>
      </w:pPr>
      <w:r>
        <w:tab/>
      </w:r>
      <w:r>
        <w:tab/>
        <w:t>Members of the Authority’s board of management are entitled to be paid by the Authority any remuneration and allowances that the Minister may from time to time determine on the recommendation of the Public Sector Commissioner.</w:t>
      </w:r>
    </w:p>
    <w:p>
      <w:pPr>
        <w:pStyle w:val="Footnotesection"/>
      </w:pPr>
      <w:r>
        <w:tab/>
        <w:t>[Section 23 amended</w:t>
      </w:r>
      <w:del w:id="81" w:author="svcMRProcess" w:date="2020-04-17T16:51:00Z">
        <w:r>
          <w:delText xml:space="preserve"> by</w:delText>
        </w:r>
      </w:del>
      <w:ins w:id="82" w:author="svcMRProcess" w:date="2020-04-17T16:51:00Z">
        <w:r>
          <w:t>:</w:t>
        </w:r>
      </w:ins>
      <w:r>
        <w:t xml:space="preserve"> No. 39 of 2010 s. 89.]</w:t>
      </w:r>
    </w:p>
    <w:p>
      <w:pPr>
        <w:pStyle w:val="Heading5"/>
      </w:pPr>
      <w:bookmarkStart w:id="83" w:name="_Toc37949632"/>
      <w:bookmarkStart w:id="84" w:name="_Toc426105522"/>
      <w:r>
        <w:rPr>
          <w:rStyle w:val="CharSectno"/>
        </w:rPr>
        <w:t>24</w:t>
      </w:r>
      <w:r>
        <w:t>.</w:t>
      </w:r>
      <w:r>
        <w:tab/>
        <w:t>Term of office</w:t>
      </w:r>
      <w:bookmarkEnd w:id="83"/>
      <w:bookmarkEnd w:id="84"/>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85" w:name="_Toc37949633"/>
      <w:bookmarkStart w:id="86" w:name="_Toc426105523"/>
      <w:r>
        <w:rPr>
          <w:rStyle w:val="CharSectno"/>
        </w:rPr>
        <w:t>25</w:t>
      </w:r>
      <w:r>
        <w:t>.</w:t>
      </w:r>
      <w:r>
        <w:tab/>
        <w:t>Casual vacancies</w:t>
      </w:r>
      <w:bookmarkEnd w:id="85"/>
      <w:bookmarkEnd w:id="86"/>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87" w:name="_Toc37949634"/>
      <w:bookmarkStart w:id="88" w:name="_Toc426105524"/>
      <w:r>
        <w:rPr>
          <w:rStyle w:val="CharSectno"/>
        </w:rPr>
        <w:t>26</w:t>
      </w:r>
      <w:r>
        <w:t>.</w:t>
      </w:r>
      <w:r>
        <w:tab/>
        <w:t>Leave of absence</w:t>
      </w:r>
      <w:bookmarkEnd w:id="87"/>
      <w:bookmarkEnd w:id="88"/>
    </w:p>
    <w:p>
      <w:pPr>
        <w:pStyle w:val="Subsection"/>
      </w:pPr>
      <w:r>
        <w:tab/>
      </w:r>
      <w:r>
        <w:tab/>
        <w:t>The Authority’s board of management may, on any terms and conditions it thinks fit, grant a member leave to be absent from duty.</w:t>
      </w:r>
    </w:p>
    <w:p>
      <w:pPr>
        <w:pStyle w:val="Heading5"/>
      </w:pPr>
      <w:bookmarkStart w:id="89" w:name="_Toc37949635"/>
      <w:bookmarkStart w:id="90" w:name="_Toc426105525"/>
      <w:r>
        <w:rPr>
          <w:rStyle w:val="CharSectno"/>
        </w:rPr>
        <w:t>27</w:t>
      </w:r>
      <w:r>
        <w:t>.</w:t>
      </w:r>
      <w:r>
        <w:tab/>
        <w:t>Deputy chairman acting as chairman</w:t>
      </w:r>
      <w:bookmarkEnd w:id="89"/>
      <w:bookmarkEnd w:id="90"/>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91" w:name="_Toc37949636"/>
      <w:bookmarkStart w:id="92" w:name="_Toc426105526"/>
      <w:r>
        <w:rPr>
          <w:rStyle w:val="CharSectno"/>
        </w:rPr>
        <w:t>28</w:t>
      </w:r>
      <w:r>
        <w:t>.</w:t>
      </w:r>
      <w:r>
        <w:tab/>
        <w:t>Alternate members</w:t>
      </w:r>
      <w:bookmarkEnd w:id="91"/>
      <w:bookmarkEnd w:id="92"/>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93" w:name="_Toc37949637"/>
      <w:bookmarkStart w:id="94" w:name="_Toc426105527"/>
      <w:r>
        <w:rPr>
          <w:rStyle w:val="CharSectno"/>
        </w:rPr>
        <w:t>29</w:t>
      </w:r>
      <w:r>
        <w:t>.</w:t>
      </w:r>
      <w:r>
        <w:tab/>
        <w:t>Committees</w:t>
      </w:r>
      <w:bookmarkEnd w:id="93"/>
      <w:bookmarkEnd w:id="94"/>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95" w:name="_Toc37949638"/>
      <w:bookmarkStart w:id="96" w:name="_Toc426105528"/>
      <w:r>
        <w:rPr>
          <w:rStyle w:val="CharSectno"/>
        </w:rPr>
        <w:t>30</w:t>
      </w:r>
      <w:r>
        <w:t>.</w:t>
      </w:r>
      <w:r>
        <w:tab/>
        <w:t>Disclosure of material personal interest</w:t>
      </w:r>
      <w:bookmarkEnd w:id="95"/>
      <w:bookmarkEnd w:id="96"/>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97" w:name="_Toc37949513"/>
      <w:bookmarkStart w:id="98" w:name="_Toc37949639"/>
      <w:bookmarkStart w:id="99" w:name="_Toc426105529"/>
      <w:r>
        <w:t>Subdivision 2 — Meetings</w:t>
      </w:r>
      <w:bookmarkEnd w:id="97"/>
      <w:bookmarkEnd w:id="98"/>
      <w:bookmarkEnd w:id="99"/>
    </w:p>
    <w:p>
      <w:pPr>
        <w:pStyle w:val="Heading5"/>
      </w:pPr>
      <w:bookmarkStart w:id="100" w:name="_Toc37949640"/>
      <w:bookmarkStart w:id="101" w:name="_Toc426105530"/>
      <w:r>
        <w:rPr>
          <w:rStyle w:val="CharSectno"/>
        </w:rPr>
        <w:t>31</w:t>
      </w:r>
      <w:r>
        <w:t>.</w:t>
      </w:r>
      <w:r>
        <w:tab/>
        <w:t>Holding meetings</w:t>
      </w:r>
      <w:bookmarkEnd w:id="100"/>
      <w:bookmarkEnd w:id="101"/>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102" w:name="_Toc37949641"/>
      <w:bookmarkStart w:id="103" w:name="_Toc426105531"/>
      <w:r>
        <w:rPr>
          <w:rStyle w:val="CharSectno"/>
        </w:rPr>
        <w:t>32</w:t>
      </w:r>
      <w:r>
        <w:t>.</w:t>
      </w:r>
      <w:r>
        <w:tab/>
        <w:t>Quorum</w:t>
      </w:r>
      <w:bookmarkEnd w:id="102"/>
      <w:bookmarkEnd w:id="103"/>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104" w:name="_Toc37949642"/>
      <w:bookmarkStart w:id="105" w:name="_Toc426105532"/>
      <w:r>
        <w:rPr>
          <w:rStyle w:val="CharSectno"/>
        </w:rPr>
        <w:t>33</w:t>
      </w:r>
      <w:r>
        <w:t>.</w:t>
      </w:r>
      <w:r>
        <w:tab/>
        <w:t>Presiding at meetings</w:t>
      </w:r>
      <w:bookmarkEnd w:id="104"/>
      <w:bookmarkEnd w:id="105"/>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106" w:name="_Toc37949643"/>
      <w:bookmarkStart w:id="107" w:name="_Toc426105533"/>
      <w:r>
        <w:rPr>
          <w:rStyle w:val="CharSectno"/>
        </w:rPr>
        <w:t>34</w:t>
      </w:r>
      <w:r>
        <w:t>.</w:t>
      </w:r>
      <w:r>
        <w:tab/>
        <w:t>Procedure at meetings</w:t>
      </w:r>
      <w:bookmarkEnd w:id="106"/>
      <w:bookmarkEnd w:id="107"/>
    </w:p>
    <w:p>
      <w:pPr>
        <w:pStyle w:val="Subsection"/>
      </w:pPr>
      <w:r>
        <w:tab/>
      </w:r>
      <w:r>
        <w:tab/>
        <w:t>The Authority’s board of management is to determine its own meeting procedures to the extent that they are not fixed by this Act.</w:t>
      </w:r>
    </w:p>
    <w:p>
      <w:pPr>
        <w:pStyle w:val="Heading5"/>
      </w:pPr>
      <w:bookmarkStart w:id="108" w:name="_Toc37949644"/>
      <w:bookmarkStart w:id="109" w:name="_Toc426105534"/>
      <w:r>
        <w:rPr>
          <w:rStyle w:val="CharSectno"/>
        </w:rPr>
        <w:t>35</w:t>
      </w:r>
      <w:r>
        <w:t>.</w:t>
      </w:r>
      <w:r>
        <w:tab/>
        <w:t>Voting</w:t>
      </w:r>
      <w:bookmarkEnd w:id="108"/>
      <w:bookmarkEnd w:id="109"/>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110" w:name="_Toc37949645"/>
      <w:bookmarkStart w:id="111" w:name="_Toc426105535"/>
      <w:r>
        <w:rPr>
          <w:rStyle w:val="CharSectno"/>
        </w:rPr>
        <w:t>36</w:t>
      </w:r>
      <w:r>
        <w:t>.</w:t>
      </w:r>
      <w:r>
        <w:tab/>
        <w:t>Inviting consultant to participate in meeting</w:t>
      </w:r>
      <w:bookmarkEnd w:id="110"/>
      <w:bookmarkEnd w:id="111"/>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112" w:name="_Toc37949646"/>
      <w:bookmarkStart w:id="113" w:name="_Toc426105536"/>
      <w:r>
        <w:rPr>
          <w:rStyle w:val="CharSectno"/>
        </w:rPr>
        <w:t>37</w:t>
      </w:r>
      <w:r>
        <w:t>.</w:t>
      </w:r>
      <w:r>
        <w:tab/>
        <w:t>Holding meetings remotely</w:t>
      </w:r>
      <w:bookmarkEnd w:id="112"/>
      <w:bookmarkEnd w:id="113"/>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114" w:name="_Toc37949647"/>
      <w:bookmarkStart w:id="115" w:name="_Toc426105537"/>
      <w:r>
        <w:rPr>
          <w:rStyle w:val="CharSectno"/>
        </w:rPr>
        <w:t>38</w:t>
      </w:r>
      <w:r>
        <w:t>.</w:t>
      </w:r>
      <w:r>
        <w:tab/>
        <w:t>Resolution without meeting</w:t>
      </w:r>
      <w:bookmarkEnd w:id="114"/>
      <w:bookmarkEnd w:id="115"/>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116" w:name="_Toc37949648"/>
      <w:bookmarkStart w:id="117" w:name="_Toc426105538"/>
      <w:r>
        <w:rPr>
          <w:rStyle w:val="CharSectno"/>
        </w:rPr>
        <w:t>39</w:t>
      </w:r>
      <w:r>
        <w:t>.</w:t>
      </w:r>
      <w:r>
        <w:tab/>
        <w:t>Minutes to be kept</w:t>
      </w:r>
      <w:bookmarkEnd w:id="116"/>
      <w:bookmarkEnd w:id="117"/>
    </w:p>
    <w:p>
      <w:pPr>
        <w:pStyle w:val="Subsection"/>
      </w:pPr>
      <w:r>
        <w:tab/>
      </w:r>
      <w:r>
        <w:tab/>
        <w:t>The Authority is to cause accurate minutes to be kept of the proceedings at meetings of its board of management.</w:t>
      </w:r>
    </w:p>
    <w:p>
      <w:pPr>
        <w:pStyle w:val="Heading5"/>
      </w:pPr>
      <w:bookmarkStart w:id="118" w:name="_Toc37949649"/>
      <w:bookmarkStart w:id="119" w:name="_Toc426105539"/>
      <w:r>
        <w:rPr>
          <w:rStyle w:val="CharSectno"/>
        </w:rPr>
        <w:t>40</w:t>
      </w:r>
      <w:r>
        <w:t>.</w:t>
      </w:r>
      <w:r>
        <w:tab/>
        <w:t>Voting by interested board member</w:t>
      </w:r>
      <w:bookmarkEnd w:id="118"/>
      <w:bookmarkEnd w:id="119"/>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120" w:name="_Toc37949650"/>
      <w:bookmarkStart w:id="121" w:name="_Toc426105540"/>
      <w:r>
        <w:rPr>
          <w:rStyle w:val="CharSectno"/>
        </w:rPr>
        <w:t>41</w:t>
      </w:r>
      <w:r>
        <w:t>.</w:t>
      </w:r>
      <w:r>
        <w:tab/>
        <w:t>Section 40 may be declared inapplicable</w:t>
      </w:r>
      <w:bookmarkEnd w:id="120"/>
      <w:bookmarkEnd w:id="121"/>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22" w:name="_Toc37949651"/>
      <w:bookmarkStart w:id="123" w:name="_Toc426105541"/>
      <w:r>
        <w:rPr>
          <w:rStyle w:val="CharSectno"/>
        </w:rPr>
        <w:t>42</w:t>
      </w:r>
      <w:r>
        <w:t>.</w:t>
      </w:r>
      <w:r>
        <w:tab/>
        <w:t>Quorum where s. 40 applies</w:t>
      </w:r>
      <w:bookmarkEnd w:id="122"/>
      <w:bookmarkEnd w:id="123"/>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24" w:name="_Toc37949652"/>
      <w:bookmarkStart w:id="125" w:name="_Toc426105542"/>
      <w:r>
        <w:rPr>
          <w:rStyle w:val="CharSectno"/>
        </w:rPr>
        <w:t>43</w:t>
      </w:r>
      <w:r>
        <w:t>.</w:t>
      </w:r>
      <w:r>
        <w:tab/>
        <w:t>Minister may declare s. 40 and 42 inapplicable</w:t>
      </w:r>
      <w:bookmarkEnd w:id="124"/>
      <w:bookmarkEnd w:id="125"/>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126" w:name="_Toc37949527"/>
      <w:bookmarkStart w:id="127" w:name="_Toc37949653"/>
      <w:bookmarkStart w:id="128" w:name="_Toc426105543"/>
      <w:r>
        <w:rPr>
          <w:rStyle w:val="CharDivNo"/>
        </w:rPr>
        <w:t>Division 2</w:t>
      </w:r>
      <w:r>
        <w:t> — </w:t>
      </w:r>
      <w:r>
        <w:rPr>
          <w:rStyle w:val="CharDivText"/>
        </w:rPr>
        <w:t>Staff and contractors</w:t>
      </w:r>
      <w:bookmarkEnd w:id="126"/>
      <w:bookmarkEnd w:id="127"/>
      <w:bookmarkEnd w:id="128"/>
    </w:p>
    <w:p>
      <w:pPr>
        <w:pStyle w:val="Heading5"/>
      </w:pPr>
      <w:bookmarkStart w:id="129" w:name="_Toc37949654"/>
      <w:bookmarkStart w:id="130" w:name="_Toc426105544"/>
      <w:r>
        <w:rPr>
          <w:rStyle w:val="CharSectno"/>
        </w:rPr>
        <w:t>44</w:t>
      </w:r>
      <w:r>
        <w:t>.</w:t>
      </w:r>
      <w:r>
        <w:tab/>
        <w:t>Chief executive officer</w:t>
      </w:r>
      <w:bookmarkEnd w:id="129"/>
      <w:bookmarkEnd w:id="130"/>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131" w:name="_Toc37949655"/>
      <w:bookmarkStart w:id="132" w:name="_Toc426105545"/>
      <w:r>
        <w:rPr>
          <w:rStyle w:val="CharSectno"/>
        </w:rPr>
        <w:t>45</w:t>
      </w:r>
      <w:r>
        <w:t>.</w:t>
      </w:r>
      <w:r>
        <w:tab/>
        <w:t>Other staff and contractors</w:t>
      </w:r>
      <w:bookmarkEnd w:id="131"/>
      <w:bookmarkEnd w:id="132"/>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133" w:name="_Toc37949656"/>
      <w:bookmarkStart w:id="134" w:name="_Toc426105546"/>
      <w:r>
        <w:rPr>
          <w:rStyle w:val="CharSectno"/>
        </w:rPr>
        <w:t>46</w:t>
      </w:r>
      <w:r>
        <w:t>.</w:t>
      </w:r>
      <w:r>
        <w:tab/>
        <w:t>Use of government staff and facilities</w:t>
      </w:r>
      <w:bookmarkEnd w:id="133"/>
      <w:bookmarkEnd w:id="13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135" w:name="_Toc37949531"/>
      <w:bookmarkStart w:id="136" w:name="_Toc37949657"/>
      <w:bookmarkStart w:id="137" w:name="_Toc426105547"/>
      <w:r>
        <w:rPr>
          <w:rStyle w:val="CharPartNo"/>
        </w:rPr>
        <w:t>Part 5</w:t>
      </w:r>
      <w:r>
        <w:t xml:space="preserve"> — </w:t>
      </w:r>
      <w:r>
        <w:rPr>
          <w:rStyle w:val="CharPartText"/>
        </w:rPr>
        <w:t>Accountability and financial provisions</w:t>
      </w:r>
      <w:bookmarkEnd w:id="135"/>
      <w:bookmarkEnd w:id="136"/>
      <w:bookmarkEnd w:id="137"/>
    </w:p>
    <w:p>
      <w:pPr>
        <w:pStyle w:val="Heading3"/>
      </w:pPr>
      <w:bookmarkStart w:id="138" w:name="_Toc37949532"/>
      <w:bookmarkStart w:id="139" w:name="_Toc37949658"/>
      <w:bookmarkStart w:id="140" w:name="_Toc426105548"/>
      <w:r>
        <w:rPr>
          <w:rStyle w:val="CharDivNo"/>
        </w:rPr>
        <w:t>Division 1</w:t>
      </w:r>
      <w:r>
        <w:t xml:space="preserve"> — </w:t>
      </w:r>
      <w:r>
        <w:rPr>
          <w:rStyle w:val="CharDivText"/>
        </w:rPr>
        <w:t>Accountability</w:t>
      </w:r>
      <w:bookmarkEnd w:id="138"/>
      <w:bookmarkEnd w:id="139"/>
      <w:bookmarkEnd w:id="140"/>
    </w:p>
    <w:p>
      <w:pPr>
        <w:pStyle w:val="Heading5"/>
      </w:pPr>
      <w:bookmarkStart w:id="141" w:name="_Toc37949659"/>
      <w:bookmarkStart w:id="142" w:name="_Toc426105549"/>
      <w:r>
        <w:rPr>
          <w:rStyle w:val="CharSectno"/>
        </w:rPr>
        <w:t>47</w:t>
      </w:r>
      <w:r>
        <w:t>.</w:t>
      </w:r>
      <w:r>
        <w:tab/>
        <w:t>Draft strategic development plan to be submitted</w:t>
      </w:r>
      <w:bookmarkEnd w:id="141"/>
      <w:bookmarkEnd w:id="142"/>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143" w:name="_Toc37949660"/>
      <w:bookmarkStart w:id="144" w:name="_Toc426105550"/>
      <w:r>
        <w:rPr>
          <w:rStyle w:val="CharSectno"/>
        </w:rPr>
        <w:t>48</w:t>
      </w:r>
      <w:r>
        <w:t>.</w:t>
      </w:r>
      <w:r>
        <w:tab/>
        <w:t>Transitional provision</w:t>
      </w:r>
      <w:bookmarkEnd w:id="143"/>
      <w:bookmarkEnd w:id="144"/>
    </w:p>
    <w:p>
      <w:pPr>
        <w:pStyle w:val="Subsection"/>
      </w:pPr>
      <w:r>
        <w:tab/>
      </w:r>
      <w:r>
        <w:tab/>
        <w:t>The first strategic development plan for the Authority is to be for the next full financial year after the commencement of this section.</w:t>
      </w:r>
    </w:p>
    <w:p>
      <w:pPr>
        <w:pStyle w:val="Heading5"/>
      </w:pPr>
      <w:bookmarkStart w:id="145" w:name="_Toc37949661"/>
      <w:bookmarkStart w:id="146" w:name="_Toc426105551"/>
      <w:r>
        <w:rPr>
          <w:rStyle w:val="CharSectno"/>
        </w:rPr>
        <w:t>49</w:t>
      </w:r>
      <w:r>
        <w:t>.</w:t>
      </w:r>
      <w:r>
        <w:tab/>
        <w:t>Negotiating strategic development plan</w:t>
      </w:r>
      <w:bookmarkEnd w:id="145"/>
      <w:bookmarkEnd w:id="146"/>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147" w:name="_Toc37949662"/>
      <w:bookmarkStart w:id="148" w:name="_Toc426105552"/>
      <w:r>
        <w:rPr>
          <w:rStyle w:val="CharSectno"/>
        </w:rPr>
        <w:t>50</w:t>
      </w:r>
      <w:r>
        <w:t>.</w:t>
      </w:r>
      <w:r>
        <w:tab/>
        <w:t>Minister’s powers in relation to draft strategic development plan</w:t>
      </w:r>
      <w:bookmarkEnd w:id="147"/>
      <w:bookmarkEnd w:id="148"/>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149" w:name="_Toc37949663"/>
      <w:bookmarkStart w:id="150" w:name="_Toc426105553"/>
      <w:r>
        <w:rPr>
          <w:rStyle w:val="CharSectno"/>
        </w:rPr>
        <w:t>51</w:t>
      </w:r>
      <w:r>
        <w:t>.</w:t>
      </w:r>
      <w:r>
        <w:tab/>
        <w:t>Agreed strategic development plan</w:t>
      </w:r>
      <w:bookmarkEnd w:id="149"/>
      <w:bookmarkEnd w:id="150"/>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151" w:name="_Toc37949664"/>
      <w:bookmarkStart w:id="152" w:name="_Toc426105554"/>
      <w:r>
        <w:rPr>
          <w:rStyle w:val="CharSectno"/>
        </w:rPr>
        <w:t>52</w:t>
      </w:r>
      <w:r>
        <w:t>.</w:t>
      </w:r>
      <w:r>
        <w:tab/>
        <w:t>Strategic development plan if not agreed</w:t>
      </w:r>
      <w:bookmarkEnd w:id="151"/>
      <w:bookmarkEnd w:id="152"/>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153" w:name="_Toc37949665"/>
      <w:bookmarkStart w:id="154" w:name="_Toc426105555"/>
      <w:r>
        <w:rPr>
          <w:rStyle w:val="CharSectno"/>
        </w:rPr>
        <w:t>53</w:t>
      </w:r>
      <w:r>
        <w:t>.</w:t>
      </w:r>
      <w:r>
        <w:tab/>
        <w:t>Content of strategic development plan</w:t>
      </w:r>
      <w:bookmarkEnd w:id="153"/>
      <w:bookmarkEnd w:id="154"/>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155" w:name="_Toc37949666"/>
      <w:bookmarkStart w:id="156" w:name="_Toc426105556"/>
      <w:r>
        <w:rPr>
          <w:rStyle w:val="CharSectno"/>
        </w:rPr>
        <w:t>54</w:t>
      </w:r>
      <w:r>
        <w:t>.</w:t>
      </w:r>
      <w:r>
        <w:tab/>
        <w:t>Modification of strategic development plan</w:t>
      </w:r>
      <w:bookmarkEnd w:id="155"/>
      <w:bookmarkEnd w:id="156"/>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157" w:name="_Toc37949667"/>
      <w:bookmarkStart w:id="158" w:name="_Toc426105557"/>
      <w:r>
        <w:rPr>
          <w:rStyle w:val="CharSectno"/>
        </w:rPr>
        <w:t>55</w:t>
      </w:r>
      <w:r>
        <w:t>.</w:t>
      </w:r>
      <w:r>
        <w:tab/>
        <w:t>Draft statement of corporate intent to be submitted</w:t>
      </w:r>
      <w:bookmarkEnd w:id="157"/>
      <w:bookmarkEnd w:id="158"/>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159" w:name="_Toc37949668"/>
      <w:bookmarkStart w:id="160" w:name="_Toc426105558"/>
      <w:r>
        <w:rPr>
          <w:rStyle w:val="CharSectno"/>
        </w:rPr>
        <w:t>56</w:t>
      </w:r>
      <w:r>
        <w:t>.</w:t>
      </w:r>
      <w:r>
        <w:tab/>
        <w:t>Transitional provision</w:t>
      </w:r>
      <w:bookmarkEnd w:id="159"/>
      <w:bookmarkEnd w:id="160"/>
    </w:p>
    <w:p>
      <w:pPr>
        <w:pStyle w:val="Subsection"/>
      </w:pPr>
      <w:r>
        <w:tab/>
      </w:r>
      <w:r>
        <w:tab/>
        <w:t>The first statement of corporate intent for the Authority is to be for the next full financial year after the commencement of this section.</w:t>
      </w:r>
    </w:p>
    <w:p>
      <w:pPr>
        <w:pStyle w:val="Heading5"/>
      </w:pPr>
      <w:bookmarkStart w:id="161" w:name="_Toc37949669"/>
      <w:bookmarkStart w:id="162" w:name="_Toc426105559"/>
      <w:r>
        <w:rPr>
          <w:rStyle w:val="CharSectno"/>
        </w:rPr>
        <w:t>57</w:t>
      </w:r>
      <w:r>
        <w:t>.</w:t>
      </w:r>
      <w:r>
        <w:tab/>
        <w:t>Negotiating statement of corporate intent</w:t>
      </w:r>
      <w:bookmarkEnd w:id="161"/>
      <w:bookmarkEnd w:id="162"/>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163" w:name="_Toc37949670"/>
      <w:bookmarkStart w:id="164" w:name="_Toc426105560"/>
      <w:r>
        <w:rPr>
          <w:rStyle w:val="CharSectno"/>
        </w:rPr>
        <w:t>58</w:t>
      </w:r>
      <w:r>
        <w:t>.</w:t>
      </w:r>
      <w:r>
        <w:tab/>
        <w:t>Minister’s powers in relation to draft statement of corporate intent</w:t>
      </w:r>
      <w:bookmarkEnd w:id="163"/>
      <w:bookmarkEnd w:id="164"/>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165" w:name="_Toc37949671"/>
      <w:bookmarkStart w:id="166" w:name="_Toc426105561"/>
      <w:r>
        <w:rPr>
          <w:rStyle w:val="CharSectno"/>
        </w:rPr>
        <w:t>59</w:t>
      </w:r>
      <w:r>
        <w:t>.</w:t>
      </w:r>
      <w:r>
        <w:tab/>
        <w:t>Agreed statement of corporate intent</w:t>
      </w:r>
      <w:bookmarkEnd w:id="165"/>
      <w:bookmarkEnd w:id="166"/>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167" w:name="_Toc37949672"/>
      <w:bookmarkStart w:id="168" w:name="_Toc426105562"/>
      <w:r>
        <w:rPr>
          <w:rStyle w:val="CharSectno"/>
        </w:rPr>
        <w:t>60</w:t>
      </w:r>
      <w:r>
        <w:t>.</w:t>
      </w:r>
      <w:r>
        <w:tab/>
        <w:t>Statement of corporate intent if not agreed</w:t>
      </w:r>
      <w:bookmarkEnd w:id="167"/>
      <w:bookmarkEnd w:id="168"/>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169" w:name="_Toc37949673"/>
      <w:bookmarkStart w:id="170" w:name="_Toc426105563"/>
      <w:r>
        <w:rPr>
          <w:rStyle w:val="CharSectno"/>
        </w:rPr>
        <w:t>61</w:t>
      </w:r>
      <w:r>
        <w:t>.</w:t>
      </w:r>
      <w:r>
        <w:tab/>
        <w:t>Content of statement of corporate intent</w:t>
      </w:r>
      <w:bookmarkEnd w:id="169"/>
      <w:bookmarkEnd w:id="170"/>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171" w:name="_Toc37949674"/>
      <w:bookmarkStart w:id="172" w:name="_Toc426105564"/>
      <w:r>
        <w:rPr>
          <w:rStyle w:val="CharSectno"/>
        </w:rPr>
        <w:t>62</w:t>
      </w:r>
      <w:r>
        <w:t>.</w:t>
      </w:r>
      <w:r>
        <w:tab/>
        <w:t>Modification of statement of corporate intent</w:t>
      </w:r>
      <w:bookmarkEnd w:id="171"/>
      <w:bookmarkEnd w:id="172"/>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173" w:name="_Toc37949675"/>
      <w:bookmarkStart w:id="174" w:name="_Toc426105565"/>
      <w:r>
        <w:rPr>
          <w:rStyle w:val="CharSectno"/>
        </w:rPr>
        <w:t>63</w:t>
      </w:r>
      <w:r>
        <w:t>.</w:t>
      </w:r>
      <w:r>
        <w:tab/>
        <w:t>Consultation</w:t>
      </w:r>
      <w:bookmarkEnd w:id="173"/>
      <w:bookmarkEnd w:id="174"/>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175" w:name="_Toc37949676"/>
      <w:bookmarkStart w:id="176" w:name="_Toc426105566"/>
      <w:r>
        <w:rPr>
          <w:rStyle w:val="CharSectno"/>
        </w:rPr>
        <w:t>64</w:t>
      </w:r>
      <w:r>
        <w:t>.</w:t>
      </w:r>
      <w:r>
        <w:tab/>
        <w:t>Minister to be kept informed</w:t>
      </w:r>
      <w:bookmarkEnd w:id="175"/>
      <w:bookmarkEnd w:id="176"/>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177" w:name="_Toc37949677"/>
      <w:bookmarkStart w:id="178" w:name="_Toc426105567"/>
      <w:r>
        <w:t>65.</w:t>
      </w:r>
      <w:r>
        <w:tab/>
        <w:t>Minister may give directions</w:t>
      </w:r>
      <w:bookmarkEnd w:id="177"/>
      <w:bookmarkEnd w:id="178"/>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t>.</w:t>
      </w:r>
    </w:p>
    <w:p>
      <w:pPr>
        <w:pStyle w:val="Footnotesection"/>
      </w:pPr>
      <w:r>
        <w:tab/>
        <w:t>[Section 65 amended</w:t>
      </w:r>
      <w:del w:id="179" w:author="svcMRProcess" w:date="2020-04-17T16:51:00Z">
        <w:r>
          <w:delText xml:space="preserve"> by</w:delText>
        </w:r>
      </w:del>
      <w:ins w:id="180" w:author="svcMRProcess" w:date="2020-04-17T16:51:00Z">
        <w:r>
          <w:t>:</w:t>
        </w:r>
      </w:ins>
      <w:r>
        <w:t xml:space="preserve"> No. 77 of 2006 Sch. 1 cl. 94(1).]</w:t>
      </w:r>
    </w:p>
    <w:p>
      <w:pPr>
        <w:pStyle w:val="Heading5"/>
      </w:pPr>
      <w:bookmarkStart w:id="181" w:name="_Toc37949678"/>
      <w:bookmarkStart w:id="182" w:name="_Toc426105568"/>
      <w:r>
        <w:rPr>
          <w:rStyle w:val="CharSectno"/>
        </w:rPr>
        <w:t>66</w:t>
      </w:r>
      <w:r>
        <w:t>.</w:t>
      </w:r>
      <w:r>
        <w:tab/>
        <w:t>When directions take effect</w:t>
      </w:r>
      <w:bookmarkEnd w:id="181"/>
      <w:bookmarkEnd w:id="182"/>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183" w:name="_Toc37949679"/>
      <w:bookmarkStart w:id="184" w:name="_Toc426105569"/>
      <w:r>
        <w:rPr>
          <w:rStyle w:val="CharSectno"/>
        </w:rPr>
        <w:t>67</w:t>
      </w:r>
      <w:r>
        <w:t>.</w:t>
      </w:r>
      <w:r>
        <w:tab/>
        <w:t>Minister to have access to information</w:t>
      </w:r>
      <w:bookmarkEnd w:id="183"/>
      <w:bookmarkEnd w:id="184"/>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185" w:name="_Toc37949680"/>
      <w:bookmarkStart w:id="186" w:name="_Toc426105570"/>
      <w:r>
        <w:rPr>
          <w:rStyle w:val="CharSectno"/>
        </w:rPr>
        <w:t>68</w:t>
      </w:r>
      <w:r>
        <w:t>.</w:t>
      </w:r>
      <w:r>
        <w:tab/>
        <w:t>Deletion of commercially sensitive matters</w:t>
      </w:r>
      <w:bookmarkEnd w:id="185"/>
      <w:bookmarkEnd w:id="186"/>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keepNext/>
      </w:pPr>
      <w:r>
        <w:tab/>
        <w:t>(b)</w:t>
      </w:r>
      <w:r>
        <w:tab/>
        <w:t>any other document of the Authority that is to be, or might be, made public,</w:t>
      </w:r>
    </w:p>
    <w:p>
      <w:pPr>
        <w:pStyle w:val="Subsection"/>
        <w:spacing w:before="180"/>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spacing w:before="180"/>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w:t>
      </w:r>
      <w:del w:id="187" w:author="svcMRProcess" w:date="2020-04-17T16:51:00Z">
        <w:r>
          <w:delText xml:space="preserve"> by</w:delText>
        </w:r>
      </w:del>
      <w:ins w:id="188" w:author="svcMRProcess" w:date="2020-04-17T16:51:00Z">
        <w:r>
          <w:t>:</w:t>
        </w:r>
      </w:ins>
      <w:r>
        <w:t xml:space="preserve"> No. 77 of 2006 Sch. 1 cl. 94(2).]</w:t>
      </w:r>
    </w:p>
    <w:p>
      <w:pPr>
        <w:pStyle w:val="Heading3"/>
      </w:pPr>
      <w:bookmarkStart w:id="189" w:name="_Toc37949555"/>
      <w:bookmarkStart w:id="190" w:name="_Toc37949681"/>
      <w:bookmarkStart w:id="191" w:name="_Toc426105571"/>
      <w:r>
        <w:rPr>
          <w:rStyle w:val="CharDivNo"/>
        </w:rPr>
        <w:t>Division 2</w:t>
      </w:r>
      <w:r>
        <w:t xml:space="preserve"> — </w:t>
      </w:r>
      <w:r>
        <w:rPr>
          <w:rStyle w:val="CharDivText"/>
        </w:rPr>
        <w:t>Financial provisions</w:t>
      </w:r>
      <w:bookmarkEnd w:id="189"/>
      <w:bookmarkEnd w:id="190"/>
      <w:bookmarkEnd w:id="191"/>
    </w:p>
    <w:p>
      <w:pPr>
        <w:pStyle w:val="Heading5"/>
        <w:spacing w:before="240"/>
      </w:pPr>
      <w:bookmarkStart w:id="192" w:name="_Toc37949682"/>
      <w:bookmarkStart w:id="193" w:name="_Toc426105572"/>
      <w:r>
        <w:rPr>
          <w:rStyle w:val="CharSectno"/>
        </w:rPr>
        <w:t>69</w:t>
      </w:r>
      <w:r>
        <w:t>.</w:t>
      </w:r>
      <w:r>
        <w:tab/>
        <w:t>Authority’s funds</w:t>
      </w:r>
      <w:bookmarkEnd w:id="192"/>
      <w:bookmarkEnd w:id="193"/>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spacing w:before="240"/>
      </w:pPr>
      <w:bookmarkStart w:id="194" w:name="_Toc37949683"/>
      <w:bookmarkStart w:id="195" w:name="_Toc426105573"/>
      <w:r>
        <w:rPr>
          <w:rStyle w:val="CharSectno"/>
        </w:rPr>
        <w:t>70</w:t>
      </w:r>
      <w:r>
        <w:t>.</w:t>
      </w:r>
      <w:r>
        <w:tab/>
        <w:t>Western Australian Land Information Authority Account</w:t>
      </w:r>
      <w:bookmarkEnd w:id="194"/>
      <w:bookmarkEnd w:id="195"/>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w:t>
      </w:r>
      <w:del w:id="196" w:author="svcMRProcess" w:date="2020-04-17T16:51:00Z">
        <w:r>
          <w:delText xml:space="preserve"> by</w:delText>
        </w:r>
      </w:del>
      <w:ins w:id="197" w:author="svcMRProcess" w:date="2020-04-17T16:51:00Z">
        <w:r>
          <w:t>:</w:t>
        </w:r>
      </w:ins>
      <w:r>
        <w:t xml:space="preserve"> No. 77 of 2006 Sch. 1 cl. 94(3).]</w:t>
      </w:r>
    </w:p>
    <w:p>
      <w:pPr>
        <w:pStyle w:val="Heading5"/>
      </w:pPr>
      <w:bookmarkStart w:id="198" w:name="_Toc37949684"/>
      <w:bookmarkStart w:id="199" w:name="_Toc426105574"/>
      <w:r>
        <w:rPr>
          <w:rStyle w:val="CharSectno"/>
        </w:rPr>
        <w:t>71</w:t>
      </w:r>
      <w:r>
        <w:t>.</w:t>
      </w:r>
      <w:r>
        <w:tab/>
        <w:t>Dividends</w:t>
      </w:r>
      <w:bookmarkEnd w:id="198"/>
      <w:bookmarkEnd w:id="199"/>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w:t>
      </w:r>
      <w:del w:id="200" w:author="svcMRProcess" w:date="2020-04-17T16:51:00Z">
        <w:r>
          <w:delText xml:space="preserve"> by</w:delText>
        </w:r>
      </w:del>
      <w:ins w:id="201" w:author="svcMRProcess" w:date="2020-04-17T16:51:00Z">
        <w:r>
          <w:t>:</w:t>
        </w:r>
      </w:ins>
      <w:r>
        <w:t xml:space="preserve"> No. 77 of 2006 s. 4.]</w:t>
      </w:r>
    </w:p>
    <w:p>
      <w:pPr>
        <w:pStyle w:val="Heading5"/>
      </w:pPr>
      <w:bookmarkStart w:id="202" w:name="_Toc37949685"/>
      <w:bookmarkStart w:id="203" w:name="_Toc426105575"/>
      <w:r>
        <w:rPr>
          <w:rStyle w:val="CharSectno"/>
        </w:rPr>
        <w:t>72</w:t>
      </w:r>
      <w:r>
        <w:t>.</w:t>
      </w:r>
      <w:r>
        <w:tab/>
        <w:t>Liability for duties, taxes, and other statutory imposts</w:t>
      </w:r>
      <w:bookmarkEnd w:id="202"/>
      <w:bookmarkEnd w:id="203"/>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204" w:name="_Toc37949686"/>
      <w:bookmarkStart w:id="205" w:name="_Toc426105576"/>
      <w:r>
        <w:rPr>
          <w:rStyle w:val="CharSectno"/>
        </w:rPr>
        <w:t>73</w:t>
      </w:r>
      <w:r>
        <w:t>.</w:t>
      </w:r>
      <w:r>
        <w:tab/>
        <w:t>Investment</w:t>
      </w:r>
      <w:bookmarkEnd w:id="204"/>
      <w:bookmarkEnd w:id="205"/>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w:t>
      </w:r>
      <w:del w:id="206" w:author="svcMRProcess" w:date="2020-04-17T16:51:00Z">
        <w:r>
          <w:delText xml:space="preserve"> by</w:delText>
        </w:r>
      </w:del>
      <w:ins w:id="207" w:author="svcMRProcess" w:date="2020-04-17T16:51:00Z">
        <w:r>
          <w:t>:</w:t>
        </w:r>
      </w:ins>
      <w:r>
        <w:t xml:space="preserve"> No. 77 of 2006 Sch. 1 cl. 94(4).]</w:t>
      </w:r>
    </w:p>
    <w:p>
      <w:pPr>
        <w:pStyle w:val="Heading5"/>
      </w:pPr>
      <w:bookmarkStart w:id="208" w:name="_Toc37949687"/>
      <w:bookmarkStart w:id="209" w:name="_Toc426105577"/>
      <w:r>
        <w:rPr>
          <w:rStyle w:val="CharSectno"/>
        </w:rPr>
        <w:t>74</w:t>
      </w:r>
      <w:r>
        <w:t>.</w:t>
      </w:r>
      <w:r>
        <w:tab/>
        <w:t>Hedging transactions</w:t>
      </w:r>
      <w:bookmarkEnd w:id="208"/>
      <w:bookmarkEnd w:id="209"/>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210" w:name="_Toc37949688"/>
      <w:bookmarkStart w:id="211" w:name="_Toc426105578"/>
      <w:r>
        <w:rPr>
          <w:rStyle w:val="CharSectno"/>
        </w:rPr>
        <w:t>75</w:t>
      </w:r>
      <w:r>
        <w:t>.</w:t>
      </w:r>
      <w:r>
        <w:tab/>
        <w:t>Borrowing</w:t>
      </w:r>
      <w:bookmarkEnd w:id="210"/>
      <w:bookmarkEnd w:id="211"/>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212" w:name="_Toc37949689"/>
      <w:bookmarkStart w:id="213" w:name="_Toc426105579"/>
      <w:r>
        <w:rPr>
          <w:rStyle w:val="CharSectno"/>
        </w:rPr>
        <w:t>76</w:t>
      </w:r>
      <w:r>
        <w:t>.</w:t>
      </w:r>
      <w:r>
        <w:tab/>
        <w:t>Guarantees</w:t>
      </w:r>
      <w:bookmarkEnd w:id="212"/>
      <w:bookmarkEnd w:id="213"/>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w:t>
      </w:r>
      <w:del w:id="214" w:author="svcMRProcess" w:date="2020-04-17T16:51:00Z">
        <w:r>
          <w:delText xml:space="preserve"> by</w:delText>
        </w:r>
      </w:del>
      <w:ins w:id="215" w:author="svcMRProcess" w:date="2020-04-17T16:51:00Z">
        <w:r>
          <w:t>:</w:t>
        </w:r>
      </w:ins>
      <w:r>
        <w:t xml:space="preserve"> No. 77 of 2006 s. 4.]</w:t>
      </w:r>
    </w:p>
    <w:p>
      <w:pPr>
        <w:pStyle w:val="Heading5"/>
      </w:pPr>
      <w:bookmarkStart w:id="216" w:name="_Toc37949690"/>
      <w:bookmarkStart w:id="217" w:name="_Toc426105580"/>
      <w:r>
        <w:rPr>
          <w:rStyle w:val="CharSectno"/>
        </w:rPr>
        <w:t>77</w:t>
      </w:r>
      <w:r>
        <w:t>.</w:t>
      </w:r>
      <w:r>
        <w:tab/>
        <w:t>Charges for guarantee</w:t>
      </w:r>
      <w:bookmarkEnd w:id="216"/>
      <w:bookmarkEnd w:id="217"/>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w:t>
      </w:r>
      <w:del w:id="218" w:author="svcMRProcess" w:date="2020-04-17T16:51:00Z">
        <w:r>
          <w:delText xml:space="preserve"> by</w:delText>
        </w:r>
      </w:del>
      <w:ins w:id="219" w:author="svcMRProcess" w:date="2020-04-17T16:51:00Z">
        <w:r>
          <w:t>:</w:t>
        </w:r>
      </w:ins>
      <w:r>
        <w:t xml:space="preserve"> No. 77 of 2006 s. 4.]</w:t>
      </w:r>
    </w:p>
    <w:p>
      <w:pPr>
        <w:pStyle w:val="Heading5"/>
      </w:pPr>
      <w:bookmarkStart w:id="220" w:name="_Toc37949691"/>
      <w:bookmarkStart w:id="221" w:name="_Toc426105581"/>
      <w:r>
        <w:rPr>
          <w:rStyle w:val="CharSectno"/>
        </w:rPr>
        <w:t>78</w:t>
      </w:r>
      <w:r>
        <w:t>.</w:t>
      </w:r>
      <w:r>
        <w:tab/>
        <w:t>Authority may extend credit</w:t>
      </w:r>
      <w:bookmarkEnd w:id="220"/>
      <w:bookmarkEnd w:id="221"/>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222" w:name="_Toc37949692"/>
      <w:bookmarkStart w:id="223" w:name="_Toc426105582"/>
      <w:r>
        <w:rPr>
          <w:rStyle w:val="CharSectno"/>
        </w:rPr>
        <w:t>79</w:t>
      </w:r>
      <w:r>
        <w:t>.</w:t>
      </w:r>
      <w:r>
        <w:tab/>
        <w:t>Notice of financial difficulty</w:t>
      </w:r>
      <w:bookmarkEnd w:id="222"/>
      <w:bookmarkEnd w:id="223"/>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224" w:name="_Toc37949693"/>
      <w:bookmarkStart w:id="225" w:name="_Toc426105583"/>
      <w:r>
        <w:rPr>
          <w:rStyle w:val="CharSectno"/>
        </w:rPr>
        <w:t>80</w:t>
      </w:r>
      <w:r>
        <w:t>.</w:t>
      </w:r>
      <w:r>
        <w:tab/>
        <w:t>Half</w:t>
      </w:r>
      <w:r>
        <w:noBreakHyphen/>
        <w:t>yearly reports</w:t>
      </w:r>
      <w:bookmarkEnd w:id="224"/>
      <w:bookmarkEnd w:id="225"/>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226" w:name="_Toc37949568"/>
      <w:bookmarkStart w:id="227" w:name="_Toc37949694"/>
      <w:bookmarkStart w:id="228" w:name="_Toc426105584"/>
      <w:r>
        <w:rPr>
          <w:rStyle w:val="CharDivNo"/>
        </w:rPr>
        <w:t>Division 3</w:t>
      </w:r>
      <w:r>
        <w:t xml:space="preserve"> — </w:t>
      </w:r>
      <w:r>
        <w:rPr>
          <w:rStyle w:val="CharDivText"/>
          <w:iCs/>
        </w:rPr>
        <w:t>Other provisions</w:t>
      </w:r>
      <w:bookmarkEnd w:id="226"/>
      <w:bookmarkEnd w:id="227"/>
      <w:bookmarkEnd w:id="228"/>
    </w:p>
    <w:p>
      <w:pPr>
        <w:pStyle w:val="Heading5"/>
      </w:pPr>
      <w:bookmarkStart w:id="229" w:name="_Toc37949695"/>
      <w:bookmarkStart w:id="230" w:name="_Toc426105585"/>
      <w:r>
        <w:rPr>
          <w:rStyle w:val="CharSectno"/>
        </w:rPr>
        <w:t>81</w:t>
      </w:r>
      <w:r>
        <w:t>.</w:t>
      </w:r>
      <w:r>
        <w:tab/>
        <w:t xml:space="preserve">Application of </w:t>
      </w:r>
      <w:r>
        <w:rPr>
          <w:i/>
          <w:iCs/>
          <w:szCs w:val="22"/>
        </w:rPr>
        <w:t>Financial Management Act 2006</w:t>
      </w:r>
      <w:r>
        <w:rPr>
          <w:szCs w:val="22"/>
        </w:rPr>
        <w:t xml:space="preserve"> and </w:t>
      </w:r>
      <w:r>
        <w:rPr>
          <w:i/>
          <w:iCs/>
          <w:szCs w:val="22"/>
        </w:rPr>
        <w:t>Auditor General Act 2006</w:t>
      </w:r>
      <w:bookmarkEnd w:id="229"/>
      <w:bookmarkEnd w:id="230"/>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w:t>
      </w:r>
      <w:del w:id="231" w:author="svcMRProcess" w:date="2020-04-17T16:51:00Z">
        <w:r>
          <w:delText xml:space="preserve"> by</w:delText>
        </w:r>
      </w:del>
      <w:ins w:id="232" w:author="svcMRProcess" w:date="2020-04-17T16:51:00Z">
        <w:r>
          <w:t>:</w:t>
        </w:r>
      </w:ins>
      <w:r>
        <w:t xml:space="preserve"> No. 77 of 2006 Sch. 1 cl. 94(5).]</w:t>
      </w:r>
    </w:p>
    <w:p>
      <w:pPr>
        <w:pStyle w:val="Heading5"/>
      </w:pPr>
      <w:bookmarkStart w:id="233" w:name="_Toc37949696"/>
      <w:bookmarkStart w:id="234" w:name="_Toc426105586"/>
      <w:r>
        <w:rPr>
          <w:rStyle w:val="CharSectno"/>
        </w:rPr>
        <w:t>82</w:t>
      </w:r>
      <w:r>
        <w:t>.</w:t>
      </w:r>
      <w:r>
        <w:tab/>
        <w:t>Protection for disclosure or compliance with directions</w:t>
      </w:r>
      <w:bookmarkEnd w:id="233"/>
      <w:bookmarkEnd w:id="234"/>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w:t>
      </w:r>
      <w:del w:id="235" w:author="svcMRProcess" w:date="2020-04-17T16:51:00Z">
        <w:r>
          <w:delText xml:space="preserve"> by</w:delText>
        </w:r>
      </w:del>
      <w:ins w:id="236" w:author="svcMRProcess" w:date="2020-04-17T16:51:00Z">
        <w:r>
          <w:t>:</w:t>
        </w:r>
      </w:ins>
      <w:r>
        <w:t xml:space="preserve"> No. 77 of 2006 Sch. 1 cl. 94(6).]</w:t>
      </w:r>
    </w:p>
    <w:p>
      <w:pPr>
        <w:pStyle w:val="Heading2"/>
      </w:pPr>
      <w:bookmarkStart w:id="237" w:name="_Toc37949571"/>
      <w:bookmarkStart w:id="238" w:name="_Toc37949697"/>
      <w:bookmarkStart w:id="239" w:name="_Toc426105587"/>
      <w:r>
        <w:rPr>
          <w:rStyle w:val="CharPartNo"/>
        </w:rPr>
        <w:t>Part 6</w:t>
      </w:r>
      <w:r>
        <w:t xml:space="preserve"> — </w:t>
      </w:r>
      <w:r>
        <w:rPr>
          <w:rStyle w:val="CharPartText"/>
        </w:rPr>
        <w:t>Miscellaneous</w:t>
      </w:r>
      <w:bookmarkEnd w:id="237"/>
      <w:bookmarkEnd w:id="238"/>
      <w:bookmarkEnd w:id="239"/>
    </w:p>
    <w:p>
      <w:pPr>
        <w:pStyle w:val="Heading3"/>
        <w:spacing w:before="180"/>
      </w:pPr>
      <w:bookmarkStart w:id="240" w:name="_Toc37949572"/>
      <w:bookmarkStart w:id="241" w:name="_Toc37949698"/>
      <w:bookmarkStart w:id="242" w:name="_Toc426105588"/>
      <w:r>
        <w:rPr>
          <w:rStyle w:val="CharDivNo"/>
        </w:rPr>
        <w:t>Division 1</w:t>
      </w:r>
      <w:r>
        <w:t xml:space="preserve"> — </w:t>
      </w:r>
      <w:r>
        <w:rPr>
          <w:rStyle w:val="CharDivText"/>
        </w:rPr>
        <w:t>Protection of people dealing with Authority</w:t>
      </w:r>
      <w:bookmarkEnd w:id="240"/>
      <w:bookmarkEnd w:id="241"/>
      <w:bookmarkEnd w:id="242"/>
    </w:p>
    <w:p>
      <w:pPr>
        <w:pStyle w:val="Heading5"/>
      </w:pPr>
      <w:bookmarkStart w:id="243" w:name="_Toc37949699"/>
      <w:bookmarkStart w:id="244" w:name="_Toc426105589"/>
      <w:r>
        <w:rPr>
          <w:rStyle w:val="CharSectno"/>
        </w:rPr>
        <w:t>83</w:t>
      </w:r>
      <w:r>
        <w:t>.</w:t>
      </w:r>
      <w:r>
        <w:tab/>
        <w:t>People dealing with Authority may make assumptions</w:t>
      </w:r>
      <w:bookmarkEnd w:id="243"/>
      <w:bookmarkEnd w:id="244"/>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245" w:name="_Toc37949700"/>
      <w:bookmarkStart w:id="246" w:name="_Toc426105590"/>
      <w:r>
        <w:rPr>
          <w:rStyle w:val="CharSectno"/>
        </w:rPr>
        <w:t>84</w:t>
      </w:r>
      <w:r>
        <w:t>.</w:t>
      </w:r>
      <w:r>
        <w:tab/>
        <w:t>Third parties may make assumptions</w:t>
      </w:r>
      <w:bookmarkEnd w:id="245"/>
      <w:bookmarkEnd w:id="246"/>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247" w:name="_Toc37949701"/>
      <w:bookmarkStart w:id="248" w:name="_Toc426105591"/>
      <w:r>
        <w:rPr>
          <w:rStyle w:val="CharSectno"/>
        </w:rPr>
        <w:t>85</w:t>
      </w:r>
      <w:r>
        <w:t>.</w:t>
      </w:r>
      <w:r>
        <w:tab/>
        <w:t>Matters that can be assumed</w:t>
      </w:r>
      <w:bookmarkEnd w:id="247"/>
      <w:bookmarkEnd w:id="248"/>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249" w:name="_Toc37949702"/>
      <w:bookmarkStart w:id="250" w:name="_Toc426105592"/>
      <w:r>
        <w:rPr>
          <w:rStyle w:val="CharSectno"/>
        </w:rPr>
        <w:t>86</w:t>
      </w:r>
      <w:r>
        <w:t>.</w:t>
      </w:r>
      <w:r>
        <w:tab/>
        <w:t>When those matters cannot be assumed</w:t>
      </w:r>
      <w:bookmarkEnd w:id="249"/>
      <w:bookmarkEnd w:id="250"/>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spacing w:before="120"/>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spacing w:before="180"/>
      </w:pPr>
      <w:bookmarkStart w:id="251" w:name="_Toc37949577"/>
      <w:bookmarkStart w:id="252" w:name="_Toc37949703"/>
      <w:bookmarkStart w:id="253" w:name="_Toc426105593"/>
      <w:r>
        <w:rPr>
          <w:rStyle w:val="CharDivNo"/>
        </w:rPr>
        <w:t>Division 2</w:t>
      </w:r>
      <w:r>
        <w:t xml:space="preserve"> — </w:t>
      </w:r>
      <w:r>
        <w:rPr>
          <w:rStyle w:val="CharDivText"/>
        </w:rPr>
        <w:t>Other provisions</w:t>
      </w:r>
      <w:bookmarkEnd w:id="251"/>
      <w:bookmarkEnd w:id="252"/>
      <w:bookmarkEnd w:id="253"/>
    </w:p>
    <w:p>
      <w:pPr>
        <w:pStyle w:val="Heading5"/>
        <w:spacing w:before="180"/>
      </w:pPr>
      <w:bookmarkStart w:id="254" w:name="_Toc37949704"/>
      <w:bookmarkStart w:id="255" w:name="_Toc426105594"/>
      <w:r>
        <w:rPr>
          <w:rStyle w:val="CharSectno"/>
        </w:rPr>
        <w:t>87</w:t>
      </w:r>
      <w:r>
        <w:t>.</w:t>
      </w:r>
      <w:r>
        <w:tab/>
        <w:t>Execution of documents by Authority</w:t>
      </w:r>
      <w:bookmarkEnd w:id="254"/>
      <w:bookmarkEnd w:id="255"/>
    </w:p>
    <w:p>
      <w:pPr>
        <w:pStyle w:val="Subsection"/>
        <w:spacing w:before="120"/>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spacing w:before="100"/>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spacing w:before="120"/>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spacing w:before="100"/>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spacing w:before="100"/>
        <w:rPr>
          <w:snapToGrid w:val="0"/>
        </w:rPr>
      </w:pPr>
      <w:r>
        <w:rPr>
          <w:snapToGrid w:val="0"/>
        </w:rPr>
        <w:tab/>
        <w:t>(5)</w:t>
      </w:r>
      <w:r>
        <w:rPr>
          <w:snapToGrid w:val="0"/>
        </w:rPr>
        <w:tab/>
        <w:t>The Authority may, by writing under its common seal, authorise —</w:t>
      </w:r>
    </w:p>
    <w:p>
      <w:pPr>
        <w:pStyle w:val="Indenta"/>
        <w:spacing w:before="60"/>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spacing w:before="120"/>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spacing w:before="100"/>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spacing w:before="240"/>
      </w:pPr>
      <w:bookmarkStart w:id="256" w:name="_Toc37949705"/>
      <w:bookmarkStart w:id="257" w:name="_Toc426105595"/>
      <w:r>
        <w:rPr>
          <w:rStyle w:val="CharSectno"/>
        </w:rPr>
        <w:t>88</w:t>
      </w:r>
      <w:r>
        <w:rPr>
          <w:snapToGrid w:val="0"/>
        </w:rPr>
        <w:t>.</w:t>
      </w:r>
      <w:r>
        <w:rPr>
          <w:snapToGrid w:val="0"/>
        </w:rPr>
        <w:tab/>
        <w:t>Contract formalities</w:t>
      </w:r>
      <w:bookmarkEnd w:id="256"/>
      <w:bookmarkEnd w:id="257"/>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spacing w:before="240"/>
      </w:pPr>
      <w:bookmarkStart w:id="258" w:name="_Toc37949706"/>
      <w:bookmarkStart w:id="259" w:name="_Toc426105596"/>
      <w:r>
        <w:rPr>
          <w:rStyle w:val="CharSectno"/>
        </w:rPr>
        <w:t>89</w:t>
      </w:r>
      <w:r>
        <w:t>.</w:t>
      </w:r>
      <w:r>
        <w:tab/>
        <w:t>Confidential information officially obtained</w:t>
      </w:r>
      <w:bookmarkEnd w:id="258"/>
      <w:bookmarkEnd w:id="259"/>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keepLines w:val="0"/>
        <w:spacing w:before="240"/>
      </w:pPr>
      <w:bookmarkStart w:id="260" w:name="_Toc37949707"/>
      <w:bookmarkStart w:id="261" w:name="_Toc426105597"/>
      <w:r>
        <w:rPr>
          <w:rStyle w:val="CharSectno"/>
        </w:rPr>
        <w:t>90</w:t>
      </w:r>
      <w:r>
        <w:t>.</w:t>
      </w:r>
      <w:r>
        <w:tab/>
        <w:t>Protection from liability for wrongdoing</w:t>
      </w:r>
      <w:bookmarkEnd w:id="260"/>
      <w:bookmarkEnd w:id="261"/>
    </w:p>
    <w:p>
      <w:pPr>
        <w:pStyle w:val="Subsection"/>
        <w:spacing w:before="120"/>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262" w:name="_Toc37949708"/>
      <w:bookmarkStart w:id="263" w:name="_Toc426105598"/>
      <w:r>
        <w:rPr>
          <w:rStyle w:val="CharSectno"/>
        </w:rPr>
        <w:t>91</w:t>
      </w:r>
      <w:r>
        <w:t>.</w:t>
      </w:r>
      <w:r>
        <w:tab/>
        <w:t>Laying documents before House of Parliament not sitting</w:t>
      </w:r>
      <w:bookmarkEnd w:id="262"/>
      <w:bookmarkEnd w:id="263"/>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keepNext w:val="0"/>
        <w:spacing w:before="180"/>
      </w:pPr>
      <w:bookmarkStart w:id="264" w:name="_Toc37949709"/>
      <w:bookmarkStart w:id="265" w:name="_Toc426105599"/>
      <w:r>
        <w:rPr>
          <w:rStyle w:val="CharSectno"/>
        </w:rPr>
        <w:t>92</w:t>
      </w:r>
      <w:r>
        <w:t>.</w:t>
      </w:r>
      <w:r>
        <w:tab/>
        <w:t>Regulations</w:t>
      </w:r>
      <w:bookmarkEnd w:id="264"/>
      <w:bookmarkEnd w:id="2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266" w:name="_Toc37949710"/>
      <w:bookmarkStart w:id="267" w:name="_Toc426105600"/>
      <w:r>
        <w:rPr>
          <w:rStyle w:val="CharSectno"/>
        </w:rPr>
        <w:t>93</w:t>
      </w:r>
      <w:r>
        <w:t>.</w:t>
      </w:r>
      <w:r>
        <w:tab/>
        <w:t>Review of Act</w:t>
      </w:r>
      <w:bookmarkEnd w:id="266"/>
      <w:bookmarkEnd w:id="267"/>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268" w:name="_Toc37949711"/>
      <w:bookmarkStart w:id="269" w:name="_Toc426105601"/>
      <w:r>
        <w:rPr>
          <w:rStyle w:val="CharSectno"/>
        </w:rPr>
        <w:t>94A</w:t>
      </w:r>
      <w:r>
        <w:t>.</w:t>
      </w:r>
      <w:r>
        <w:tab/>
        <w:t>Review to include consideration of fee</w:t>
      </w:r>
      <w:r>
        <w:noBreakHyphen/>
        <w:t>setting</w:t>
      </w:r>
      <w:bookmarkEnd w:id="268"/>
      <w:bookmarkEnd w:id="269"/>
    </w:p>
    <w:p>
      <w:pPr>
        <w:pStyle w:val="Subsection"/>
      </w:pPr>
      <w:r>
        <w:tab/>
        <w:t>(1)</w:t>
      </w:r>
      <w:r>
        <w:tab/>
        <w:t xml:space="preserve">Without limiting section 93, in the course of each review carried out under that section the Minister is also to consider and have regard to — </w:t>
      </w:r>
    </w:p>
    <w:p>
      <w:pPr>
        <w:pStyle w:val="Indenta"/>
      </w:pPr>
      <w:r>
        <w:tab/>
        <w:t>(a)</w:t>
      </w:r>
      <w:r>
        <w:tab/>
        <w:t xml:space="preserve">how the fees prescribed for the purposes of the following Acts have been calculated during the period covered by the review — </w:t>
      </w:r>
    </w:p>
    <w:p>
      <w:pPr>
        <w:pStyle w:val="Indenti"/>
      </w:pPr>
      <w:r>
        <w:tab/>
        <w:t>(i)</w:t>
      </w:r>
      <w:r>
        <w:tab/>
        <w:t xml:space="preserve">the </w:t>
      </w:r>
      <w:r>
        <w:rPr>
          <w:i/>
        </w:rPr>
        <w:t>Registration of Deeds Act 1856</w:t>
      </w:r>
      <w:r>
        <w:t>;</w:t>
      </w:r>
    </w:p>
    <w:p>
      <w:pPr>
        <w:pStyle w:val="Indenti"/>
      </w:pPr>
      <w:r>
        <w:tab/>
        <w:t>(ii)</w:t>
      </w:r>
      <w:r>
        <w:tab/>
        <w:t xml:space="preserve">the </w:t>
      </w:r>
      <w:r>
        <w:rPr>
          <w:i/>
        </w:rPr>
        <w:t>Strata Titles Act 1985</w:t>
      </w:r>
      <w:r>
        <w:t>;</w:t>
      </w:r>
    </w:p>
    <w:p>
      <w:pPr>
        <w:pStyle w:val="Indenti"/>
      </w:pPr>
      <w:r>
        <w:tab/>
        <w:t>(iii)</w:t>
      </w:r>
      <w:r>
        <w:tab/>
        <w:t xml:space="preserve">the </w:t>
      </w:r>
      <w:r>
        <w:rPr>
          <w:i/>
        </w:rPr>
        <w:t>Transfer of Land Act 1893</w:t>
      </w:r>
      <w:r>
        <w:t>;</w:t>
      </w:r>
    </w:p>
    <w:p>
      <w:pPr>
        <w:pStyle w:val="Indenti"/>
      </w:pPr>
      <w:r>
        <w:tab/>
        <w:t>(iv)</w:t>
      </w:r>
      <w:r>
        <w:tab/>
        <w:t xml:space="preserve">the </w:t>
      </w:r>
      <w:r>
        <w:rPr>
          <w:i/>
        </w:rPr>
        <w:t>Valuation of Land Act 1978</w:t>
      </w:r>
      <w:r>
        <w:t>;</w:t>
      </w:r>
    </w:p>
    <w:p>
      <w:pPr>
        <w:pStyle w:val="Indenta"/>
      </w:pPr>
      <w:r>
        <w:tab/>
      </w:r>
      <w:r>
        <w:tab/>
        <w:t>and</w:t>
      </w:r>
    </w:p>
    <w:p>
      <w:pPr>
        <w:pStyle w:val="Indenta"/>
      </w:pPr>
      <w:r>
        <w:tab/>
        <w:t>(b)</w:t>
      </w:r>
      <w:r>
        <w:tab/>
        <w:t>whether, since the last review carried out under that section, the Authority has achieved efficiencies in its operations that would enable the fees referred to in paragraph (a) to be reduced or not increased.</w:t>
      </w:r>
    </w:p>
    <w:p>
      <w:pPr>
        <w:pStyle w:val="Subsection"/>
      </w:pPr>
      <w:r>
        <w:tab/>
        <w:t>(2)</w:t>
      </w:r>
      <w:r>
        <w:tab/>
        <w:t xml:space="preserve">For the purposes of subsection (1)(a), the things that the Minister is to consider and have regard to include — </w:t>
      </w:r>
    </w:p>
    <w:p>
      <w:pPr>
        <w:pStyle w:val="Indenta"/>
      </w:pPr>
      <w:r>
        <w:tab/>
        <w:t>(a)</w:t>
      </w:r>
      <w:r>
        <w:tab/>
        <w:t>the principles and methodologies applied in determining the prescribed fees; and</w:t>
      </w:r>
    </w:p>
    <w:p>
      <w:pPr>
        <w:pStyle w:val="Indenta"/>
      </w:pPr>
      <w:r>
        <w:tab/>
        <w:t>(b)</w:t>
      </w:r>
      <w:r>
        <w:tab/>
        <w:t>how those principles and methodologies were applied in determining the amount of each prescribed fee.</w:t>
      </w:r>
    </w:p>
    <w:p>
      <w:pPr>
        <w:pStyle w:val="Subsection"/>
      </w:pPr>
      <w:r>
        <w:tab/>
        <w:t>(3)</w:t>
      </w:r>
      <w:r>
        <w:tab/>
        <w:t>Subsection (1) ceases to apply in relation to fees prescribed for the purposes of an Act listed in subsection (1)(a) if the provision of that Act referred to in subsection (5) expires.</w:t>
      </w:r>
    </w:p>
    <w:p>
      <w:pPr>
        <w:pStyle w:val="Subsection"/>
      </w:pPr>
      <w:r>
        <w:tab/>
        <w:t>(4)</w:t>
      </w:r>
      <w:r>
        <w:tab/>
        <w:t>This section expires on a day fixed by proclamation.</w:t>
      </w:r>
    </w:p>
    <w:p>
      <w:pPr>
        <w:pStyle w:val="Subsection"/>
      </w:pPr>
      <w:r>
        <w:tab/>
        <w:t>(5)</w:t>
      </w:r>
      <w:r>
        <w:tab/>
        <w:t xml:space="preserve">The day fixed under subsection (4) must not be before all of the following provisions have expired — </w:t>
      </w:r>
    </w:p>
    <w:p>
      <w:pPr>
        <w:pStyle w:val="Indenta"/>
      </w:pPr>
      <w:r>
        <w:tab/>
        <w:t>(a)</w:t>
      </w:r>
      <w:r>
        <w:tab/>
        <w:t xml:space="preserve">the </w:t>
      </w:r>
      <w:r>
        <w:rPr>
          <w:i/>
        </w:rPr>
        <w:t>Registration of Deeds Act 1856</w:t>
      </w:r>
      <w:r>
        <w:t xml:space="preserve"> section 22AA;</w:t>
      </w:r>
    </w:p>
    <w:p>
      <w:pPr>
        <w:pStyle w:val="Indenta"/>
      </w:pPr>
      <w:r>
        <w:tab/>
        <w:t>(b)</w:t>
      </w:r>
      <w:r>
        <w:tab/>
        <w:t xml:space="preserve">the </w:t>
      </w:r>
      <w:r>
        <w:rPr>
          <w:i/>
        </w:rPr>
        <w:t>Strata Titles Act 1985</w:t>
      </w:r>
      <w:r>
        <w:t xml:space="preserve"> section 131A;</w:t>
      </w:r>
    </w:p>
    <w:p>
      <w:pPr>
        <w:pStyle w:val="Indenta"/>
      </w:pPr>
      <w:r>
        <w:tab/>
        <w:t>(c)</w:t>
      </w:r>
      <w:r>
        <w:tab/>
        <w:t xml:space="preserve">the </w:t>
      </w:r>
      <w:r>
        <w:rPr>
          <w:i/>
        </w:rPr>
        <w:t>Transfer of Land Act 1893</w:t>
      </w:r>
      <w:r>
        <w:t xml:space="preserve"> section 182AA;</w:t>
      </w:r>
    </w:p>
    <w:p>
      <w:pPr>
        <w:pStyle w:val="Indenta"/>
      </w:pPr>
      <w:r>
        <w:tab/>
        <w:t>(d)</w:t>
      </w:r>
      <w:r>
        <w:tab/>
        <w:t xml:space="preserve">the </w:t>
      </w:r>
      <w:r>
        <w:rPr>
          <w:i/>
        </w:rPr>
        <w:t>Valuation of Land Act 1978</w:t>
      </w:r>
      <w:r>
        <w:t xml:space="preserve"> section 50.</w:t>
      </w:r>
    </w:p>
    <w:p>
      <w:pPr>
        <w:pStyle w:val="Footnotesection"/>
      </w:pPr>
      <w:r>
        <w:tab/>
        <w:t>[Section 94A inserted</w:t>
      </w:r>
      <w:del w:id="270" w:author="svcMRProcess" w:date="2020-04-17T16:51:00Z">
        <w:r>
          <w:delText xml:space="preserve"> by</w:delText>
        </w:r>
      </w:del>
      <w:ins w:id="271" w:author="svcMRProcess" w:date="2020-04-17T16:51:00Z">
        <w:r>
          <w:t>:</w:t>
        </w:r>
      </w:ins>
      <w:r>
        <w:t xml:space="preserve"> No. 11 of 2015 s. 4.]</w:t>
      </w:r>
    </w:p>
    <w:p>
      <w:pPr>
        <w:pStyle w:val="Heading2"/>
      </w:pPr>
      <w:bookmarkStart w:id="272" w:name="_Toc37949586"/>
      <w:bookmarkStart w:id="273" w:name="_Toc37949712"/>
      <w:bookmarkStart w:id="274" w:name="_Toc426105602"/>
      <w:r>
        <w:rPr>
          <w:rStyle w:val="CharPartNo"/>
        </w:rPr>
        <w:t>Part 7</w:t>
      </w:r>
      <w:r>
        <w:t xml:space="preserve"> — </w:t>
      </w:r>
      <w:r>
        <w:rPr>
          <w:rStyle w:val="CharPartText"/>
        </w:rPr>
        <w:t>Transitional matters</w:t>
      </w:r>
      <w:bookmarkEnd w:id="272"/>
      <w:bookmarkEnd w:id="273"/>
      <w:bookmarkEnd w:id="274"/>
    </w:p>
    <w:p>
      <w:pPr>
        <w:pStyle w:val="Heading3"/>
      </w:pPr>
      <w:bookmarkStart w:id="275" w:name="_Toc37949587"/>
      <w:bookmarkStart w:id="276" w:name="_Toc37949713"/>
      <w:bookmarkStart w:id="277" w:name="_Toc426105603"/>
      <w:r>
        <w:rPr>
          <w:rStyle w:val="CharDivNo"/>
        </w:rPr>
        <w:t>Division 1</w:t>
      </w:r>
      <w:r>
        <w:t> — </w:t>
      </w:r>
      <w:r>
        <w:rPr>
          <w:rStyle w:val="CharDivText"/>
        </w:rPr>
        <w:t>Staff</w:t>
      </w:r>
      <w:bookmarkEnd w:id="275"/>
      <w:bookmarkEnd w:id="276"/>
      <w:bookmarkEnd w:id="277"/>
    </w:p>
    <w:p>
      <w:pPr>
        <w:pStyle w:val="Heading5"/>
      </w:pPr>
      <w:bookmarkStart w:id="278" w:name="_Toc37949714"/>
      <w:bookmarkStart w:id="279" w:name="_Toc426105604"/>
      <w:r>
        <w:rPr>
          <w:rStyle w:val="CharSectno"/>
        </w:rPr>
        <w:t>94</w:t>
      </w:r>
      <w:r>
        <w:t>.</w:t>
      </w:r>
      <w:r>
        <w:tab/>
        <w:t>Other staff in the former department</w:t>
      </w:r>
      <w:bookmarkEnd w:id="278"/>
      <w:bookmarkEnd w:id="279"/>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280" w:name="_Toc37949589"/>
      <w:bookmarkStart w:id="281" w:name="_Toc37949715"/>
      <w:bookmarkStart w:id="282" w:name="_Toc426105605"/>
      <w:r>
        <w:rPr>
          <w:rStyle w:val="CharDivNo"/>
        </w:rPr>
        <w:t>Division 2</w:t>
      </w:r>
      <w:r>
        <w:t> — </w:t>
      </w:r>
      <w:r>
        <w:rPr>
          <w:rStyle w:val="CharDivText"/>
        </w:rPr>
        <w:t>General matters</w:t>
      </w:r>
      <w:bookmarkEnd w:id="280"/>
      <w:bookmarkEnd w:id="281"/>
      <w:bookmarkEnd w:id="282"/>
    </w:p>
    <w:p>
      <w:pPr>
        <w:pStyle w:val="Heading5"/>
      </w:pPr>
      <w:bookmarkStart w:id="283" w:name="_Toc37949716"/>
      <w:bookmarkStart w:id="284" w:name="_Toc426105606"/>
      <w:r>
        <w:rPr>
          <w:rStyle w:val="CharSectno"/>
        </w:rPr>
        <w:t>95</w:t>
      </w:r>
      <w:r>
        <w:t>.</w:t>
      </w:r>
      <w:r>
        <w:tab/>
        <w:t>Terms used</w:t>
      </w:r>
      <w:bookmarkEnd w:id="283"/>
      <w:bookmarkEnd w:id="284"/>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285" w:name="_Toc37949717"/>
      <w:bookmarkStart w:id="286" w:name="_Toc426105607"/>
      <w:r>
        <w:rPr>
          <w:rStyle w:val="CharSectno"/>
        </w:rPr>
        <w:t>96</w:t>
      </w:r>
      <w:r>
        <w:t>.</w:t>
      </w:r>
      <w:r>
        <w:tab/>
        <w:t>General transitional provisions might not apply</w:t>
      </w:r>
      <w:bookmarkEnd w:id="285"/>
      <w:bookmarkEnd w:id="286"/>
    </w:p>
    <w:p>
      <w:pPr>
        <w:pStyle w:val="Subsection"/>
      </w:pPr>
      <w:r>
        <w:tab/>
      </w:r>
      <w:r>
        <w:tab/>
        <w:t>A transitional provision in this Division applies to the extent that a contrary intention does not appear.</w:t>
      </w:r>
    </w:p>
    <w:p>
      <w:pPr>
        <w:pStyle w:val="Heading5"/>
      </w:pPr>
      <w:bookmarkStart w:id="287" w:name="_Toc37949718"/>
      <w:bookmarkStart w:id="288" w:name="_Toc426105608"/>
      <w:r>
        <w:rPr>
          <w:rStyle w:val="CharSectno"/>
        </w:rPr>
        <w:t>97</w:t>
      </w:r>
      <w:r>
        <w:t>.</w:t>
      </w:r>
      <w:r>
        <w:tab/>
        <w:t>Certain references to former bodies</w:t>
      </w:r>
      <w:bookmarkEnd w:id="287"/>
      <w:bookmarkEnd w:id="288"/>
    </w:p>
    <w:p>
      <w:pPr>
        <w:pStyle w:val="Subsection"/>
      </w:pPr>
      <w:r>
        <w:tab/>
      </w:r>
      <w:r>
        <w:tab/>
        <w:t>A reference however expressed in a written law or other document to a former body may be read as including a reference to the Authority.</w:t>
      </w:r>
    </w:p>
    <w:p>
      <w:pPr>
        <w:pStyle w:val="Heading5"/>
      </w:pPr>
      <w:bookmarkStart w:id="289" w:name="_Toc37949719"/>
      <w:bookmarkStart w:id="290" w:name="_Toc426105609"/>
      <w:r>
        <w:rPr>
          <w:rStyle w:val="CharSectno"/>
        </w:rPr>
        <w:t>98</w:t>
      </w:r>
      <w:r>
        <w:t>.</w:t>
      </w:r>
      <w:r>
        <w:tab/>
        <w:t>Certain references to department</w:t>
      </w:r>
      <w:bookmarkEnd w:id="289"/>
      <w:bookmarkEnd w:id="290"/>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291" w:name="_Toc37949720"/>
      <w:bookmarkStart w:id="292" w:name="_Toc426105610"/>
      <w:r>
        <w:rPr>
          <w:rStyle w:val="CharSectno"/>
        </w:rPr>
        <w:t>99</w:t>
      </w:r>
      <w:r>
        <w:t>.</w:t>
      </w:r>
      <w:r>
        <w:tab/>
        <w:t>References to things done in former offices</w:t>
      </w:r>
      <w:bookmarkEnd w:id="291"/>
      <w:bookmarkEnd w:id="292"/>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293" w:name="_Toc37949721"/>
      <w:bookmarkStart w:id="294" w:name="_Toc426105611"/>
      <w:r>
        <w:rPr>
          <w:rStyle w:val="CharSectno"/>
        </w:rPr>
        <w:t>100</w:t>
      </w:r>
      <w:r>
        <w:t>.</w:t>
      </w:r>
      <w:r>
        <w:tab/>
        <w:t>References to documents of former bodies</w:t>
      </w:r>
      <w:bookmarkEnd w:id="293"/>
      <w:bookmarkEnd w:id="294"/>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keepNext w:val="0"/>
        <w:pageBreakBefore/>
        <w:spacing w:before="0"/>
      </w:pPr>
      <w:bookmarkStart w:id="295" w:name="_Toc37949596"/>
      <w:bookmarkStart w:id="296" w:name="_Toc37949722"/>
      <w:bookmarkStart w:id="297" w:name="_Toc426105612"/>
      <w:r>
        <w:rPr>
          <w:rStyle w:val="CharDivNo"/>
        </w:rPr>
        <w:t>Division 3</w:t>
      </w:r>
      <w:r>
        <w:t> — </w:t>
      </w:r>
      <w:r>
        <w:rPr>
          <w:rStyle w:val="CharDivText"/>
        </w:rPr>
        <w:t>Regulations for other matters</w:t>
      </w:r>
      <w:bookmarkEnd w:id="295"/>
      <w:bookmarkEnd w:id="296"/>
      <w:bookmarkEnd w:id="297"/>
    </w:p>
    <w:p>
      <w:pPr>
        <w:pStyle w:val="Heading5"/>
      </w:pPr>
      <w:bookmarkStart w:id="298" w:name="_Toc37949723"/>
      <w:bookmarkStart w:id="299" w:name="_Toc426105613"/>
      <w:r>
        <w:rPr>
          <w:rStyle w:val="CharSectno"/>
        </w:rPr>
        <w:t>101</w:t>
      </w:r>
      <w:r>
        <w:t>.</w:t>
      </w:r>
      <w:r>
        <w:tab/>
        <w:t>Transitional regulations</w:t>
      </w:r>
      <w:bookmarkEnd w:id="298"/>
      <w:bookmarkEnd w:id="299"/>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Ednotepart"/>
        <w:spacing w:before="180"/>
      </w:pPr>
      <w:r>
        <w:t>[Part 8 omitted under the Reprints Act 1984 s. 7(4)(e).]</w:t>
      </w:r>
    </w:p>
    <w:p>
      <w:pPr>
        <w:pStyle w:val="CentredBaseLine"/>
        <w:spacing w:before="4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00" w:name="_Toc37949598"/>
      <w:bookmarkStart w:id="301" w:name="_Toc37949724"/>
      <w:bookmarkStart w:id="302" w:name="_Toc426105614"/>
      <w:r>
        <w:t>Notes</w:t>
      </w:r>
      <w:bookmarkEnd w:id="300"/>
      <w:bookmarkEnd w:id="301"/>
      <w:bookmarkEnd w:id="302"/>
    </w:p>
    <w:p>
      <w:pPr>
        <w:pStyle w:val="nStatement"/>
      </w:pPr>
      <w:del w:id="303" w:author="svcMRProcess" w:date="2020-04-17T16:51:00Z">
        <w:r>
          <w:rPr>
            <w:vertAlign w:val="superscript"/>
          </w:rPr>
          <w:delText>1</w:delText>
        </w:r>
        <w:r>
          <w:tab/>
        </w:r>
      </w:del>
      <w:r>
        <w:t xml:space="preserve">This </w:t>
      </w:r>
      <w:del w:id="304" w:author="svcMRProcess" w:date="2020-04-17T16:51:00Z">
        <w:r>
          <w:delText xml:space="preserve">reprint </w:delText>
        </w:r>
      </w:del>
      <w:r>
        <w:t xml:space="preserve">is a compilation </w:t>
      </w:r>
      <w:del w:id="305" w:author="svcMRProcess" w:date="2020-04-17T16:51:00Z">
        <w:r>
          <w:delText xml:space="preserve">as at 4 September 2015 </w:delText>
        </w:r>
      </w:del>
      <w:r>
        <w:t xml:space="preserve">of the </w:t>
      </w:r>
      <w:r>
        <w:rPr>
          <w:i/>
          <w:noProof/>
        </w:rPr>
        <w:t>Land Information Authority Act 2006</w:t>
      </w:r>
      <w:r>
        <w:t xml:space="preserve"> and includes </w:t>
      </w:r>
      <w:del w:id="306" w:author="svcMRProcess" w:date="2020-04-17T16:51:00Z">
        <w:r>
          <w:delText xml:space="preserve">the </w:delText>
        </w:r>
      </w:del>
      <w:r>
        <w:t xml:space="preserve">amendments made by </w:t>
      </w:r>
      <w:del w:id="307" w:author="svcMRProcess" w:date="2020-04-17T16:51:00Z">
        <w:r>
          <w:delText xml:space="preserve">the </w:delText>
        </w:r>
      </w:del>
      <w:r>
        <w:t>other written laws</w:t>
      </w:r>
      <w:del w:id="308" w:author="svcMRProcess" w:date="2020-04-17T16:51:00Z">
        <w:r>
          <w:delText xml:space="preserve"> referred to in the following table.  The table also contains</w:delText>
        </w:r>
      </w:del>
      <w:ins w:id="309" w:author="svcMRProcess" w:date="2020-04-17T16:51:00Z">
        <w:r>
          <w:t>. For provisions that have come into operation, and for</w:t>
        </w:r>
      </w:ins>
      <w:r>
        <w:t xml:space="preserve"> information about any </w:t>
      </w:r>
      <w:del w:id="310" w:author="svcMRProcess" w:date="2020-04-17T16:51:00Z">
        <w:r>
          <w:delText>reprint</w:delText>
        </w:r>
      </w:del>
      <w:ins w:id="311" w:author="svcMRProcess" w:date="2020-04-17T16:51:00Z">
        <w:r>
          <w:t>reprints, see the compilation table. For provisions that have not yet come into operation see the uncommenced provisions table</w:t>
        </w:r>
      </w:ins>
      <w:r>
        <w:t>.</w:t>
      </w:r>
    </w:p>
    <w:p>
      <w:pPr>
        <w:pStyle w:val="nHeading3"/>
      </w:pPr>
      <w:bookmarkStart w:id="312" w:name="_Toc37949725"/>
      <w:bookmarkStart w:id="313" w:name="_Toc426105615"/>
      <w:r>
        <w:t>Compilation table</w:t>
      </w:r>
      <w:bookmarkEnd w:id="312"/>
      <w:bookmarkEnd w:id="3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Land Information Authority Act 2006</w:t>
            </w:r>
            <w:r>
              <w:rPr>
                <w:iCs/>
              </w:rPr>
              <w:t xml:space="preserve"> </w:t>
            </w:r>
          </w:p>
        </w:tc>
        <w:tc>
          <w:tcPr>
            <w:tcW w:w="1134" w:type="dxa"/>
            <w:tcBorders>
              <w:bottom w:val="nil"/>
            </w:tcBorders>
          </w:tcPr>
          <w:p>
            <w:pPr>
              <w:pStyle w:val="nTable"/>
              <w:spacing w:after="40"/>
            </w:pPr>
            <w:r>
              <w:t>60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 xml:space="preserve">Pt. 1: 17 Nov 2006 (see s. 2(2)); </w:t>
            </w:r>
            <w:r>
              <w:br/>
              <w:t xml:space="preserve">Act other than Pt. 1: 1 Jan 2007 (see s. 2(1) and </w:t>
            </w:r>
            <w:r>
              <w:rPr>
                <w:i/>
                <w:iCs/>
              </w:rPr>
              <w:t>Gazette</w:t>
            </w:r>
            <w:r>
              <w:t xml:space="preserve"> </w:t>
            </w:r>
            <w:r>
              <w:rPr>
                <w:snapToGrid w:val="0"/>
              </w:rPr>
              <w:t>8 Dec 2006 p. 5369)</w:t>
            </w:r>
          </w:p>
        </w:tc>
      </w:tr>
      <w:tr>
        <w:tc>
          <w:tcPr>
            <w:tcW w:w="2268" w:type="dxa"/>
            <w:tcBorders>
              <w:top w:val="nil"/>
              <w:bottom w:val="nil"/>
            </w:tcBorders>
          </w:tcPr>
          <w:p>
            <w:pPr>
              <w:pStyle w:val="nTable"/>
              <w:spacing w:after="40"/>
              <w:rPr>
                <w:i/>
              </w:rPr>
            </w:pPr>
            <w:r>
              <w:rPr>
                <w:i/>
                <w:snapToGrid w:val="0"/>
              </w:rPr>
              <w:t xml:space="preserve">Financial Legislation Amendment and Repeal Act 2006 </w:t>
            </w:r>
            <w:r>
              <w:rPr>
                <w:iCs/>
                <w:snapToGrid w:val="0"/>
              </w:rPr>
              <w:t>s. 4 and Sch. 1 cl. 94</w:t>
            </w:r>
          </w:p>
        </w:tc>
        <w:tc>
          <w:tcPr>
            <w:tcW w:w="1134" w:type="dxa"/>
            <w:tcBorders>
              <w:top w:val="nil"/>
              <w:bottom w:val="nil"/>
            </w:tcBorders>
          </w:tcPr>
          <w:p>
            <w:pPr>
              <w:pStyle w:val="nTable"/>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shd w:val="clear" w:color="auto" w:fill="auto"/>
          </w:tcPr>
          <w:p>
            <w:pPr>
              <w:pStyle w:val="nTable"/>
              <w:spacing w:after="40"/>
              <w:rPr>
                <w:i/>
                <w:iCs/>
                <w:snapToGrid w:val="0"/>
              </w:rPr>
            </w:pPr>
            <w:r>
              <w:rPr>
                <w:i/>
              </w:rPr>
              <w:t>Land Legislation Amendment Act 2015</w:t>
            </w:r>
            <w:r>
              <w:t xml:space="preserve"> Pt. 2</w:t>
            </w:r>
          </w:p>
        </w:tc>
        <w:tc>
          <w:tcPr>
            <w:tcW w:w="1134" w:type="dxa"/>
            <w:tcBorders>
              <w:top w:val="nil"/>
              <w:bottom w:val="nil"/>
            </w:tcBorders>
            <w:shd w:val="clear" w:color="auto" w:fill="auto"/>
          </w:tcPr>
          <w:p>
            <w:pPr>
              <w:pStyle w:val="nTable"/>
              <w:spacing w:after="40"/>
              <w:rPr>
                <w:snapToGrid w:val="0"/>
              </w:rPr>
            </w:pPr>
            <w:r>
              <w:t>11 of 2015</w:t>
            </w:r>
          </w:p>
        </w:tc>
        <w:tc>
          <w:tcPr>
            <w:tcW w:w="1134" w:type="dxa"/>
            <w:tcBorders>
              <w:top w:val="nil"/>
              <w:bottom w:val="nil"/>
            </w:tcBorders>
            <w:shd w:val="clear" w:color="auto" w:fill="auto"/>
          </w:tcPr>
          <w:p>
            <w:pPr>
              <w:pStyle w:val="nTable"/>
              <w:spacing w:after="40"/>
              <w:rPr>
                <w:snapToGrid w:val="0"/>
              </w:rPr>
            </w:pPr>
            <w:r>
              <w:t>29 Apr 2015</w:t>
            </w:r>
          </w:p>
        </w:tc>
        <w:tc>
          <w:tcPr>
            <w:tcW w:w="2552" w:type="dxa"/>
            <w:tcBorders>
              <w:top w:val="nil"/>
              <w:bottom w:val="nil"/>
            </w:tcBorders>
            <w:shd w:val="clear" w:color="auto" w:fill="auto"/>
          </w:tcPr>
          <w:p>
            <w:pPr>
              <w:pStyle w:val="nTable"/>
              <w:spacing w:after="40"/>
              <w:rPr>
                <w:snapToGrid w:val="0"/>
              </w:rPr>
            </w:pPr>
            <w:r>
              <w:t xml:space="preserve">30 Jun 2015 (see s. 2(b) and </w:t>
            </w:r>
            <w:r>
              <w:rPr>
                <w:i/>
              </w:rPr>
              <w:t>Gazette</w:t>
            </w:r>
            <w:r>
              <w:t xml:space="preserve"> 2 Jun 2015 p. 1937)</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Land Information Authority Act 2006</w:t>
            </w:r>
            <w:r>
              <w:rPr>
                <w:b/>
              </w:rPr>
              <w:t xml:space="preserve"> as at 4 Sep 2015</w:t>
            </w:r>
            <w:r>
              <w:t xml:space="preserve"> (includes amendments listed above)</w:t>
            </w:r>
          </w:p>
        </w:tc>
      </w:tr>
    </w:tbl>
    <w:p>
      <w:pPr>
        <w:pStyle w:val="nHeading3"/>
        <w:rPr>
          <w:ins w:id="314" w:author="svcMRProcess" w:date="2020-04-17T16:51:00Z"/>
        </w:rPr>
      </w:pPr>
      <w:bookmarkStart w:id="315" w:name="_Toc37949726"/>
      <w:del w:id="316" w:author="svcMRProcess" w:date="2020-04-17T16:51:00Z">
        <w:r>
          <w:rPr>
            <w:vertAlign w:val="superscript"/>
          </w:rPr>
          <w:delText>2</w:delText>
        </w:r>
      </w:del>
      <w:ins w:id="317" w:author="svcMRProcess" w:date="2020-04-17T16:51:00Z">
        <w:r>
          <w:t>Uncommenced provisions table</w:t>
        </w:r>
        <w:bookmarkEnd w:id="315"/>
      </w:ins>
    </w:p>
    <w:p>
      <w:pPr>
        <w:pStyle w:val="nStatement"/>
        <w:keepNext/>
        <w:spacing w:after="240"/>
        <w:rPr>
          <w:ins w:id="318" w:author="svcMRProcess" w:date="2020-04-17T16:51:00Z"/>
        </w:rPr>
      </w:pPr>
      <w:ins w:id="319" w:author="svcMRProcess" w:date="2020-04-17T16:5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20" w:author="svcMRProcess" w:date="2020-04-17T16:51:00Z"/>
        </w:trPr>
        <w:tc>
          <w:tcPr>
            <w:tcW w:w="2268" w:type="dxa"/>
          </w:tcPr>
          <w:p>
            <w:pPr>
              <w:pStyle w:val="nTable"/>
              <w:spacing w:after="40"/>
              <w:rPr>
                <w:ins w:id="321" w:author="svcMRProcess" w:date="2020-04-17T16:51:00Z"/>
                <w:b/>
              </w:rPr>
            </w:pPr>
            <w:ins w:id="322" w:author="svcMRProcess" w:date="2020-04-17T16:51:00Z">
              <w:r>
                <w:rPr>
                  <w:b/>
                </w:rPr>
                <w:t>Short title</w:t>
              </w:r>
            </w:ins>
          </w:p>
        </w:tc>
        <w:tc>
          <w:tcPr>
            <w:tcW w:w="1134" w:type="dxa"/>
          </w:tcPr>
          <w:p>
            <w:pPr>
              <w:pStyle w:val="nTable"/>
              <w:spacing w:after="40"/>
              <w:rPr>
                <w:ins w:id="323" w:author="svcMRProcess" w:date="2020-04-17T16:51:00Z"/>
                <w:b/>
              </w:rPr>
            </w:pPr>
            <w:ins w:id="324" w:author="svcMRProcess" w:date="2020-04-17T16:51:00Z">
              <w:r>
                <w:rPr>
                  <w:b/>
                </w:rPr>
                <w:t>Number and year</w:t>
              </w:r>
            </w:ins>
          </w:p>
        </w:tc>
        <w:tc>
          <w:tcPr>
            <w:tcW w:w="1134" w:type="dxa"/>
          </w:tcPr>
          <w:p>
            <w:pPr>
              <w:pStyle w:val="nTable"/>
              <w:spacing w:after="40"/>
              <w:rPr>
                <w:ins w:id="325" w:author="svcMRProcess" w:date="2020-04-17T16:51:00Z"/>
                <w:b/>
              </w:rPr>
            </w:pPr>
            <w:ins w:id="326" w:author="svcMRProcess" w:date="2020-04-17T16:51:00Z">
              <w:r>
                <w:rPr>
                  <w:b/>
                </w:rPr>
                <w:t>Assent</w:t>
              </w:r>
            </w:ins>
          </w:p>
        </w:tc>
        <w:tc>
          <w:tcPr>
            <w:tcW w:w="2552" w:type="dxa"/>
          </w:tcPr>
          <w:p>
            <w:pPr>
              <w:pStyle w:val="nTable"/>
              <w:spacing w:after="40"/>
              <w:rPr>
                <w:ins w:id="327" w:author="svcMRProcess" w:date="2020-04-17T16:51:00Z"/>
                <w:b/>
              </w:rPr>
            </w:pPr>
            <w:ins w:id="328" w:author="svcMRProcess" w:date="2020-04-17T16:51:00Z">
              <w:r>
                <w:rPr>
                  <w:b/>
                </w:rPr>
                <w:t>Commencement</w:t>
              </w:r>
            </w:ins>
          </w:p>
        </w:tc>
      </w:tr>
      <w:tr>
        <w:trPr>
          <w:ins w:id="329" w:author="svcMRProcess" w:date="2020-04-17T16:51:00Z"/>
        </w:trPr>
        <w:tc>
          <w:tcPr>
            <w:tcW w:w="2268" w:type="dxa"/>
            <w:tcBorders>
              <w:bottom w:val="nil"/>
            </w:tcBorders>
          </w:tcPr>
          <w:p>
            <w:pPr>
              <w:pStyle w:val="nTable"/>
              <w:spacing w:after="40"/>
              <w:rPr>
                <w:ins w:id="330" w:author="svcMRProcess" w:date="2020-04-17T16:51:00Z"/>
              </w:rPr>
            </w:pPr>
            <w:ins w:id="331" w:author="svcMRProcess" w:date="2020-04-17T16:51:00Z">
              <w:r>
                <w:rPr>
                  <w:i/>
                </w:rPr>
                <w:t>Strata Titles Amendment Act 2018</w:t>
              </w:r>
              <w:r>
                <w:t xml:space="preserve"> Pt. 3 Div. 10</w:t>
              </w:r>
            </w:ins>
          </w:p>
        </w:tc>
        <w:tc>
          <w:tcPr>
            <w:tcW w:w="1134" w:type="dxa"/>
            <w:tcBorders>
              <w:bottom w:val="nil"/>
            </w:tcBorders>
          </w:tcPr>
          <w:p>
            <w:pPr>
              <w:pStyle w:val="nTable"/>
              <w:spacing w:after="40"/>
              <w:rPr>
                <w:ins w:id="332" w:author="svcMRProcess" w:date="2020-04-17T16:51:00Z"/>
              </w:rPr>
            </w:pPr>
            <w:ins w:id="333" w:author="svcMRProcess" w:date="2020-04-17T16:51:00Z">
              <w:r>
                <w:t>30 of 2018</w:t>
              </w:r>
            </w:ins>
          </w:p>
        </w:tc>
        <w:tc>
          <w:tcPr>
            <w:tcW w:w="1134" w:type="dxa"/>
            <w:tcBorders>
              <w:bottom w:val="nil"/>
            </w:tcBorders>
          </w:tcPr>
          <w:p>
            <w:pPr>
              <w:pStyle w:val="nTable"/>
              <w:spacing w:after="40"/>
              <w:rPr>
                <w:ins w:id="334" w:author="svcMRProcess" w:date="2020-04-17T16:51:00Z"/>
              </w:rPr>
            </w:pPr>
            <w:ins w:id="335" w:author="svcMRProcess" w:date="2020-04-17T16:51:00Z">
              <w:r>
                <w:t>19 Nov 2018</w:t>
              </w:r>
            </w:ins>
          </w:p>
        </w:tc>
        <w:tc>
          <w:tcPr>
            <w:tcW w:w="2552" w:type="dxa"/>
            <w:tcBorders>
              <w:bottom w:val="nil"/>
            </w:tcBorders>
          </w:tcPr>
          <w:p>
            <w:pPr>
              <w:pStyle w:val="nTable"/>
              <w:spacing w:after="40"/>
              <w:rPr>
                <w:ins w:id="336" w:author="svcMRProcess" w:date="2020-04-17T16:51:00Z"/>
              </w:rPr>
            </w:pPr>
            <w:ins w:id="337" w:author="svcMRProcess" w:date="2020-04-17T16:51:00Z">
              <w:r>
                <w:t>1 May 2020 (see s. 2(b) and SL 2020/39 cl. 2)</w:t>
              </w:r>
            </w:ins>
          </w:p>
        </w:tc>
      </w:tr>
      <w:tr>
        <w:trPr>
          <w:ins w:id="338" w:author="svcMRProcess" w:date="2020-04-17T16:51:00Z"/>
        </w:trPr>
        <w:tc>
          <w:tcPr>
            <w:tcW w:w="2268" w:type="dxa"/>
            <w:tcBorders>
              <w:top w:val="nil"/>
            </w:tcBorders>
          </w:tcPr>
          <w:p>
            <w:pPr>
              <w:pStyle w:val="nTable"/>
              <w:spacing w:after="40"/>
              <w:rPr>
                <w:ins w:id="339" w:author="svcMRProcess" w:date="2020-04-17T16:51:00Z"/>
              </w:rPr>
            </w:pPr>
            <w:ins w:id="340" w:author="svcMRProcess" w:date="2020-04-17T16:51:00Z">
              <w:r>
                <w:rPr>
                  <w:i/>
                </w:rPr>
                <w:t>Community Titles Act 2018</w:t>
              </w:r>
              <w:r>
                <w:t xml:space="preserve"> Pt. 14 Div. 11</w:t>
              </w:r>
            </w:ins>
          </w:p>
        </w:tc>
        <w:tc>
          <w:tcPr>
            <w:tcW w:w="1134" w:type="dxa"/>
            <w:tcBorders>
              <w:top w:val="nil"/>
            </w:tcBorders>
          </w:tcPr>
          <w:p>
            <w:pPr>
              <w:pStyle w:val="nTable"/>
              <w:spacing w:after="40"/>
              <w:rPr>
                <w:ins w:id="341" w:author="svcMRProcess" w:date="2020-04-17T16:51:00Z"/>
              </w:rPr>
            </w:pPr>
            <w:ins w:id="342" w:author="svcMRProcess" w:date="2020-04-17T16:51:00Z">
              <w:r>
                <w:t>32 of 2018</w:t>
              </w:r>
            </w:ins>
          </w:p>
        </w:tc>
        <w:tc>
          <w:tcPr>
            <w:tcW w:w="1134" w:type="dxa"/>
            <w:tcBorders>
              <w:top w:val="nil"/>
            </w:tcBorders>
          </w:tcPr>
          <w:p>
            <w:pPr>
              <w:pStyle w:val="nTable"/>
              <w:spacing w:after="40"/>
              <w:rPr>
                <w:ins w:id="343" w:author="svcMRProcess" w:date="2020-04-17T16:51:00Z"/>
              </w:rPr>
            </w:pPr>
            <w:ins w:id="344" w:author="svcMRProcess" w:date="2020-04-17T16:51:00Z">
              <w:r>
                <w:t>19 Nov 2018</w:t>
              </w:r>
            </w:ins>
          </w:p>
        </w:tc>
        <w:tc>
          <w:tcPr>
            <w:tcW w:w="2552" w:type="dxa"/>
            <w:tcBorders>
              <w:top w:val="nil"/>
            </w:tcBorders>
          </w:tcPr>
          <w:p>
            <w:pPr>
              <w:pStyle w:val="nTable"/>
              <w:spacing w:after="40"/>
              <w:rPr>
                <w:ins w:id="345" w:author="svcMRProcess" w:date="2020-04-17T16:51:00Z"/>
              </w:rPr>
            </w:pPr>
            <w:ins w:id="346" w:author="svcMRProcess" w:date="2020-04-17T16:51:00Z">
              <w:r>
                <w:t>To be proclaimed (see s. 2(b))</w:t>
              </w:r>
            </w:ins>
          </w:p>
        </w:tc>
      </w:tr>
    </w:tbl>
    <w:p>
      <w:pPr>
        <w:pStyle w:val="nHeading3"/>
        <w:rPr>
          <w:ins w:id="347" w:author="svcMRProcess" w:date="2020-04-17T16:51:00Z"/>
        </w:rPr>
      </w:pPr>
      <w:bookmarkStart w:id="348" w:name="_Toc37949727"/>
      <w:ins w:id="349" w:author="svcMRProcess" w:date="2020-04-17T16:51:00Z">
        <w:r>
          <w:t>Other notes</w:t>
        </w:r>
        <w:bookmarkEnd w:id="348"/>
      </w:ins>
    </w:p>
    <w:p>
      <w:pPr>
        <w:pStyle w:val="nNote"/>
        <w:spacing w:before="160"/>
      </w:pPr>
      <w:ins w:id="350" w:author="svcMRProcess" w:date="2020-04-17T16:51:00Z">
        <w:r>
          <w:rPr>
            <w:vertAlign w:val="superscript"/>
          </w:rPr>
          <w:t>1</w:t>
        </w:r>
      </w:ins>
      <w:r>
        <w:tab/>
        <w:t xml:space="preserve">The provisions in this Act amending these Acts have been omitted under the </w:t>
      </w:r>
      <w:r>
        <w:rPr>
          <w:i/>
        </w:rPr>
        <w:t>Reprints Act 1984</w:t>
      </w:r>
      <w:r>
        <w:t xml:space="preserve"> s. 7(4)(e).</w:t>
      </w:r>
    </w:p>
    <w:p/>
    <w:p>
      <w:pPr>
        <w:rPr>
          <w:del w:id="351" w:author="svcMRProcess" w:date="2020-04-17T16:51:00Z"/>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3" w:name="Coversheet"/>
    <w:bookmarkEnd w:id="3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2" w:name="Compilation"/>
    <w:bookmarkEnd w:id="3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64237"/>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0714121335" w:val="RemoveTocBookmarks,RemoveUnusedBookmarks,RemoveLanguageTags,UsedStyles,ResetPageSize,RemoveCustomizations"/>
    <w:docVar w:name="WAFER_20150714121335_GUID" w:val="bd5d0af9-84ed-4f8b-9c4a-f4c02f5fd47c"/>
    <w:docVar w:name="WAFER_20150731112838" w:val="RemoveTocBookmarks,RemoveUnusedBookmarks,RemoveLanguageTags,UsedStyles,RemoveTrackChanges"/>
    <w:docVar w:name="WAFER_20150731112838_GUID" w:val="e8516a24-0252-4e1f-90a6-11a52dcc5a09"/>
    <w:docVar w:name="WAFER_20150731112853" w:val="RemoveTocBookmarks,RemoveLanguageTags,RemoveTrackChanges,RunningHeaders"/>
    <w:docVar w:name="WAFER_20150731112853_GUID" w:val="c7587df1-a21d-4e3a-b98a-6c656c8c8015"/>
    <w:docVar w:name="WAFER_20151105140726" w:val="UpdateStyles,UsedStyles"/>
    <w:docVar w:name="WAFER_20151105140726_GUID" w:val="3c84ec84-f81a-4893-a052-bafcecf42032"/>
    <w:docVar w:name="WAFER_20181120150330" w:val="RemoveTocBookmarks,RemoveUnusedBookmarks,RemoveLanguageTags,UsedStyles,ResetPageSize"/>
    <w:docVar w:name="WAFER_20181120150330_GUID" w:val="25d16b82-6dee-4fe7-aaae-782b2699483b"/>
    <w:docVar w:name="WAFER_202002121315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1524_GUID" w:val="5c935b70-3786-4099-9230-536a98e75cbf"/>
    <w:docVar w:name="WAFER_20200416164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6164237_GUID" w:val="f1f06c8e-81df-4c60-8e92-2d150ad803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12154</Words>
  <Characters>59191</Characters>
  <Application>Microsoft Office Word</Application>
  <DocSecurity>0</DocSecurity>
  <Lines>1517</Lines>
  <Paragraphs>820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70525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01-a0-01 - 01-b0-03</dc:title>
  <dc:subject/>
  <dc:creator/>
  <cp:keywords/>
  <dc:description/>
  <cp:lastModifiedBy>svcMRProcess</cp:lastModifiedBy>
  <cp:revision>2</cp:revision>
  <cp:lastPrinted>2015-08-17T06:43:00Z</cp:lastPrinted>
  <dcterms:created xsi:type="dcterms:W3CDTF">2020-04-17T08:51:00Z</dcterms:created>
  <dcterms:modified xsi:type="dcterms:W3CDTF">2020-04-17T08:51:00Z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OwlsUID">
    <vt:i4>146590</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1</vt:lpwstr>
  </property>
  <property fmtid="{D5CDD505-2E9C-101B-9397-08002B2CF9AE}" pid="7" name="CommencementDate">
    <vt:lpwstr>20181119</vt:lpwstr>
  </property>
  <property fmtid="{D5CDD505-2E9C-101B-9397-08002B2CF9AE}" pid="8" name="FromSuffix">
    <vt:lpwstr>01-a0-01</vt:lpwstr>
  </property>
  <property fmtid="{D5CDD505-2E9C-101B-9397-08002B2CF9AE}" pid="9" name="FromAsAtDate">
    <vt:lpwstr>04 Sep 2015</vt:lpwstr>
  </property>
  <property fmtid="{D5CDD505-2E9C-101B-9397-08002B2CF9AE}" pid="10" name="ToSuffix">
    <vt:lpwstr>01-b0-03</vt:lpwstr>
  </property>
  <property fmtid="{D5CDD505-2E9C-101B-9397-08002B2CF9AE}" pid="11" name="ToAsAtDate">
    <vt:lpwstr>19 Nov 2018</vt:lpwstr>
  </property>
</Properties>
</file>