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2014</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17T17:24:00Z"/>
        </w:trPr>
        <w:tc>
          <w:tcPr>
            <w:tcW w:w="2434" w:type="dxa"/>
            <w:vMerge w:val="restart"/>
          </w:tcPr>
          <w:p>
            <w:pPr>
              <w:rPr>
                <w:del w:id="2" w:author="svcMRProcess" w:date="2020-04-17T17:24:00Z"/>
              </w:rPr>
            </w:pPr>
          </w:p>
        </w:tc>
        <w:tc>
          <w:tcPr>
            <w:tcW w:w="2434" w:type="dxa"/>
            <w:vMerge w:val="restart"/>
          </w:tcPr>
          <w:p>
            <w:pPr>
              <w:jc w:val="center"/>
              <w:rPr>
                <w:del w:id="3" w:author="svcMRProcess" w:date="2020-04-17T17:24:00Z"/>
              </w:rPr>
            </w:pPr>
            <w:del w:id="4" w:author="svcMRProcess" w:date="2020-04-17T17: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4-17T17:24:00Z"/>
              </w:rPr>
            </w:pPr>
            <w:del w:id="6" w:author="svcMRProcess" w:date="2020-04-17T17:2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4-17T17:24:00Z"/>
        </w:trPr>
        <w:tc>
          <w:tcPr>
            <w:tcW w:w="2434" w:type="dxa"/>
            <w:vMerge/>
          </w:tcPr>
          <w:p>
            <w:pPr>
              <w:rPr>
                <w:del w:id="8" w:author="svcMRProcess" w:date="2020-04-17T17:24:00Z"/>
              </w:rPr>
            </w:pPr>
          </w:p>
        </w:tc>
        <w:tc>
          <w:tcPr>
            <w:tcW w:w="2434" w:type="dxa"/>
            <w:vMerge/>
          </w:tcPr>
          <w:p>
            <w:pPr>
              <w:jc w:val="center"/>
              <w:rPr>
                <w:del w:id="9" w:author="svcMRProcess" w:date="2020-04-17T17:24:00Z"/>
              </w:rPr>
            </w:pPr>
          </w:p>
        </w:tc>
        <w:tc>
          <w:tcPr>
            <w:tcW w:w="2434" w:type="dxa"/>
          </w:tcPr>
          <w:p>
            <w:pPr>
              <w:keepNext/>
              <w:rPr>
                <w:del w:id="10" w:author="svcMRProcess" w:date="2020-04-17T17:24:00Z"/>
                <w:b/>
                <w:sz w:val="22"/>
              </w:rPr>
            </w:pPr>
            <w:del w:id="11" w:author="svcMRProcess" w:date="2020-04-17T17:24:00Z">
              <w:r>
                <w:rPr>
                  <w:b/>
                  <w:sz w:val="22"/>
                </w:rPr>
                <w:delText>at 15 August 2014</w:delText>
              </w:r>
            </w:del>
          </w:p>
        </w:tc>
      </w:tr>
    </w:tbl>
    <w:p>
      <w:pPr>
        <w:pStyle w:val="WA"/>
      </w:pPr>
      <w:r>
        <w:t>Western Australia</w:t>
      </w:r>
    </w:p>
    <w:p>
      <w:pPr>
        <w:pStyle w:val="NameofActReg"/>
        <w:suppressLineNumbers/>
        <w:spacing w:before="1400" w:after="1200"/>
      </w:pPr>
      <w:r>
        <w:t>Perth Parking Management Act 1999</w:t>
      </w:r>
    </w:p>
    <w:p>
      <w:pPr>
        <w:pStyle w:val="LongTitle"/>
        <w:suppressLineNumbers/>
        <w:rPr>
          <w:snapToGrid w:val="0"/>
        </w:rPr>
      </w:pPr>
      <w:r>
        <w:rPr>
          <w:snapToGrid w:val="0"/>
        </w:rPr>
        <w:t>A</w:t>
      </w:r>
      <w:bookmarkStart w:id="12" w:name="_GoBack"/>
      <w:bookmarkEnd w:id="12"/>
      <w:r>
        <w:rPr>
          <w:snapToGrid w:val="0"/>
        </w:rPr>
        <w:t>n Act to provide for the management of parking in certain parts of the Perth metropolitan area and for related purposes.</w:t>
      </w:r>
    </w:p>
    <w:p>
      <w:pPr>
        <w:pStyle w:val="Heading2"/>
      </w:pPr>
      <w:bookmarkStart w:id="13" w:name="_Toc38005196"/>
      <w:bookmarkStart w:id="14" w:name="_Toc38005315"/>
      <w:bookmarkStart w:id="15" w:name="_Toc395253710"/>
      <w:bookmarkStart w:id="16" w:name="_Toc395254049"/>
      <w:bookmarkStart w:id="17" w:name="_Toc42422201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p>
    <w:p>
      <w:pPr>
        <w:pStyle w:val="Heading5"/>
        <w:rPr>
          <w:snapToGrid w:val="0"/>
        </w:rPr>
      </w:pPr>
      <w:bookmarkStart w:id="18" w:name="_Toc38005316"/>
      <w:bookmarkStart w:id="19" w:name="_Toc395254050"/>
      <w:bookmarkStart w:id="20" w:name="_Toc424222015"/>
      <w:r>
        <w:rPr>
          <w:rStyle w:val="CharSectno"/>
        </w:rPr>
        <w:t>1</w:t>
      </w:r>
      <w:r>
        <w:rPr>
          <w:snapToGrid w:val="0"/>
        </w:rPr>
        <w:t>.</w:t>
      </w:r>
      <w:r>
        <w:rPr>
          <w:snapToGrid w:val="0"/>
        </w:rPr>
        <w:tab/>
        <w:t>Short title</w:t>
      </w:r>
      <w:bookmarkEnd w:id="18"/>
      <w:bookmarkEnd w:id="19"/>
      <w:bookmarkEnd w:id="20"/>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del w:id="21" w:author="svcMRProcess" w:date="2020-04-17T17:24:00Z">
        <w:r>
          <w:rPr>
            <w:iCs/>
            <w:snapToGrid w:val="0"/>
            <w:vertAlign w:val="superscript"/>
          </w:rPr>
          <w:delText> 1</w:delText>
        </w:r>
      </w:del>
      <w:r>
        <w:rPr>
          <w:iCs/>
          <w:snapToGrid w:val="0"/>
        </w:rPr>
        <w:t>.</w:t>
      </w:r>
    </w:p>
    <w:p>
      <w:pPr>
        <w:pStyle w:val="Heading5"/>
        <w:rPr>
          <w:snapToGrid w:val="0"/>
        </w:rPr>
      </w:pPr>
      <w:bookmarkStart w:id="22" w:name="_Toc38005317"/>
      <w:bookmarkStart w:id="23" w:name="_Toc395254051"/>
      <w:bookmarkStart w:id="24" w:name="_Toc424222016"/>
      <w:r>
        <w:rPr>
          <w:rStyle w:val="CharSectno"/>
        </w:rPr>
        <w:t>2</w:t>
      </w:r>
      <w:r>
        <w:rPr>
          <w:snapToGrid w:val="0"/>
        </w:rPr>
        <w:t>.</w:t>
      </w:r>
      <w:r>
        <w:rPr>
          <w:snapToGrid w:val="0"/>
        </w:rPr>
        <w:tab/>
        <w:t>Commencement</w:t>
      </w:r>
      <w:bookmarkEnd w:id="22"/>
      <w:bookmarkEnd w:id="23"/>
      <w:bookmarkEnd w:id="24"/>
    </w:p>
    <w:p>
      <w:pPr>
        <w:pStyle w:val="Subsection"/>
      </w:pPr>
      <w:r>
        <w:tab/>
      </w:r>
      <w:r>
        <w:tab/>
        <w:t>This Act comes into operation on such day as is, or such days as are respectively, fixed by proclamation</w:t>
      </w:r>
      <w:del w:id="25" w:author="svcMRProcess" w:date="2020-04-17T17:24:00Z">
        <w:r>
          <w:rPr>
            <w:iCs/>
            <w:snapToGrid w:val="0"/>
            <w:vertAlign w:val="superscript"/>
          </w:rPr>
          <w:delText> 1</w:delText>
        </w:r>
      </w:del>
      <w:r>
        <w:t>.</w:t>
      </w:r>
    </w:p>
    <w:p>
      <w:pPr>
        <w:pStyle w:val="Heading5"/>
        <w:rPr>
          <w:snapToGrid w:val="0"/>
        </w:rPr>
      </w:pPr>
      <w:bookmarkStart w:id="26" w:name="_Toc38005318"/>
      <w:bookmarkStart w:id="27" w:name="_Toc395254052"/>
      <w:bookmarkStart w:id="28" w:name="_Toc424222017"/>
      <w:r>
        <w:rPr>
          <w:rStyle w:val="CharSectno"/>
        </w:rPr>
        <w:t>3</w:t>
      </w:r>
      <w:r>
        <w:rPr>
          <w:snapToGrid w:val="0"/>
        </w:rPr>
        <w:t>.</w:t>
      </w:r>
      <w:r>
        <w:rPr>
          <w:snapToGrid w:val="0"/>
        </w:rPr>
        <w:tab/>
        <w:t>Application</w:t>
      </w:r>
      <w:bookmarkEnd w:id="26"/>
      <w:bookmarkEnd w:id="27"/>
      <w:bookmarkEnd w:id="28"/>
    </w:p>
    <w:p>
      <w:pPr>
        <w:pStyle w:val="Subsection"/>
      </w:pPr>
      <w:r>
        <w:tab/>
      </w:r>
      <w:r>
        <w:tab/>
        <w:t>This Act binds the Crown.</w:t>
      </w:r>
    </w:p>
    <w:p>
      <w:pPr>
        <w:pStyle w:val="Heading5"/>
      </w:pPr>
      <w:bookmarkStart w:id="29" w:name="_Toc38005319"/>
      <w:bookmarkStart w:id="30" w:name="_Toc395254053"/>
      <w:bookmarkStart w:id="31" w:name="_Toc424222018"/>
      <w:r>
        <w:rPr>
          <w:rStyle w:val="CharSectno"/>
        </w:rPr>
        <w:t>4</w:t>
      </w:r>
      <w:r>
        <w:t>.</w:t>
      </w:r>
      <w:r>
        <w:tab/>
        <w:t>Terms used</w:t>
      </w:r>
      <w:bookmarkEnd w:id="29"/>
      <w:bookmarkEnd w:id="30"/>
      <w:bookmarkEnd w:id="31"/>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 or</w:t>
      </w:r>
    </w:p>
    <w:p>
      <w:pPr>
        <w:pStyle w:val="Defpara"/>
      </w:pPr>
      <w:r>
        <w:tab/>
        <w:t>(b)</w:t>
      </w:r>
      <w:r>
        <w:tab/>
        <w:t xml:space="preserve">if the land or building is under the control of an authority of the government of the Commonwealth, a </w:t>
      </w:r>
      <w:r>
        <w:lastRenderedPageBreak/>
        <w:t>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r>
        <w:rPr>
          <w:rStyle w:val="CharDefText"/>
        </w:rPr>
        <w:t>Perth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w:t>
      </w:r>
      <w:del w:id="32" w:author="svcMRProcess" w:date="2020-04-17T17:24:00Z">
        <w:r>
          <w:delText xml:space="preserve"> by</w:delText>
        </w:r>
      </w:del>
      <w:ins w:id="33" w:author="svcMRProcess" w:date="2020-04-17T17:24:00Z">
        <w:r>
          <w:t>:</w:t>
        </w:r>
      </w:ins>
      <w:r>
        <w:t xml:space="preserve"> No. 7 of 2002 s. 19.]</w:t>
      </w:r>
    </w:p>
    <w:p>
      <w:pPr>
        <w:pStyle w:val="Heading5"/>
      </w:pPr>
      <w:bookmarkStart w:id="34" w:name="_Toc38005320"/>
      <w:bookmarkStart w:id="35" w:name="_Toc395254054"/>
      <w:bookmarkStart w:id="36" w:name="_Toc424222019"/>
      <w:r>
        <w:rPr>
          <w:rStyle w:val="CharSectno"/>
        </w:rPr>
        <w:lastRenderedPageBreak/>
        <w:t>5</w:t>
      </w:r>
      <w:r>
        <w:t>.</w:t>
      </w:r>
      <w:r>
        <w:tab/>
        <w:t>Perth Parking Policy</w:t>
      </w:r>
      <w:bookmarkEnd w:id="34"/>
      <w:bookmarkEnd w:id="35"/>
      <w:bookmarkEnd w:id="36"/>
    </w:p>
    <w:p>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pPr>
      <w:r>
        <w:tab/>
        <w:t>(a)</w:t>
      </w:r>
      <w:r>
        <w:tab/>
        <w:t xml:space="preserve">the Minister to whom the administration of the </w:t>
      </w:r>
      <w:r>
        <w:rPr>
          <w:i/>
          <w:iCs/>
        </w:rPr>
        <w:t>Planning and Development Act 2005</w:t>
      </w:r>
      <w:r>
        <w:t xml:space="preserve"> is for the time being committed by the Governor; and</w:t>
      </w:r>
    </w:p>
    <w:p>
      <w:pPr>
        <w:pStyle w:val="Indenta"/>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w:t>
      </w:r>
      <w:del w:id="37" w:author="svcMRProcess" w:date="2020-04-17T17:24:00Z">
        <w:r>
          <w:delText xml:space="preserve"> by</w:delText>
        </w:r>
      </w:del>
      <w:ins w:id="38" w:author="svcMRProcess" w:date="2020-04-17T17:24:00Z">
        <w:r>
          <w:t>:</w:t>
        </w:r>
      </w:ins>
      <w:r>
        <w:t xml:space="preserve"> No. 7 of 2002 s. 20; No. 38 of 2005 s. 15.]</w:t>
      </w:r>
    </w:p>
    <w:p>
      <w:pPr>
        <w:pStyle w:val="Heading5"/>
      </w:pPr>
      <w:bookmarkStart w:id="39" w:name="_Toc38005321"/>
      <w:bookmarkStart w:id="40" w:name="_Toc395254055"/>
      <w:bookmarkStart w:id="41" w:name="_Toc424222020"/>
      <w:r>
        <w:rPr>
          <w:rStyle w:val="CharSectno"/>
        </w:rPr>
        <w:t>6</w:t>
      </w:r>
      <w:r>
        <w:t>.</w:t>
      </w:r>
      <w:r>
        <w:tab/>
        <w:t>Perth parking management area</w:t>
      </w:r>
      <w:bookmarkEnd w:id="39"/>
      <w:bookmarkEnd w:id="40"/>
      <w:bookmarkEnd w:id="41"/>
    </w:p>
    <w:p>
      <w:pPr>
        <w:pStyle w:val="Subsection"/>
      </w:pPr>
      <w:r>
        <w:tab/>
      </w:r>
      <w:r>
        <w:tab/>
        <w:t xml:space="preserve">An area within the Perth metropolitan area is to be prescribed as the Perth parking management area for the purposes of this Act. </w:t>
      </w:r>
    </w:p>
    <w:p>
      <w:pPr>
        <w:pStyle w:val="Heading5"/>
      </w:pPr>
      <w:bookmarkStart w:id="42" w:name="_Toc38005322"/>
      <w:bookmarkStart w:id="43" w:name="_Toc395254056"/>
      <w:bookmarkStart w:id="44" w:name="_Toc424222021"/>
      <w:r>
        <w:rPr>
          <w:rStyle w:val="CharSectno"/>
        </w:rPr>
        <w:t>7</w:t>
      </w:r>
      <w:r>
        <w:t>.</w:t>
      </w:r>
      <w:r>
        <w:tab/>
        <w:t>Restricted parking in Perth parking management area</w:t>
      </w:r>
      <w:bookmarkEnd w:id="42"/>
      <w:bookmarkEnd w:id="43"/>
      <w:bookmarkEnd w:id="44"/>
    </w:p>
    <w:p>
      <w:pPr>
        <w:pStyle w:val="Subsection"/>
        <w:keepNext/>
        <w:keepLines/>
      </w:pPr>
      <w:r>
        <w:tab/>
      </w:r>
      <w:r>
        <w:tab/>
        <w:t>The owner of land or a building in the Perth parking management area must not permit a vehicle to be parked on the land or in or on the building unless —</w:t>
      </w:r>
    </w:p>
    <w:p>
      <w:pPr>
        <w:pStyle w:val="Indenta"/>
      </w:pPr>
      <w:r>
        <w:tab/>
        <w:t>(a)</w:t>
      </w:r>
      <w:r>
        <w:tab/>
        <w:t>the land or building is used solely for private residential purposes; or</w:t>
      </w:r>
    </w:p>
    <w:p>
      <w:pPr>
        <w:pStyle w:val="Indenta"/>
      </w:pPr>
      <w:r>
        <w:tab/>
        <w:t>(b)</w:t>
      </w:r>
      <w:r>
        <w:tab/>
        <w:t>the owner has a parking bay licence that permits the vehicle to be parked there; or</w:t>
      </w:r>
    </w:p>
    <w:p>
      <w:pPr>
        <w:pStyle w:val="Indenta"/>
      </w:pPr>
      <w:r>
        <w:tab/>
        <w:t>(c)</w:t>
      </w:r>
      <w:r>
        <w:tab/>
        <w:t>the vehicle is a prescribed vehicle or is parked in prescribed circumstances.</w:t>
      </w:r>
    </w:p>
    <w:p>
      <w:pPr>
        <w:pStyle w:val="Penstart"/>
        <w:spacing w:before="120"/>
      </w:pPr>
      <w:r>
        <w:tab/>
        <w:t>Penalty: $5 000.</w:t>
      </w:r>
    </w:p>
    <w:p>
      <w:pPr>
        <w:pStyle w:val="Heading2"/>
      </w:pPr>
      <w:bookmarkStart w:id="45" w:name="_Toc38005204"/>
      <w:bookmarkStart w:id="46" w:name="_Toc38005323"/>
      <w:bookmarkStart w:id="47" w:name="_Toc395253718"/>
      <w:bookmarkStart w:id="48" w:name="_Toc395254057"/>
      <w:bookmarkStart w:id="49" w:name="_Toc424222022"/>
      <w:r>
        <w:rPr>
          <w:rStyle w:val="CharPartNo"/>
        </w:rPr>
        <w:t>Part 2</w:t>
      </w:r>
      <w:r>
        <w:rPr>
          <w:rStyle w:val="CharDivNo"/>
        </w:rPr>
        <w:t xml:space="preserve"> </w:t>
      </w:r>
      <w:r>
        <w:t>—</w:t>
      </w:r>
      <w:r>
        <w:rPr>
          <w:rStyle w:val="CharDivText"/>
        </w:rPr>
        <w:t xml:space="preserve"> </w:t>
      </w:r>
      <w:r>
        <w:rPr>
          <w:rStyle w:val="CharPartText"/>
        </w:rPr>
        <w:t>Parking bay licences</w:t>
      </w:r>
      <w:bookmarkEnd w:id="45"/>
      <w:bookmarkEnd w:id="46"/>
      <w:bookmarkEnd w:id="47"/>
      <w:bookmarkEnd w:id="48"/>
      <w:bookmarkEnd w:id="49"/>
    </w:p>
    <w:p>
      <w:pPr>
        <w:pStyle w:val="Heading5"/>
      </w:pPr>
      <w:bookmarkStart w:id="50" w:name="_Toc38005324"/>
      <w:bookmarkStart w:id="51" w:name="_Toc395254058"/>
      <w:bookmarkStart w:id="52" w:name="_Toc424222023"/>
      <w:r>
        <w:rPr>
          <w:rStyle w:val="CharSectno"/>
        </w:rPr>
        <w:t>8</w:t>
      </w:r>
      <w:r>
        <w:t>.</w:t>
      </w:r>
      <w:r>
        <w:tab/>
        <w:t>Applications for parking bay licence</w:t>
      </w:r>
      <w:bookmarkEnd w:id="50"/>
      <w:bookmarkEnd w:id="51"/>
      <w:bookmarkEnd w:id="52"/>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53" w:name="_Toc38005325"/>
      <w:bookmarkStart w:id="54" w:name="_Toc395254059"/>
      <w:bookmarkStart w:id="55" w:name="_Toc424222024"/>
      <w:r>
        <w:rPr>
          <w:rStyle w:val="CharSectno"/>
        </w:rPr>
        <w:t>9</w:t>
      </w:r>
      <w:r>
        <w:t>.</w:t>
      </w:r>
      <w:r>
        <w:tab/>
        <w:t>Issue of parking bay licences</w:t>
      </w:r>
      <w:bookmarkEnd w:id="53"/>
      <w:bookmarkEnd w:id="54"/>
      <w:bookmarkEnd w:id="55"/>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 amended</w:t>
      </w:r>
      <w:del w:id="56" w:author="svcMRProcess" w:date="2020-04-17T17:24:00Z">
        <w:r>
          <w:delText xml:space="preserve"> by</w:delText>
        </w:r>
      </w:del>
      <w:ins w:id="57" w:author="svcMRProcess" w:date="2020-04-17T17:24:00Z">
        <w:r>
          <w:t>:</w:t>
        </w:r>
      </w:ins>
      <w:r>
        <w:t xml:space="preserve"> No. 38 of 2005 s. 15; No. 42 of 2011 s. 101.]</w:t>
      </w:r>
    </w:p>
    <w:p>
      <w:pPr>
        <w:pStyle w:val="Heading5"/>
      </w:pPr>
      <w:bookmarkStart w:id="58" w:name="_Toc38005326"/>
      <w:bookmarkStart w:id="59" w:name="_Toc395254060"/>
      <w:bookmarkStart w:id="60" w:name="_Toc424222025"/>
      <w:r>
        <w:rPr>
          <w:rStyle w:val="CharSectno"/>
        </w:rPr>
        <w:t>10</w:t>
      </w:r>
      <w:r>
        <w:t>.</w:t>
      </w:r>
      <w:r>
        <w:tab/>
        <w:t>Conditions on parking bay licences</w:t>
      </w:r>
      <w:bookmarkEnd w:id="58"/>
      <w:bookmarkEnd w:id="59"/>
      <w:bookmarkEnd w:id="60"/>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61" w:name="_Toc38005327"/>
      <w:bookmarkStart w:id="62" w:name="_Toc395254061"/>
      <w:bookmarkStart w:id="63" w:name="_Toc424222026"/>
      <w:r>
        <w:rPr>
          <w:rStyle w:val="CharSectno"/>
        </w:rPr>
        <w:t>11</w:t>
      </w:r>
      <w:r>
        <w:t>.</w:t>
      </w:r>
      <w:r>
        <w:tab/>
        <w:t>Parking bay licence fees</w:t>
      </w:r>
      <w:bookmarkEnd w:id="61"/>
      <w:bookmarkEnd w:id="62"/>
      <w:bookmarkEnd w:id="63"/>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64" w:name="_Toc38005328"/>
      <w:bookmarkStart w:id="65" w:name="_Toc395254062"/>
      <w:bookmarkStart w:id="66" w:name="_Toc424222027"/>
      <w:r>
        <w:rPr>
          <w:rStyle w:val="CharSectno"/>
        </w:rPr>
        <w:t>12</w:t>
      </w:r>
      <w:r>
        <w:t>.</w:t>
      </w:r>
      <w:r>
        <w:tab/>
        <w:t>Duration of parking bay licences</w:t>
      </w:r>
      <w:bookmarkEnd w:id="64"/>
      <w:bookmarkEnd w:id="65"/>
      <w:bookmarkEnd w:id="66"/>
    </w:p>
    <w:p>
      <w:pPr>
        <w:pStyle w:val="Subsection"/>
      </w:pPr>
      <w:r>
        <w:tab/>
      </w:r>
      <w:r>
        <w:tab/>
        <w:t>Unless sooner cancelled under section 13(2) or 14(7), a parking bay licence remains in force —</w:t>
      </w:r>
    </w:p>
    <w:p>
      <w:pPr>
        <w:pStyle w:val="Indenta"/>
        <w:spacing w:before="60"/>
      </w:pPr>
      <w:r>
        <w:tab/>
        <w:t>(a)</w:t>
      </w:r>
      <w:r>
        <w:tab/>
        <w:t>if an expiry date is set out in the licence — up to and including the expiry date; or</w:t>
      </w:r>
    </w:p>
    <w:p>
      <w:pPr>
        <w:pStyle w:val="Indenta"/>
        <w:spacing w:before="60"/>
      </w:pPr>
      <w:r>
        <w:tab/>
        <w:t>(b)</w:t>
      </w:r>
      <w:r>
        <w:tab/>
        <w:t>if no expiry date is set out in the licence — until 30 June in the financial year during which the licence is in force.</w:t>
      </w:r>
    </w:p>
    <w:p>
      <w:pPr>
        <w:pStyle w:val="Heading5"/>
      </w:pPr>
      <w:bookmarkStart w:id="67" w:name="_Toc38005329"/>
      <w:bookmarkStart w:id="68" w:name="_Toc395254063"/>
      <w:bookmarkStart w:id="69" w:name="_Toc424222028"/>
      <w:r>
        <w:rPr>
          <w:rStyle w:val="CharSectno"/>
        </w:rPr>
        <w:t>13</w:t>
      </w:r>
      <w:r>
        <w:t>.</w:t>
      </w:r>
      <w:r>
        <w:tab/>
        <w:t>Suspension or cancellation of parking bay licences</w:t>
      </w:r>
      <w:bookmarkEnd w:id="67"/>
      <w:bookmarkEnd w:id="68"/>
      <w:bookmarkEnd w:id="69"/>
    </w:p>
    <w:p>
      <w:pPr>
        <w:pStyle w:val="Subsection"/>
      </w:pPr>
      <w:r>
        <w:tab/>
        <w:t>(1)</w:t>
      </w:r>
      <w:r>
        <w:tab/>
        <w:t>The CEO may suspend or cancel a parking bay licence if there are reasonable grounds for believing that —</w:t>
      </w:r>
    </w:p>
    <w:p>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spacing w:before="60"/>
      </w:pPr>
      <w:r>
        <w:tab/>
        <w:t>(b)</w:t>
      </w:r>
      <w:r>
        <w:tab/>
        <w:t>the licensee has contravened or is contravening a condition of the licence.</w:t>
      </w:r>
    </w:p>
    <w:p>
      <w:pPr>
        <w:pStyle w:val="Subsection"/>
      </w:pPr>
      <w:r>
        <w:tab/>
        <w:t>(2)</w:t>
      </w:r>
      <w:r>
        <w:tab/>
        <w:t>The CEO may suspend or cancel a parking bay licence if the licence fee, or an instalment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70" w:name="_Toc38005330"/>
      <w:bookmarkStart w:id="71" w:name="_Toc395254064"/>
      <w:bookmarkStart w:id="72" w:name="_Toc424222029"/>
      <w:r>
        <w:rPr>
          <w:rStyle w:val="CharSectno"/>
        </w:rPr>
        <w:t>14</w:t>
      </w:r>
      <w:r>
        <w:t>.</w:t>
      </w:r>
      <w:r>
        <w:tab/>
        <w:t>Change of ownership of licensed land or building</w:t>
      </w:r>
      <w:bookmarkEnd w:id="70"/>
      <w:bookmarkEnd w:id="71"/>
      <w:bookmarkEnd w:id="72"/>
    </w:p>
    <w:p>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spacing w:before="150"/>
      </w:pPr>
      <w:r>
        <w:tab/>
        <w:t>(2)</w:t>
      </w:r>
      <w:r>
        <w:tab/>
        <w:t>When giving notice, the new owner must —</w:t>
      </w:r>
    </w:p>
    <w:p>
      <w:pPr>
        <w:pStyle w:val="Indenta"/>
        <w:spacing w:before="60"/>
      </w:pPr>
      <w:r>
        <w:tab/>
        <w:t>(a)</w:t>
      </w:r>
      <w:r>
        <w:tab/>
        <w:t>apply to the CEO to transfer the licence to the new owner; or</w:t>
      </w:r>
    </w:p>
    <w:p>
      <w:pPr>
        <w:pStyle w:val="Indenta"/>
        <w:spacing w:before="60"/>
      </w:pPr>
      <w:r>
        <w:tab/>
        <w:t>(b)</w:t>
      </w:r>
      <w:r>
        <w:tab/>
        <w:t>surrender the licence to the CEO.</w:t>
      </w:r>
    </w:p>
    <w:p>
      <w:pPr>
        <w:pStyle w:val="Subsection"/>
      </w:pPr>
      <w:r>
        <w:tab/>
        <w:t>(3)</w:t>
      </w:r>
      <w:r>
        <w:tab/>
        <w:t>An application for the transfer of the licence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(4)</w:t>
      </w:r>
      <w:r>
        <w:tab/>
        <w:t>On receiving an application, the CEO must transfer the licence unless grounds for suspending or cancelling it under section 13 exist or would exist if it were transferred.</w:t>
      </w:r>
    </w:p>
    <w:p>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spacing w:before="60"/>
      </w:pPr>
      <w:r>
        <w:tab/>
        <w:t>(a)</w:t>
      </w:r>
      <w:r>
        <w:tab/>
        <w:t>the CEO transfers the licence to the new owner; or</w:t>
      </w:r>
    </w:p>
    <w:p>
      <w:pPr>
        <w:pStyle w:val="Indenta"/>
        <w:spacing w:before="60"/>
      </w:pPr>
      <w:r>
        <w:tab/>
        <w:t>(b)</w:t>
      </w:r>
      <w:r>
        <w:tab/>
        <w:t>if the CEO decides not to transfer the licence — notice of the decision is served on the new owner.</w:t>
      </w:r>
    </w:p>
    <w:p>
      <w:pPr>
        <w:pStyle w:val="Subsection"/>
        <w:spacing w:before="140"/>
      </w:pPr>
      <w:r>
        <w:tab/>
        <w:t>(7)</w:t>
      </w:r>
      <w:r>
        <w:tab/>
        <w:t>If the CEO decides not to transfer the licence, it is taken to have been cancelled when notice of the decision is served on the new owner with a statement of the reasons for the decision.</w:t>
      </w:r>
    </w:p>
    <w:p>
      <w:pPr>
        <w:pStyle w:val="Heading5"/>
        <w:spacing w:before="200"/>
      </w:pPr>
      <w:bookmarkStart w:id="73" w:name="_Toc38005331"/>
      <w:bookmarkStart w:id="74" w:name="_Toc395254065"/>
      <w:bookmarkStart w:id="75" w:name="_Toc424222030"/>
      <w:r>
        <w:rPr>
          <w:rStyle w:val="CharSectno"/>
        </w:rPr>
        <w:t>15</w:t>
      </w:r>
      <w:r>
        <w:t>.</w:t>
      </w:r>
      <w:r>
        <w:tab/>
        <w:t>Variation of parking bay licences</w:t>
      </w:r>
      <w:bookmarkEnd w:id="73"/>
      <w:bookmarkEnd w:id="74"/>
      <w:bookmarkEnd w:id="75"/>
    </w:p>
    <w:p>
      <w:pPr>
        <w:pStyle w:val="Subsection"/>
        <w:spacing w:before="140"/>
      </w:pPr>
      <w:r>
        <w:tab/>
        <w:t>(1)</w:t>
      </w:r>
      <w:r>
        <w:tab/>
        <w:t>A licensee may apply to the CEO for the parking bay licence to be varied.</w:t>
      </w:r>
    </w:p>
    <w:p>
      <w:pPr>
        <w:pStyle w:val="Subsection"/>
        <w:spacing w:before="140"/>
      </w:pPr>
      <w:r>
        <w:tab/>
        <w:t>(2)</w:t>
      </w:r>
      <w:r>
        <w:tab/>
        <w:t>The application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(3)</w:t>
      </w:r>
      <w:r>
        <w:tab/>
        <w:t>The CEO may vary the licence if he or she would be able to issue a licence under section 9 in the same terms as the proposed varied licence.</w:t>
      </w:r>
    </w:p>
    <w:p>
      <w:pPr>
        <w:pStyle w:val="Heading5"/>
      </w:pPr>
      <w:bookmarkStart w:id="76" w:name="_Toc38005332"/>
      <w:bookmarkStart w:id="77" w:name="_Toc395254066"/>
      <w:bookmarkStart w:id="78" w:name="_Toc424222031"/>
      <w:r>
        <w:rPr>
          <w:rStyle w:val="CharSectno"/>
        </w:rPr>
        <w:t>16</w:t>
      </w:r>
      <w:r>
        <w:t>.</w:t>
      </w:r>
      <w:r>
        <w:tab/>
        <w:t>Renewal of parking bay licences</w:t>
      </w:r>
      <w:bookmarkEnd w:id="76"/>
      <w:bookmarkEnd w:id="77"/>
      <w:bookmarkEnd w:id="78"/>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79" w:name="_Toc38005333"/>
      <w:bookmarkStart w:id="80" w:name="_Toc395254067"/>
      <w:bookmarkStart w:id="81" w:name="_Toc424222032"/>
      <w:r>
        <w:rPr>
          <w:rStyle w:val="CharSectno"/>
        </w:rPr>
        <w:t>17</w:t>
      </w:r>
      <w:r>
        <w:t>.</w:t>
      </w:r>
      <w:r>
        <w:tab/>
        <w:t>Review of CEO’s decisions</w:t>
      </w:r>
      <w:bookmarkEnd w:id="79"/>
      <w:bookmarkEnd w:id="80"/>
      <w:bookmarkEnd w:id="81"/>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w:t>
      </w:r>
      <w:del w:id="82" w:author="svcMRProcess" w:date="2020-04-17T17:24:00Z">
        <w:r>
          <w:delText xml:space="preserve"> by</w:delText>
        </w:r>
      </w:del>
      <w:ins w:id="83" w:author="svcMRProcess" w:date="2020-04-17T17:24:00Z">
        <w:r>
          <w:t>:</w:t>
        </w:r>
      </w:ins>
      <w:r>
        <w:t xml:space="preserve"> No. 55 of 2004 s. 910.]</w:t>
      </w:r>
    </w:p>
    <w:p>
      <w:pPr>
        <w:pStyle w:val="Heading2"/>
      </w:pPr>
      <w:bookmarkStart w:id="84" w:name="_Toc38005215"/>
      <w:bookmarkStart w:id="85" w:name="_Toc38005334"/>
      <w:bookmarkStart w:id="86" w:name="_Toc395253729"/>
      <w:bookmarkStart w:id="87" w:name="_Toc395254068"/>
      <w:bookmarkStart w:id="88" w:name="_Toc424222033"/>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84"/>
      <w:bookmarkEnd w:id="85"/>
      <w:bookmarkEnd w:id="86"/>
      <w:bookmarkEnd w:id="87"/>
      <w:bookmarkEnd w:id="88"/>
    </w:p>
    <w:p>
      <w:pPr>
        <w:pStyle w:val="Heading5"/>
      </w:pPr>
      <w:bookmarkStart w:id="89" w:name="_Toc38005335"/>
      <w:bookmarkStart w:id="90" w:name="_Toc395254069"/>
      <w:bookmarkStart w:id="91" w:name="_Toc424222034"/>
      <w:r>
        <w:rPr>
          <w:rStyle w:val="CharSectno"/>
        </w:rPr>
        <w:t>18</w:t>
      </w:r>
      <w:r>
        <w:t>.</w:t>
      </w:r>
      <w:r>
        <w:tab/>
        <w:t>Offences</w:t>
      </w:r>
      <w:bookmarkEnd w:id="89"/>
      <w:bookmarkEnd w:id="90"/>
      <w:bookmarkEnd w:id="91"/>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92" w:name="_Toc38005336"/>
      <w:bookmarkStart w:id="93" w:name="_Toc395254070"/>
      <w:bookmarkStart w:id="94" w:name="_Toc424222035"/>
      <w:r>
        <w:rPr>
          <w:rStyle w:val="CharSectno"/>
        </w:rPr>
        <w:t>19</w:t>
      </w:r>
      <w:r>
        <w:t>.</w:t>
      </w:r>
      <w:r>
        <w:tab/>
        <w:t>Infringement notices</w:t>
      </w:r>
      <w:bookmarkEnd w:id="92"/>
      <w:bookmarkEnd w:id="93"/>
      <w:bookmarkEnd w:id="94"/>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[Section 19 amended</w:t>
      </w:r>
      <w:del w:id="95" w:author="svcMRProcess" w:date="2020-04-17T17:24:00Z">
        <w:r>
          <w:delText xml:space="preserve"> by</w:delText>
        </w:r>
      </w:del>
      <w:ins w:id="96" w:author="svcMRProcess" w:date="2020-04-17T17:24:00Z">
        <w:r>
          <w:t>:</w:t>
        </w:r>
      </w:ins>
      <w:r>
        <w:t xml:space="preserve"> No. 84 of 2004 s. 80.] </w:t>
      </w:r>
    </w:p>
    <w:p>
      <w:pPr>
        <w:pStyle w:val="Heading2"/>
      </w:pPr>
      <w:bookmarkStart w:id="97" w:name="_Toc38005218"/>
      <w:bookmarkStart w:id="98" w:name="_Toc38005337"/>
      <w:bookmarkStart w:id="99" w:name="_Toc395253732"/>
      <w:bookmarkStart w:id="100" w:name="_Toc395254071"/>
      <w:bookmarkStart w:id="101" w:name="_Toc424222036"/>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97"/>
      <w:bookmarkEnd w:id="98"/>
      <w:bookmarkEnd w:id="99"/>
      <w:bookmarkEnd w:id="100"/>
      <w:bookmarkEnd w:id="101"/>
    </w:p>
    <w:p>
      <w:pPr>
        <w:pStyle w:val="Heading5"/>
      </w:pPr>
      <w:bookmarkStart w:id="102" w:name="_Toc38005338"/>
      <w:bookmarkStart w:id="103" w:name="_Toc395254072"/>
      <w:bookmarkStart w:id="104" w:name="_Toc424222037"/>
      <w:r>
        <w:rPr>
          <w:rStyle w:val="CharSectno"/>
        </w:rPr>
        <w:t>20</w:t>
      </w:r>
      <w:r>
        <w:t>.</w:t>
      </w:r>
      <w:r>
        <w:tab/>
        <w:t>Appointment of inspectors</w:t>
      </w:r>
      <w:bookmarkEnd w:id="102"/>
      <w:bookmarkEnd w:id="103"/>
      <w:bookmarkEnd w:id="104"/>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05" w:name="_Toc38005339"/>
      <w:bookmarkStart w:id="106" w:name="_Toc395254073"/>
      <w:bookmarkStart w:id="107" w:name="_Toc424222038"/>
      <w:r>
        <w:rPr>
          <w:rStyle w:val="CharSectno"/>
        </w:rPr>
        <w:t>21</w:t>
      </w:r>
      <w:r>
        <w:t>.</w:t>
      </w:r>
      <w:r>
        <w:tab/>
        <w:t>Powers of inspectors</w:t>
      </w:r>
      <w:bookmarkEnd w:id="105"/>
      <w:bookmarkEnd w:id="106"/>
      <w:bookmarkEnd w:id="107"/>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08" w:name="_Toc38005340"/>
      <w:bookmarkStart w:id="109" w:name="_Toc395254074"/>
      <w:bookmarkStart w:id="110" w:name="_Toc424222039"/>
      <w:r>
        <w:rPr>
          <w:rStyle w:val="CharSectno"/>
        </w:rPr>
        <w:t>22</w:t>
      </w:r>
      <w:r>
        <w:t>.</w:t>
      </w:r>
      <w:r>
        <w:tab/>
        <w:t>Obstruction of inspectors</w:t>
      </w:r>
      <w:bookmarkEnd w:id="108"/>
      <w:bookmarkEnd w:id="109"/>
      <w:bookmarkEnd w:id="110"/>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 or</w:t>
      </w:r>
    </w:p>
    <w:p>
      <w:pPr>
        <w:pStyle w:val="Indenta"/>
      </w:pPr>
      <w:r>
        <w:tab/>
        <w:t>(b)</w:t>
      </w:r>
      <w:r>
        <w:tab/>
        <w:t>refuses or fails to give information when required to do so under section 21; or</w:t>
      </w:r>
    </w:p>
    <w:p>
      <w:pPr>
        <w:pStyle w:val="Indenta"/>
      </w:pPr>
      <w:r>
        <w:tab/>
        <w:t>(c)</w:t>
      </w:r>
      <w:r>
        <w:tab/>
        <w:t>refuses or fails to produce a document when required to do so under section 21; or</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11" w:name="_Toc38005341"/>
      <w:bookmarkStart w:id="112" w:name="_Toc395254075"/>
      <w:bookmarkStart w:id="113" w:name="_Toc424222040"/>
      <w:r>
        <w:rPr>
          <w:rStyle w:val="CharSectno"/>
        </w:rPr>
        <w:t>23</w:t>
      </w:r>
      <w:r>
        <w:t>.</w:t>
      </w:r>
      <w:r>
        <w:tab/>
        <w:t>Perth Parking Licensing Account</w:t>
      </w:r>
      <w:bookmarkEnd w:id="111"/>
      <w:bookmarkEnd w:id="112"/>
      <w:bookmarkEnd w:id="113"/>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w:t>
      </w:r>
      <w:del w:id="114" w:author="svcMRProcess" w:date="2020-04-17T17:24:00Z">
        <w:r>
          <w:delText xml:space="preserve"> by</w:delText>
        </w:r>
      </w:del>
      <w:ins w:id="115" w:author="svcMRProcess" w:date="2020-04-17T17:24:00Z">
        <w:r>
          <w:t>:</w:t>
        </w:r>
      </w:ins>
      <w:r>
        <w:t xml:space="preserve"> No. 7 of 2002 s. 21(1); No. 77 of 2006 Sch. 1 cl. 124.]</w:t>
      </w:r>
    </w:p>
    <w:p>
      <w:pPr>
        <w:pStyle w:val="Heading5"/>
      </w:pPr>
      <w:bookmarkStart w:id="116" w:name="_Toc38005342"/>
      <w:bookmarkStart w:id="117" w:name="_Toc395254076"/>
      <w:bookmarkStart w:id="118" w:name="_Toc424222041"/>
      <w:r>
        <w:rPr>
          <w:rStyle w:val="CharSectno"/>
        </w:rPr>
        <w:t>24</w:t>
      </w:r>
      <w:r>
        <w:t>.</w:t>
      </w:r>
      <w:r>
        <w:tab/>
        <w:t>Delegation of CEO’s functions</w:t>
      </w:r>
      <w:bookmarkEnd w:id="116"/>
      <w:bookmarkEnd w:id="117"/>
      <w:bookmarkEnd w:id="118"/>
    </w:p>
    <w:p>
      <w:pPr>
        <w:pStyle w:val="Subsection"/>
      </w:pPr>
      <w:r>
        <w:tab/>
        <w:t>(1)</w:t>
      </w:r>
      <w:r>
        <w:tab/>
        <w:t>The CEO may delegate any or all of his or her functions under this Act to a person (</w:t>
      </w:r>
      <w:r>
        <w:rPr>
          <w:rStyle w:val="CharDefText"/>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19" w:name="_Toc38005343"/>
      <w:bookmarkStart w:id="120" w:name="_Toc395254077"/>
      <w:bookmarkStart w:id="121" w:name="_Toc424222042"/>
      <w:r>
        <w:rPr>
          <w:rStyle w:val="CharSectno"/>
        </w:rPr>
        <w:t>25</w:t>
      </w:r>
      <w:r>
        <w:t>.</w:t>
      </w:r>
      <w:r>
        <w:tab/>
        <w:t>Requirement to pay fees or provide information</w:t>
      </w:r>
      <w:bookmarkEnd w:id="119"/>
      <w:bookmarkEnd w:id="120"/>
      <w:bookmarkEnd w:id="121"/>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22" w:name="_Toc38005344"/>
      <w:bookmarkStart w:id="123" w:name="_Toc395254078"/>
      <w:bookmarkStart w:id="124" w:name="_Toc424222043"/>
      <w:r>
        <w:rPr>
          <w:rStyle w:val="CharSectno"/>
        </w:rPr>
        <w:t>26</w:t>
      </w:r>
      <w:r>
        <w:t>.</w:t>
      </w:r>
      <w:r>
        <w:tab/>
        <w:t>Regulations</w:t>
      </w:r>
      <w:bookmarkEnd w:id="122"/>
      <w:bookmarkEnd w:id="123"/>
      <w:bookmarkEnd w:id="124"/>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 and</w:t>
      </w:r>
    </w:p>
    <w:p>
      <w:pPr>
        <w:pStyle w:val="Indenta"/>
      </w:pPr>
      <w:r>
        <w:tab/>
        <w:t>(b)</w:t>
      </w:r>
      <w:r>
        <w:tab/>
        <w:t>prescribe offences for the purposes of section 19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25" w:name="_Toc38005226"/>
      <w:bookmarkStart w:id="126" w:name="_Toc38005345"/>
      <w:bookmarkStart w:id="127" w:name="_Toc395253740"/>
      <w:bookmarkStart w:id="128" w:name="_Toc395254079"/>
      <w:bookmarkStart w:id="129" w:name="_Toc424222044"/>
      <w:r>
        <w:t>Notes</w:t>
      </w:r>
      <w:bookmarkEnd w:id="125"/>
      <w:bookmarkEnd w:id="126"/>
      <w:bookmarkEnd w:id="127"/>
      <w:bookmarkEnd w:id="128"/>
      <w:bookmarkEnd w:id="129"/>
    </w:p>
    <w:p>
      <w:pPr>
        <w:pStyle w:val="nStatement"/>
      </w:pPr>
      <w:del w:id="130" w:author="svcMRProcess" w:date="2020-04-17T17:24:00Z">
        <w:r>
          <w:rPr>
            <w:snapToGrid w:val="0"/>
            <w:vertAlign w:val="superscript"/>
          </w:rPr>
          <w:delText>1</w:delText>
        </w:r>
        <w:r>
          <w:rPr>
            <w:snapToGrid w:val="0"/>
          </w:rPr>
          <w:tab/>
        </w:r>
      </w:del>
      <w:r>
        <w:t xml:space="preserve">This </w:t>
      </w:r>
      <w:del w:id="131" w:author="svcMRProcess" w:date="2020-04-17T17:24:00Z">
        <w:r>
          <w:rPr>
            <w:snapToGrid w:val="0"/>
          </w:rPr>
          <w:delText xml:space="preserve">reprint </w:delText>
        </w:r>
      </w:del>
      <w:r>
        <w:t xml:space="preserve">is a compilation </w:t>
      </w:r>
      <w:del w:id="132" w:author="svcMRProcess" w:date="2020-04-17T17:24:00Z">
        <w:r>
          <w:rPr>
            <w:snapToGrid w:val="0"/>
          </w:rPr>
          <w:delText xml:space="preserve">as at 15 August 2014 </w:delText>
        </w:r>
      </w:del>
      <w:r>
        <w:t xml:space="preserve">of the </w:t>
      </w:r>
      <w:r>
        <w:rPr>
          <w:i/>
          <w:noProof/>
        </w:rPr>
        <w:t>Perth Parking Management Act 1999</w:t>
      </w:r>
      <w:r>
        <w:t xml:space="preserve"> and includes </w:t>
      </w:r>
      <w:del w:id="133" w:author="svcMRProcess" w:date="2020-04-17T17:24:00Z">
        <w:r>
          <w:rPr>
            <w:snapToGrid w:val="0"/>
          </w:rPr>
          <w:delText xml:space="preserve">the </w:delText>
        </w:r>
      </w:del>
      <w:r>
        <w:t xml:space="preserve">amendments made by </w:t>
      </w:r>
      <w:del w:id="134" w:author="svcMRProcess" w:date="2020-04-17T17:24:00Z">
        <w:r>
          <w:rPr>
            <w:snapToGrid w:val="0"/>
          </w:rPr>
          <w:delText xml:space="preserve">the </w:delText>
        </w:r>
      </w:del>
      <w:r>
        <w:t>other written laws</w:t>
      </w:r>
      <w:del w:id="135" w:author="svcMRProcess" w:date="2020-04-17T17:24:00Z">
        <w:r>
          <w:rPr>
            <w:snapToGrid w:val="0"/>
          </w:rPr>
          <w:delText xml:space="preserve"> referred to in the following table.  The table also contains</w:delText>
        </w:r>
      </w:del>
      <w:ins w:id="136" w:author="svcMRProcess" w:date="2020-04-17T17:24:00Z">
        <w:r>
          <w:t>. For provisions that have come into operation, and for</w:t>
        </w:r>
      </w:ins>
      <w:r>
        <w:t xml:space="preserve"> information about any </w:t>
      </w:r>
      <w:del w:id="137" w:author="svcMRProcess" w:date="2020-04-17T17:24:00Z">
        <w:r>
          <w:rPr>
            <w:snapToGrid w:val="0"/>
          </w:rPr>
          <w:delText>reprint</w:delText>
        </w:r>
      </w:del>
      <w:ins w:id="138" w:author="svcMRProcess" w:date="2020-04-17T17:24:00Z">
        <w:r>
          <w:t>reprints, see the compilation table. For provisions that have not yet come into operation see the uncommenced provisions table</w:t>
        </w:r>
      </w:ins>
      <w:r>
        <w:t>.</w:t>
      </w:r>
    </w:p>
    <w:p>
      <w:pPr>
        <w:pStyle w:val="nHeading3"/>
      </w:pPr>
      <w:bookmarkStart w:id="139" w:name="_Toc38005346"/>
      <w:bookmarkStart w:id="140" w:name="_Toc395254080"/>
      <w:bookmarkStart w:id="141" w:name="_Toc424222045"/>
      <w:r>
        <w:t>Compilation table</w:t>
      </w:r>
      <w:bookmarkEnd w:id="139"/>
      <w:bookmarkEnd w:id="140"/>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snapToGrid w:val="0"/>
              </w:rPr>
              <w:t>Perth Parking Management Act 1999</w:t>
            </w:r>
          </w:p>
        </w:tc>
        <w:tc>
          <w:tcPr>
            <w:tcW w:w="1134" w:type="dxa"/>
          </w:tcPr>
          <w:p>
            <w:pPr>
              <w:pStyle w:val="nTable"/>
              <w:spacing w:after="40"/>
            </w:pPr>
            <w:r>
              <w:t>14 of 1999</w:t>
            </w:r>
          </w:p>
        </w:tc>
        <w:tc>
          <w:tcPr>
            <w:tcW w:w="1134" w:type="dxa"/>
          </w:tcPr>
          <w:p>
            <w:pPr>
              <w:pStyle w:val="nTable"/>
              <w:spacing w:after="40"/>
            </w:pPr>
            <w:r>
              <w:t>19 May 1999</w:t>
            </w:r>
          </w:p>
        </w:tc>
        <w:tc>
          <w:tcPr>
            <w:tcW w:w="2551" w:type="dxa"/>
          </w:tcPr>
          <w:p>
            <w:pPr>
              <w:pStyle w:val="nTable"/>
              <w:spacing w:after="40"/>
            </w:pPr>
            <w:r>
              <w:t>s. 1 and 2: 19 May 1999;</w:t>
            </w:r>
            <w:r>
              <w:br/>
              <w:t xml:space="preserve">Act other than s. 1 and 2: 16 Jul 1999 (see s. 2 and </w:t>
            </w:r>
            <w:r>
              <w:rPr>
                <w:i/>
              </w:rPr>
              <w:t>Gazette</w:t>
            </w:r>
            <w:r>
              <w:t xml:space="preserve"> 16 Jul 1999 p. 3183)</w:t>
            </w:r>
          </w:p>
        </w:tc>
      </w:tr>
      <w:tr>
        <w:tc>
          <w:tcPr>
            <w:tcW w:w="2268" w:type="dxa"/>
          </w:tcPr>
          <w:p>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w:t>
            </w:r>
            <w:del w:id="142" w:author="svcMRProcess" w:date="2020-04-17T17:24:00Z">
              <w:r>
                <w:rPr>
                  <w:snapToGrid w:val="0"/>
                  <w:vertAlign w:val="superscript"/>
                </w:rPr>
                <w:delText>2</w:delText>
              </w:r>
            </w:del>
            <w:ins w:id="143" w:author="svcMRProcess" w:date="2020-04-17T17:24:00Z">
              <w:r>
                <w:rPr>
                  <w:snapToGrid w:val="0"/>
                  <w:vertAlign w:val="superscript"/>
                </w:rPr>
                <w:t>1</w:t>
              </w:r>
            </w:ins>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c>
          <w:tcPr>
            <w:tcW w:w="2268" w:type="dxa"/>
          </w:tcPr>
          <w:p>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w:t>
            </w:r>
            <w:del w:id="144" w:author="svcMRProcess" w:date="2020-04-17T17:24:00Z">
              <w:r>
                <w:rPr>
                  <w:vertAlign w:val="superscript"/>
                </w:rPr>
                <w:delText>3</w:delText>
              </w:r>
            </w:del>
            <w:ins w:id="145" w:author="svcMRProcess" w:date="2020-04-17T17:24:00Z">
              <w:r>
                <w:rPr>
                  <w:vertAlign w:val="superscript"/>
                </w:rPr>
                <w:t>2</w:t>
              </w:r>
            </w:ins>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tc>
          <w:tcPr>
            <w:tcW w:w="2268" w:type="dxa"/>
          </w:tcPr>
          <w:p>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c>
          <w:tcPr>
            <w:tcW w:w="7087" w:type="dxa"/>
            <w:gridSpan w:val="4"/>
            <w:tcBorders>
              <w:bottom w:val="single" w:sz="8" w:space="0" w:color="auto"/>
            </w:tcBorders>
            <w:shd w:val="clear" w:color="auto" w:fill="auto"/>
          </w:tcPr>
          <w:p>
            <w:pPr>
              <w:pStyle w:val="nTable"/>
              <w:spacing w:after="40"/>
              <w:rPr>
                <w:snapToGrid w:val="0"/>
              </w:rPr>
            </w:pPr>
            <w:r>
              <w:rPr>
                <w:b/>
                <w:bCs/>
                <w:snapToGrid w:val="0"/>
              </w:rPr>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bl>
    <w:p>
      <w:pPr>
        <w:pStyle w:val="nHeading3"/>
        <w:rPr>
          <w:ins w:id="146" w:author="svcMRProcess" w:date="2020-04-17T17:24:00Z"/>
        </w:rPr>
      </w:pPr>
      <w:bookmarkStart w:id="147" w:name="_Toc38005347"/>
      <w:del w:id="148" w:author="svcMRProcess" w:date="2020-04-17T17:24:00Z">
        <w:r>
          <w:rPr>
            <w:vertAlign w:val="superscript"/>
          </w:rPr>
          <w:delText>2</w:delText>
        </w:r>
      </w:del>
      <w:ins w:id="149" w:author="svcMRProcess" w:date="2020-04-17T17:24:00Z">
        <w:r>
          <w:t>Uncommenced provisions table</w:t>
        </w:r>
        <w:bookmarkEnd w:id="147"/>
      </w:ins>
    </w:p>
    <w:p>
      <w:pPr>
        <w:pStyle w:val="nStatement"/>
        <w:keepNext/>
        <w:spacing w:after="240"/>
        <w:rPr>
          <w:ins w:id="150" w:author="svcMRProcess" w:date="2020-04-17T17:24:00Z"/>
        </w:rPr>
      </w:pPr>
      <w:ins w:id="151" w:author="svcMRProcess" w:date="2020-04-17T17:2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2" w:author="svcMRProcess" w:date="2020-04-17T17:24:00Z"/>
        </w:trPr>
        <w:tc>
          <w:tcPr>
            <w:tcW w:w="2268" w:type="dxa"/>
          </w:tcPr>
          <w:p>
            <w:pPr>
              <w:pStyle w:val="nTable"/>
              <w:spacing w:after="40"/>
              <w:rPr>
                <w:ins w:id="153" w:author="svcMRProcess" w:date="2020-04-17T17:24:00Z"/>
                <w:b/>
              </w:rPr>
            </w:pPr>
            <w:ins w:id="154" w:author="svcMRProcess" w:date="2020-04-17T17:24:00Z">
              <w:r>
                <w:rPr>
                  <w:b/>
                </w:rPr>
                <w:t>Short title</w:t>
              </w:r>
            </w:ins>
          </w:p>
        </w:tc>
        <w:tc>
          <w:tcPr>
            <w:tcW w:w="1134" w:type="dxa"/>
          </w:tcPr>
          <w:p>
            <w:pPr>
              <w:pStyle w:val="nTable"/>
              <w:spacing w:after="40"/>
              <w:rPr>
                <w:ins w:id="155" w:author="svcMRProcess" w:date="2020-04-17T17:24:00Z"/>
                <w:b/>
              </w:rPr>
            </w:pPr>
            <w:ins w:id="156" w:author="svcMRProcess" w:date="2020-04-17T17:24:00Z">
              <w:r>
                <w:rPr>
                  <w:b/>
                </w:rPr>
                <w:t>Number and year</w:t>
              </w:r>
            </w:ins>
          </w:p>
        </w:tc>
        <w:tc>
          <w:tcPr>
            <w:tcW w:w="1134" w:type="dxa"/>
          </w:tcPr>
          <w:p>
            <w:pPr>
              <w:pStyle w:val="nTable"/>
              <w:spacing w:after="40"/>
              <w:rPr>
                <w:ins w:id="157" w:author="svcMRProcess" w:date="2020-04-17T17:24:00Z"/>
                <w:b/>
              </w:rPr>
            </w:pPr>
            <w:ins w:id="158" w:author="svcMRProcess" w:date="2020-04-17T17:24:00Z">
              <w:r>
                <w:rPr>
                  <w:b/>
                </w:rPr>
                <w:t>Assent</w:t>
              </w:r>
            </w:ins>
          </w:p>
        </w:tc>
        <w:tc>
          <w:tcPr>
            <w:tcW w:w="2552" w:type="dxa"/>
          </w:tcPr>
          <w:p>
            <w:pPr>
              <w:pStyle w:val="nTable"/>
              <w:spacing w:after="40"/>
              <w:rPr>
                <w:ins w:id="159" w:author="svcMRProcess" w:date="2020-04-17T17:24:00Z"/>
                <w:b/>
              </w:rPr>
            </w:pPr>
            <w:ins w:id="160" w:author="svcMRProcess" w:date="2020-04-17T17:24:00Z">
              <w:r>
                <w:rPr>
                  <w:b/>
                </w:rPr>
                <w:t>Commencement</w:t>
              </w:r>
            </w:ins>
          </w:p>
        </w:tc>
      </w:tr>
      <w:tr>
        <w:trPr>
          <w:ins w:id="161" w:author="svcMRProcess" w:date="2020-04-17T17:24:00Z"/>
        </w:trPr>
        <w:tc>
          <w:tcPr>
            <w:tcW w:w="2268" w:type="dxa"/>
            <w:tcBorders>
              <w:bottom w:val="nil"/>
            </w:tcBorders>
          </w:tcPr>
          <w:p>
            <w:pPr>
              <w:pStyle w:val="nTable"/>
              <w:spacing w:after="40"/>
              <w:rPr>
                <w:ins w:id="162" w:author="svcMRProcess" w:date="2020-04-17T17:24:00Z"/>
              </w:rPr>
            </w:pPr>
            <w:ins w:id="163" w:author="svcMRProcess" w:date="2020-04-17T17:24:00Z">
              <w:r>
                <w:rPr>
                  <w:i/>
                </w:rPr>
                <w:t>Strata Titles Amendment Act 2018</w:t>
              </w:r>
              <w:r>
                <w:t xml:space="preserve"> Pt. 3 Div. 13</w:t>
              </w:r>
            </w:ins>
          </w:p>
        </w:tc>
        <w:tc>
          <w:tcPr>
            <w:tcW w:w="1134" w:type="dxa"/>
            <w:tcBorders>
              <w:bottom w:val="nil"/>
            </w:tcBorders>
          </w:tcPr>
          <w:p>
            <w:pPr>
              <w:pStyle w:val="nTable"/>
              <w:spacing w:after="40"/>
              <w:rPr>
                <w:ins w:id="164" w:author="svcMRProcess" w:date="2020-04-17T17:24:00Z"/>
              </w:rPr>
            </w:pPr>
            <w:ins w:id="165" w:author="svcMRProcess" w:date="2020-04-17T17:24:00Z">
              <w:r>
                <w:t>30 of 2018</w:t>
              </w:r>
            </w:ins>
          </w:p>
        </w:tc>
        <w:tc>
          <w:tcPr>
            <w:tcW w:w="1134" w:type="dxa"/>
            <w:tcBorders>
              <w:bottom w:val="nil"/>
            </w:tcBorders>
          </w:tcPr>
          <w:p>
            <w:pPr>
              <w:pStyle w:val="nTable"/>
              <w:spacing w:after="40"/>
              <w:rPr>
                <w:ins w:id="166" w:author="svcMRProcess" w:date="2020-04-17T17:24:00Z"/>
              </w:rPr>
            </w:pPr>
            <w:ins w:id="167" w:author="svcMRProcess" w:date="2020-04-17T17:24:00Z">
              <w:r>
                <w:t>19 Nov 2018</w:t>
              </w:r>
            </w:ins>
          </w:p>
        </w:tc>
        <w:tc>
          <w:tcPr>
            <w:tcW w:w="2552" w:type="dxa"/>
            <w:tcBorders>
              <w:bottom w:val="nil"/>
            </w:tcBorders>
          </w:tcPr>
          <w:p>
            <w:pPr>
              <w:pStyle w:val="nTable"/>
              <w:spacing w:after="40"/>
              <w:rPr>
                <w:ins w:id="168" w:author="svcMRProcess" w:date="2020-04-17T17:24:00Z"/>
              </w:rPr>
            </w:pPr>
            <w:ins w:id="169" w:author="svcMRProcess" w:date="2020-04-17T17:24:00Z">
              <w:r>
                <w:t>1 May 2020 (see s. 2(b) and SL 2020/39 cl. 2)</w:t>
              </w:r>
            </w:ins>
          </w:p>
        </w:tc>
      </w:tr>
      <w:tr>
        <w:trPr>
          <w:ins w:id="170" w:author="svcMRProcess" w:date="2020-04-17T17:24:00Z"/>
        </w:trPr>
        <w:tc>
          <w:tcPr>
            <w:tcW w:w="2268" w:type="dxa"/>
            <w:tcBorders>
              <w:top w:val="nil"/>
            </w:tcBorders>
          </w:tcPr>
          <w:p>
            <w:pPr>
              <w:pStyle w:val="nTable"/>
              <w:spacing w:after="40"/>
              <w:rPr>
                <w:ins w:id="171" w:author="svcMRProcess" w:date="2020-04-17T17:24:00Z"/>
              </w:rPr>
            </w:pPr>
            <w:ins w:id="172" w:author="svcMRProcess" w:date="2020-04-17T17:24:00Z">
              <w:r>
                <w:rPr>
                  <w:i/>
                </w:rPr>
                <w:t>Community Titles Act 2018</w:t>
              </w:r>
              <w:r>
                <w:t xml:space="preserve"> Pt. 14 Div. 13</w:t>
              </w:r>
            </w:ins>
          </w:p>
        </w:tc>
        <w:tc>
          <w:tcPr>
            <w:tcW w:w="1134" w:type="dxa"/>
            <w:tcBorders>
              <w:top w:val="nil"/>
            </w:tcBorders>
          </w:tcPr>
          <w:p>
            <w:pPr>
              <w:pStyle w:val="nTable"/>
              <w:spacing w:after="40"/>
              <w:rPr>
                <w:ins w:id="173" w:author="svcMRProcess" w:date="2020-04-17T17:24:00Z"/>
              </w:rPr>
            </w:pPr>
            <w:ins w:id="174" w:author="svcMRProcess" w:date="2020-04-17T17:24:00Z">
              <w:r>
                <w:t>32 of 2018</w:t>
              </w:r>
            </w:ins>
          </w:p>
        </w:tc>
        <w:tc>
          <w:tcPr>
            <w:tcW w:w="1134" w:type="dxa"/>
            <w:tcBorders>
              <w:top w:val="nil"/>
            </w:tcBorders>
          </w:tcPr>
          <w:p>
            <w:pPr>
              <w:pStyle w:val="nTable"/>
              <w:spacing w:after="40"/>
              <w:rPr>
                <w:ins w:id="175" w:author="svcMRProcess" w:date="2020-04-17T17:24:00Z"/>
              </w:rPr>
            </w:pPr>
            <w:ins w:id="176" w:author="svcMRProcess" w:date="2020-04-17T17:24:00Z">
              <w:r>
                <w:t>19 Nov 2018</w:t>
              </w:r>
            </w:ins>
          </w:p>
        </w:tc>
        <w:tc>
          <w:tcPr>
            <w:tcW w:w="2552" w:type="dxa"/>
            <w:tcBorders>
              <w:top w:val="nil"/>
            </w:tcBorders>
          </w:tcPr>
          <w:p>
            <w:pPr>
              <w:pStyle w:val="nTable"/>
              <w:spacing w:after="40"/>
              <w:rPr>
                <w:ins w:id="177" w:author="svcMRProcess" w:date="2020-04-17T17:24:00Z"/>
              </w:rPr>
            </w:pPr>
            <w:ins w:id="178" w:author="svcMRProcess" w:date="2020-04-17T17:24:00Z">
              <w:r>
                <w:t>To be proclaimed (see s. 2(b))</w:t>
              </w:r>
            </w:ins>
          </w:p>
        </w:tc>
      </w:tr>
    </w:tbl>
    <w:p>
      <w:pPr>
        <w:pStyle w:val="nHeading3"/>
        <w:rPr>
          <w:ins w:id="179" w:author="svcMRProcess" w:date="2020-04-17T17:24:00Z"/>
        </w:rPr>
      </w:pPr>
      <w:bookmarkStart w:id="180" w:name="_Toc38005348"/>
      <w:ins w:id="181" w:author="svcMRProcess" w:date="2020-04-17T17:24:00Z">
        <w:r>
          <w:t>Other notes</w:t>
        </w:r>
        <w:bookmarkEnd w:id="180"/>
      </w:ins>
    </w:p>
    <w:p>
      <w:pPr>
        <w:pStyle w:val="nNote"/>
        <w:rPr>
          <w:snapToGrid w:val="0"/>
        </w:rPr>
      </w:pPr>
      <w:ins w:id="182" w:author="svcMRProcess" w:date="2020-04-17T17:24:00Z">
        <w:r>
          <w:rPr>
            <w:vertAlign w:val="superscript"/>
          </w:rPr>
          <w:t>1</w:t>
        </w:r>
      </w:ins>
      <w:r>
        <w:tab/>
        <w:t xml:space="preserve">The </w:t>
      </w:r>
      <w:r>
        <w:rPr>
          <w:i/>
          <w:snapToGrid w:val="0"/>
        </w:rPr>
        <w:t xml:space="preserve">Machinery of Government (Planning and Infrastructure) Amendment Act 2002 </w:t>
      </w:r>
      <w:r>
        <w:rPr>
          <w:snapToGrid w:val="0"/>
        </w:rPr>
        <w:t>s. 21(2) and (3) read as follows:</w:t>
      </w:r>
    </w:p>
    <w:p>
      <w:pPr>
        <w:pStyle w:val="BlankOpen"/>
      </w:pPr>
    </w:p>
    <w:p>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BlankClose"/>
      </w:pPr>
    </w:p>
    <w:p>
      <w:pPr>
        <w:pStyle w:val="nNote"/>
      </w:pPr>
      <w:del w:id="183" w:author="svcMRProcess" w:date="2020-04-17T17:24:00Z">
        <w:r>
          <w:rPr>
            <w:vertAlign w:val="superscript"/>
          </w:rPr>
          <w:delText>3</w:delText>
        </w:r>
      </w:del>
      <w:ins w:id="184" w:author="svcMRProcess" w:date="2020-04-17T17:24:00Z">
        <w:r>
          <w:rPr>
            <w:vertAlign w:val="superscript"/>
          </w:rPr>
          <w:t>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ins w:id="185" w:author="svcMRProcess" w:date="2020-04-17T17:24:00Z"/>
        </w:rPr>
      </w:pPr>
    </w:p>
    <w:p>
      <w:pPr>
        <w:rPr>
          <w:ins w:id="186" w:author="svcMRProcess" w:date="2020-04-17T17:24: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3719"/>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417083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3719_GUID" w:val="10808065-6f99-414a-a0fe-5e4df2ead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4575</Words>
  <Characters>21274</Characters>
  <Application>Microsoft Office Word</Application>
  <DocSecurity>0</DocSecurity>
  <Lines>607</Lines>
  <Paragraphs>331</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25518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02-a0-03 - 02-b0-03</dc:title>
  <dc:subject/>
  <dc:creator/>
  <cp:keywords/>
  <dc:description/>
  <cp:lastModifiedBy>svcMRProcess</cp:lastModifiedBy>
  <cp:revision>2</cp:revision>
  <cp:lastPrinted>2014-08-08T01:40:00Z</cp:lastPrinted>
  <dcterms:created xsi:type="dcterms:W3CDTF">2020-04-17T09:24:00Z</dcterms:created>
  <dcterms:modified xsi:type="dcterms:W3CDTF">2020-04-17T09:24:00Z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CommencementDate">
    <vt:lpwstr>20181119</vt:lpwstr>
  </property>
  <property fmtid="{D5CDD505-2E9C-101B-9397-08002B2CF9AE}" pid="9" name="FromSuffix">
    <vt:lpwstr>02-a0-03</vt:lpwstr>
  </property>
  <property fmtid="{D5CDD505-2E9C-101B-9397-08002B2CF9AE}" pid="10" name="FromAsAtDate">
    <vt:lpwstr>15 Aug 2014</vt:lpwstr>
  </property>
  <property fmtid="{D5CDD505-2E9C-101B-9397-08002B2CF9AE}" pid="11" name="ToSuffix">
    <vt:lpwstr>02-b0-03</vt:lpwstr>
  </property>
  <property fmtid="{D5CDD505-2E9C-101B-9397-08002B2CF9AE}" pid="12" name="ToAsAtDate">
    <vt:lpwstr>19 Nov 2018</vt:lpwstr>
  </property>
</Properties>
</file>