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2018</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13 Mar 2019</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3283740"/>
      <w:bookmarkStart w:id="2" w:name="_Toc532213169"/>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3283741"/>
      <w:bookmarkStart w:id="5" w:name="_Toc532213170"/>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3283742"/>
      <w:bookmarkStart w:id="7" w:name="_Toc532213171"/>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lastRenderedPageBreak/>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8" w:name="_Toc3283743"/>
      <w:bookmarkStart w:id="9" w:name="_Toc532213172"/>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10" w:name="_Toc3283744"/>
      <w:bookmarkStart w:id="11" w:name="_Toc532213173"/>
      <w:r>
        <w:rPr>
          <w:rStyle w:val="CharSectno"/>
        </w:rPr>
        <w:t>5</w:t>
      </w:r>
      <w:r>
        <w:t>.</w:t>
      </w:r>
      <w:r>
        <w:tab/>
        <w:t>Exemptions</w:t>
      </w:r>
      <w:bookmarkEnd w:id="10"/>
      <w:bookmarkEnd w:id="11"/>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12" w:name="_Toc3283745"/>
      <w:bookmarkStart w:id="13" w:name="_Toc532213174"/>
      <w:r>
        <w:rPr>
          <w:rStyle w:val="CharSectno"/>
        </w:rPr>
        <w:t>6</w:t>
      </w:r>
      <w:r>
        <w:t>.</w:t>
      </w:r>
      <w:r>
        <w:tab/>
        <w:t>Some fees subject to conditions or must be waived</w:t>
      </w:r>
      <w:bookmarkEnd w:id="12"/>
      <w:bookmarkEnd w:id="13"/>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4" w:name="_Toc3283746"/>
      <w:bookmarkStart w:id="15" w:name="_Toc532213175"/>
      <w:r>
        <w:rPr>
          <w:rStyle w:val="CharSectno"/>
        </w:rPr>
        <w:t>7</w:t>
      </w:r>
      <w:r>
        <w:t>.</w:t>
      </w:r>
      <w:r>
        <w:tab/>
      </w:r>
      <w:r>
        <w:rPr>
          <w:rStyle w:val="CharSectno"/>
        </w:rPr>
        <w:t>F</w:t>
      </w:r>
      <w:r>
        <w:rPr>
          <w:snapToGrid w:val="0"/>
        </w:rPr>
        <w:t>ees to be paid before documents etc. filed in civil cases</w:t>
      </w:r>
      <w:bookmarkEnd w:id="14"/>
      <w:bookmarkEnd w:id="15"/>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6" w:name="_Toc3283747"/>
      <w:bookmarkStart w:id="17" w:name="_Toc532213176"/>
      <w:r>
        <w:rPr>
          <w:rStyle w:val="CharSectno"/>
        </w:rPr>
        <w:t>8</w:t>
      </w:r>
      <w:r>
        <w:t>.</w:t>
      </w:r>
      <w:r>
        <w:tab/>
        <w:t>Who is an eligible individual</w:t>
      </w:r>
      <w:bookmarkEnd w:id="16"/>
      <w:bookmarkEnd w:id="17"/>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8" w:name="_Toc3283748"/>
      <w:bookmarkStart w:id="19" w:name="_Toc532213177"/>
      <w:r>
        <w:rPr>
          <w:rStyle w:val="CharSectno"/>
        </w:rPr>
        <w:t>9A</w:t>
      </w:r>
      <w:r>
        <w:t>.</w:t>
      </w:r>
      <w:r>
        <w:tab/>
        <w:t>Application to be recognised as eligible individual</w:t>
      </w:r>
      <w:bookmarkEnd w:id="18"/>
      <w:bookmarkEnd w:id="19"/>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pageBreakBefore/>
        <w:spacing w:before="0"/>
      </w:pPr>
      <w:bookmarkStart w:id="20" w:name="_Toc3283749"/>
      <w:bookmarkStart w:id="21" w:name="_Toc532213178"/>
      <w:r>
        <w:rPr>
          <w:rStyle w:val="CharSectno"/>
        </w:rPr>
        <w:t>9B</w:t>
      </w:r>
      <w:r>
        <w:t>.</w:t>
      </w:r>
      <w:r>
        <w:tab/>
        <w:t>Recognition as eligible individual</w:t>
      </w:r>
      <w:bookmarkEnd w:id="20"/>
      <w:bookmarkEnd w:id="21"/>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22" w:name="_Toc3283750"/>
      <w:bookmarkStart w:id="23" w:name="_Toc532213179"/>
      <w:r>
        <w:rPr>
          <w:rStyle w:val="CharSectno"/>
        </w:rPr>
        <w:t>9C</w:t>
      </w:r>
      <w:r>
        <w:t>.</w:t>
      </w:r>
      <w:r>
        <w:tab/>
        <w:t>False or misleading statements</w:t>
      </w:r>
      <w:bookmarkEnd w:id="22"/>
      <w:bookmarkEnd w:id="2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24" w:name="_Toc3283751"/>
      <w:bookmarkStart w:id="25" w:name="_Toc532213180"/>
      <w:r>
        <w:rPr>
          <w:rStyle w:val="CharSectno"/>
        </w:rPr>
        <w:t>9D</w:t>
      </w:r>
      <w:r>
        <w:t>.</w:t>
      </w:r>
      <w:r>
        <w:tab/>
        <w:t>Refunds</w:t>
      </w:r>
      <w:bookmarkEnd w:id="24"/>
      <w:bookmarkEnd w:id="25"/>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26" w:name="_Toc3283752"/>
      <w:bookmarkStart w:id="27" w:name="_Toc532213181"/>
      <w:r>
        <w:rPr>
          <w:rStyle w:val="CharSectno"/>
        </w:rPr>
        <w:t>9</w:t>
      </w:r>
      <w:r>
        <w:t>.</w:t>
      </w:r>
      <w:r>
        <w:tab/>
        <w:t>Waiving fee for copy of document or transcript</w:t>
      </w:r>
      <w:bookmarkEnd w:id="26"/>
      <w:bookmarkEnd w:id="27"/>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28" w:name="_Toc3283753"/>
      <w:bookmarkStart w:id="29" w:name="_Toc532213182"/>
      <w:r>
        <w:rPr>
          <w:rStyle w:val="CharSectno"/>
        </w:rPr>
        <w:t>10</w:t>
      </w:r>
      <w:r>
        <w:t>.</w:t>
      </w:r>
      <w:r>
        <w:tab/>
        <w:t>Disputes as to fees, determination of</w:t>
      </w:r>
      <w:bookmarkEnd w:id="28"/>
      <w:bookmarkEnd w:id="29"/>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30" w:name="_Toc3283754"/>
      <w:bookmarkStart w:id="31" w:name="_Toc532213183"/>
      <w:r>
        <w:rPr>
          <w:rStyle w:val="CharSectno"/>
        </w:rPr>
        <w:t>11</w:t>
      </w:r>
      <w:r>
        <w:t>.</w:t>
      </w:r>
      <w:r>
        <w:tab/>
        <w:t>Unpaid fees, recovery of</w:t>
      </w:r>
      <w:bookmarkEnd w:id="30"/>
      <w:bookmarkEnd w:id="31"/>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 w:name="_Toc3203255"/>
      <w:bookmarkStart w:id="33" w:name="_Toc3203288"/>
      <w:bookmarkStart w:id="34" w:name="_Toc3283755"/>
      <w:bookmarkStart w:id="35" w:name="_Toc531868888"/>
      <w:bookmarkStart w:id="36" w:name="_Toc531868915"/>
      <w:bookmarkStart w:id="37" w:name="_Toc531872713"/>
      <w:bookmarkStart w:id="38" w:name="_Toc531872763"/>
      <w:bookmarkStart w:id="39" w:name="_Toc532213184"/>
      <w:r>
        <w:rPr>
          <w:rStyle w:val="CharSchNo"/>
        </w:rPr>
        <w:t>Schedule 1</w:t>
      </w:r>
      <w:r>
        <w:t> — </w:t>
      </w:r>
      <w:r>
        <w:rPr>
          <w:rStyle w:val="CharSchText"/>
        </w:rPr>
        <w:t>Fees</w:t>
      </w:r>
      <w:bookmarkEnd w:id="32"/>
      <w:bookmarkEnd w:id="33"/>
      <w:bookmarkEnd w:id="34"/>
      <w:bookmarkEnd w:id="35"/>
      <w:bookmarkEnd w:id="36"/>
      <w:bookmarkEnd w:id="37"/>
      <w:bookmarkEnd w:id="38"/>
      <w:bookmarkEnd w:id="39"/>
    </w:p>
    <w:p>
      <w:pPr>
        <w:pStyle w:val="yShoulderClause"/>
      </w:pPr>
      <w:r>
        <w:t>[r. 4]</w:t>
      </w:r>
    </w:p>
    <w:p>
      <w:pPr>
        <w:pStyle w:val="yFootnoteheading"/>
        <w:spacing w:before="0"/>
      </w:pPr>
      <w:r>
        <w:tab/>
        <w:t>[Heading inserted: Gazette 15 Jun 2018 p. 1964.]</w:t>
      </w:r>
    </w:p>
    <w:p>
      <w:pPr>
        <w:pStyle w:val="yHeading3"/>
        <w:spacing w:before="120"/>
      </w:pPr>
      <w:bookmarkStart w:id="40" w:name="_Toc3203256"/>
      <w:bookmarkStart w:id="41" w:name="_Toc3203289"/>
      <w:bookmarkStart w:id="42" w:name="_Toc3283756"/>
      <w:bookmarkStart w:id="43" w:name="_Toc531868889"/>
      <w:bookmarkStart w:id="44" w:name="_Toc531868916"/>
      <w:bookmarkStart w:id="45" w:name="_Toc531872714"/>
      <w:bookmarkStart w:id="46" w:name="_Toc531872764"/>
      <w:bookmarkStart w:id="47" w:name="_Toc532213185"/>
      <w:r>
        <w:rPr>
          <w:rStyle w:val="CharSDivNo"/>
        </w:rPr>
        <w:t>Division 1</w:t>
      </w:r>
      <w:r>
        <w:rPr>
          <w:b w:val="0"/>
        </w:rPr>
        <w:t> — </w:t>
      </w:r>
      <w:r>
        <w:rPr>
          <w:rStyle w:val="CharSDivText"/>
        </w:rPr>
        <w:t>General</w:t>
      </w:r>
      <w:bookmarkEnd w:id="40"/>
      <w:bookmarkEnd w:id="41"/>
      <w:bookmarkEnd w:id="42"/>
      <w:bookmarkEnd w:id="43"/>
      <w:bookmarkEnd w:id="44"/>
      <w:bookmarkEnd w:id="45"/>
      <w:bookmarkEnd w:id="46"/>
      <w:bookmarkEnd w:id="47"/>
    </w:p>
    <w:p>
      <w:pPr>
        <w:pStyle w:val="yFootnoteheading"/>
      </w:pPr>
      <w:r>
        <w:tab/>
        <w:t>[Heading inserted: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yTableNAm"/>
            </w:pPr>
          </w:p>
        </w:tc>
        <w:tc>
          <w:tcPr>
            <w:tcW w:w="3544" w:type="dxa"/>
          </w:tcPr>
          <w:p>
            <w:pPr>
              <w:pStyle w:val="yTableNAm"/>
              <w:ind w:left="601" w:hanging="601"/>
            </w:pPr>
            <w:r>
              <w:t>(a)</w:t>
            </w:r>
            <w:r>
              <w:tab/>
              <w:t xml:space="preserve">for each kilometre travelled (1 way) in the metropolitan area </w:t>
            </w:r>
          </w:p>
        </w:tc>
        <w:tc>
          <w:tcPr>
            <w:tcW w:w="1417" w:type="dxa"/>
          </w:tcPr>
          <w:p>
            <w:pPr>
              <w:pStyle w:val="yTableNAm"/>
            </w:pPr>
            <w:r>
              <w:br/>
            </w:r>
            <w:r>
              <w:br/>
              <w:t>2.00</w:t>
            </w:r>
          </w:p>
        </w:tc>
        <w:tc>
          <w:tcPr>
            <w:tcW w:w="1418" w:type="dxa"/>
          </w:tcPr>
          <w:p>
            <w:pPr>
              <w:pStyle w:val="yTableNAm"/>
            </w:pPr>
            <w:r>
              <w:br/>
            </w:r>
            <w:r>
              <w:br/>
              <w:t>2.00</w:t>
            </w:r>
          </w:p>
        </w:tc>
      </w:tr>
      <w:tr>
        <w:trPr>
          <w:cantSplit/>
        </w:trPr>
        <w:tc>
          <w:tcPr>
            <w:tcW w:w="709" w:type="dxa"/>
          </w:tcPr>
          <w:p>
            <w:pPr>
              <w:pStyle w:val="zyTableNAm"/>
            </w:pPr>
          </w:p>
        </w:tc>
        <w:tc>
          <w:tcPr>
            <w:tcW w:w="3544" w:type="dxa"/>
          </w:tcPr>
          <w:p>
            <w:pPr>
              <w:pStyle w:val="yTableNAm"/>
              <w:ind w:left="601" w:hanging="601"/>
            </w:pPr>
            <w:r>
              <w:t xml:space="preserve"> (b)</w:t>
            </w:r>
            <w:r>
              <w:tab/>
              <w:t xml:space="preserve">for each kilometre travelled (1 way) outside the metropolitan area </w:t>
            </w:r>
          </w:p>
        </w:tc>
        <w:tc>
          <w:tcPr>
            <w:tcW w:w="1417" w:type="dxa"/>
          </w:tcPr>
          <w:p>
            <w:pPr>
              <w:pStyle w:val="yTableNAm"/>
            </w:pPr>
            <w:r>
              <w:br/>
            </w:r>
            <w:r>
              <w:br/>
              <w:t>2.20</w:t>
            </w:r>
          </w:p>
        </w:tc>
        <w:tc>
          <w:tcPr>
            <w:tcW w:w="1418" w:type="dxa"/>
          </w:tcPr>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t>65.50</w:t>
            </w:r>
          </w:p>
        </w:tc>
        <w:tc>
          <w:tcPr>
            <w:tcW w:w="1418" w:type="dxa"/>
          </w:tcPr>
          <w:p>
            <w:pPr>
              <w:pStyle w:val="yTableNAm"/>
            </w:pPr>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the </w:t>
            </w:r>
            <w:del w:id="48" w:author="Master Repository Process" w:date="2021-07-31T20:19:00Z">
              <w:r>
                <w:delText>preparation</w:delText>
              </w:r>
            </w:del>
            <w:ins w:id="49" w:author="Master Repository Process" w:date="2021-07-31T20:19:00Z">
              <w:r>
                <w:rPr>
                  <w:szCs w:val="22"/>
                </w:rPr>
                <w:t>provision</w:t>
              </w:r>
            </w:ins>
            <w:r>
              <w:rPr>
                <w:szCs w:val="22"/>
              </w:rPr>
              <w:t xml:space="preserve"> of a transcript,</w:t>
            </w:r>
            <w:r>
              <w:t xml:space="preserve"> or part of a transcript — </w:t>
            </w:r>
          </w:p>
        </w:tc>
        <w:tc>
          <w:tcPr>
            <w:tcW w:w="1417" w:type="dxa"/>
          </w:tcPr>
          <w:p>
            <w:pPr>
              <w:pStyle w:val="yTableNAm"/>
            </w:pPr>
          </w:p>
        </w:tc>
        <w:tc>
          <w:tcPr>
            <w:tcW w:w="1418" w:type="dxa"/>
          </w:tcPr>
          <w:p>
            <w:pPr>
              <w:pStyle w:val="yTableNAm"/>
            </w:pPr>
          </w:p>
        </w:tc>
      </w:tr>
      <w:tr>
        <w:trPr>
          <w:cantSplit/>
        </w:trPr>
        <w:tc>
          <w:tcPr>
            <w:tcW w:w="709" w:type="dxa"/>
          </w:tcPr>
          <w:p>
            <w:pPr>
              <w:pStyle w:val="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20.50 plus</w:t>
            </w:r>
            <w:r>
              <w:br/>
              <w:t>8.45 per page</w:t>
            </w:r>
          </w:p>
        </w:tc>
        <w:tc>
          <w:tcPr>
            <w:tcW w:w="1418" w:type="dxa"/>
          </w:tcPr>
          <w:p>
            <w:pPr>
              <w:pStyle w:val="yTableNAm"/>
            </w:pPr>
            <w:r>
              <w:t xml:space="preserve">6.15 plus </w:t>
            </w:r>
            <w:r>
              <w:br/>
              <w:t>2.55 per page</w:t>
            </w:r>
          </w:p>
        </w:tc>
      </w:tr>
      <w:tr>
        <w:trPr>
          <w:cantSplit/>
        </w:trPr>
        <w:tc>
          <w:tcPr>
            <w:tcW w:w="709" w:type="dxa"/>
          </w:tcPr>
          <w:p>
            <w:pPr>
              <w:pStyle w:val="yTableNAm"/>
            </w:pPr>
          </w:p>
        </w:tc>
        <w:tc>
          <w:tcPr>
            <w:tcW w:w="3544" w:type="dxa"/>
          </w:tcPr>
          <w:p>
            <w:pPr>
              <w:pStyle w:val="yTableNAm"/>
              <w:ind w:left="1168" w:hanging="1168"/>
            </w:pPr>
            <w:r>
              <w:tab/>
              <w:t>(ii)</w:t>
            </w:r>
            <w:r>
              <w:tab/>
              <w:t xml:space="preserve">provided within 2 days after the day on which the fee is paid </w:t>
            </w:r>
          </w:p>
        </w:tc>
        <w:tc>
          <w:tcPr>
            <w:tcW w:w="1417" w:type="dxa"/>
          </w:tcPr>
          <w:p>
            <w:pPr>
              <w:pStyle w:val="yTableNAm"/>
            </w:pPr>
            <w:r>
              <w:t>20.50 plus</w:t>
            </w:r>
            <w:r>
              <w:br/>
              <w:t>7.75 per page</w:t>
            </w:r>
          </w:p>
        </w:tc>
        <w:tc>
          <w:tcPr>
            <w:tcW w:w="1418" w:type="dxa"/>
          </w:tcPr>
          <w:p>
            <w:pPr>
              <w:pStyle w:val="yTableNAm"/>
            </w:pPr>
            <w:r>
              <w:t xml:space="preserve">6.15 plus </w:t>
            </w:r>
            <w:r>
              <w:br/>
              <w:t>2.35 per page</w:t>
            </w:r>
          </w:p>
        </w:tc>
      </w:tr>
      <w:tr>
        <w:trPr>
          <w:cantSplit/>
        </w:trPr>
        <w:tc>
          <w:tcPr>
            <w:tcW w:w="709" w:type="dxa"/>
          </w:tcPr>
          <w:p>
            <w:pPr>
              <w:pStyle w:val="yTableNAm"/>
            </w:pPr>
          </w:p>
        </w:tc>
        <w:tc>
          <w:tcPr>
            <w:tcW w:w="3544" w:type="dxa"/>
          </w:tcPr>
          <w:p>
            <w:pPr>
              <w:pStyle w:val="yTableNAm"/>
              <w:ind w:left="1168" w:hanging="1168"/>
            </w:pPr>
            <w:r>
              <w:tab/>
              <w:t>(iii)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yTableNAm"/>
            </w:pPr>
          </w:p>
        </w:tc>
        <w:tc>
          <w:tcPr>
            <w:tcW w:w="3544" w:type="dxa"/>
          </w:tcPr>
          <w:p>
            <w:pPr>
              <w:pStyle w:val="yTableNAm"/>
              <w:ind w:left="1168" w:hanging="1168"/>
            </w:pPr>
            <w:r>
              <w:tab/>
              <w:t>(iv)</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yTableNAm"/>
            </w:pPr>
          </w:p>
        </w:tc>
        <w:tc>
          <w:tcPr>
            <w:tcW w:w="3544" w:type="dxa"/>
          </w:tcPr>
          <w:p>
            <w:pPr>
              <w:pStyle w:val="yTableNAm"/>
              <w:ind w:left="1168" w:hanging="1168"/>
            </w:pPr>
            <w:r>
              <w:tab/>
              <w:t>(v)</w:t>
            </w:r>
            <w:r>
              <w:tab/>
              <w:t xml:space="preserve">provided within 14 days after the day on which the fee is paid </w:t>
            </w:r>
          </w:p>
        </w:tc>
        <w:tc>
          <w:tcPr>
            <w:tcW w:w="1417" w:type="dxa"/>
          </w:tcPr>
          <w:p>
            <w:pPr>
              <w:pStyle w:val="yTableNAm"/>
            </w:pPr>
            <w:r>
              <w:t xml:space="preserve">20.50 plus </w:t>
            </w:r>
            <w:r>
              <w:br/>
              <w:t>6.00 per page</w:t>
            </w:r>
          </w:p>
        </w:tc>
        <w:tc>
          <w:tcPr>
            <w:tcW w:w="1418" w:type="dxa"/>
          </w:tcPr>
          <w:p>
            <w:pPr>
              <w:pStyle w:val="yTableNAm"/>
            </w:pPr>
            <w:r>
              <w:t xml:space="preserve">6.15 plus </w:t>
            </w:r>
            <w:r>
              <w:br/>
              <w:t>2.00 per page</w:t>
            </w:r>
          </w:p>
        </w:tc>
      </w:tr>
      <w:tr>
        <w:trPr>
          <w:cantSplit/>
        </w:trPr>
        <w:tc>
          <w:tcPr>
            <w:tcW w:w="709" w:type="dxa"/>
          </w:tcPr>
          <w:p>
            <w:pPr>
              <w:pStyle w:val="yTableNAm"/>
            </w:pPr>
          </w:p>
        </w:tc>
        <w:tc>
          <w:tcPr>
            <w:tcW w:w="3544" w:type="dxa"/>
          </w:tcPr>
          <w:p>
            <w:pPr>
              <w:pStyle w:val="yTableNAm"/>
              <w:ind w:left="1168" w:hanging="1168"/>
            </w:pPr>
            <w:r>
              <w:tab/>
              <w:t>(vi)</w:t>
            </w:r>
            <w:r>
              <w:tab/>
              <w:t>provided on a running basis (i.e. periodically throughout or following the day of the proceedings)</w:t>
            </w:r>
          </w:p>
        </w:tc>
        <w:tc>
          <w:tcPr>
            <w:tcW w:w="1417" w:type="dxa"/>
          </w:tcPr>
          <w:p>
            <w:pPr>
              <w:pStyle w:val="yTableNAm"/>
            </w:pPr>
            <w:r>
              <w:t xml:space="preserve">20.50 plus </w:t>
            </w:r>
            <w:r>
              <w:br/>
              <w:t>9.00 per page</w:t>
            </w:r>
          </w:p>
        </w:tc>
        <w:tc>
          <w:tcPr>
            <w:tcW w:w="1418" w:type="dxa"/>
          </w:tcPr>
          <w:p>
            <w:pPr>
              <w:pStyle w:val="yTableNAm"/>
            </w:pPr>
            <w:r>
              <w:t xml:space="preserve">6.15 plus </w:t>
            </w:r>
            <w:r>
              <w:br/>
              <w:t>3.00 per page</w:t>
            </w:r>
          </w:p>
        </w:tc>
      </w:tr>
      <w:tr>
        <w:trPr>
          <w:cantSplit/>
        </w:trPr>
        <w:tc>
          <w:tcPr>
            <w:tcW w:w="709" w:type="dxa"/>
          </w:tcPr>
          <w:p>
            <w:pPr>
              <w:pStyle w:val="yTableNAm"/>
              <w:keepNext/>
            </w:pPr>
          </w:p>
        </w:tc>
        <w:tc>
          <w:tcPr>
            <w:tcW w:w="3544" w:type="dxa"/>
          </w:tcPr>
          <w:p>
            <w:pPr>
              <w:pStyle w:val="yTableNAm"/>
              <w:keepNext/>
              <w:ind w:left="601" w:hanging="601"/>
            </w:pPr>
            <w:r>
              <w:t>(b)</w:t>
            </w:r>
            <w:r>
              <w:tab/>
            </w:r>
            <w:r>
              <w:rPr>
                <w:szCs w:val="22"/>
              </w:rPr>
              <w:t xml:space="preserve">For </w:t>
            </w:r>
            <w:ins w:id="50" w:author="Master Repository Process" w:date="2021-07-31T20:19:00Z">
              <w:r>
                <w:rPr>
                  <w:szCs w:val="22"/>
                </w:rPr>
                <w:t xml:space="preserve">the provision of </w:t>
              </w:r>
            </w:ins>
            <w:r>
              <w:rPr>
                <w:szCs w:val="22"/>
              </w:rPr>
              <w:t xml:space="preserve">a copy of a transcript, or part of a transcript, </w:t>
            </w:r>
            <w:del w:id="51" w:author="Master Repository Process" w:date="2021-07-31T20:19:00Z">
              <w:r>
                <w:delText>that</w:delText>
              </w:r>
            </w:del>
            <w:ins w:id="52" w:author="Master Repository Process" w:date="2021-07-31T20:19:00Z">
              <w:r>
                <w:rPr>
                  <w:szCs w:val="22"/>
                </w:rPr>
                <w:t>where the transcript or part</w:t>
              </w:r>
            </w:ins>
            <w:r>
              <w:rPr>
                <w:szCs w:val="22"/>
              </w:rPr>
              <w:t xml:space="preserve"> has already been </w:t>
            </w:r>
            <w:del w:id="53" w:author="Master Repository Process" w:date="2021-07-31T20:19:00Z">
              <w:r>
                <w:delText>prepared</w:delText>
              </w:r>
            </w:del>
            <w:ins w:id="54" w:author="Master Repository Process" w:date="2021-07-31T20:19:00Z">
              <w:r>
                <w:rPr>
                  <w:szCs w:val="22"/>
                </w:rPr>
                <w:t>provided to the person requesting the copy</w:t>
              </w:r>
            </w:ins>
            <w:r>
              <w:rPr>
                <w:szCs w:val="22"/>
              </w:rPr>
              <w:t> —</w:t>
            </w:r>
          </w:p>
        </w:tc>
        <w:tc>
          <w:tcPr>
            <w:tcW w:w="1417" w:type="dxa"/>
          </w:tcPr>
          <w:p>
            <w:pPr>
              <w:pStyle w:val="yTableNAm"/>
              <w:keepNext/>
            </w:pPr>
          </w:p>
        </w:tc>
        <w:tc>
          <w:tcPr>
            <w:tcW w:w="1418" w:type="dxa"/>
          </w:tcPr>
          <w:p>
            <w:pPr>
              <w:pStyle w:val="yTableNAm"/>
              <w:keepNext/>
            </w:pPr>
          </w:p>
        </w:tc>
      </w:tr>
      <w:tr>
        <w:trPr>
          <w:cantSplit/>
        </w:trPr>
        <w:tc>
          <w:tcPr>
            <w:tcW w:w="709" w:type="dxa"/>
          </w:tcPr>
          <w:p>
            <w:pPr>
              <w:pStyle w:val="yTableNAm"/>
            </w:pPr>
          </w:p>
        </w:tc>
        <w:tc>
          <w:tcPr>
            <w:tcW w:w="3544" w:type="dxa"/>
          </w:tcPr>
          <w:p>
            <w:pPr>
              <w:pStyle w:val="yTableNAm"/>
              <w:ind w:left="1168" w:hanging="1168"/>
            </w:pPr>
            <w:r>
              <w:tab/>
              <w:t>(i)</w:t>
            </w:r>
            <w:r>
              <w:tab/>
              <w:t xml:space="preserve">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yTableNAm"/>
            </w:pPr>
          </w:p>
        </w:tc>
        <w:tc>
          <w:tcPr>
            <w:tcW w:w="3544" w:type="dxa"/>
          </w:tcPr>
          <w:p>
            <w:pPr>
              <w:pStyle w:val="yTableNAm"/>
              <w:ind w:left="1168" w:hanging="1168"/>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yTableNAm"/>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Gazette 15 Jun 2018 p. 1964</w:t>
      </w:r>
      <w:r>
        <w:noBreakHyphen/>
        <w:t>7; amended: Gazette 7 Dec 2018 p. 4667</w:t>
      </w:r>
      <w:r>
        <w:noBreakHyphen/>
        <w:t>8</w:t>
      </w:r>
      <w:ins w:id="55" w:author="Master Repository Process" w:date="2021-07-31T20:19:00Z">
        <w:r>
          <w:t>; 12 Mar 2019 p. 666</w:t>
        </w:r>
      </w:ins>
      <w:r>
        <w:t>.]</w:t>
      </w:r>
    </w:p>
    <w:p>
      <w:pPr>
        <w:pStyle w:val="yHeading3"/>
        <w:pageBreakBefore/>
        <w:spacing w:before="0"/>
      </w:pPr>
      <w:bookmarkStart w:id="56" w:name="_Toc3203257"/>
      <w:bookmarkStart w:id="57" w:name="_Toc3203290"/>
      <w:bookmarkStart w:id="58" w:name="_Toc3283757"/>
      <w:bookmarkStart w:id="59" w:name="_Toc531868890"/>
      <w:bookmarkStart w:id="60" w:name="_Toc531868917"/>
      <w:bookmarkStart w:id="61" w:name="_Toc531872715"/>
      <w:bookmarkStart w:id="62" w:name="_Toc531872765"/>
      <w:bookmarkStart w:id="63" w:name="_Toc532213186"/>
      <w:r>
        <w:rPr>
          <w:rStyle w:val="CharSDivNo"/>
        </w:rPr>
        <w:t>Division 2</w:t>
      </w:r>
      <w:r>
        <w:rPr>
          <w:b w:val="0"/>
        </w:rPr>
        <w:t> — </w:t>
      </w:r>
      <w:r>
        <w:rPr>
          <w:rStyle w:val="CharSDivText"/>
        </w:rPr>
        <w:t>Civil jurisdiction</w:t>
      </w:r>
      <w:bookmarkEnd w:id="56"/>
      <w:bookmarkEnd w:id="57"/>
      <w:bookmarkEnd w:id="58"/>
      <w:bookmarkEnd w:id="59"/>
      <w:bookmarkEnd w:id="60"/>
      <w:bookmarkEnd w:id="61"/>
      <w:bookmarkEnd w:id="62"/>
      <w:bookmarkEnd w:id="63"/>
    </w:p>
    <w:p>
      <w:pPr>
        <w:pStyle w:val="yFootnoteheading"/>
        <w:keepNext/>
      </w:pPr>
      <w:r>
        <w:tab/>
        <w:t>[Heading inserted: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r>
        <w:tab/>
        <w:t>[Division 2 inserted: Gazette 15 Jun 2018 p. 1968</w:t>
      </w:r>
      <w:r>
        <w:noBreakHyphen/>
        <w:t>9.]</w:t>
      </w:r>
    </w:p>
    <w:p>
      <w:pPr>
        <w:pStyle w:val="yHeading3"/>
      </w:pPr>
      <w:bookmarkStart w:id="64" w:name="_Toc3203258"/>
      <w:bookmarkStart w:id="65" w:name="_Toc3203291"/>
      <w:bookmarkStart w:id="66" w:name="_Toc3283758"/>
      <w:bookmarkStart w:id="67" w:name="_Toc531868891"/>
      <w:bookmarkStart w:id="68" w:name="_Toc531868918"/>
      <w:bookmarkStart w:id="69" w:name="_Toc531872716"/>
      <w:bookmarkStart w:id="70" w:name="_Toc531872766"/>
      <w:bookmarkStart w:id="71" w:name="_Toc532213187"/>
      <w:r>
        <w:rPr>
          <w:rStyle w:val="CharSDivNo"/>
        </w:rPr>
        <w:t>Division 3</w:t>
      </w:r>
      <w:r>
        <w:t> — </w:t>
      </w:r>
      <w:r>
        <w:rPr>
          <w:rStyle w:val="CharSDivText"/>
        </w:rPr>
        <w:t>Criminal jurisdiction</w:t>
      </w:r>
      <w:bookmarkEnd w:id="64"/>
      <w:bookmarkEnd w:id="65"/>
      <w:bookmarkEnd w:id="66"/>
      <w:bookmarkEnd w:id="67"/>
      <w:bookmarkEnd w:id="68"/>
      <w:bookmarkEnd w:id="69"/>
      <w:bookmarkEnd w:id="70"/>
      <w:bookmarkEnd w:id="71"/>
    </w:p>
    <w:p>
      <w:pPr>
        <w:pStyle w:val="yFootnoteheading"/>
      </w:pPr>
      <w:r>
        <w:tab/>
        <w:t>[Heading inserted: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[Division 3 inserted: Gazette 15 Jun 2018 p. 1969.]</w:t>
      </w:r>
    </w:p>
    <w:p>
      <w:pPr>
        <w:pStyle w:val="yEdnoteschedule"/>
      </w:pPr>
      <w:r>
        <w:t>[Schedule 2 deleted: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73" w:name="_Toc3203259"/>
      <w:bookmarkStart w:id="74" w:name="_Toc3203292"/>
      <w:bookmarkStart w:id="75" w:name="_Toc3283759"/>
      <w:bookmarkStart w:id="76" w:name="_Toc531868892"/>
      <w:bookmarkStart w:id="77" w:name="_Toc531868919"/>
      <w:bookmarkStart w:id="78" w:name="_Toc531872717"/>
      <w:bookmarkStart w:id="79" w:name="_Toc531872767"/>
      <w:bookmarkStart w:id="80" w:name="_Toc532213188"/>
      <w:r>
        <w:t>Notes</w:t>
      </w:r>
      <w:bookmarkEnd w:id="73"/>
      <w:bookmarkEnd w:id="74"/>
      <w:bookmarkEnd w:id="75"/>
      <w:bookmarkEnd w:id="76"/>
      <w:bookmarkEnd w:id="77"/>
      <w:bookmarkEnd w:id="78"/>
      <w:bookmarkEnd w:id="79"/>
      <w:bookmarkEnd w:id="80"/>
    </w:p>
    <w:p>
      <w:pPr>
        <w:pStyle w:val="nSubsection"/>
      </w:pPr>
      <w:r>
        <w:rPr>
          <w:vertAlign w:val="superscript"/>
        </w:rPr>
        <w:t>1</w:t>
      </w:r>
      <w:r>
        <w:tab/>
        <w:t xml:space="preserve">This is a compilation of the </w:t>
      </w:r>
      <w:r>
        <w:rPr>
          <w:i/>
          <w:noProof/>
        </w:rPr>
        <w:t>Children’s Court (Fees) Regulations 2005</w:t>
      </w:r>
      <w:r>
        <w:t xml:space="preserve"> and includes the amendments made by the other written laws referred to in the following table.  The table also contains information about any reprint.</w:t>
      </w:r>
    </w:p>
    <w:p>
      <w:pPr>
        <w:pStyle w:val="nHeading3"/>
      </w:pPr>
      <w:bookmarkStart w:id="81" w:name="_Toc3283760"/>
      <w:bookmarkStart w:id="82" w:name="_Toc532213189"/>
      <w:r>
        <w:t>Compilation table</w:t>
      </w:r>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keepNext/>
              <w:spacing w:after="40"/>
              <w:rPr>
                <w:i/>
              </w:rPr>
            </w:pPr>
            <w:r>
              <w:rPr>
                <w:i/>
              </w:rPr>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rPr>
          <w:ins w:id="83" w:author="Master Repository Process" w:date="2021-07-31T20:19:00Z"/>
        </w:trPr>
        <w:tc>
          <w:tcPr>
            <w:tcW w:w="3118" w:type="dxa"/>
            <w:tcBorders>
              <w:bottom w:val="single" w:sz="4" w:space="0" w:color="auto"/>
            </w:tcBorders>
            <w:shd w:val="clear" w:color="auto" w:fill="auto"/>
          </w:tcPr>
          <w:p>
            <w:pPr>
              <w:pStyle w:val="nTable"/>
              <w:spacing w:after="40"/>
              <w:rPr>
                <w:ins w:id="84" w:author="Master Repository Process" w:date="2021-07-31T20:19:00Z"/>
                <w:i/>
              </w:rPr>
            </w:pPr>
            <w:ins w:id="85" w:author="Master Repository Process" w:date="2021-07-31T20:19:00Z">
              <w:r>
                <w:rPr>
                  <w:i/>
                </w:rPr>
                <w:t xml:space="preserve">Attorney General Regulations Amendment (Transcript Fees) Regulations 2019 </w:t>
              </w:r>
              <w:r>
                <w:t>Pt. 2</w:t>
              </w:r>
            </w:ins>
          </w:p>
        </w:tc>
        <w:tc>
          <w:tcPr>
            <w:tcW w:w="1276" w:type="dxa"/>
            <w:tcBorders>
              <w:bottom w:val="single" w:sz="4" w:space="0" w:color="auto"/>
            </w:tcBorders>
            <w:shd w:val="clear" w:color="auto" w:fill="auto"/>
          </w:tcPr>
          <w:p>
            <w:pPr>
              <w:pStyle w:val="nTable"/>
              <w:spacing w:after="40"/>
              <w:rPr>
                <w:ins w:id="86" w:author="Master Repository Process" w:date="2021-07-31T20:19:00Z"/>
              </w:rPr>
            </w:pPr>
            <w:ins w:id="87" w:author="Master Repository Process" w:date="2021-07-31T20:19:00Z">
              <w:r>
                <w:t>12 Mar 2019 p. 666</w:t>
              </w:r>
              <w:r>
                <w:noBreakHyphen/>
                <w:t>9</w:t>
              </w:r>
            </w:ins>
          </w:p>
        </w:tc>
        <w:tc>
          <w:tcPr>
            <w:tcW w:w="2693" w:type="dxa"/>
            <w:tcBorders>
              <w:bottom w:val="single" w:sz="4" w:space="0" w:color="auto"/>
            </w:tcBorders>
            <w:shd w:val="clear" w:color="auto" w:fill="auto"/>
          </w:tcPr>
          <w:p>
            <w:pPr>
              <w:pStyle w:val="nTable"/>
              <w:spacing w:after="40"/>
              <w:rPr>
                <w:ins w:id="88" w:author="Master Repository Process" w:date="2021-07-31T20:19:00Z"/>
              </w:rPr>
            </w:pPr>
            <w:ins w:id="89" w:author="Master Repository Process" w:date="2021-07-31T20:19:00Z">
              <w:r>
                <w:rPr>
                  <w:bCs/>
                  <w:snapToGrid w:val="0"/>
                </w:rPr>
                <w:t>13 Mar 2019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2" w:name="Schedule"/>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1131100"/>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B89688-A43D-40C4-B34F-5F6177F0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3659</Words>
  <Characters>16983</Characters>
  <Application>Microsoft Office Word</Application>
  <DocSecurity>0</DocSecurity>
  <Lines>893</Lines>
  <Paragraphs>448</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03-c0-01 - 03-d0-00</dc:title>
  <dc:subject/>
  <dc:creator/>
  <cp:keywords/>
  <dc:description/>
  <cp:lastModifiedBy>Master Repository Process</cp:lastModifiedBy>
  <cp:revision>2</cp:revision>
  <cp:lastPrinted>2018-09-04T01:15:00Z</cp:lastPrinted>
  <dcterms:created xsi:type="dcterms:W3CDTF">2021-07-31T12:19:00Z</dcterms:created>
  <dcterms:modified xsi:type="dcterms:W3CDTF">2021-07-31T12:19:00Z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CommencementDate">
    <vt:lpwstr>20190313</vt:lpwstr>
  </property>
  <property fmtid="{D5CDD505-2E9C-101B-9397-08002B2CF9AE}" pid="8" name="FromSuffix">
    <vt:lpwstr>03-c0-01</vt:lpwstr>
  </property>
  <property fmtid="{D5CDD505-2E9C-101B-9397-08002B2CF9AE}" pid="9" name="FromAsAtDate">
    <vt:lpwstr>18 Dec 2018</vt:lpwstr>
  </property>
  <property fmtid="{D5CDD505-2E9C-101B-9397-08002B2CF9AE}" pid="10" name="ToSuffix">
    <vt:lpwstr>03-d0-00</vt:lpwstr>
  </property>
  <property fmtid="{D5CDD505-2E9C-101B-9397-08002B2CF9AE}" pid="11" name="ToAsAtDate">
    <vt:lpwstr>13 Mar 2019</vt:lpwstr>
  </property>
</Properties>
</file>