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11328570"/>
      <w:bookmarkStart w:id="2" w:name="_Toc11328847"/>
      <w:bookmarkStart w:id="3" w:name="_Toc11421337"/>
      <w:bookmarkStart w:id="4" w:name="_Toc11421579"/>
      <w:bookmarkStart w:id="5" w:name="_Toc514932848"/>
      <w:bookmarkStart w:id="6" w:name="_Toc514935189"/>
      <w:bookmarkStart w:id="7" w:name="_Toc514937475"/>
      <w:bookmarkStart w:id="8" w:name="_Toc515004004"/>
      <w:bookmarkStart w:id="9" w:name="_Toc516565291"/>
      <w:bookmarkStart w:id="10" w:name="_Toc516565347"/>
      <w:bookmarkStart w:id="11" w:name="_Toc516565403"/>
      <w:bookmarkStart w:id="12" w:name="_Toc518028498"/>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11421580"/>
      <w:bookmarkStart w:id="15" w:name="_Toc518028499"/>
      <w:r>
        <w:rPr>
          <w:rStyle w:val="CharSectno"/>
        </w:rPr>
        <w:t>1</w:t>
      </w:r>
      <w:r>
        <w:t>.</w:t>
      </w:r>
      <w:r>
        <w:tab/>
        <w:t>Citation</w:t>
      </w:r>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7" w:name="_Toc11421581"/>
      <w:bookmarkStart w:id="18" w:name="_Toc518028500"/>
      <w:r>
        <w:rPr>
          <w:rStyle w:val="CharSectno"/>
        </w:rPr>
        <w:t>2</w:t>
      </w:r>
      <w:r>
        <w:rPr>
          <w:spacing w:val="-2"/>
        </w:rPr>
        <w:t>.</w:t>
      </w:r>
      <w:r>
        <w:rPr>
          <w:spacing w:val="-2"/>
        </w:rPr>
        <w:tab/>
        <w:t>Commencement</w:t>
      </w:r>
      <w:bookmarkEnd w:id="17"/>
      <w:bookmarkEnd w:id="18"/>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9" w:name="_Toc11421582"/>
      <w:bookmarkStart w:id="20" w:name="_Toc518028501"/>
      <w:r>
        <w:rPr>
          <w:rStyle w:val="CharSectno"/>
        </w:rPr>
        <w:t>3</w:t>
      </w:r>
      <w:r>
        <w:t>.</w:t>
      </w:r>
      <w:r>
        <w:tab/>
        <w:t>Terms used</w:t>
      </w:r>
      <w:bookmarkEnd w:id="19"/>
      <w:bookmarkEnd w:id="20"/>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21" w:name="_Toc11421583"/>
      <w:bookmarkStart w:id="22" w:name="_Toc518028502"/>
      <w:r>
        <w:rPr>
          <w:rStyle w:val="CharSectno"/>
        </w:rPr>
        <w:t>4</w:t>
      </w:r>
      <w:r>
        <w:t>.</w:t>
      </w:r>
      <w:r>
        <w:tab/>
        <w:t>Appointment of authorised persons</w:t>
      </w:r>
      <w:bookmarkEnd w:id="21"/>
      <w:bookmarkEnd w:id="22"/>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23" w:name="_Toc11328575"/>
      <w:bookmarkStart w:id="24" w:name="_Toc11328852"/>
      <w:bookmarkStart w:id="25" w:name="_Toc11421342"/>
      <w:bookmarkStart w:id="26" w:name="_Toc11421584"/>
      <w:bookmarkStart w:id="27" w:name="_Toc514932853"/>
      <w:bookmarkStart w:id="28" w:name="_Toc514935194"/>
      <w:bookmarkStart w:id="29" w:name="_Toc514937480"/>
      <w:bookmarkStart w:id="30" w:name="_Toc515004009"/>
      <w:bookmarkStart w:id="31" w:name="_Toc516565296"/>
      <w:bookmarkStart w:id="32" w:name="_Toc516565352"/>
      <w:bookmarkStart w:id="33" w:name="_Toc516565408"/>
      <w:bookmarkStart w:id="34" w:name="_Toc518028503"/>
      <w:r>
        <w:rPr>
          <w:rStyle w:val="CharPartNo"/>
        </w:rPr>
        <w:t>Part 2</w:t>
      </w:r>
      <w:r>
        <w:rPr>
          <w:rStyle w:val="CharDivNo"/>
        </w:rPr>
        <w:t> </w:t>
      </w:r>
      <w:r>
        <w:t>—</w:t>
      </w:r>
      <w:r>
        <w:rPr>
          <w:rStyle w:val="CharDivText"/>
        </w:rPr>
        <w:t> </w:t>
      </w:r>
      <w:r>
        <w:rPr>
          <w:rStyle w:val="CharPartText"/>
        </w:rPr>
        <w:t>Behaviour on health service provider land</w:t>
      </w:r>
      <w:bookmarkEnd w:id="23"/>
      <w:bookmarkEnd w:id="24"/>
      <w:bookmarkEnd w:id="25"/>
      <w:bookmarkEnd w:id="26"/>
      <w:bookmarkEnd w:id="27"/>
      <w:bookmarkEnd w:id="28"/>
      <w:bookmarkEnd w:id="29"/>
      <w:bookmarkEnd w:id="30"/>
      <w:bookmarkEnd w:id="31"/>
      <w:bookmarkEnd w:id="32"/>
      <w:bookmarkEnd w:id="33"/>
      <w:bookmarkEnd w:id="34"/>
    </w:p>
    <w:p>
      <w:pPr>
        <w:pStyle w:val="Heading5"/>
        <w:tabs>
          <w:tab w:val="clear" w:pos="879"/>
          <w:tab w:val="left" w:pos="567"/>
        </w:tabs>
      </w:pPr>
      <w:bookmarkStart w:id="35" w:name="_Toc11421585"/>
      <w:bookmarkStart w:id="36" w:name="_Toc518028504"/>
      <w:r>
        <w:rPr>
          <w:rStyle w:val="CharSectno"/>
        </w:rPr>
        <w:t>5</w:t>
      </w:r>
      <w:r>
        <w:t>.</w:t>
      </w:r>
      <w:r>
        <w:tab/>
        <w:t>No entry without cause</w:t>
      </w:r>
      <w:bookmarkEnd w:id="35"/>
      <w:bookmarkEnd w:id="36"/>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37" w:name="_Toc11421586"/>
      <w:bookmarkStart w:id="38" w:name="_Toc518028505"/>
      <w:r>
        <w:rPr>
          <w:rStyle w:val="CharSectno"/>
        </w:rPr>
        <w:t>6</w:t>
      </w:r>
      <w:r>
        <w:t>.</w:t>
      </w:r>
      <w:r>
        <w:tab/>
      </w:r>
      <w:r>
        <w:rPr>
          <w:snapToGrid w:val="0"/>
        </w:rPr>
        <w:t>Directions as to use of certain areas</w:t>
      </w:r>
      <w:bookmarkEnd w:id="37"/>
      <w:bookmarkEnd w:id="38"/>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39" w:name="_Toc11421587"/>
      <w:bookmarkStart w:id="40" w:name="_Toc518028506"/>
      <w:r>
        <w:rPr>
          <w:rStyle w:val="CharSectno"/>
        </w:rPr>
        <w:t>7</w:t>
      </w:r>
      <w:r>
        <w:t>.</w:t>
      </w:r>
      <w:r>
        <w:tab/>
        <w:t>Prohibited items</w:t>
      </w:r>
      <w:bookmarkEnd w:id="39"/>
      <w:bookmarkEnd w:id="40"/>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41" w:name="_Toc11421588"/>
      <w:bookmarkStart w:id="42" w:name="_Toc518028507"/>
      <w:r>
        <w:rPr>
          <w:rStyle w:val="CharSectno"/>
        </w:rPr>
        <w:t>8</w:t>
      </w:r>
      <w:r>
        <w:t>.</w:t>
      </w:r>
      <w:r>
        <w:tab/>
        <w:t>Smoking</w:t>
      </w:r>
      <w:bookmarkEnd w:id="41"/>
      <w:bookmarkEnd w:id="42"/>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43" w:name="_Toc11328580"/>
      <w:bookmarkStart w:id="44" w:name="_Toc11328857"/>
      <w:bookmarkStart w:id="45" w:name="_Toc11421347"/>
      <w:bookmarkStart w:id="46" w:name="_Toc11421589"/>
      <w:bookmarkStart w:id="47" w:name="_Toc514932858"/>
      <w:bookmarkStart w:id="48" w:name="_Toc514935199"/>
      <w:bookmarkStart w:id="49" w:name="_Toc514937485"/>
      <w:bookmarkStart w:id="50" w:name="_Toc515004014"/>
      <w:bookmarkStart w:id="51" w:name="_Toc516565301"/>
      <w:bookmarkStart w:id="52" w:name="_Toc516565357"/>
      <w:bookmarkStart w:id="53" w:name="_Toc516565413"/>
      <w:bookmarkStart w:id="54" w:name="_Toc518028508"/>
      <w:r>
        <w:rPr>
          <w:rStyle w:val="CharPartNo"/>
        </w:rPr>
        <w:t>Part 3</w:t>
      </w:r>
      <w:r>
        <w:t> — </w:t>
      </w:r>
      <w:r>
        <w:rPr>
          <w:rStyle w:val="CharPartText"/>
        </w:rPr>
        <w:t>Traffic control</w:t>
      </w:r>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11328581"/>
      <w:bookmarkStart w:id="56" w:name="_Toc11328858"/>
      <w:bookmarkStart w:id="57" w:name="_Toc11421348"/>
      <w:bookmarkStart w:id="58" w:name="_Toc11421590"/>
      <w:bookmarkStart w:id="59" w:name="_Toc514932859"/>
      <w:bookmarkStart w:id="60" w:name="_Toc514935200"/>
      <w:bookmarkStart w:id="61" w:name="_Toc514937486"/>
      <w:bookmarkStart w:id="62" w:name="_Toc515004015"/>
      <w:bookmarkStart w:id="63" w:name="_Toc516565302"/>
      <w:bookmarkStart w:id="64" w:name="_Toc516565358"/>
      <w:bookmarkStart w:id="65" w:name="_Toc516565414"/>
      <w:bookmarkStart w:id="66" w:name="_Toc518028509"/>
      <w:r>
        <w:rPr>
          <w:rStyle w:val="CharDivNo"/>
        </w:rPr>
        <w:t>Division 1</w:t>
      </w:r>
      <w:r>
        <w:t> — </w:t>
      </w:r>
      <w:r>
        <w:rPr>
          <w:rStyle w:val="CharDivText"/>
        </w:rPr>
        <w:t>Driving and use of vehicles</w:t>
      </w:r>
      <w:bookmarkEnd w:id="55"/>
      <w:bookmarkEnd w:id="56"/>
      <w:bookmarkEnd w:id="57"/>
      <w:bookmarkEnd w:id="58"/>
      <w:bookmarkEnd w:id="59"/>
      <w:bookmarkEnd w:id="60"/>
      <w:bookmarkEnd w:id="61"/>
      <w:bookmarkEnd w:id="62"/>
      <w:bookmarkEnd w:id="63"/>
      <w:bookmarkEnd w:id="64"/>
      <w:bookmarkEnd w:id="65"/>
      <w:bookmarkEnd w:id="66"/>
    </w:p>
    <w:p>
      <w:pPr>
        <w:pStyle w:val="Heading5"/>
        <w:spacing w:before="180"/>
        <w:rPr>
          <w:snapToGrid w:val="0"/>
        </w:rPr>
      </w:pPr>
      <w:bookmarkStart w:id="67" w:name="_Toc11421591"/>
      <w:bookmarkStart w:id="68" w:name="_Toc518028510"/>
      <w:r>
        <w:rPr>
          <w:rStyle w:val="CharSectno"/>
        </w:rPr>
        <w:t>9</w:t>
      </w:r>
      <w:r>
        <w:t>.</w:t>
      </w:r>
      <w:r>
        <w:tab/>
      </w:r>
      <w:r>
        <w:rPr>
          <w:snapToGrid w:val="0"/>
        </w:rPr>
        <w:t xml:space="preserve">Application of </w:t>
      </w:r>
      <w:r>
        <w:rPr>
          <w:i/>
          <w:iCs/>
          <w:snapToGrid w:val="0"/>
        </w:rPr>
        <w:t>Road Traffic Code 2000</w:t>
      </w:r>
      <w:bookmarkEnd w:id="67"/>
      <w:bookmarkEnd w:id="68"/>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69" w:name="_Toc11421592"/>
      <w:bookmarkStart w:id="70" w:name="_Toc518028511"/>
      <w:r>
        <w:rPr>
          <w:rStyle w:val="CharSectno"/>
        </w:rPr>
        <w:t>10</w:t>
      </w:r>
      <w:r>
        <w:t>.</w:t>
      </w:r>
      <w:r>
        <w:tab/>
        <w:t>Driving of vehicles</w:t>
      </w:r>
      <w:bookmarkEnd w:id="69"/>
      <w:bookmarkEnd w:id="70"/>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71" w:name="_Toc11421593"/>
      <w:bookmarkStart w:id="72" w:name="_Toc518028512"/>
      <w:r>
        <w:rPr>
          <w:rStyle w:val="CharSectno"/>
        </w:rPr>
        <w:t>11</w:t>
      </w:r>
      <w:r>
        <w:t>.</w:t>
      </w:r>
      <w:r>
        <w:tab/>
        <w:t>Driver to obey reasonable direction</w:t>
      </w:r>
      <w:bookmarkEnd w:id="71"/>
      <w:bookmarkEnd w:id="72"/>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73" w:name="_Toc11421594"/>
      <w:bookmarkStart w:id="74" w:name="_Toc518028513"/>
      <w:r>
        <w:rPr>
          <w:rStyle w:val="CharSectno"/>
        </w:rPr>
        <w:t>12</w:t>
      </w:r>
      <w:r>
        <w:t>.</w:t>
      </w:r>
      <w:r>
        <w:tab/>
        <w:t>Speed limits</w:t>
      </w:r>
      <w:bookmarkEnd w:id="73"/>
      <w:bookmarkEnd w:id="74"/>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75" w:name="_Toc11421595"/>
      <w:bookmarkStart w:id="76" w:name="_Toc518028514"/>
      <w:r>
        <w:rPr>
          <w:rStyle w:val="CharSectno"/>
        </w:rPr>
        <w:t>13</w:t>
      </w:r>
      <w:r>
        <w:t>.</w:t>
      </w:r>
      <w:r>
        <w:tab/>
        <w:t>Giving way</w:t>
      </w:r>
      <w:bookmarkEnd w:id="75"/>
      <w:bookmarkEnd w:id="76"/>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77" w:name="_Toc11421596"/>
      <w:bookmarkStart w:id="78" w:name="_Toc518028515"/>
      <w:r>
        <w:rPr>
          <w:rStyle w:val="CharSectno"/>
        </w:rPr>
        <w:t>14</w:t>
      </w:r>
      <w:r>
        <w:t>.</w:t>
      </w:r>
      <w:r>
        <w:tab/>
      </w:r>
      <w:r>
        <w:rPr>
          <w:snapToGrid w:val="0"/>
        </w:rPr>
        <w:t>No instruction or repairs on land</w:t>
      </w:r>
      <w:bookmarkEnd w:id="77"/>
      <w:bookmarkEnd w:id="78"/>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79" w:name="_Toc11328588"/>
      <w:bookmarkStart w:id="80" w:name="_Toc11328865"/>
      <w:bookmarkStart w:id="81" w:name="_Toc11421355"/>
      <w:bookmarkStart w:id="82" w:name="_Toc11421597"/>
      <w:bookmarkStart w:id="83" w:name="_Toc514932866"/>
      <w:bookmarkStart w:id="84" w:name="_Toc514935207"/>
      <w:bookmarkStart w:id="85" w:name="_Toc514937493"/>
      <w:bookmarkStart w:id="86" w:name="_Toc515004022"/>
      <w:bookmarkStart w:id="87" w:name="_Toc516565309"/>
      <w:bookmarkStart w:id="88" w:name="_Toc516565365"/>
      <w:bookmarkStart w:id="89" w:name="_Toc516565421"/>
      <w:bookmarkStart w:id="90" w:name="_Toc518028516"/>
      <w:r>
        <w:rPr>
          <w:rStyle w:val="CharDivNo"/>
        </w:rPr>
        <w:t>Division 2</w:t>
      </w:r>
      <w:r>
        <w:t> — </w:t>
      </w:r>
      <w:r>
        <w:rPr>
          <w:rStyle w:val="CharDivText"/>
        </w:rPr>
        <w:t>Parking</w:t>
      </w:r>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11421598"/>
      <w:bookmarkStart w:id="92" w:name="_Toc518028517"/>
      <w:r>
        <w:rPr>
          <w:rStyle w:val="CharSectno"/>
        </w:rPr>
        <w:t>15</w:t>
      </w:r>
      <w:r>
        <w:t>.</w:t>
      </w:r>
      <w:r>
        <w:tab/>
        <w:t>Parking to be in parking spaces only</w:t>
      </w:r>
      <w:bookmarkEnd w:id="91"/>
      <w:bookmarkEnd w:id="92"/>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93" w:name="_Toc11421599"/>
      <w:bookmarkStart w:id="94" w:name="_Toc518028518"/>
      <w:r>
        <w:rPr>
          <w:rStyle w:val="CharSectno"/>
        </w:rPr>
        <w:t>16</w:t>
      </w:r>
      <w:r>
        <w:t>.</w:t>
      </w:r>
      <w:r>
        <w:tab/>
        <w:t>Signs to be obeyed</w:t>
      </w:r>
      <w:bookmarkEnd w:id="93"/>
      <w:bookmarkEnd w:id="9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95" w:name="_Toc11421600"/>
      <w:bookmarkStart w:id="96" w:name="_Toc518028519"/>
      <w:r>
        <w:rPr>
          <w:rStyle w:val="CharSectno"/>
        </w:rPr>
        <w:t>17</w:t>
      </w:r>
      <w:r>
        <w:t>.</w:t>
      </w:r>
      <w:r>
        <w:tab/>
        <w:t>Parking in parking spaces</w:t>
      </w:r>
      <w:bookmarkEnd w:id="95"/>
      <w:bookmarkEnd w:id="96"/>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97" w:name="_Toc11421601"/>
      <w:bookmarkStart w:id="98" w:name="_Toc518028520"/>
      <w:r>
        <w:rPr>
          <w:rStyle w:val="CharSectno"/>
        </w:rPr>
        <w:t>18</w:t>
      </w:r>
      <w:r>
        <w:t>.</w:t>
      </w:r>
      <w:r>
        <w:tab/>
        <w:t>Types of parking areas</w:t>
      </w:r>
      <w:bookmarkEnd w:id="97"/>
      <w:bookmarkEnd w:id="98"/>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99" w:name="_Toc11421602"/>
      <w:bookmarkStart w:id="100" w:name="_Toc518028521"/>
      <w:r>
        <w:rPr>
          <w:rStyle w:val="CharSectno"/>
        </w:rPr>
        <w:t>19</w:t>
      </w:r>
      <w:r>
        <w:t>.</w:t>
      </w:r>
      <w:r>
        <w:tab/>
        <w:t>Parking in ticket parking area or boom gate controlled ticket parking area</w:t>
      </w:r>
      <w:bookmarkEnd w:id="99"/>
      <w:bookmarkEnd w:id="100"/>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101" w:name="_Toc11421603"/>
      <w:bookmarkStart w:id="102" w:name="_Toc518028522"/>
      <w:r>
        <w:rPr>
          <w:rStyle w:val="CharSectno"/>
        </w:rPr>
        <w:t>20</w:t>
      </w:r>
      <w:r>
        <w:t>.</w:t>
      </w:r>
      <w:r>
        <w:tab/>
        <w:t>Parking in paid staff parking area</w:t>
      </w:r>
      <w:bookmarkEnd w:id="101"/>
      <w:bookmarkEnd w:id="102"/>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103" w:name="_Toc11421604"/>
      <w:bookmarkStart w:id="104" w:name="_Toc518028523"/>
      <w:r>
        <w:rPr>
          <w:rStyle w:val="CharSectno"/>
        </w:rPr>
        <w:t>21</w:t>
      </w:r>
      <w:r>
        <w:t>.</w:t>
      </w:r>
      <w:r>
        <w:tab/>
        <w:t>Parking in permit parking area</w:t>
      </w:r>
      <w:bookmarkEnd w:id="103"/>
      <w:bookmarkEnd w:id="10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105" w:name="_Toc11421605"/>
      <w:bookmarkStart w:id="106" w:name="_Toc518028524"/>
      <w:r>
        <w:rPr>
          <w:rStyle w:val="CharSectno"/>
        </w:rPr>
        <w:t>22</w:t>
      </w:r>
      <w:r>
        <w:t>.</w:t>
      </w:r>
      <w:r>
        <w:tab/>
        <w:t>Parking permits</w:t>
      </w:r>
      <w:bookmarkEnd w:id="105"/>
      <w:bookmarkEnd w:id="106"/>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107" w:name="_Toc11421606"/>
      <w:bookmarkStart w:id="108" w:name="_Toc518028525"/>
      <w:r>
        <w:rPr>
          <w:rStyle w:val="CharSectno"/>
        </w:rPr>
        <w:t>23</w:t>
      </w:r>
      <w:r>
        <w:t>.</w:t>
      </w:r>
      <w:r>
        <w:tab/>
        <w:t>Application for parking permit</w:t>
      </w:r>
      <w:bookmarkEnd w:id="107"/>
      <w:bookmarkEnd w:id="108"/>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109" w:name="_Toc11421607"/>
      <w:bookmarkStart w:id="110" w:name="_Toc518028526"/>
      <w:r>
        <w:rPr>
          <w:rStyle w:val="CharSectno"/>
        </w:rPr>
        <w:t>24</w:t>
      </w:r>
      <w:r>
        <w:t>.</w:t>
      </w:r>
      <w:r>
        <w:tab/>
        <w:t>Review of decisions about parking permits</w:t>
      </w:r>
      <w:bookmarkEnd w:id="109"/>
      <w:bookmarkEnd w:id="110"/>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111" w:name="_Toc11421608"/>
      <w:bookmarkStart w:id="112" w:name="_Toc518028527"/>
      <w:r>
        <w:rPr>
          <w:rStyle w:val="CharSectno"/>
        </w:rPr>
        <w:t>25</w:t>
      </w:r>
      <w:r>
        <w:t>.</w:t>
      </w:r>
      <w:r>
        <w:tab/>
        <w:t>Appointment of committees</w:t>
      </w:r>
      <w:bookmarkEnd w:id="111"/>
      <w:bookmarkEnd w:id="112"/>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113" w:name="_Toc11421609"/>
      <w:bookmarkStart w:id="114" w:name="_Toc518028528"/>
      <w:r>
        <w:rPr>
          <w:rStyle w:val="CharSectno"/>
        </w:rPr>
        <w:t>26</w:t>
      </w:r>
      <w:r>
        <w:t>.</w:t>
      </w:r>
      <w:r>
        <w:tab/>
        <w:t>Fees for parking permits</w:t>
      </w:r>
      <w:bookmarkEnd w:id="113"/>
      <w:bookmarkEnd w:id="114"/>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15" w:name="_Toc11421610"/>
      <w:bookmarkStart w:id="116" w:name="_Toc518028529"/>
      <w:r>
        <w:rPr>
          <w:rStyle w:val="CharSectno"/>
        </w:rPr>
        <w:t>27</w:t>
      </w:r>
      <w:r>
        <w:t>.</w:t>
      </w:r>
      <w:r>
        <w:tab/>
        <w:t>Cancellation of parking permit</w:t>
      </w:r>
      <w:bookmarkEnd w:id="115"/>
      <w:bookmarkEnd w:id="116"/>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117" w:name="_Toc11421611"/>
      <w:bookmarkStart w:id="118" w:name="_Toc518028530"/>
      <w:r>
        <w:rPr>
          <w:rStyle w:val="CharSectno"/>
        </w:rPr>
        <w:t>28</w:t>
      </w:r>
      <w:r>
        <w:t>.</w:t>
      </w:r>
      <w:r>
        <w:tab/>
        <w:t>Refund of parking permit fees</w:t>
      </w:r>
      <w:bookmarkEnd w:id="117"/>
      <w:bookmarkEnd w:id="118"/>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119" w:name="_Toc11328603"/>
      <w:bookmarkStart w:id="120" w:name="_Toc11328880"/>
      <w:bookmarkStart w:id="121" w:name="_Toc11421370"/>
      <w:bookmarkStart w:id="122" w:name="_Toc11421612"/>
      <w:bookmarkStart w:id="123" w:name="_Toc514932881"/>
      <w:bookmarkStart w:id="124" w:name="_Toc514935222"/>
      <w:bookmarkStart w:id="125" w:name="_Toc514937508"/>
      <w:bookmarkStart w:id="126" w:name="_Toc515004037"/>
      <w:bookmarkStart w:id="127" w:name="_Toc516565324"/>
      <w:bookmarkStart w:id="128" w:name="_Toc516565380"/>
      <w:bookmarkStart w:id="129" w:name="_Toc516565436"/>
      <w:bookmarkStart w:id="130" w:name="_Toc518028531"/>
      <w:r>
        <w:rPr>
          <w:rStyle w:val="CharPartNo"/>
        </w:rPr>
        <w:t>Part 4</w:t>
      </w:r>
      <w:r>
        <w:rPr>
          <w:rStyle w:val="CharDivNo"/>
        </w:rPr>
        <w:t> </w:t>
      </w:r>
      <w:r>
        <w:t>—</w:t>
      </w:r>
      <w:r>
        <w:rPr>
          <w:rStyle w:val="CharDivText"/>
        </w:rPr>
        <w:t> </w:t>
      </w:r>
      <w:r>
        <w:rPr>
          <w:rStyle w:val="CharPartText"/>
        </w:rPr>
        <w:t>Infringement notices</w:t>
      </w:r>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1421613"/>
      <w:bookmarkStart w:id="132" w:name="_Toc518028532"/>
      <w:r>
        <w:rPr>
          <w:rStyle w:val="CharSectno"/>
        </w:rPr>
        <w:t>29</w:t>
      </w:r>
      <w:r>
        <w:t>.</w:t>
      </w:r>
      <w:r>
        <w:tab/>
        <w:t>Prescribed offences and modified penalties</w:t>
      </w:r>
      <w:bookmarkEnd w:id="131"/>
      <w:bookmarkEnd w:id="132"/>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133" w:name="_Toc11421614"/>
      <w:bookmarkStart w:id="134" w:name="_Toc518028533"/>
      <w:r>
        <w:rPr>
          <w:rStyle w:val="CharSectno"/>
        </w:rPr>
        <w:t>30</w:t>
      </w:r>
      <w:r>
        <w:t>.</w:t>
      </w:r>
      <w:r>
        <w:tab/>
        <w:t>Authorised officers and approved officers</w:t>
      </w:r>
      <w:bookmarkEnd w:id="133"/>
      <w:bookmarkEnd w:id="134"/>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135" w:name="_Toc11421615"/>
      <w:bookmarkStart w:id="136" w:name="_Toc518028534"/>
      <w:r>
        <w:rPr>
          <w:rStyle w:val="CharSectno"/>
        </w:rPr>
        <w:t>31</w:t>
      </w:r>
      <w:r>
        <w:t>.</w:t>
      </w:r>
      <w:r>
        <w:tab/>
        <w:t>Forms</w:t>
      </w:r>
      <w:bookmarkEnd w:id="135"/>
      <w:bookmarkEnd w:id="136"/>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37" w:name="_Toc11328607"/>
      <w:bookmarkStart w:id="138" w:name="_Toc11328884"/>
      <w:bookmarkStart w:id="139" w:name="_Toc11421374"/>
      <w:bookmarkStart w:id="140" w:name="_Toc11421616"/>
      <w:bookmarkStart w:id="141" w:name="_Toc514932885"/>
      <w:bookmarkStart w:id="142" w:name="_Toc514935226"/>
      <w:bookmarkStart w:id="143" w:name="_Toc514937512"/>
      <w:bookmarkStart w:id="144" w:name="_Toc515004041"/>
      <w:bookmarkStart w:id="145" w:name="_Toc516565328"/>
      <w:bookmarkStart w:id="146" w:name="_Toc516565384"/>
      <w:bookmarkStart w:id="147" w:name="_Toc516565440"/>
      <w:bookmarkStart w:id="148" w:name="_Toc518028535"/>
      <w:r>
        <w:rPr>
          <w:rStyle w:val="CharPartNo"/>
        </w:rPr>
        <w:t>Part 5</w:t>
      </w:r>
      <w:r>
        <w:rPr>
          <w:rStyle w:val="CharDivNo"/>
        </w:rPr>
        <w:t> </w:t>
      </w:r>
      <w:r>
        <w:t>—</w:t>
      </w:r>
      <w:r>
        <w:rPr>
          <w:rStyle w:val="CharDivText"/>
        </w:rPr>
        <w:t> </w:t>
      </w:r>
      <w:r>
        <w:rPr>
          <w:rStyle w:val="CharPartText"/>
        </w:rPr>
        <w:t>General</w:t>
      </w:r>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11421617"/>
      <w:bookmarkStart w:id="150" w:name="_Toc518028536"/>
      <w:r>
        <w:rPr>
          <w:rStyle w:val="CharSectno"/>
        </w:rPr>
        <w:t>32</w:t>
      </w:r>
      <w:r>
        <w:t>.</w:t>
      </w:r>
      <w:r>
        <w:tab/>
        <w:t>Removal of vehicles</w:t>
      </w:r>
      <w:bookmarkEnd w:id="149"/>
      <w:bookmarkEnd w:id="150"/>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51" w:name="_Toc11421618"/>
      <w:bookmarkStart w:id="152" w:name="_Toc518028537"/>
      <w:r>
        <w:rPr>
          <w:rStyle w:val="CharSectno"/>
        </w:rPr>
        <w:t>33</w:t>
      </w:r>
      <w:r>
        <w:t>.</w:t>
      </w:r>
      <w:r>
        <w:tab/>
        <w:t>Other offences</w:t>
      </w:r>
      <w:bookmarkEnd w:id="151"/>
      <w:bookmarkEnd w:id="152"/>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3" w:name="_Toc11328610"/>
      <w:bookmarkStart w:id="154" w:name="_Toc11328887"/>
      <w:bookmarkStart w:id="155" w:name="_Toc11421377"/>
      <w:bookmarkStart w:id="156" w:name="_Toc11421619"/>
      <w:bookmarkStart w:id="157" w:name="_Toc514932888"/>
      <w:bookmarkStart w:id="158" w:name="_Toc514935229"/>
      <w:bookmarkStart w:id="159" w:name="_Toc514937515"/>
      <w:bookmarkStart w:id="160" w:name="_Toc515004044"/>
      <w:bookmarkStart w:id="161" w:name="_Toc516565331"/>
      <w:bookmarkStart w:id="162" w:name="_Toc516565387"/>
      <w:bookmarkStart w:id="163" w:name="_Toc516565443"/>
      <w:bookmarkStart w:id="164" w:name="_Toc518028538"/>
      <w:r>
        <w:rPr>
          <w:rStyle w:val="CharSchNo"/>
        </w:rPr>
        <w:t>Schedule 1</w:t>
      </w:r>
      <w:r>
        <w:rPr>
          <w:rStyle w:val="CharSDivNo"/>
        </w:rPr>
        <w:t> </w:t>
      </w:r>
      <w:r>
        <w:t>—</w:t>
      </w:r>
      <w:r>
        <w:rPr>
          <w:rStyle w:val="CharSDivText"/>
        </w:rPr>
        <w:t> </w:t>
      </w:r>
      <w:r>
        <w:rPr>
          <w:rStyle w:val="CharSchText"/>
        </w:rPr>
        <w:t>Fees</w:t>
      </w:r>
      <w:bookmarkEnd w:id="153"/>
      <w:bookmarkEnd w:id="154"/>
      <w:bookmarkEnd w:id="155"/>
      <w:bookmarkEnd w:id="156"/>
      <w:bookmarkEnd w:id="157"/>
      <w:bookmarkEnd w:id="158"/>
      <w:bookmarkEnd w:id="159"/>
      <w:bookmarkEnd w:id="160"/>
      <w:bookmarkEnd w:id="161"/>
      <w:bookmarkEnd w:id="162"/>
      <w:bookmarkEnd w:id="163"/>
      <w:bookmarkEnd w:id="164"/>
    </w:p>
    <w:p>
      <w:pPr>
        <w:pStyle w:val="yShoulderClause"/>
      </w:pPr>
      <w:r>
        <w:t>[r. 19, 20, 26 and 32]</w:t>
      </w:r>
    </w:p>
    <w:p>
      <w:pPr>
        <w:pStyle w:val="yHeading5"/>
      </w:pPr>
      <w:bookmarkStart w:id="165" w:name="_Toc11421620"/>
      <w:bookmarkStart w:id="166" w:name="_Toc518028539"/>
      <w:r>
        <w:rPr>
          <w:rStyle w:val="CharSClsNo"/>
        </w:rPr>
        <w:t>1</w:t>
      </w:r>
      <w:r>
        <w:t>.</w:t>
      </w:r>
      <w:r>
        <w:tab/>
        <w:t>Terms used</w:t>
      </w:r>
      <w:bookmarkEnd w:id="165"/>
      <w:bookmarkEnd w:id="166"/>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67" w:name="_Toc11421621"/>
      <w:bookmarkStart w:id="168" w:name="_Toc518028540"/>
      <w:r>
        <w:rPr>
          <w:rStyle w:val="CharSClsNo"/>
        </w:rPr>
        <w:t>2</w:t>
      </w:r>
      <w:r>
        <w:t>.</w:t>
      </w:r>
      <w:r>
        <w:tab/>
        <w:t>Fees for Armadale Kelmscott District Memorial Hospital</w:t>
      </w:r>
      <w:bookmarkEnd w:id="167"/>
      <w:bookmarkEnd w:id="168"/>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69" w:name="_Toc11421622"/>
      <w:bookmarkStart w:id="170" w:name="_Toc518028541"/>
      <w:r>
        <w:rPr>
          <w:rStyle w:val="CharSClsNo"/>
        </w:rPr>
        <w:t>3</w:t>
      </w:r>
      <w:r>
        <w:t>.</w:t>
      </w:r>
      <w:r>
        <w:tab/>
        <w:t>Fees for Bentley Hospital</w:t>
      </w:r>
      <w:bookmarkEnd w:id="169"/>
      <w:bookmarkEnd w:id="170"/>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71" w:name="_Toc11421623"/>
      <w:bookmarkStart w:id="172" w:name="_Toc518028542"/>
      <w:r>
        <w:rPr>
          <w:rStyle w:val="CharSClsNo"/>
        </w:rPr>
        <w:t>4</w:t>
      </w:r>
      <w:r>
        <w:t>.</w:t>
      </w:r>
      <w:r>
        <w:tab/>
        <w:t>Fees for Fiona Stanley Hospital</w:t>
      </w:r>
      <w:bookmarkEnd w:id="171"/>
      <w:bookmarkEnd w:id="172"/>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173" w:name="_Toc11421624"/>
      <w:bookmarkStart w:id="174" w:name="_Toc518028543"/>
      <w:r>
        <w:rPr>
          <w:rStyle w:val="CharSClsNo"/>
        </w:rPr>
        <w:t>5</w:t>
      </w:r>
      <w:r>
        <w:t>.</w:t>
      </w:r>
      <w:r>
        <w:tab/>
        <w:t>Fees for Fremantle Hospital</w:t>
      </w:r>
      <w:bookmarkEnd w:id="173"/>
      <w:bookmarkEnd w:id="174"/>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pPr>
            <w:r>
              <w:rPr>
                <w:b/>
              </w:rPr>
              <w:t>Type of fee</w:t>
            </w:r>
          </w:p>
        </w:tc>
        <w:tc>
          <w:tcPr>
            <w:tcW w:w="2551" w:type="dxa"/>
          </w:tcPr>
          <w:p>
            <w:pPr>
              <w:pStyle w:val="yTableNAm"/>
              <w:jc w:val="center"/>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Gazette 29 Nov 2016 p. 5320; 25 May 2018 p. 1634.]</w:t>
      </w:r>
    </w:p>
    <w:p>
      <w:pPr>
        <w:pStyle w:val="yHeading5"/>
      </w:pPr>
      <w:bookmarkStart w:id="175" w:name="_Toc11421625"/>
      <w:bookmarkStart w:id="176" w:name="_Toc518028544"/>
      <w:r>
        <w:rPr>
          <w:rStyle w:val="CharSClsNo"/>
        </w:rPr>
        <w:t>6</w:t>
      </w:r>
      <w:r>
        <w:t>.</w:t>
      </w:r>
      <w:r>
        <w:tab/>
        <w:t>Fees for King Edward Memorial Hospital for Women</w:t>
      </w:r>
      <w:bookmarkEnd w:id="175"/>
      <w:bookmarkEnd w:id="176"/>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6 amended: Gazette 29 Nov 2016 p. 5320; 25 May 2018 p. 1634</w:t>
      </w:r>
      <w:r>
        <w:noBreakHyphen/>
        <w:t>5.]</w:t>
      </w:r>
    </w:p>
    <w:p>
      <w:pPr>
        <w:pStyle w:val="yHeading5"/>
      </w:pPr>
      <w:bookmarkStart w:id="177" w:name="_Toc11421626"/>
      <w:bookmarkStart w:id="178" w:name="_Toc518028545"/>
      <w:r>
        <w:rPr>
          <w:rStyle w:val="CharSClsNo"/>
        </w:rPr>
        <w:t>7</w:t>
      </w:r>
      <w:r>
        <w:t>.</w:t>
      </w:r>
      <w:r>
        <w:tab/>
        <w:t>Fees for Osborne Park Hospital</w:t>
      </w:r>
      <w:bookmarkEnd w:id="177"/>
      <w:bookmarkEnd w:id="178"/>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179" w:name="_Toc11421627"/>
      <w:bookmarkStart w:id="180" w:name="_Toc518028546"/>
      <w:r>
        <w:rPr>
          <w:rStyle w:val="CharSClsNo"/>
        </w:rPr>
        <w:t>9</w:t>
      </w:r>
      <w:r>
        <w:t>.</w:t>
      </w:r>
      <w:r>
        <w:tab/>
        <w:t>Fees for Royal Perth Hospital</w:t>
      </w:r>
      <w:bookmarkEnd w:id="179"/>
      <w:bookmarkEnd w:id="180"/>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yFootnotesection"/>
      </w:pPr>
      <w:r>
        <w:tab/>
        <w:t>[Clause 9 amended: Gazette 30 Jun 2017 p. 3569; 25 May 2018 p. 1635.]</w:t>
      </w:r>
    </w:p>
    <w:p>
      <w:pPr>
        <w:pStyle w:val="yHeading5"/>
      </w:pPr>
      <w:bookmarkStart w:id="181" w:name="_Toc11421628"/>
      <w:bookmarkStart w:id="182" w:name="_Toc518028547"/>
      <w:r>
        <w:rPr>
          <w:rStyle w:val="CharSClsNo"/>
        </w:rPr>
        <w:t>10</w:t>
      </w:r>
      <w:r>
        <w:t>.</w:t>
      </w:r>
      <w:r>
        <w:tab/>
        <w:t>Fees for health service provider sites in WA Country Health Service area</w:t>
      </w:r>
      <w:bookmarkEnd w:id="181"/>
      <w:bookmarkEnd w:id="182"/>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84" w:name="_Toc11328620"/>
      <w:bookmarkStart w:id="185" w:name="_Toc11328897"/>
      <w:bookmarkStart w:id="186" w:name="_Toc11421387"/>
      <w:bookmarkStart w:id="187" w:name="_Toc11421629"/>
      <w:bookmarkStart w:id="188" w:name="_Toc514932899"/>
      <w:bookmarkStart w:id="189" w:name="_Toc514935240"/>
      <w:bookmarkStart w:id="190" w:name="_Toc514937526"/>
      <w:bookmarkStart w:id="191" w:name="_Toc515004055"/>
      <w:bookmarkStart w:id="192" w:name="_Toc516565341"/>
      <w:bookmarkStart w:id="193" w:name="_Toc516565397"/>
      <w:bookmarkStart w:id="194" w:name="_Toc516565453"/>
      <w:bookmarkStart w:id="195" w:name="_Toc518028548"/>
      <w:r>
        <w:rPr>
          <w:rStyle w:val="CharSchNo"/>
        </w:rPr>
        <w:t>Schedule 2</w:t>
      </w:r>
      <w:r>
        <w:rPr>
          <w:rStyle w:val="CharSDivNo"/>
        </w:rPr>
        <w:t> </w:t>
      </w:r>
      <w:r>
        <w:t>—</w:t>
      </w:r>
      <w:r>
        <w:rPr>
          <w:rStyle w:val="CharSDivText"/>
        </w:rPr>
        <w:t> </w:t>
      </w:r>
      <w:r>
        <w:rPr>
          <w:rStyle w:val="CharSchText"/>
        </w:rPr>
        <w:t>Prescribed offences and modified penalties</w:t>
      </w:r>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196" w:name="_Toc11328621"/>
      <w:bookmarkStart w:id="197" w:name="_Toc11328898"/>
      <w:bookmarkStart w:id="198" w:name="_Toc11421388"/>
      <w:bookmarkStart w:id="199" w:name="_Toc11421630"/>
      <w:bookmarkStart w:id="200" w:name="_Toc514932900"/>
      <w:bookmarkStart w:id="201" w:name="_Toc514935241"/>
      <w:bookmarkStart w:id="202" w:name="_Toc514937527"/>
      <w:bookmarkStart w:id="203" w:name="_Toc515004056"/>
      <w:bookmarkStart w:id="204" w:name="_Toc516565342"/>
      <w:bookmarkStart w:id="205" w:name="_Toc516565398"/>
      <w:bookmarkStart w:id="206" w:name="_Toc516565454"/>
      <w:bookmarkStart w:id="207" w:name="_Toc518028549"/>
      <w:r>
        <w:rPr>
          <w:rStyle w:val="CharSchNo"/>
        </w:rPr>
        <w:t>Schedule 3</w:t>
      </w:r>
      <w:r>
        <w:rPr>
          <w:rStyle w:val="CharSDivNo"/>
        </w:rPr>
        <w:t> </w:t>
      </w:r>
      <w:r>
        <w:t>—</w:t>
      </w:r>
      <w:r>
        <w:rPr>
          <w:rStyle w:val="CharSDivText"/>
        </w:rPr>
        <w:t> </w:t>
      </w:r>
      <w:r>
        <w:rPr>
          <w:rStyle w:val="CharSchText"/>
        </w:rPr>
        <w:t>Infringement notice forms</w:t>
      </w:r>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CentredBaseLine"/>
        <w:jc w:val="center"/>
      </w:pPr>
      <w:ins w:id="208" w:author="Master Repository Process" w:date="2021-08-28T13:4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09" w:name="_Toc11328622"/>
      <w:bookmarkStart w:id="210" w:name="_Toc11328899"/>
      <w:bookmarkStart w:id="211" w:name="_Toc11421389"/>
      <w:bookmarkStart w:id="212" w:name="_Toc11421631"/>
      <w:bookmarkStart w:id="213" w:name="_Toc514932901"/>
      <w:bookmarkStart w:id="214" w:name="_Toc514935242"/>
      <w:bookmarkStart w:id="215" w:name="_Toc514937528"/>
      <w:bookmarkStart w:id="216" w:name="_Toc515004057"/>
      <w:bookmarkStart w:id="217" w:name="_Toc516565343"/>
      <w:bookmarkStart w:id="218" w:name="_Toc516565399"/>
      <w:bookmarkStart w:id="219" w:name="_Toc516565455"/>
      <w:bookmarkStart w:id="220" w:name="_Toc518028550"/>
      <w:r>
        <w:t>Notes</w:t>
      </w:r>
      <w:bookmarkEnd w:id="209"/>
      <w:bookmarkEnd w:id="210"/>
      <w:bookmarkEnd w:id="211"/>
      <w:bookmarkEnd w:id="212"/>
      <w:bookmarkEnd w:id="213"/>
      <w:bookmarkEnd w:id="214"/>
      <w:bookmarkEnd w:id="215"/>
      <w:bookmarkEnd w:id="216"/>
      <w:bookmarkEnd w:id="217"/>
      <w:bookmarkEnd w:id="218"/>
      <w:bookmarkEnd w:id="219"/>
      <w:bookmarkEnd w:id="220"/>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ins w:id="221" w:author="Master Repository Process" w:date="2021-08-28T13:49:00Z">
        <w:r>
          <w:rPr>
            <w:snapToGrid w:val="0"/>
          </w:rPr>
          <w:t> </w:t>
        </w:r>
        <w:r>
          <w:rPr>
            <w:snapToGrid w:val="0"/>
            <w:vertAlign w:val="superscript"/>
          </w:rPr>
          <w:t>1a</w:t>
        </w:r>
      </w:ins>
      <w:r>
        <w:t>.</w:t>
      </w:r>
    </w:p>
    <w:p>
      <w:pPr>
        <w:pStyle w:val="nHeading3"/>
      </w:pPr>
      <w:bookmarkStart w:id="222" w:name="_Toc11421632"/>
      <w:bookmarkStart w:id="223" w:name="_Toc518028551"/>
      <w:r>
        <w:t>Compilation table</w:t>
      </w:r>
      <w:bookmarkEnd w:id="222"/>
      <w:bookmarkEnd w:id="2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single" w:sz="4" w:space="0" w:color="auto"/>
            </w:tcBorders>
          </w:tcPr>
          <w:p>
            <w:pPr>
              <w:pStyle w:val="nTable"/>
              <w:spacing w:after="40"/>
              <w:rPr>
                <w:i/>
              </w:rPr>
            </w:pPr>
            <w:r>
              <w:rPr>
                <w:i/>
              </w:rPr>
              <w:t>Health Services (Conduct and Traffic) Amendment Regulations 2018</w:t>
            </w:r>
          </w:p>
        </w:tc>
        <w:tc>
          <w:tcPr>
            <w:tcW w:w="1276" w:type="dxa"/>
            <w:tcBorders>
              <w:top w:val="nil"/>
              <w:bottom w:val="single" w:sz="4" w:space="0" w:color="auto"/>
            </w:tcBorders>
          </w:tcPr>
          <w:p>
            <w:pPr>
              <w:pStyle w:val="nTable"/>
              <w:spacing w:after="40"/>
            </w:pPr>
            <w:r>
              <w:t>12 Jun 2018 p. 1892</w:t>
            </w:r>
            <w:r>
              <w:noBreakHyphen/>
              <w:t>3</w:t>
            </w:r>
          </w:p>
        </w:tc>
        <w:tc>
          <w:tcPr>
            <w:tcW w:w="2693" w:type="dxa"/>
            <w:tcBorders>
              <w:top w:val="nil"/>
              <w:bottom w:val="single" w:sz="4" w:space="0" w:color="auto"/>
            </w:tcBorders>
          </w:tcPr>
          <w:p>
            <w:pPr>
              <w:pStyle w:val="nTable"/>
              <w:spacing w:after="40"/>
              <w:rPr>
                <w:bCs/>
                <w:snapToGrid w:val="0"/>
              </w:rPr>
            </w:pPr>
            <w:r>
              <w:t>r. 1 and 2: 12 Jun 2018 (see r. 2(a));</w:t>
            </w:r>
            <w:r>
              <w:br/>
              <w:t>Regulations other than r. 1 and 2: 13 Jun 2018 (see r. 2(b))</w:t>
            </w:r>
          </w:p>
        </w:tc>
      </w:tr>
    </w:tbl>
    <w:p>
      <w:pPr>
        <w:pStyle w:val="nSubsection"/>
        <w:spacing w:before="360"/>
        <w:rPr>
          <w:ins w:id="224" w:author="Master Repository Process" w:date="2021-08-28T13:49:00Z"/>
        </w:rPr>
      </w:pPr>
      <w:ins w:id="225" w:author="Master Repository Process" w:date="2021-08-28T13: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6" w:author="Master Repository Process" w:date="2021-08-28T13:49:00Z"/>
        </w:rPr>
      </w:pPr>
      <w:bookmarkStart w:id="227" w:name="_Toc11327828"/>
      <w:bookmarkStart w:id="228" w:name="_Toc11421633"/>
      <w:ins w:id="229" w:author="Master Repository Process" w:date="2021-08-28T13:49:00Z">
        <w:r>
          <w:t>Provisions that have not come into operation</w:t>
        </w:r>
        <w:bookmarkEnd w:id="227"/>
        <w:bookmarkEnd w:id="22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0" w:author="Master Repository Process" w:date="2021-08-28T13:49:00Z"/>
        </w:trPr>
        <w:tc>
          <w:tcPr>
            <w:tcW w:w="3118" w:type="dxa"/>
          </w:tcPr>
          <w:p>
            <w:pPr>
              <w:pStyle w:val="nTable"/>
              <w:spacing w:after="40"/>
              <w:rPr>
                <w:ins w:id="231" w:author="Master Repository Process" w:date="2021-08-28T13:49:00Z"/>
                <w:b/>
              </w:rPr>
            </w:pPr>
            <w:ins w:id="232" w:author="Master Repository Process" w:date="2021-08-28T13:49:00Z">
              <w:r>
                <w:rPr>
                  <w:b/>
                </w:rPr>
                <w:t>Citation</w:t>
              </w:r>
            </w:ins>
          </w:p>
        </w:tc>
        <w:tc>
          <w:tcPr>
            <w:tcW w:w="1276" w:type="dxa"/>
          </w:tcPr>
          <w:p>
            <w:pPr>
              <w:pStyle w:val="nTable"/>
              <w:spacing w:after="40"/>
              <w:rPr>
                <w:ins w:id="233" w:author="Master Repository Process" w:date="2021-08-28T13:49:00Z"/>
                <w:b/>
              </w:rPr>
            </w:pPr>
            <w:ins w:id="234" w:author="Master Repository Process" w:date="2021-08-28T13:49:00Z">
              <w:r>
                <w:rPr>
                  <w:b/>
                </w:rPr>
                <w:t>Gazettal</w:t>
              </w:r>
            </w:ins>
          </w:p>
        </w:tc>
        <w:tc>
          <w:tcPr>
            <w:tcW w:w="2693" w:type="dxa"/>
          </w:tcPr>
          <w:p>
            <w:pPr>
              <w:pStyle w:val="nTable"/>
              <w:spacing w:after="40"/>
              <w:rPr>
                <w:ins w:id="235" w:author="Master Repository Process" w:date="2021-08-28T13:49:00Z"/>
                <w:b/>
              </w:rPr>
            </w:pPr>
            <w:ins w:id="236" w:author="Master Repository Process" w:date="2021-08-28T13:49:00Z">
              <w:r>
                <w:rPr>
                  <w:b/>
                </w:rPr>
                <w:t>Commencement</w:t>
              </w:r>
            </w:ins>
          </w:p>
        </w:tc>
      </w:tr>
      <w:tr>
        <w:trPr>
          <w:ins w:id="237" w:author="Master Repository Process" w:date="2021-08-28T13:49:00Z"/>
        </w:trPr>
        <w:tc>
          <w:tcPr>
            <w:tcW w:w="3118" w:type="dxa"/>
          </w:tcPr>
          <w:p>
            <w:pPr>
              <w:pStyle w:val="nTable"/>
              <w:spacing w:after="40"/>
              <w:rPr>
                <w:ins w:id="238" w:author="Master Repository Process" w:date="2021-08-28T13:49:00Z"/>
              </w:rPr>
            </w:pPr>
            <w:ins w:id="239" w:author="Master Repository Process" w:date="2021-08-28T13:49:00Z">
              <w:r>
                <w:rPr>
                  <w:i/>
                </w:rPr>
                <w:t>Health Regulations Amendment (Fees and Charges) Regulations 2019</w:t>
              </w:r>
              <w:r>
                <w:t xml:space="preserve"> Pt. 5</w:t>
              </w:r>
              <w:r>
                <w:rPr>
                  <w:snapToGrid w:val="0"/>
                </w:rPr>
                <w:t> </w:t>
              </w:r>
              <w:r>
                <w:rPr>
                  <w:snapToGrid w:val="0"/>
                  <w:vertAlign w:val="superscript"/>
                </w:rPr>
                <w:t>2</w:t>
              </w:r>
            </w:ins>
          </w:p>
        </w:tc>
        <w:tc>
          <w:tcPr>
            <w:tcW w:w="1276" w:type="dxa"/>
          </w:tcPr>
          <w:p>
            <w:pPr>
              <w:pStyle w:val="nTable"/>
              <w:spacing w:after="40"/>
              <w:rPr>
                <w:ins w:id="240" w:author="Master Repository Process" w:date="2021-08-28T13:49:00Z"/>
              </w:rPr>
            </w:pPr>
            <w:ins w:id="241" w:author="Master Repository Process" w:date="2021-08-28T13:49:00Z">
              <w:r>
                <w:t>14 Jun 2019 p. 1883</w:t>
              </w:r>
              <w:r>
                <w:noBreakHyphen/>
                <w:t>94</w:t>
              </w:r>
            </w:ins>
          </w:p>
        </w:tc>
        <w:tc>
          <w:tcPr>
            <w:tcW w:w="2693" w:type="dxa"/>
          </w:tcPr>
          <w:p>
            <w:pPr>
              <w:pStyle w:val="nTable"/>
              <w:spacing w:after="40"/>
              <w:rPr>
                <w:ins w:id="242" w:author="Master Repository Process" w:date="2021-08-28T13:49:00Z"/>
              </w:rPr>
            </w:pPr>
            <w:ins w:id="243" w:author="Master Repository Process" w:date="2021-08-28T13:49:00Z">
              <w:r>
                <w:t>1 Jul 2019 (see r. 2(b))</w:t>
              </w:r>
            </w:ins>
          </w:p>
        </w:tc>
      </w:tr>
    </w:tbl>
    <w:p>
      <w:pPr>
        <w:pStyle w:val="nSubsection"/>
        <w:rPr>
          <w:ins w:id="244" w:author="Master Repository Process" w:date="2021-08-28T13:49:00Z"/>
          <w:snapToGrid w:val="0"/>
        </w:rPr>
      </w:pPr>
      <w:ins w:id="245" w:author="Master Repository Process" w:date="2021-08-28T13:49:00Z">
        <w:r>
          <w:rPr>
            <w:vertAlign w:val="superscript"/>
          </w:rPr>
          <w:t>2</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5 had not come into operation. It reads as follows:</w:t>
        </w:r>
      </w:ins>
    </w:p>
    <w:p>
      <w:pPr>
        <w:pStyle w:val="BlankOpen"/>
        <w:rPr>
          <w:ins w:id="246" w:author="Master Repository Process" w:date="2021-08-28T13:49:00Z"/>
          <w:snapToGrid w:val="0"/>
        </w:rPr>
      </w:pPr>
    </w:p>
    <w:p>
      <w:pPr>
        <w:pStyle w:val="nzHeading2"/>
        <w:rPr>
          <w:ins w:id="247" w:author="Master Repository Process" w:date="2021-08-28T13:49:00Z"/>
        </w:rPr>
      </w:pPr>
      <w:bookmarkStart w:id="248" w:name="_Toc7165191"/>
      <w:bookmarkStart w:id="249" w:name="_Toc7165238"/>
      <w:bookmarkStart w:id="250" w:name="_Toc7165327"/>
      <w:ins w:id="251" w:author="Master Repository Process" w:date="2021-08-28T13:49:00Z">
        <w:r>
          <w:t>Part 5 — Health Services (Conduct and Traffic) Regulations 2016 amended</w:t>
        </w:r>
        <w:bookmarkEnd w:id="248"/>
        <w:bookmarkEnd w:id="249"/>
        <w:bookmarkEnd w:id="250"/>
      </w:ins>
    </w:p>
    <w:p>
      <w:pPr>
        <w:pStyle w:val="nzHeading5"/>
        <w:rPr>
          <w:ins w:id="252" w:author="Master Repository Process" w:date="2021-08-28T13:49:00Z"/>
        </w:rPr>
      </w:pPr>
      <w:bookmarkStart w:id="253" w:name="_Toc7165239"/>
      <w:bookmarkStart w:id="254" w:name="_Toc7165328"/>
      <w:ins w:id="255" w:author="Master Repository Process" w:date="2021-08-28T13:49:00Z">
        <w:r>
          <w:t>9.</w:t>
        </w:r>
        <w:r>
          <w:tab/>
          <w:t>Regulations amended</w:t>
        </w:r>
        <w:bookmarkEnd w:id="253"/>
        <w:bookmarkEnd w:id="254"/>
      </w:ins>
    </w:p>
    <w:p>
      <w:pPr>
        <w:pStyle w:val="nzSubsection"/>
        <w:rPr>
          <w:ins w:id="256" w:author="Master Repository Process" w:date="2021-08-28T13:49:00Z"/>
        </w:rPr>
      </w:pPr>
      <w:ins w:id="257" w:author="Master Repository Process" w:date="2021-08-28T13:49:00Z">
        <w:r>
          <w:tab/>
        </w:r>
        <w:r>
          <w:tab/>
          <w:t xml:space="preserve">This Part amends the </w:t>
        </w:r>
        <w:r>
          <w:rPr>
            <w:i/>
          </w:rPr>
          <w:t>Health Services (Conduct and Traffic) Regulations 2016</w:t>
        </w:r>
        <w:r>
          <w:t>.</w:t>
        </w:r>
      </w:ins>
    </w:p>
    <w:p>
      <w:pPr>
        <w:pStyle w:val="nzHeading5"/>
        <w:rPr>
          <w:ins w:id="258" w:author="Master Repository Process" w:date="2021-08-28T13:49:00Z"/>
        </w:rPr>
      </w:pPr>
      <w:bookmarkStart w:id="259" w:name="_Toc7165240"/>
      <w:bookmarkStart w:id="260" w:name="_Toc7165329"/>
      <w:ins w:id="261" w:author="Master Repository Process" w:date="2021-08-28T13:49:00Z">
        <w:r>
          <w:t>10.</w:t>
        </w:r>
        <w:r>
          <w:tab/>
          <w:t>Schedule 1 amended</w:t>
        </w:r>
        <w:bookmarkEnd w:id="259"/>
        <w:bookmarkEnd w:id="260"/>
      </w:ins>
    </w:p>
    <w:p>
      <w:pPr>
        <w:pStyle w:val="nzSubsection"/>
        <w:rPr>
          <w:ins w:id="262" w:author="Master Repository Process" w:date="2021-08-28T13:49:00Z"/>
        </w:rPr>
      </w:pPr>
      <w:ins w:id="263" w:author="Master Repository Process" w:date="2021-08-28T13:49:00Z">
        <w:r>
          <w:tab/>
        </w:r>
        <w:r>
          <w:tab/>
          <w:t>In Schedule 1 clause 4 delete the Table and insert:</w:t>
        </w:r>
      </w:ins>
    </w:p>
    <w:p>
      <w:pPr>
        <w:pStyle w:val="BlankOpen"/>
        <w:rPr>
          <w:ins w:id="264" w:author="Master Repository Process" w:date="2021-08-28T13:49:00Z"/>
        </w:rPr>
      </w:pPr>
    </w:p>
    <w:p>
      <w:pPr>
        <w:pStyle w:val="nzyTHeadingNAm"/>
        <w:ind w:left="0"/>
        <w:rPr>
          <w:ins w:id="265" w:author="Master Repository Process" w:date="2021-08-28T13:49:00Z"/>
        </w:rPr>
      </w:pPr>
      <w:ins w:id="266" w:author="Master Repository Process" w:date="2021-08-28T13:49:00Z">
        <w:r>
          <w:t>Table</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ins w:id="267" w:author="Master Repository Process" w:date="2021-08-28T13:49:00Z"/>
        </w:trPr>
        <w:tc>
          <w:tcPr>
            <w:tcW w:w="4253" w:type="dxa"/>
          </w:tcPr>
          <w:p>
            <w:pPr>
              <w:pStyle w:val="nzTableNAm"/>
              <w:jc w:val="center"/>
              <w:rPr>
                <w:ins w:id="268" w:author="Master Repository Process" w:date="2021-08-28T13:49:00Z"/>
                <w:b/>
              </w:rPr>
            </w:pPr>
            <w:ins w:id="269" w:author="Master Repository Process" w:date="2021-08-28T13:49:00Z">
              <w:r>
                <w:rPr>
                  <w:b/>
                </w:rPr>
                <w:t>Type of fee</w:t>
              </w:r>
            </w:ins>
          </w:p>
        </w:tc>
        <w:tc>
          <w:tcPr>
            <w:tcW w:w="2551" w:type="dxa"/>
          </w:tcPr>
          <w:p>
            <w:pPr>
              <w:pStyle w:val="nzTableNAm"/>
              <w:jc w:val="center"/>
              <w:rPr>
                <w:ins w:id="270" w:author="Master Repository Process" w:date="2021-08-28T13:49:00Z"/>
                <w:b/>
              </w:rPr>
            </w:pPr>
            <w:ins w:id="271" w:author="Master Repository Process" w:date="2021-08-28T13:49:00Z">
              <w:r>
                <w:rPr>
                  <w:b/>
                </w:rPr>
                <w:t>Fee</w:t>
              </w:r>
            </w:ins>
          </w:p>
        </w:tc>
      </w:tr>
      <w:tr>
        <w:trPr>
          <w:cantSplit/>
          <w:ins w:id="272" w:author="Master Repository Process" w:date="2021-08-28T13:49:00Z"/>
        </w:trPr>
        <w:tc>
          <w:tcPr>
            <w:tcW w:w="4253" w:type="dxa"/>
          </w:tcPr>
          <w:p>
            <w:pPr>
              <w:pStyle w:val="nzTableNAm"/>
              <w:rPr>
                <w:ins w:id="273" w:author="Master Repository Process" w:date="2021-08-28T13:49:00Z"/>
              </w:rPr>
            </w:pPr>
            <w:ins w:id="274" w:author="Master Repository Process" w:date="2021-08-28T13:49:00Z">
              <w:r>
                <w:t>Paid staff parking fee</w:t>
              </w:r>
            </w:ins>
          </w:p>
        </w:tc>
        <w:tc>
          <w:tcPr>
            <w:tcW w:w="2551" w:type="dxa"/>
          </w:tcPr>
          <w:p>
            <w:pPr>
              <w:pStyle w:val="nzTableNAm"/>
              <w:rPr>
                <w:ins w:id="275" w:author="Master Repository Process" w:date="2021-08-28T13:49:00Z"/>
              </w:rPr>
            </w:pPr>
            <w:ins w:id="276" w:author="Master Repository Process" w:date="2021-08-28T13:49:00Z">
              <w:r>
                <w:t>$3.80 per day, up to a maximum of $19.00 per week</w:t>
              </w:r>
            </w:ins>
          </w:p>
        </w:tc>
      </w:tr>
      <w:tr>
        <w:trPr>
          <w:cantSplit/>
          <w:ins w:id="277" w:author="Master Repository Process" w:date="2021-08-28T13:49:00Z"/>
        </w:trPr>
        <w:tc>
          <w:tcPr>
            <w:tcW w:w="4253" w:type="dxa"/>
            <w:tcBorders>
              <w:bottom w:val="nil"/>
            </w:tcBorders>
          </w:tcPr>
          <w:p>
            <w:pPr>
              <w:pStyle w:val="nzTableNAm"/>
              <w:rPr>
                <w:ins w:id="278" w:author="Master Repository Process" w:date="2021-08-28T13:49:00Z"/>
              </w:rPr>
            </w:pPr>
            <w:ins w:id="279" w:author="Master Repository Process" w:date="2021-08-28T13:49:00Z">
              <w:r>
                <w:t>Removal and storage of vehicle fee</w:t>
              </w:r>
            </w:ins>
          </w:p>
          <w:p>
            <w:pPr>
              <w:pStyle w:val="nzTableNAm"/>
              <w:ind w:left="567" w:hanging="567"/>
              <w:rPr>
                <w:ins w:id="280" w:author="Master Repository Process" w:date="2021-08-28T13:49:00Z"/>
              </w:rPr>
            </w:pPr>
            <w:ins w:id="281" w:author="Master Repository Process" w:date="2021-08-28T13:49:00Z">
              <w:r>
                <w:t>(a)</w:t>
              </w:r>
              <w:r>
                <w:tab/>
                <w:t xml:space="preserve">basic fee </w:t>
              </w:r>
            </w:ins>
          </w:p>
          <w:p>
            <w:pPr>
              <w:pStyle w:val="nzTableNAm"/>
              <w:rPr>
                <w:ins w:id="282" w:author="Master Repository Process" w:date="2021-08-28T13:49:00Z"/>
              </w:rPr>
            </w:pPr>
            <w:ins w:id="283" w:author="Master Repository Process" w:date="2021-08-28T13:49:00Z">
              <w:r>
                <w:tab/>
                <w:t>plus</w:t>
              </w:r>
            </w:ins>
          </w:p>
        </w:tc>
        <w:tc>
          <w:tcPr>
            <w:tcW w:w="2551" w:type="dxa"/>
            <w:tcBorders>
              <w:bottom w:val="nil"/>
            </w:tcBorders>
          </w:tcPr>
          <w:p>
            <w:pPr>
              <w:pStyle w:val="nzTableNAm"/>
              <w:rPr>
                <w:ins w:id="284" w:author="Master Repository Process" w:date="2021-08-28T13:49:00Z"/>
              </w:rPr>
            </w:pPr>
          </w:p>
          <w:p>
            <w:pPr>
              <w:pStyle w:val="nzTableNAm"/>
              <w:rPr>
                <w:ins w:id="285" w:author="Master Repository Process" w:date="2021-08-28T13:49:00Z"/>
              </w:rPr>
            </w:pPr>
            <w:ins w:id="286" w:author="Master Repository Process" w:date="2021-08-28T13:49:00Z">
              <w:r>
                <w:t>$140.00</w:t>
              </w:r>
            </w:ins>
          </w:p>
          <w:p>
            <w:pPr>
              <w:pStyle w:val="nzTableNAm"/>
              <w:rPr>
                <w:ins w:id="287" w:author="Master Repository Process" w:date="2021-08-28T13:49:00Z"/>
              </w:rPr>
            </w:pPr>
          </w:p>
        </w:tc>
      </w:tr>
      <w:tr>
        <w:trPr>
          <w:cantSplit/>
          <w:ins w:id="288" w:author="Master Repository Process" w:date="2021-08-28T13:49:00Z"/>
        </w:trPr>
        <w:tc>
          <w:tcPr>
            <w:tcW w:w="4253" w:type="dxa"/>
            <w:tcBorders>
              <w:top w:val="nil"/>
              <w:bottom w:val="single" w:sz="4" w:space="0" w:color="auto"/>
            </w:tcBorders>
          </w:tcPr>
          <w:p>
            <w:pPr>
              <w:pStyle w:val="nzTableNAm"/>
              <w:ind w:left="567" w:hanging="567"/>
              <w:rPr>
                <w:ins w:id="289" w:author="Master Repository Process" w:date="2021-08-28T13:49:00Z"/>
              </w:rPr>
            </w:pPr>
            <w:ins w:id="290" w:author="Master Repository Process" w:date="2021-08-28T13:49:00Z">
              <w:r>
                <w:t>(b)</w:t>
              </w:r>
              <w:r>
                <w:tab/>
                <w:t>if vehicle is stored for more than 24 hours — for each 7 days or part of 7 days for which vehicle is stored after first 24 hours</w:t>
              </w:r>
            </w:ins>
          </w:p>
        </w:tc>
        <w:tc>
          <w:tcPr>
            <w:tcW w:w="2551" w:type="dxa"/>
            <w:tcBorders>
              <w:top w:val="nil"/>
              <w:bottom w:val="single" w:sz="4" w:space="0" w:color="auto"/>
            </w:tcBorders>
          </w:tcPr>
          <w:p>
            <w:pPr>
              <w:pStyle w:val="nzTableNAm"/>
              <w:rPr>
                <w:ins w:id="291" w:author="Master Repository Process" w:date="2021-08-28T13:49:00Z"/>
              </w:rPr>
            </w:pPr>
            <w:ins w:id="292" w:author="Master Repository Process" w:date="2021-08-28T13:49:00Z">
              <w:r>
                <w:br/>
              </w:r>
              <w:r>
                <w:br/>
              </w:r>
              <w:r>
                <w:br/>
                <w:t>$10.00</w:t>
              </w:r>
            </w:ins>
          </w:p>
        </w:tc>
      </w:tr>
      <w:tr>
        <w:trPr>
          <w:cantSplit/>
          <w:ins w:id="293" w:author="Master Repository Process" w:date="2021-08-28T13:49:00Z"/>
        </w:trPr>
        <w:tc>
          <w:tcPr>
            <w:tcW w:w="4253" w:type="dxa"/>
            <w:tcBorders>
              <w:top w:val="single" w:sz="4" w:space="0" w:color="auto"/>
            </w:tcBorders>
          </w:tcPr>
          <w:p>
            <w:pPr>
              <w:pStyle w:val="nzTableNAm"/>
              <w:rPr>
                <w:ins w:id="294" w:author="Master Repository Process" w:date="2021-08-28T13:49:00Z"/>
              </w:rPr>
            </w:pPr>
            <w:ins w:id="295" w:author="Master Repository Process" w:date="2021-08-28T13:49:00Z">
              <w:r>
                <w:t>Ticket parking fee</w:t>
              </w:r>
            </w:ins>
          </w:p>
        </w:tc>
        <w:tc>
          <w:tcPr>
            <w:tcW w:w="2551" w:type="dxa"/>
            <w:tcBorders>
              <w:top w:val="single" w:sz="4" w:space="0" w:color="auto"/>
            </w:tcBorders>
          </w:tcPr>
          <w:p>
            <w:pPr>
              <w:pStyle w:val="nzTableNAm"/>
              <w:rPr>
                <w:ins w:id="296" w:author="Master Repository Process" w:date="2021-08-28T13:49:00Z"/>
              </w:rPr>
            </w:pPr>
            <w:ins w:id="297" w:author="Master Repository Process" w:date="2021-08-28T13:49:00Z">
              <w:r>
                <w:t>$3.00 per hour up to a maximum of $21.00 per day</w:t>
              </w:r>
            </w:ins>
          </w:p>
        </w:tc>
      </w:tr>
    </w:tbl>
    <w:p>
      <w:pPr>
        <w:pStyle w:val="BlankClose"/>
        <w:rPr>
          <w:ins w:id="298" w:author="Master Repository Process" w:date="2021-08-28T13:49: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0" w:name="Coversheet"/>
    <w:bookmarkEnd w:id="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83" w:name="Schedule"/>
    <w:bookmarkEnd w:id="18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4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7AB003-6441-4766-B4CA-C69D1655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1284-9508-4858-BC0C-037A37EA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6916</Words>
  <Characters>32646</Characters>
  <Application>Microsoft Office Word</Application>
  <DocSecurity>0</DocSecurity>
  <Lines>1305</Lines>
  <Paragraphs>791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00-f0-01 - 00-g0-01</dc:title>
  <dc:subject/>
  <dc:creator/>
  <cp:keywords/>
  <dc:description/>
  <cp:lastModifiedBy>Master Repository Process</cp:lastModifiedBy>
  <cp:revision>2</cp:revision>
  <cp:lastPrinted>2016-06-14T02:53:00Z</cp:lastPrinted>
  <dcterms:created xsi:type="dcterms:W3CDTF">2021-08-28T05:48:00Z</dcterms:created>
  <dcterms:modified xsi:type="dcterms:W3CDTF">2021-08-28T05:49:00Z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20190614</vt:lpwstr>
  </property>
  <property fmtid="{D5CDD505-2E9C-101B-9397-08002B2CF9AE}" pid="6" name="FromSuffix">
    <vt:lpwstr>00-f0-01</vt:lpwstr>
  </property>
  <property fmtid="{D5CDD505-2E9C-101B-9397-08002B2CF9AE}" pid="7" name="FromAsAtDate">
    <vt:lpwstr>01 Jul 2018</vt:lpwstr>
  </property>
  <property fmtid="{D5CDD505-2E9C-101B-9397-08002B2CF9AE}" pid="8" name="ToSuffix">
    <vt:lpwstr>00-g0-01</vt:lpwstr>
  </property>
  <property fmtid="{D5CDD505-2E9C-101B-9397-08002B2CF9AE}" pid="9" name="ToAsAtDate">
    <vt:lpwstr>14 Jun 2019</vt:lpwstr>
  </property>
</Properties>
</file>