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Debt Collectors Licensing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2019</w:t>
      </w:r>
      <w:r>
        <w:fldChar w:fldCharType="end"/>
      </w:r>
      <w:r>
        <w:t xml:space="preserve">, </w:t>
      </w:r>
      <w:r>
        <w:fldChar w:fldCharType="begin"/>
      </w:r>
      <w:r>
        <w:instrText xml:space="preserve"> DocProperty FromSuffix </w:instrText>
      </w:r>
      <w:r>
        <w:fldChar w:fldCharType="separate"/>
      </w:r>
      <w:r>
        <w:t>05-i0-00</w:t>
      </w:r>
      <w:r>
        <w:fldChar w:fldCharType="end"/>
      </w:r>
      <w:r>
        <w:t>] and [</w:t>
      </w:r>
      <w:r>
        <w:fldChar w:fldCharType="begin"/>
      </w:r>
      <w:r>
        <w:instrText xml:space="preserve"> DocProperty ToAsAtDate</w:instrText>
      </w:r>
      <w:r>
        <w:fldChar w:fldCharType="separate"/>
      </w:r>
      <w:r>
        <w:t>26 Jun 2019</w:t>
      </w:r>
      <w:r>
        <w:fldChar w:fldCharType="end"/>
      </w:r>
      <w:r>
        <w:t xml:space="preserve">, </w:t>
      </w:r>
      <w:r>
        <w:fldChar w:fldCharType="begin"/>
      </w:r>
      <w:r>
        <w:instrText xml:space="preserve"> DocProperty ToSuffix</w:instrText>
      </w:r>
      <w:r>
        <w:fldChar w:fldCharType="separate"/>
      </w:r>
      <w:r>
        <w:t>05-j0-00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Debt Collectors Licensing Act 1964</w:t>
      </w:r>
    </w:p>
    <w:p>
      <w:pPr>
        <w:pStyle w:val="NameofActReg"/>
      </w:pPr>
      <w:r>
        <w:t>Debt Collectors Licensing Regulations 1964</w:t>
      </w:r>
    </w:p>
    <w:p>
      <w:pPr>
        <w:pStyle w:val="Heading5"/>
        <w:rPr>
          <w:snapToGrid w:val="0"/>
        </w:rPr>
      </w:pPr>
      <w:bookmarkStart w:id="1" w:name="_Toc12278943"/>
      <w:bookmarkStart w:id="2" w:name="_Toc11760751"/>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In these regulations </w:t>
      </w:r>
      <w:r>
        <w:t xml:space="preserve">the </w:t>
      </w:r>
      <w:r>
        <w:rPr>
          <w:rStyle w:val="CharDefText"/>
        </w:rPr>
        <w:t>Act</w:t>
      </w:r>
      <w:r>
        <w:rPr>
          <w:snapToGrid w:val="0"/>
        </w:rPr>
        <w:t xml:space="preserve"> 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4" w:name="_Toc12278944"/>
      <w:bookmarkStart w:id="5" w:name="_Toc11760752"/>
      <w:r>
        <w:rPr>
          <w:rStyle w:val="CharSectno"/>
        </w:rPr>
        <w:t>2</w:t>
      </w:r>
      <w:r>
        <w:rPr>
          <w:snapToGrid w:val="0"/>
        </w:rPr>
        <w:t>.</w:t>
      </w:r>
      <w:r>
        <w:rPr>
          <w:snapToGrid w:val="0"/>
        </w:rPr>
        <w:tab/>
        <w:t>Forms</w:t>
      </w:r>
      <w:bookmarkEnd w:id="4"/>
      <w:bookmarkEnd w:id="5"/>
    </w:p>
    <w:p>
      <w:pPr>
        <w:pStyle w:val="Subsection"/>
        <w:rPr>
          <w:snapToGrid w:val="0"/>
        </w:rPr>
      </w:pPr>
      <w:r>
        <w:rPr>
          <w:snapToGrid w:val="0"/>
        </w:rPr>
        <w:tab/>
      </w:r>
      <w:r>
        <w:rPr>
          <w:snapToGrid w:val="0"/>
        </w:rPr>
        <w:tab/>
        <w:t>The forms set out in the First Schedule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6" w:name="_Toc12278945"/>
      <w:bookmarkStart w:id="7" w:name="_Toc11760753"/>
      <w:r>
        <w:rPr>
          <w:rStyle w:val="CharSectno"/>
        </w:rPr>
        <w:t>3</w:t>
      </w:r>
      <w:r>
        <w:rPr>
          <w:snapToGrid w:val="0"/>
        </w:rPr>
        <w:t>.</w:t>
      </w:r>
      <w:r>
        <w:rPr>
          <w:snapToGrid w:val="0"/>
        </w:rPr>
        <w:tab/>
        <w:t>Application by corporation</w:t>
      </w:r>
      <w:bookmarkEnd w:id="6"/>
      <w:bookmarkEnd w:id="7"/>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[Regulation 3 inserted: Gazette 26 Sep 1975 p. 3725.]</w:t>
      </w:r>
    </w:p>
    <w:p>
      <w:pPr>
        <w:pStyle w:val="Heading5"/>
      </w:pPr>
      <w:bookmarkStart w:id="8" w:name="_Toc12278946"/>
      <w:bookmarkStart w:id="9" w:name="_Toc11760754"/>
      <w:r>
        <w:rPr>
          <w:rStyle w:val="CharSectno"/>
        </w:rPr>
        <w:t>4</w:t>
      </w:r>
      <w:r>
        <w:t>.</w:t>
      </w:r>
      <w:r>
        <w:tab/>
        <w:t>Fees</w:t>
      </w:r>
      <w:bookmarkEnd w:id="8"/>
      <w:bookmarkEnd w:id="9"/>
    </w:p>
    <w:p>
      <w:pPr>
        <w:pStyle w:val="Subsection"/>
      </w:pPr>
      <w:r>
        <w:tab/>
      </w:r>
      <w:ins w:id="10" w:author="Master Repository Process" w:date="2021-08-01T05:29:00Z">
        <w:r>
          <w:t>(1)</w:t>
        </w:r>
      </w:ins>
      <w:r>
        <w:tab/>
        <w:t>The fees specified in the Table are payable for the matters specified in the Table.</w:t>
      </w:r>
    </w:p>
    <w:p>
      <w:pPr>
        <w:pStyle w:val="THeadingNAm"/>
        <w:ind w:left="0" w:right="-1"/>
      </w:pPr>
      <w:r>
        <w:lastRenderedPageBreak/>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817"/>
        <w:gridCol w:w="3343"/>
        <w:gridCol w:w="1635"/>
      </w:tblGrid>
      <w:tr>
        <w:trPr>
          <w:cantSplit/>
          <w:tblHeader/>
          <w:jc w:val="center"/>
        </w:trPr>
        <w:tc>
          <w:tcPr>
            <w:tcW w:w="817" w:type="dxa"/>
          </w:tcPr>
          <w:p>
            <w:pPr>
              <w:pStyle w:val="TableNAm"/>
            </w:pPr>
            <w:r>
              <w:rPr>
                <w:b/>
              </w:rPr>
              <w:t>Item</w:t>
            </w:r>
          </w:p>
        </w:tc>
        <w:tc>
          <w:tcPr>
            <w:tcW w:w="3343" w:type="dxa"/>
          </w:tcPr>
          <w:p>
            <w:pPr>
              <w:pStyle w:val="TableNAm"/>
            </w:pPr>
            <w:r>
              <w:rPr>
                <w:b/>
              </w:rPr>
              <w:t>Description</w:t>
            </w:r>
          </w:p>
        </w:tc>
        <w:tc>
          <w:tcPr>
            <w:tcW w:w="1616" w:type="dxa"/>
          </w:tcPr>
          <w:p>
            <w:pPr>
              <w:pStyle w:val="TableNAm"/>
            </w:pPr>
            <w:r>
              <w:rPr>
                <w:b/>
              </w:rPr>
              <w:t>Fee</w:t>
            </w:r>
          </w:p>
        </w:tc>
      </w:tr>
      <w:tr>
        <w:trPr>
          <w:cantSplit/>
          <w:tblHeader/>
          <w:jc w:val="center"/>
        </w:trPr>
        <w:tc>
          <w:tcPr>
            <w:tcW w:w="817" w:type="dxa"/>
          </w:tcPr>
          <w:p>
            <w:pPr>
              <w:pStyle w:val="TableNAm"/>
            </w:pPr>
            <w:r>
              <w:t>1.</w:t>
            </w:r>
          </w:p>
        </w:tc>
        <w:tc>
          <w:tcPr>
            <w:tcW w:w="3343" w:type="dxa"/>
          </w:tcPr>
          <w:p>
            <w:pPr>
              <w:pStyle w:val="TableNAm"/>
              <w:spacing w:before="0"/>
              <w:rPr>
                <w:del w:id="11" w:author="Master Repository Process" w:date="2021-08-01T05:29:00Z"/>
              </w:rPr>
            </w:pPr>
            <w:r>
              <w:t>Issue or renewal of licence</w:t>
            </w:r>
            <w:del w:id="12" w:author="Master Repository Process" w:date="2021-08-01T05:29:00Z">
              <w:r>
                <w:delText xml:space="preserve"> for a period of — </w:delText>
              </w:r>
            </w:del>
          </w:p>
          <w:p>
            <w:pPr>
              <w:pStyle w:val="TableNAm"/>
              <w:tabs>
                <w:tab w:val="clear" w:pos="567"/>
                <w:tab w:val="left" w:pos="421"/>
              </w:tabs>
              <w:spacing w:before="0"/>
              <w:rPr>
                <w:del w:id="13" w:author="Master Repository Process" w:date="2021-08-01T05:29:00Z"/>
              </w:rPr>
            </w:pPr>
            <w:del w:id="14" w:author="Master Repository Process" w:date="2021-08-01T05:29:00Z">
              <w:r>
                <w:rPr>
                  <w:sz w:val="18"/>
                  <w:szCs w:val="18"/>
                </w:rPr>
                <w:delText>●</w:delText>
              </w:r>
              <w:r>
                <w:tab/>
                <w:delText>1 year</w:delText>
              </w:r>
            </w:del>
          </w:p>
          <w:p>
            <w:pPr>
              <w:pStyle w:val="TableNAm"/>
              <w:tabs>
                <w:tab w:val="clear" w:pos="567"/>
                <w:tab w:val="left" w:pos="421"/>
              </w:tabs>
              <w:spacing w:before="0"/>
              <w:rPr>
                <w:del w:id="15" w:author="Master Repository Process" w:date="2021-08-01T05:29:00Z"/>
              </w:rPr>
            </w:pPr>
            <w:del w:id="16" w:author="Master Repository Process" w:date="2021-08-01T05:29:00Z">
              <w:r>
                <w:rPr>
                  <w:sz w:val="18"/>
                  <w:szCs w:val="18"/>
                </w:rPr>
                <w:delText>●</w:delText>
              </w:r>
              <w:r>
                <w:tab/>
                <w:delText>2 years</w:delText>
              </w:r>
            </w:del>
          </w:p>
          <w:p>
            <w:pPr>
              <w:pStyle w:val="TableNAm"/>
            </w:pPr>
            <w:del w:id="17" w:author="Master Repository Process" w:date="2021-08-01T05:29:00Z">
              <w:r>
                <w:rPr>
                  <w:sz w:val="18"/>
                  <w:szCs w:val="18"/>
                </w:rPr>
                <w:delText>●</w:delText>
              </w:r>
              <w:r>
                <w:tab/>
                <w:delText>3 years</w:delText>
              </w:r>
            </w:del>
          </w:p>
        </w:tc>
        <w:tc>
          <w:tcPr>
            <w:tcW w:w="1616" w:type="dxa"/>
          </w:tcPr>
          <w:p>
            <w:pPr>
              <w:pStyle w:val="TableNAm"/>
              <w:tabs>
                <w:tab w:val="clear" w:pos="567"/>
                <w:tab w:val="left" w:pos="232"/>
              </w:tabs>
              <w:spacing w:before="0"/>
              <w:rPr>
                <w:del w:id="18" w:author="Master Repository Process" w:date="2021-08-01T05:29:00Z"/>
              </w:rPr>
            </w:pPr>
            <w:del w:id="19" w:author="Master Repository Process" w:date="2021-08-01T05:29:00Z">
              <w:r>
                <w:br/>
              </w:r>
              <w:r>
                <w:br/>
              </w:r>
              <w:r>
                <w:rPr>
                  <w:sz w:val="18"/>
                  <w:szCs w:val="18"/>
                </w:rPr>
                <w:delText>●</w:delText>
              </w:r>
              <w:r>
                <w:tab/>
                <w:delText>$841.80</w:delText>
              </w:r>
            </w:del>
          </w:p>
          <w:p>
            <w:pPr>
              <w:pStyle w:val="TableNAm"/>
              <w:tabs>
                <w:tab w:val="clear" w:pos="567"/>
                <w:tab w:val="left" w:pos="232"/>
              </w:tabs>
              <w:spacing w:before="0"/>
              <w:rPr>
                <w:del w:id="20" w:author="Master Repository Process" w:date="2021-08-01T05:29:00Z"/>
              </w:rPr>
            </w:pPr>
            <w:del w:id="21" w:author="Master Repository Process" w:date="2021-08-01T05:29:00Z">
              <w:r>
                <w:rPr>
                  <w:sz w:val="18"/>
                  <w:szCs w:val="18"/>
                </w:rPr>
                <w:delText>●</w:delText>
              </w:r>
              <w:r>
                <w:tab/>
                <w:delText>$1 683.55</w:delText>
              </w:r>
            </w:del>
          </w:p>
          <w:p>
            <w:pPr>
              <w:pStyle w:val="TableNAm"/>
            </w:pPr>
            <w:del w:id="22" w:author="Master Repository Process" w:date="2021-08-01T05:29:00Z">
              <w:r>
                <w:rPr>
                  <w:sz w:val="18"/>
                  <w:szCs w:val="18"/>
                </w:rPr>
                <w:delText>●</w:delText>
              </w:r>
              <w:r>
                <w:tab/>
              </w:r>
            </w:del>
            <w:r>
              <w:t>$2 525.35</w:t>
            </w:r>
          </w:p>
        </w:tc>
      </w:tr>
      <w:tr>
        <w:trPr>
          <w:cantSplit/>
          <w:jc w:val="center"/>
        </w:trPr>
        <w:tc>
          <w:tcPr>
            <w:tcW w:w="817" w:type="dxa"/>
          </w:tcPr>
          <w:p>
            <w:pPr>
              <w:pStyle w:val="TableNAm"/>
            </w:pPr>
            <w:r>
              <w:t>2.</w:t>
            </w:r>
          </w:p>
        </w:tc>
        <w:tc>
          <w:tcPr>
            <w:tcW w:w="3343" w:type="dxa"/>
          </w:tcPr>
          <w:p>
            <w:pPr>
              <w:pStyle w:val="TableNAm"/>
            </w:pPr>
            <w:r>
              <w:t>Transfer of licence</w:t>
            </w:r>
          </w:p>
        </w:tc>
        <w:tc>
          <w:tcPr>
            <w:tcW w:w="1616" w:type="dxa"/>
          </w:tcPr>
          <w:p>
            <w:pPr>
              <w:pStyle w:val="TableNAm"/>
            </w:pPr>
            <w:r>
              <w:t>$343.50</w:t>
            </w:r>
          </w:p>
        </w:tc>
      </w:tr>
      <w:tr>
        <w:trPr>
          <w:cantSplit/>
          <w:jc w:val="center"/>
        </w:trPr>
        <w:tc>
          <w:tcPr>
            <w:tcW w:w="817" w:type="dxa"/>
          </w:tcPr>
          <w:p>
            <w:pPr>
              <w:pStyle w:val="TableNAm"/>
            </w:pPr>
            <w:r>
              <w:t>3.</w:t>
            </w:r>
          </w:p>
        </w:tc>
        <w:tc>
          <w:tcPr>
            <w:tcW w:w="3343" w:type="dxa"/>
          </w:tcPr>
          <w:p>
            <w:pPr>
              <w:pStyle w:val="TableNAm"/>
            </w:pPr>
            <w:r>
              <w:t>Issue of duplicate licence</w:t>
            </w:r>
          </w:p>
        </w:tc>
        <w:tc>
          <w:tcPr>
            <w:tcW w:w="1616" w:type="dxa"/>
          </w:tcPr>
          <w:p>
            <w:pPr>
              <w:pStyle w:val="TableNAm"/>
            </w:pPr>
            <w:r>
              <w:t>$28.00</w:t>
            </w:r>
          </w:p>
        </w:tc>
      </w:tr>
      <w:tr>
        <w:trPr>
          <w:cantSplit/>
          <w:jc w:val="center"/>
        </w:trPr>
        <w:tc>
          <w:tcPr>
            <w:tcW w:w="817" w:type="dxa"/>
          </w:tcPr>
          <w:p>
            <w:pPr>
              <w:pStyle w:val="TableNAm"/>
            </w:pPr>
            <w:r>
              <w:t>4.</w:t>
            </w:r>
          </w:p>
        </w:tc>
        <w:tc>
          <w:tcPr>
            <w:tcW w:w="3343" w:type="dxa"/>
          </w:tcPr>
          <w:p>
            <w:pPr>
              <w:pStyle w:val="TableNAm"/>
            </w:pPr>
            <w:r>
              <w:t>Inspection of register kept under section 12 of the Act</w:t>
            </w:r>
          </w:p>
        </w:tc>
        <w:tc>
          <w:tcPr>
            <w:tcW w:w="1616" w:type="dxa"/>
          </w:tcPr>
          <w:p>
            <w:pPr>
              <w:pStyle w:val="TableNAm"/>
            </w:pPr>
            <w:r>
              <w:br/>
              <w:t>$11.25</w:t>
            </w:r>
          </w:p>
        </w:tc>
      </w:tr>
    </w:tbl>
    <w:p>
      <w:pPr>
        <w:pStyle w:val="Subsection"/>
        <w:rPr>
          <w:ins w:id="23" w:author="Master Repository Process" w:date="2021-08-01T05:29:00Z"/>
        </w:rPr>
      </w:pPr>
      <w:ins w:id="24" w:author="Master Repository Process" w:date="2021-08-01T05:29:00Z">
        <w:r>
          <w:tab/>
          <w:t>(2)</w:t>
        </w:r>
        <w:r>
          <w:tab/>
          <w:t>For the purposes of section 10A(4)(b) of the Act, the amount prescribed by way of penalty for a late renewal application is 25% of the renewal fee.</w:t>
        </w:r>
      </w:ins>
    </w:p>
    <w:p>
      <w:pPr>
        <w:pStyle w:val="Footnotesection"/>
        <w:spacing w:before="100"/>
        <w:ind w:left="890" w:hanging="890"/>
      </w:pPr>
      <w:r>
        <w:tab/>
        <w:t>[Regulation 4 inserted: Gazette 23 Jun 2015 p. 2171; amended: Gazette 3 Jun 2016 p. 1757; 23 Jun 2017 p. 3236; 27 Jun 2017 p. 3410; 25 Jun 2018 p. 2338</w:t>
      </w:r>
      <w:ins w:id="25" w:author="Master Repository Process" w:date="2021-08-01T05:29:00Z">
        <w:r>
          <w:t>; 25 Jun 2019 p. 2191</w:t>
        </w:r>
        <w:r>
          <w:noBreakHyphen/>
          <w:t>2</w:t>
        </w:r>
      </w:ins>
      <w:r>
        <w:t>.]</w:t>
      </w:r>
    </w:p>
    <w:p>
      <w:pPr>
        <w:pStyle w:val="Heading5"/>
        <w:rPr>
          <w:snapToGrid w:val="0"/>
        </w:rPr>
      </w:pPr>
      <w:bookmarkStart w:id="26" w:name="_Toc12278947"/>
      <w:bookmarkStart w:id="27" w:name="_Toc11760755"/>
      <w:r>
        <w:rPr>
          <w:rStyle w:val="CharSectno"/>
        </w:rPr>
        <w:t>5</w:t>
      </w:r>
      <w:r>
        <w:rPr>
          <w:snapToGrid w:val="0"/>
        </w:rPr>
        <w:t>.</w:t>
      </w:r>
      <w:r>
        <w:rPr>
          <w:snapToGrid w:val="0"/>
        </w:rPr>
        <w:tab/>
        <w:t>Transfer of licence</w:t>
      </w:r>
      <w:bookmarkEnd w:id="26"/>
      <w:bookmarkEnd w:id="27"/>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 xml:space="preserve">The application for the transfer of the licence signed by the licensee and by the proposed transferee shall be lodged in </w:t>
      </w:r>
      <w:r>
        <w:t>the approved form</w:t>
      </w:r>
      <w:r>
        <w:rPr>
          <w:snapToGrid w:val="0"/>
        </w:rPr>
        <w:t xml:space="preserve"> with the Commissioner and shall be accompanied by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testimonials as to the character of the proposed licensee signed by not less than 3 reputable persons; and</w:t>
      </w:r>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w:t>
      </w:r>
    </w:p>
    <w:p>
      <w:pPr>
        <w:pStyle w:val="Indenta"/>
        <w:rPr>
          <w:snapToGrid w:val="0"/>
        </w:rPr>
      </w:pPr>
      <w:r>
        <w:rPr>
          <w:snapToGrid w:val="0"/>
        </w:rPr>
        <w:tab/>
        <w:t>(a)</w:t>
      </w:r>
      <w:r>
        <w:rPr>
          <w:snapToGrid w:val="0"/>
        </w:rPr>
        <w:tab/>
        <w:t>of good fame and character; and</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rPr>
          <w:snapToGrid w:val="0"/>
        </w:rPr>
      </w:pPr>
      <w:r>
        <w:rPr>
          <w:snapToGrid w:val="0"/>
        </w:rPr>
        <w:tab/>
        <w:t>(6)</w:t>
      </w:r>
      <w:r>
        <w:rPr>
          <w:snapToGrid w:val="0"/>
        </w:rPr>
        <w:tab/>
        <w:t>Upon the transfer of a licence the Commissioner shall —</w:t>
      </w:r>
    </w:p>
    <w:p>
      <w:pPr>
        <w:pStyle w:val="Indenta"/>
        <w:rPr>
          <w:snapToGrid w:val="0"/>
        </w:rPr>
      </w:pPr>
      <w:r>
        <w:rPr>
          <w:snapToGrid w:val="0"/>
        </w:rPr>
        <w:tab/>
        <w:t>(a)</w:t>
      </w:r>
      <w:r>
        <w:rPr>
          <w:snapToGrid w:val="0"/>
        </w:rPr>
        <w:tab/>
        <w:t>endorse the licence accordingly; and</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Gazette 30 Dec 2004 p. 6915-16; 22 Sep 2006 p. 4102; 27 Jun 2017 p. 3411.]</w:t>
      </w:r>
    </w:p>
    <w:p>
      <w:pPr>
        <w:pStyle w:val="Heading5"/>
      </w:pPr>
      <w:bookmarkStart w:id="28" w:name="_Toc12278948"/>
      <w:bookmarkStart w:id="29" w:name="_Toc11760756"/>
      <w:r>
        <w:rPr>
          <w:rStyle w:val="CharSectno"/>
        </w:rPr>
        <w:t>6</w:t>
      </w:r>
      <w:r>
        <w:t>.</w:t>
      </w:r>
      <w:r>
        <w:tab/>
        <w:t>Prescribed period for issue of licence</w:t>
      </w:r>
      <w:bookmarkEnd w:id="28"/>
      <w:bookmarkEnd w:id="29"/>
    </w:p>
    <w:p>
      <w:pPr>
        <w:pStyle w:val="Subsection"/>
      </w:pPr>
      <w:r>
        <w:tab/>
      </w:r>
      <w:r>
        <w:tab/>
        <w:t>For the purposes of section 10A(1) of the Act, the prescribed period for a licence that is issued is 3 years.</w:t>
      </w:r>
    </w:p>
    <w:p>
      <w:pPr>
        <w:pStyle w:val="Footnotesection"/>
      </w:pPr>
      <w:r>
        <w:tab/>
        <w:t>[Regulation 6 inserted: Gazette 27 Jun 2017 p. 3411.]</w:t>
      </w:r>
    </w:p>
    <w:p>
      <w:pPr>
        <w:pStyle w:val="Heading5"/>
      </w:pPr>
      <w:bookmarkStart w:id="30" w:name="_Toc12278949"/>
      <w:bookmarkStart w:id="31" w:name="_Toc11760757"/>
      <w:r>
        <w:rPr>
          <w:rStyle w:val="CharSectno"/>
        </w:rPr>
        <w:t>6A</w:t>
      </w:r>
      <w:r>
        <w:t>.</w:t>
      </w:r>
      <w:r>
        <w:tab/>
        <w:t>Prescribed period for renewal of licence</w:t>
      </w:r>
      <w:bookmarkEnd w:id="30"/>
      <w:bookmarkEnd w:id="31"/>
    </w:p>
    <w:p>
      <w:pPr>
        <w:pStyle w:val="Subsection"/>
      </w:pPr>
      <w:r>
        <w:tab/>
        <w:t>(1)</w:t>
      </w:r>
      <w:r>
        <w:tab/>
        <w:t xml:space="preserve">In this regulation — </w:t>
      </w:r>
    </w:p>
    <w:p>
      <w:pPr>
        <w:pStyle w:val="Defstart"/>
      </w:pPr>
      <w:r>
        <w:tab/>
      </w:r>
      <w:r>
        <w:rPr>
          <w:rStyle w:val="CharDefText"/>
        </w:rPr>
        <w:t>transition period</w:t>
      </w:r>
      <w:r>
        <w:t xml:space="preserve"> means the period commencing on the day on which the </w:t>
      </w:r>
      <w:r>
        <w:rPr>
          <w:i/>
        </w:rPr>
        <w:t>Licensing Provisions Amendment Act 2016</w:t>
      </w:r>
      <w:r>
        <w:t xml:space="preserve"> section 13 comes into operation and ending 12 months after that day.</w:t>
      </w:r>
    </w:p>
    <w:p>
      <w:pPr>
        <w:pStyle w:val="Subsection"/>
      </w:pPr>
      <w:r>
        <w:tab/>
        <w:t>(2)</w:t>
      </w:r>
      <w:r>
        <w:tab/>
        <w:t>For the purposes of section 10A(1) of the Act, the prescribed period for a licence that is renewed is 3 years.</w:t>
      </w:r>
    </w:p>
    <w:p>
      <w:pPr>
        <w:pStyle w:val="Subsection"/>
      </w:pPr>
      <w:r>
        <w:tab/>
        <w:t>(3)</w:t>
      </w:r>
      <w:r>
        <w:tab/>
        <w:t xml:space="preserve">However, if an application for renewal of a licence is made during the transition period, the prescribed period for the renewed licence is as follows — </w:t>
      </w:r>
    </w:p>
    <w:p>
      <w:pPr>
        <w:pStyle w:val="Indenta"/>
      </w:pPr>
      <w:r>
        <w:tab/>
        <w:t>(a)</w:t>
      </w:r>
      <w:r>
        <w:tab/>
        <w:t xml:space="preserve">for a licence that expires between 1 January and 30 April — a period of 3 years; </w:t>
      </w:r>
    </w:p>
    <w:p>
      <w:pPr>
        <w:pStyle w:val="Indenta"/>
      </w:pPr>
      <w:r>
        <w:tab/>
        <w:t>(b)</w:t>
      </w:r>
      <w:r>
        <w:tab/>
        <w:t xml:space="preserve">for a licence that expires between 1 May and 31 August — a period of 2 years; </w:t>
      </w:r>
    </w:p>
    <w:p>
      <w:pPr>
        <w:pStyle w:val="Indenta"/>
      </w:pPr>
      <w:r>
        <w:tab/>
        <w:t>(c)</w:t>
      </w:r>
      <w:r>
        <w:tab/>
        <w:t>for a licence that expires between 1 September and 31 December — a period of 1 year.</w:t>
      </w:r>
    </w:p>
    <w:p>
      <w:pPr>
        <w:pStyle w:val="Footnotesection"/>
      </w:pPr>
      <w:r>
        <w:tab/>
        <w:t>[Regulation 6A inserted: Gazette 27 Jun 2017 p. 3411.]</w:t>
      </w:r>
    </w:p>
    <w:p>
      <w:pPr>
        <w:pStyle w:val="Heading5"/>
        <w:rPr>
          <w:snapToGrid w:val="0"/>
        </w:rPr>
      </w:pPr>
      <w:bookmarkStart w:id="32" w:name="_Toc12278950"/>
      <w:bookmarkStart w:id="33" w:name="_Toc11760758"/>
      <w:r>
        <w:rPr>
          <w:rStyle w:val="CharSectno"/>
        </w:rPr>
        <w:t>7</w:t>
      </w:r>
      <w:r>
        <w:rPr>
          <w:snapToGrid w:val="0"/>
        </w:rPr>
        <w:t>.</w:t>
      </w:r>
      <w:r>
        <w:rPr>
          <w:snapToGrid w:val="0"/>
        </w:rPr>
        <w:tab/>
        <w:t>Duplicate licence</w:t>
      </w:r>
      <w:bookmarkEnd w:id="32"/>
      <w:bookmarkEnd w:id="33"/>
    </w:p>
    <w:p>
      <w:pPr>
        <w:pStyle w:val="Subsection"/>
        <w:rPr>
          <w:snapToGrid w:val="0"/>
        </w:rPr>
      </w:pPr>
      <w:r>
        <w:rPr>
          <w:snapToGrid w:val="0"/>
        </w:rPr>
        <w:tab/>
        <w:t>(1)</w:t>
      </w:r>
      <w:r>
        <w:rPr>
          <w:snapToGrid w:val="0"/>
        </w:rPr>
        <w:tab/>
        <w:t xml:space="preserve">An application for a duplicate licence under section 9(5) of the Act shall be lodged in </w:t>
      </w:r>
      <w:r>
        <w:t>the approved form</w:t>
      </w:r>
      <w:r>
        <w:rPr>
          <w:snapToGrid w:val="0"/>
        </w:rPr>
        <w:t xml:space="preserve"> with the Commissioner.</w:t>
      </w:r>
    </w:p>
    <w:p>
      <w:pPr>
        <w:pStyle w:val="Subsection"/>
        <w:keepNext/>
        <w:rPr>
          <w:snapToGrid w:val="0"/>
        </w:rPr>
      </w:pPr>
      <w:r>
        <w:tab/>
        <w:t>(2)</w:t>
      </w:r>
      <w:r>
        <w:tab/>
      </w:r>
      <w:r>
        <w:rPr>
          <w:snapToGrid w:val="0"/>
        </w:rPr>
        <w:t>Where a duplicate licence is issued that licence shall be endorsed as follows —</w:t>
      </w:r>
    </w:p>
    <w:p>
      <w:pPr>
        <w:pStyle w:val="Subsection"/>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Gazette 30 Dec 2004 p. 6916; 27 Jun 2017 p. 3411.]</w:t>
      </w:r>
    </w:p>
    <w:p>
      <w:pPr>
        <w:pStyle w:val="Heading5"/>
        <w:rPr>
          <w:snapToGrid w:val="0"/>
        </w:rPr>
      </w:pPr>
      <w:bookmarkStart w:id="34" w:name="_Toc12278951"/>
      <w:bookmarkStart w:id="35" w:name="_Toc11760759"/>
      <w:r>
        <w:rPr>
          <w:rStyle w:val="CharSectno"/>
        </w:rPr>
        <w:t>8</w:t>
      </w:r>
      <w:r>
        <w:rPr>
          <w:snapToGrid w:val="0"/>
        </w:rPr>
        <w:t>.</w:t>
      </w:r>
      <w:r>
        <w:rPr>
          <w:snapToGrid w:val="0"/>
        </w:rPr>
        <w:tab/>
        <w:t>Fidelity bond</w:t>
      </w:r>
      <w:bookmarkEnd w:id="34"/>
      <w:bookmarkEnd w:id="35"/>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w:t>
      </w:r>
    </w:p>
    <w:p>
      <w:pPr>
        <w:pStyle w:val="Footnotesection"/>
      </w:pPr>
      <w:r>
        <w:tab/>
        <w:t>[Regulation 8 amended: Gazette 30 Dec 2004 p. 6916.]</w:t>
      </w:r>
    </w:p>
    <w:p>
      <w:pPr>
        <w:pStyle w:val="Heading5"/>
        <w:rPr>
          <w:snapToGrid w:val="0"/>
        </w:rPr>
      </w:pPr>
      <w:bookmarkStart w:id="36" w:name="_Toc12278952"/>
      <w:bookmarkStart w:id="37" w:name="_Toc11760760"/>
      <w:r>
        <w:rPr>
          <w:rStyle w:val="CharSectno"/>
        </w:rPr>
        <w:t>9</w:t>
      </w:r>
      <w:r>
        <w:rPr>
          <w:snapToGrid w:val="0"/>
        </w:rPr>
        <w:t>.</w:t>
      </w:r>
      <w:r>
        <w:rPr>
          <w:snapToGrid w:val="0"/>
        </w:rPr>
        <w:tab/>
        <w:t>Surrender of licence</w:t>
      </w:r>
      <w:bookmarkEnd w:id="36"/>
      <w:bookmarkEnd w:id="37"/>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r>
        <w:tab/>
        <w:t>[Regulation 9 amended: Gazette 30 Dec 2004 p. 6916.]</w:t>
      </w:r>
    </w:p>
    <w:p>
      <w:pPr>
        <w:pStyle w:val="Heading5"/>
      </w:pPr>
      <w:bookmarkStart w:id="38" w:name="_Toc12278953"/>
      <w:bookmarkStart w:id="39" w:name="_Toc11760761"/>
      <w:r>
        <w:rPr>
          <w:rStyle w:val="CharSectno"/>
        </w:rPr>
        <w:t>9A</w:t>
      </w:r>
      <w:r>
        <w:t>.</w:t>
      </w:r>
      <w:r>
        <w:tab/>
        <w:t>Refund of prescribed fee if licence surrendered</w:t>
      </w:r>
      <w:bookmarkEnd w:id="38"/>
      <w:bookmarkEnd w:id="39"/>
      <w:r>
        <w:t xml:space="preserve"> </w:t>
      </w:r>
    </w:p>
    <w:p>
      <w:pPr>
        <w:pStyle w:val="Subsection"/>
      </w:pPr>
      <w:r>
        <w:tab/>
        <w:t>(1)</w:t>
      </w:r>
      <w:r>
        <w:tab/>
        <w:t xml:space="preserve">In this regulation — </w:t>
      </w:r>
    </w:p>
    <w:p>
      <w:pPr>
        <w:pStyle w:val="Defstart"/>
      </w:pPr>
      <w:r>
        <w:tab/>
      </w:r>
      <w:r>
        <w:rPr>
          <w:rStyle w:val="CharDefText"/>
        </w:rPr>
        <w:t>surrendered licence</w:t>
      </w:r>
      <w:r>
        <w:t xml:space="preserve"> means a licence that is surrendered under regulation 9.</w:t>
      </w:r>
    </w:p>
    <w:p>
      <w:pPr>
        <w:pStyle w:val="Subsection"/>
      </w:pPr>
      <w:r>
        <w:tab/>
        <w:t>(2)</w:t>
      </w:r>
      <w:r>
        <w:tab/>
        <w:t>The Commissioner must, on application by a person who was the holder of a surrendered licence, refund to the person an amount of the prescribed fee paid for the licence that, in the Commissioner’s opinion, relates to the period between the day the licence is surrendered and the day the licence would have expired.</w:t>
      </w:r>
    </w:p>
    <w:p>
      <w:pPr>
        <w:pStyle w:val="Footnotesection"/>
      </w:pPr>
      <w:r>
        <w:tab/>
        <w:t>[Regulation 9A inserted: Gazette 27 Jun 2017 p. 3412.]</w:t>
      </w:r>
    </w:p>
    <w:p>
      <w:pPr>
        <w:pStyle w:val="Heading5"/>
        <w:rPr>
          <w:snapToGrid w:val="0"/>
        </w:rPr>
      </w:pPr>
      <w:bookmarkStart w:id="40" w:name="_Toc12278954"/>
      <w:bookmarkStart w:id="41" w:name="_Toc11760762"/>
      <w:r>
        <w:rPr>
          <w:rStyle w:val="CharSectno"/>
        </w:rPr>
        <w:t>10</w:t>
      </w:r>
      <w:r>
        <w:rPr>
          <w:snapToGrid w:val="0"/>
        </w:rPr>
        <w:t>.</w:t>
      </w:r>
      <w:r>
        <w:rPr>
          <w:snapToGrid w:val="0"/>
        </w:rPr>
        <w:tab/>
        <w:t>Non</w:t>
      </w:r>
      <w:r>
        <w:rPr>
          <w:snapToGrid w:val="0"/>
        </w:rPr>
        <w:noBreakHyphen/>
        <w:t>disclosure by auditor and person appointed by Minister</w:t>
      </w:r>
      <w:bookmarkEnd w:id="40"/>
      <w:bookmarkEnd w:id="41"/>
    </w:p>
    <w:p>
      <w:pPr>
        <w:pStyle w:val="Subsection"/>
        <w:rPr>
          <w:snapToGrid w:val="0"/>
        </w:rPr>
      </w:pPr>
      <w:r>
        <w:rPr>
          <w:snapToGrid w:val="0"/>
        </w:rPr>
        <w:tab/>
        <w:t>(1)</w:t>
      </w:r>
      <w:r>
        <w:rPr>
          <w:snapToGrid w:val="0"/>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w:t>
      </w:r>
    </w:p>
    <w:p>
      <w:pPr>
        <w:pStyle w:val="Indenta"/>
        <w:rPr>
          <w:snapToGrid w:val="0"/>
        </w:rPr>
      </w:pPr>
      <w:r>
        <w:rPr>
          <w:snapToGrid w:val="0"/>
        </w:rPr>
        <w:tab/>
        <w:t>(a)</w:t>
      </w:r>
      <w:r>
        <w:rPr>
          <w:snapToGrid w:val="0"/>
        </w:rPr>
        <w:tab/>
        <w:t>by means of or in any report made pursuant to the Act or to the Minister; or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rPr>
      </w:pPr>
      <w:r>
        <w:rPr>
          <w:snapToGrid w:val="0"/>
        </w:rPr>
        <w:tab/>
        <w:t>(c)</w:t>
      </w:r>
      <w:r>
        <w:rPr>
          <w:snapToGrid w:val="0"/>
        </w:rPr>
        <w:tab/>
        <w:t>to any surety under a fidelity bond or approved security given in respect of a debt collector either verbally or in writing if the disclosure is first approved by the Minister.</w:t>
      </w:r>
    </w:p>
    <w:p>
      <w:pPr>
        <w:pStyle w:val="Heading5"/>
        <w:rPr>
          <w:snapToGrid w:val="0"/>
        </w:rPr>
      </w:pPr>
      <w:bookmarkStart w:id="42" w:name="_Toc12278955"/>
      <w:bookmarkStart w:id="43" w:name="_Toc11760763"/>
      <w:r>
        <w:rPr>
          <w:rStyle w:val="CharSectno"/>
        </w:rPr>
        <w:t>11</w:t>
      </w:r>
      <w:r>
        <w:rPr>
          <w:snapToGrid w:val="0"/>
        </w:rPr>
        <w:t>.</w:t>
      </w:r>
      <w:r>
        <w:rPr>
          <w:snapToGrid w:val="0"/>
        </w:rPr>
        <w:tab/>
        <w:t>Offence</w:t>
      </w:r>
      <w:bookmarkEnd w:id="42"/>
      <w:bookmarkEnd w:id="43"/>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pPr>
      <w:bookmarkStart w:id="44" w:name="_Toc12278956"/>
      <w:bookmarkStart w:id="45" w:name="_Toc11760764"/>
      <w:r>
        <w:rPr>
          <w:rStyle w:val="CharSectno"/>
        </w:rPr>
        <w:t>12</w:t>
      </w:r>
      <w:r>
        <w:t>.</w:t>
      </w:r>
      <w:r>
        <w:tab/>
        <w:t>Notification of changes in information relating to licensee</w:t>
      </w:r>
      <w:bookmarkEnd w:id="44"/>
      <w:bookmarkEnd w:id="45"/>
    </w:p>
    <w:p>
      <w:pPr>
        <w:pStyle w:val="Subsection"/>
        <w:keepNext/>
      </w:pPr>
      <w:r>
        <w:tab/>
        <w:t>(1)</w:t>
      </w:r>
      <w:r>
        <w:tab/>
        <w:t xml:space="preserve">A licensee must give a notice in writing to the Commissioner if there is a change in any of the following information relating to the licensee — </w:t>
      </w:r>
    </w:p>
    <w:p>
      <w:pPr>
        <w:pStyle w:val="Indenta"/>
      </w:pPr>
      <w:r>
        <w:tab/>
        <w:t>(a)</w:t>
      </w:r>
      <w:r>
        <w:tab/>
        <w:t>the name of the licensee;</w:t>
      </w:r>
    </w:p>
    <w:p>
      <w:pPr>
        <w:pStyle w:val="Indenta"/>
      </w:pPr>
      <w:r>
        <w:tab/>
        <w:t>(b)</w:t>
      </w:r>
      <w:r>
        <w:tab/>
        <w:t>the address of the place of business of the licensee;</w:t>
      </w:r>
    </w:p>
    <w:p>
      <w:pPr>
        <w:pStyle w:val="Indenta"/>
      </w:pPr>
      <w:r>
        <w:tab/>
        <w:t>(c)</w:t>
      </w:r>
      <w:r>
        <w:tab/>
        <w:t>if the licensee is a natural person — the residential address of the licensee;</w:t>
      </w:r>
    </w:p>
    <w:p>
      <w:pPr>
        <w:pStyle w:val="Indenta"/>
      </w:pPr>
      <w:r>
        <w:tab/>
        <w:t>(d)</w:t>
      </w:r>
      <w:r>
        <w:tab/>
        <w:t>if the licensee is a corporation — the directors of the licensee.</w:t>
      </w:r>
    </w:p>
    <w:p>
      <w:pPr>
        <w:pStyle w:val="Subsection"/>
      </w:pPr>
      <w:r>
        <w:tab/>
        <w:t>(2)</w:t>
      </w:r>
      <w:r>
        <w:tab/>
        <w:t>Notice must be given within 14 days after the change in the information relating to the licensee.</w:t>
      </w:r>
    </w:p>
    <w:p>
      <w:pPr>
        <w:pStyle w:val="Subsection"/>
      </w:pPr>
      <w:r>
        <w:tab/>
        <w:t>(3)</w:t>
      </w:r>
      <w:r>
        <w:tab/>
        <w:t>On receipt of a notice, the Commissioner must update the information in the register relating to the licensee accordingly.</w:t>
      </w:r>
    </w:p>
    <w:p>
      <w:pPr>
        <w:pStyle w:val="Footnotesection"/>
      </w:pPr>
      <w:r>
        <w:tab/>
        <w:t>[Regulation 12 inserted: Gazette 27 Jun 2017 p. 3412.]</w:t>
      </w:r>
    </w:p>
    <w:p>
      <w:pPr>
        <w:pStyle w:val="Heading5"/>
        <w:rPr>
          <w:snapToGrid w:val="0"/>
        </w:rPr>
      </w:pPr>
      <w:bookmarkStart w:id="46" w:name="_Toc12278957"/>
      <w:bookmarkStart w:id="47" w:name="_Toc11760765"/>
      <w:r>
        <w:rPr>
          <w:rStyle w:val="CharSectno"/>
        </w:rPr>
        <w:t>13</w:t>
      </w:r>
      <w:r>
        <w:rPr>
          <w:snapToGrid w:val="0"/>
        </w:rPr>
        <w:t>.</w:t>
      </w:r>
      <w:r>
        <w:rPr>
          <w:snapToGrid w:val="0"/>
        </w:rPr>
        <w:tab/>
        <w:t>Charges by licensee</w:t>
      </w:r>
      <w:bookmarkEnd w:id="46"/>
      <w:bookmarkEnd w:id="47"/>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48" w:name="_Toc12278958"/>
      <w:bookmarkStart w:id="49" w:name="_Toc11760766"/>
      <w:r>
        <w:rPr>
          <w:rStyle w:val="CharSectno"/>
        </w:rPr>
        <w:t>14</w:t>
      </w:r>
      <w:r>
        <w:rPr>
          <w:snapToGrid w:val="0"/>
        </w:rPr>
        <w:t>.</w:t>
      </w:r>
      <w:r>
        <w:rPr>
          <w:snapToGrid w:val="0"/>
        </w:rPr>
        <w:tab/>
        <w:t>Exemptions</w:t>
      </w:r>
      <w:bookmarkEnd w:id="48"/>
      <w:bookmarkEnd w:id="49"/>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 and</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[Regulation 14 inserted: Gazette 12 Oct 1965 p. 3515; amended: Gazette 6 Jan 1966 p. 1.]</w:t>
      </w:r>
    </w:p>
    <w:p>
      <w:pPr>
        <w:pStyle w:val="Heading5"/>
        <w:rPr>
          <w:snapToGrid w:val="0"/>
        </w:rPr>
      </w:pPr>
      <w:bookmarkStart w:id="50" w:name="_Toc12278959"/>
      <w:bookmarkStart w:id="51" w:name="_Toc11760767"/>
      <w:r>
        <w:rPr>
          <w:rStyle w:val="CharSectno"/>
        </w:rPr>
        <w:t>15</w:t>
      </w:r>
      <w:r>
        <w:rPr>
          <w:snapToGrid w:val="0"/>
        </w:rPr>
        <w:t>.</w:t>
      </w:r>
      <w:r>
        <w:rPr>
          <w:snapToGrid w:val="0"/>
        </w:rPr>
        <w:tab/>
        <w:t>Penalties</w:t>
      </w:r>
      <w:bookmarkEnd w:id="50"/>
      <w:bookmarkEnd w:id="51"/>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52" w:name="_Toc12278960"/>
      <w:bookmarkStart w:id="53" w:name="_Toc11760768"/>
      <w:r>
        <w:rPr>
          <w:rStyle w:val="CharSectno"/>
        </w:rPr>
        <w:t>16</w:t>
      </w:r>
      <w:r>
        <w:t>.</w:t>
      </w:r>
      <w:r>
        <w:tab/>
        <w:t>Infringement notices</w:t>
      </w:r>
      <w:bookmarkEnd w:id="52"/>
      <w:bookmarkEnd w:id="53"/>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16 inserted: Gazette 22 Sep 2006 p. 4102.]</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54" w:name="_Toc11747405"/>
      <w:bookmarkStart w:id="55" w:name="_Toc11752931"/>
      <w:bookmarkStart w:id="56" w:name="_Toc11760769"/>
      <w:bookmarkStart w:id="57" w:name="_Toc12278961"/>
      <w:r>
        <w:rPr>
          <w:rStyle w:val="CharSchNo"/>
        </w:rPr>
        <w:t>First Schedule</w:t>
      </w:r>
      <w:bookmarkEnd w:id="54"/>
      <w:bookmarkEnd w:id="55"/>
      <w:bookmarkEnd w:id="56"/>
      <w:bookmarkEnd w:id="57"/>
    </w:p>
    <w:p>
      <w:pPr>
        <w:pStyle w:val="yEdnotesection"/>
      </w:pPr>
      <w:r>
        <w:t>[Forms 1 and 2 deleted: Gazette 27 Jun 2017 p. 3412.]</w:t>
      </w:r>
    </w:p>
    <w:p>
      <w:pPr>
        <w:pStyle w:val="yEdnotesection"/>
      </w:pPr>
      <w:r>
        <w:t>[Form 3 deleted: Gazette 30 Dec 2004 p. 6917.]</w:t>
      </w:r>
    </w:p>
    <w:p>
      <w:pPr>
        <w:pStyle w:val="yMiscellaneousHeading"/>
        <w:pageBreakBefore/>
        <w:spacing w:before="0"/>
        <w:rPr>
          <w:b/>
          <w:bCs/>
          <w:snapToGrid w:val="0"/>
        </w:rPr>
      </w:pPr>
      <w:r>
        <w:rPr>
          <w:rStyle w:val="CharSClsNo"/>
          <w:b/>
        </w:rPr>
        <w:t>Form 4</w:t>
      </w:r>
    </w:p>
    <w:p>
      <w:pPr>
        <w:pStyle w:val="yMiscellaneousHeading"/>
        <w:rPr>
          <w:snapToGrid w:val="0"/>
        </w:rPr>
      </w:pPr>
      <w:r>
        <w:rPr>
          <w:i/>
          <w:snapToGrid w:val="0"/>
        </w:rPr>
        <w:t>Debt Collectors Licensing Act 1964</w:t>
      </w:r>
    </w:p>
    <w:p>
      <w:pPr>
        <w:pStyle w:val="yMiscellaneousHeading"/>
        <w:spacing w:after="80"/>
        <w:rPr>
          <w:iCs/>
          <w:snapToGrid w:val="0"/>
        </w:rPr>
      </w:pPr>
      <w:r>
        <w:rPr>
          <w:iCs/>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NAm"/>
              <w:spacing w:before="60" w:after="60"/>
              <w:jc w:val="center"/>
            </w:pPr>
            <w:r>
              <w:t>Name of Licensee</w:t>
            </w:r>
          </w:p>
        </w:tc>
        <w:tc>
          <w:tcPr>
            <w:tcW w:w="993" w:type="dxa"/>
            <w:vAlign w:val="center"/>
          </w:tcPr>
          <w:p>
            <w:pPr>
              <w:pStyle w:val="yTableNAm"/>
              <w:spacing w:before="60" w:after="60"/>
              <w:jc w:val="center"/>
            </w:pPr>
            <w:r>
              <w:t>Place of Abode</w:t>
            </w:r>
          </w:p>
        </w:tc>
        <w:tc>
          <w:tcPr>
            <w:tcW w:w="1134" w:type="dxa"/>
            <w:vAlign w:val="center"/>
          </w:tcPr>
          <w:p>
            <w:pPr>
              <w:pStyle w:val="yTableNAm"/>
              <w:spacing w:before="60" w:after="60"/>
              <w:jc w:val="center"/>
            </w:pPr>
            <w:r>
              <w:t xml:space="preserve">Sole or </w:t>
            </w:r>
            <w:smartTag w:uri="urn:schemas-microsoft-com:office:smarttags" w:element="Street">
              <w:smartTag w:uri="urn:schemas-microsoft-com:office:smarttags" w:element="address">
                <w:r>
                  <w:t>Principal Place</w:t>
                </w:r>
              </w:smartTag>
            </w:smartTag>
            <w:r>
              <w:t xml:space="preserve"> of Business</w:t>
            </w:r>
          </w:p>
        </w:tc>
        <w:tc>
          <w:tcPr>
            <w:tcW w:w="1276" w:type="dxa"/>
            <w:vAlign w:val="center"/>
          </w:tcPr>
          <w:p>
            <w:pPr>
              <w:pStyle w:val="yTableNAm"/>
              <w:spacing w:before="60" w:after="60"/>
              <w:jc w:val="center"/>
            </w:pPr>
            <w:r>
              <w:t>Licence No. and Expiry Date</w:t>
            </w:r>
          </w:p>
        </w:tc>
        <w:tc>
          <w:tcPr>
            <w:tcW w:w="1417" w:type="dxa"/>
            <w:vAlign w:val="center"/>
          </w:tcPr>
          <w:p>
            <w:pPr>
              <w:pStyle w:val="yTableNAm"/>
              <w:spacing w:before="60" w:after="60"/>
              <w:jc w:val="center"/>
            </w:pPr>
            <w:r>
              <w:t>Date of Issue, Renewal or Cancellation</w:t>
            </w:r>
          </w:p>
        </w:tc>
        <w:tc>
          <w:tcPr>
            <w:tcW w:w="1134" w:type="dxa"/>
            <w:vAlign w:val="center"/>
          </w:tcPr>
          <w:p>
            <w:pPr>
              <w:pStyle w:val="yTableNAm"/>
              <w:spacing w:before="60" w:after="60"/>
              <w:jc w:val="center"/>
            </w:pPr>
            <w:r>
              <w:t>Action Notified*</w:t>
            </w:r>
          </w:p>
        </w:tc>
      </w:tr>
      <w:tr>
        <w:tc>
          <w:tcPr>
            <w:tcW w:w="1134" w:type="dxa"/>
          </w:tcPr>
          <w:p>
            <w:pPr>
              <w:pStyle w:val="yTableNAm"/>
            </w:pPr>
          </w:p>
          <w:p>
            <w:pPr>
              <w:pStyle w:val="yTableNAm"/>
            </w:pPr>
          </w:p>
          <w:p>
            <w:pPr>
              <w:pStyle w:val="yTableNAm"/>
            </w:pPr>
          </w:p>
          <w:p>
            <w:pPr>
              <w:pStyle w:val="yTableNAm"/>
            </w:pPr>
          </w:p>
        </w:tc>
        <w:tc>
          <w:tcPr>
            <w:tcW w:w="993" w:type="dxa"/>
          </w:tcPr>
          <w:p>
            <w:pPr>
              <w:pStyle w:val="yTableNAm"/>
            </w:pPr>
          </w:p>
        </w:tc>
        <w:tc>
          <w:tcPr>
            <w:tcW w:w="1134" w:type="dxa"/>
          </w:tcPr>
          <w:p>
            <w:pPr>
              <w:pStyle w:val="yTableNAm"/>
            </w:pPr>
          </w:p>
        </w:tc>
        <w:tc>
          <w:tcPr>
            <w:tcW w:w="1276" w:type="dxa"/>
          </w:tcPr>
          <w:p>
            <w:pPr>
              <w:pStyle w:val="yTableNAm"/>
            </w:pPr>
          </w:p>
        </w:tc>
        <w:tc>
          <w:tcPr>
            <w:tcW w:w="1417" w:type="dxa"/>
          </w:tcPr>
          <w:p>
            <w:pPr>
              <w:pStyle w:val="yTableNAm"/>
            </w:pPr>
          </w:p>
        </w:tc>
        <w:tc>
          <w:tcPr>
            <w:tcW w:w="1134" w:type="dxa"/>
          </w:tcPr>
          <w:p>
            <w:pPr>
              <w:pStyle w:val="yTableNAm"/>
            </w:pPr>
          </w:p>
        </w:tc>
      </w:tr>
    </w:tbl>
    <w:p>
      <w:pPr>
        <w:pStyle w:val="yMiscellaneousBody"/>
        <w:jc w:val="center"/>
        <w:rPr>
          <w:snapToGrid w:val="0"/>
          <w:sz w:val="18"/>
        </w:rPr>
      </w:pPr>
      <w:r>
        <w:rPr>
          <w:snapToGrid w:val="0"/>
          <w:sz w:val="18"/>
        </w:rPr>
        <w:t>*  Issue, renewal, cancellation or surrender or notification of change of place of business or transfer of licence.</w:t>
      </w:r>
    </w:p>
    <w:p>
      <w:pPr>
        <w:pStyle w:val="yMiscellaneousBody"/>
        <w:jc w:val="right"/>
        <w:rPr>
          <w:snapToGrid w:val="0"/>
        </w:rPr>
      </w:pPr>
      <w:r>
        <w:rPr>
          <w:snapToGrid w:val="0"/>
        </w:rPr>
        <w:t>......................................................................</w:t>
      </w:r>
    </w:p>
    <w:p>
      <w:pPr>
        <w:pStyle w:val="yMiscellaneousBody"/>
        <w:spacing w:before="0"/>
        <w:jc w:val="right"/>
        <w:rPr>
          <w:snapToGrid w:val="0"/>
        </w:rPr>
      </w:pPr>
      <w:r>
        <w:rPr>
          <w:snapToGrid w:val="0"/>
        </w:rPr>
        <w:t>Commissioner for Consumer Protection</w:t>
      </w:r>
      <w:r>
        <w:rPr>
          <w:vertAlign w:val="superscript"/>
        </w:rPr>
        <w:t> 2</w:t>
      </w:r>
    </w:p>
    <w:p>
      <w:pPr>
        <w:pStyle w:val="yFootnotesection"/>
      </w:pPr>
      <w:r>
        <w:tab/>
        <w:t>[Form 4 amended: Gazette 30 Dec 2004 p. 6917; 12 Jan 2007 p. 47.]</w:t>
      </w:r>
    </w:p>
    <w:p>
      <w:pPr>
        <w:pStyle w:val="yEdnotesection"/>
      </w:pPr>
      <w:r>
        <w:t>[Forms 5 and 6 deleted: Gazette 27 Jun 2017 p. 3412.]</w:t>
      </w:r>
    </w:p>
    <w:p>
      <w:pPr>
        <w:pStyle w:val="yMiscellaneousHeading"/>
        <w:pageBreakBefore/>
        <w:spacing w:before="0" w:after="80"/>
        <w:rPr>
          <w:b/>
          <w:bCs/>
          <w:snapToGrid w:val="0"/>
        </w:rPr>
      </w:pPr>
      <w:r>
        <w:rPr>
          <w:rStyle w:val="CharSClsNo"/>
          <w:b/>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Borders>
              <w:bottom w:val="single" w:sz="4" w:space="0" w:color="auto"/>
            </w:tcBorders>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0"/>
              <w:rPr>
                <w:b/>
                <w:sz w:val="20"/>
              </w:rPr>
            </w:pPr>
            <w:r>
              <w:rPr>
                <w:b/>
                <w:sz w:val="20"/>
              </w:rPr>
              <w:t>Alleged offender</w:t>
            </w:r>
          </w:p>
        </w:tc>
        <w:tc>
          <w:tcPr>
            <w:tcW w:w="5662"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754"/>
              </w:tabs>
              <w:spacing w:before="0"/>
              <w:rPr>
                <w:sz w:val="20"/>
              </w:rPr>
            </w:pPr>
            <w:r>
              <w:rPr>
                <w:sz w:val="20"/>
              </w:rPr>
              <w:tab/>
              <w:t>Given names</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274"/>
                <w:tab w:val="left" w:pos="754"/>
              </w:tabs>
              <w:spacing w:before="0"/>
              <w:ind w:right="-108"/>
              <w:rPr>
                <w:sz w:val="20"/>
              </w:rPr>
            </w:pPr>
            <w:r>
              <w:rPr>
                <w:sz w:val="20"/>
              </w:rPr>
              <w:tab/>
              <w:t>or</w:t>
            </w:r>
            <w:r>
              <w:rPr>
                <w:sz w:val="20"/>
              </w:rPr>
              <w:tab/>
              <w:t>Company name __________________________________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418" w:type="dxa"/>
            <w:vMerge/>
          </w:tcPr>
          <w:p>
            <w:pPr>
              <w:pStyle w:val="yTableNAm"/>
              <w:spacing w:before="0"/>
              <w:rPr>
                <w:b/>
                <w:sz w:val="20"/>
              </w:rPr>
            </w:pPr>
          </w:p>
        </w:tc>
        <w:tc>
          <w:tcPr>
            <w:tcW w:w="5662" w:type="dxa"/>
            <w:gridSpan w:val="2"/>
          </w:tcPr>
          <w:p>
            <w:pPr>
              <w:pStyle w:val="yTableNAm"/>
              <w:spacing w:before="0"/>
              <w:ind w:right="-108"/>
              <w:rPr>
                <w:sz w:val="20"/>
              </w:rPr>
            </w:pPr>
            <w:r>
              <w:rPr>
                <w:sz w:val="20"/>
              </w:rPr>
              <w:t>Address ________________________________________________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418" w:type="dxa"/>
            <w:vMerge w:val="restart"/>
          </w:tcPr>
          <w:p>
            <w:pPr>
              <w:pStyle w:val="yTableNAm"/>
              <w:spacing w:before="0"/>
              <w:rPr>
                <w:b/>
                <w:sz w:val="20"/>
              </w:rPr>
            </w:pPr>
            <w:r>
              <w:rPr>
                <w:b/>
                <w:sz w:val="20"/>
              </w:rPr>
              <w:t>Alleged offence</w:t>
            </w:r>
          </w:p>
        </w:tc>
        <w:tc>
          <w:tcPr>
            <w:tcW w:w="5662" w:type="dxa"/>
            <w:gridSpan w:val="2"/>
          </w:tcPr>
          <w:p>
            <w:pPr>
              <w:pStyle w:val="yTableNAm"/>
              <w:spacing w:before="0"/>
              <w:ind w:right="-108"/>
              <w:rPr>
                <w:sz w:val="20"/>
              </w:rPr>
            </w:pPr>
            <w:r>
              <w:rPr>
                <w:sz w:val="20"/>
              </w:rPr>
              <w:t>Description of offence _____________________________________</w:t>
            </w:r>
          </w:p>
          <w:p>
            <w:pPr>
              <w:pStyle w:val="yTableNAm"/>
              <w:spacing w:before="0"/>
              <w:rPr>
                <w:sz w:val="20"/>
              </w:rPr>
            </w:pP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b/>
                <w:i/>
                <w:iCs/>
                <w:sz w:val="20"/>
              </w:rPr>
              <w:br w:type="page"/>
            </w:r>
            <w:r>
              <w:rPr>
                <w:i/>
                <w:iCs/>
                <w:sz w:val="20"/>
              </w:rPr>
              <w:t>Debt Collectors Licensing Act 1964</w:t>
            </w:r>
            <w:r>
              <w:rPr>
                <w:iCs/>
                <w:sz w:val="20"/>
              </w:rPr>
              <w:t xml:space="preserve"> </w:t>
            </w:r>
            <w:r>
              <w:rPr>
                <w:sz w:val="20"/>
              </w:rPr>
              <w:t>s.</w:t>
            </w:r>
          </w:p>
          <w:p>
            <w:pPr>
              <w:pStyle w:val="yTableNAm"/>
              <w:spacing w:before="0"/>
              <w:rPr>
                <w:i/>
                <w:iCs/>
                <w:sz w:val="20"/>
              </w:rPr>
            </w:pPr>
            <w:r>
              <w:rPr>
                <w:i/>
                <w:iCs/>
                <w:sz w:val="20"/>
              </w:rPr>
              <w:t>Debt Collectors Licensing Regulations 1964</w:t>
            </w:r>
            <w:r>
              <w:rPr>
                <w:sz w:val="20"/>
              </w:rPr>
              <w:t xml:space="preserve"> r. </w:t>
            </w:r>
          </w:p>
        </w:tc>
      </w:tr>
      <w:tr>
        <w:trPr>
          <w:cantSplit/>
        </w:trPr>
        <w:tc>
          <w:tcPr>
            <w:tcW w:w="1418" w:type="dxa"/>
            <w:vMerge/>
          </w:tcPr>
          <w:p>
            <w:pPr>
              <w:pStyle w:val="yTableNAm"/>
              <w:spacing w:before="0"/>
              <w:rPr>
                <w:sz w:val="20"/>
              </w:rPr>
            </w:pPr>
          </w:p>
        </w:tc>
        <w:tc>
          <w:tcPr>
            <w:tcW w:w="5662" w:type="dxa"/>
            <w:gridSpan w:val="2"/>
          </w:tcPr>
          <w:p>
            <w:pPr>
              <w:pStyle w:val="yTableNAm"/>
              <w:tabs>
                <w:tab w:val="clear" w:pos="567"/>
                <w:tab w:val="left" w:pos="1026"/>
                <w:tab w:val="left" w:pos="1593"/>
                <w:tab w:val="left" w:pos="3010"/>
                <w:tab w:val="left" w:pos="4428"/>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0"/>
              <w:rPr>
                <w:b/>
                <w:sz w:val="20"/>
              </w:rPr>
            </w:pPr>
          </w:p>
        </w:tc>
        <w:tc>
          <w:tcPr>
            <w:tcW w:w="5662" w:type="dxa"/>
            <w:gridSpan w:val="2"/>
          </w:tcPr>
          <w:p>
            <w:pPr>
              <w:pStyle w:val="yTableNAm"/>
              <w:spacing w:before="0"/>
              <w:rPr>
                <w:sz w:val="20"/>
              </w:rPr>
            </w:pPr>
            <w:r>
              <w:rPr>
                <w:sz w:val="20"/>
              </w:rPr>
              <w:t>Modified penalty  $</w:t>
            </w:r>
          </w:p>
        </w:tc>
      </w:tr>
      <w:tr>
        <w:trPr>
          <w:cantSplit/>
        </w:trPr>
        <w:tc>
          <w:tcPr>
            <w:tcW w:w="1418" w:type="dxa"/>
            <w:vMerge w:val="restart"/>
          </w:tcPr>
          <w:p>
            <w:pPr>
              <w:pStyle w:val="yTableNAm"/>
              <w:spacing w:before="0"/>
              <w:rPr>
                <w:b/>
                <w:sz w:val="20"/>
              </w:rPr>
            </w:pPr>
            <w:r>
              <w:rPr>
                <w:b/>
                <w:sz w:val="20"/>
              </w:rPr>
              <w:t>Officer issuing notice</w:t>
            </w:r>
          </w:p>
        </w:tc>
        <w:tc>
          <w:tcPr>
            <w:tcW w:w="5662" w:type="dxa"/>
            <w:gridSpan w:val="2"/>
          </w:tcPr>
          <w:p>
            <w:pPr>
              <w:pStyle w:val="yTableNAm"/>
              <w:spacing w:before="0"/>
              <w:rPr>
                <w:sz w:val="20"/>
              </w:rPr>
            </w:pPr>
            <w:r>
              <w:rPr>
                <w:sz w:val="20"/>
              </w:rPr>
              <w:t>Name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Signature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Office</w:t>
            </w:r>
          </w:p>
        </w:tc>
      </w:tr>
      <w:tr>
        <w:tc>
          <w:tcPr>
            <w:tcW w:w="1418" w:type="dxa"/>
            <w:tcBorders>
              <w:bottom w:val="single" w:sz="4" w:space="0" w:color="auto"/>
            </w:tcBorders>
          </w:tcPr>
          <w:p>
            <w:pPr>
              <w:pStyle w:val="yTableNAm"/>
              <w:spacing w:before="0"/>
              <w:rPr>
                <w:b/>
                <w:sz w:val="20"/>
              </w:rPr>
            </w:pPr>
            <w:r>
              <w:rPr>
                <w:b/>
                <w:sz w:val="20"/>
              </w:rPr>
              <w:t xml:space="preserve">Date </w:t>
            </w:r>
          </w:p>
        </w:tc>
        <w:tc>
          <w:tcPr>
            <w:tcW w:w="5662" w:type="dxa"/>
            <w:gridSpan w:val="2"/>
            <w:tcBorders>
              <w:bottom w:val="single" w:sz="4" w:space="0" w:color="auto"/>
            </w:tcBorders>
          </w:tcPr>
          <w:p>
            <w:pPr>
              <w:pStyle w:val="yTableNAm"/>
              <w:tabs>
                <w:tab w:val="clear" w:pos="567"/>
                <w:tab w:val="left" w:pos="1834"/>
                <w:tab w:val="left" w:pos="2554"/>
              </w:tabs>
              <w:spacing w:before="0"/>
              <w:rPr>
                <w:sz w:val="20"/>
              </w:rPr>
            </w:pPr>
            <w:r>
              <w:rPr>
                <w:sz w:val="20"/>
              </w:rPr>
              <w:t xml:space="preserve">Date of notice </w:t>
            </w:r>
            <w:r>
              <w:rPr>
                <w:sz w:val="20"/>
              </w:rPr>
              <w:tab/>
              <w:t>/</w:t>
            </w:r>
            <w:r>
              <w:rPr>
                <w:sz w:val="20"/>
              </w:rPr>
              <w:tab/>
              <w:t>/20</w:t>
            </w:r>
          </w:p>
        </w:tc>
      </w:tr>
      <w:tr>
        <w:trPr>
          <w:trHeight w:val="1097"/>
        </w:trPr>
        <w:tc>
          <w:tcPr>
            <w:tcW w:w="1418" w:type="dxa"/>
            <w:tcBorders>
              <w:bottom w:val="nil"/>
            </w:tcBorders>
          </w:tcPr>
          <w:p>
            <w:pPr>
              <w:pStyle w:val="yTableNAm"/>
              <w:spacing w:before="0"/>
              <w:rPr>
                <w:b/>
                <w:sz w:val="20"/>
              </w:rPr>
            </w:pPr>
            <w:r>
              <w:rPr>
                <w:b/>
                <w:sz w:val="20"/>
              </w:rPr>
              <w:t xml:space="preserve">Notice to alleged offender </w:t>
            </w:r>
          </w:p>
        </w:tc>
        <w:tc>
          <w:tcPr>
            <w:tcW w:w="5662" w:type="dxa"/>
            <w:gridSpan w:val="2"/>
            <w:tcBorders>
              <w:bottom w:val="nil"/>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sz w:val="20"/>
              </w:rPr>
            </w:pPr>
            <w:r>
              <w:rPr>
                <w:b/>
                <w:sz w:val="20"/>
              </w:rPr>
              <w:t>How to pay</w:t>
            </w:r>
          </w:p>
          <w:p>
            <w:pPr>
              <w:pStyle w:val="yTableNAm"/>
              <w:tabs>
                <w:tab w:val="clear" w:pos="567"/>
                <w:tab w:val="left" w:pos="274"/>
              </w:tabs>
              <w:spacing w:before="0"/>
              <w:ind w:left="514" w:hanging="634"/>
              <w:rPr>
                <w:sz w:val="20"/>
              </w:rPr>
            </w:pPr>
            <w:r>
              <w:rPr>
                <w:b/>
                <w:sz w:val="20"/>
              </w:rPr>
              <w:tab/>
              <w:t>By post:</w:t>
            </w:r>
            <w:r>
              <w:rPr>
                <w:sz w:val="20"/>
              </w:rPr>
              <w:t xml:space="preserve"> Send a cheque or money order (payable to ‘Approved Officer — </w:t>
            </w:r>
            <w:r>
              <w:rPr>
                <w:b/>
                <w:sz w:val="20"/>
              </w:rPr>
              <w:br w:type="page"/>
            </w:r>
            <w:r>
              <w:rPr>
                <w:i/>
                <w:iCs/>
                <w:sz w:val="20"/>
              </w:rPr>
              <w:t>Debt Collectors Licensing Act 1964</w:t>
            </w:r>
            <w:r>
              <w:rPr>
                <w:sz w:val="20"/>
              </w:rPr>
              <w:t>’) to:</w:t>
            </w:r>
          </w:p>
          <w:p>
            <w:pPr>
              <w:pStyle w:val="yTableNAm"/>
              <w:tabs>
                <w:tab w:val="clear" w:pos="567"/>
                <w:tab w:val="left" w:pos="754"/>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754"/>
              </w:tabs>
              <w:spacing w:before="0"/>
              <w:rPr>
                <w:sz w:val="20"/>
              </w:rPr>
            </w:pPr>
            <w:r>
              <w:rPr>
                <w:sz w:val="20"/>
              </w:rPr>
              <w:tab/>
              <w:t>Department of Mines, Industry Regulation and Safety</w:t>
            </w:r>
          </w:p>
          <w:p>
            <w:pPr>
              <w:pStyle w:val="yTableNAm"/>
              <w:tabs>
                <w:tab w:val="clear" w:pos="567"/>
                <w:tab w:val="left" w:pos="754"/>
              </w:tabs>
              <w:spacing w:before="0"/>
              <w:rPr>
                <w:sz w:val="20"/>
              </w:rPr>
            </w:pPr>
            <w:r>
              <w:rPr>
                <w:sz w:val="20"/>
              </w:rPr>
              <w:tab/>
              <w:t>Locked Bag 14 Cloisters Square</w:t>
            </w:r>
          </w:p>
          <w:p>
            <w:pPr>
              <w:pStyle w:val="yTableNAm"/>
              <w:tabs>
                <w:tab w:val="clear" w:pos="567"/>
                <w:tab w:val="left" w:pos="754"/>
              </w:tabs>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274"/>
              </w:tabs>
              <w:spacing w:before="0"/>
              <w:ind w:left="514" w:hanging="634"/>
              <w:rPr>
                <w:sz w:val="20"/>
              </w:rPr>
            </w:pPr>
            <w:r>
              <w:rPr>
                <w:b/>
                <w:sz w:val="20"/>
              </w:rPr>
              <w:tab/>
              <w:t>In person:</w:t>
            </w:r>
            <w:r>
              <w:rPr>
                <w:sz w:val="20"/>
              </w:rPr>
              <w:t xml:space="preserve"> Pay the cashier at:</w:t>
            </w:r>
          </w:p>
          <w:p>
            <w:pPr>
              <w:pStyle w:val="yTableNAm"/>
              <w:tabs>
                <w:tab w:val="clear" w:pos="567"/>
                <w:tab w:val="left" w:pos="754"/>
              </w:tabs>
              <w:spacing w:before="0"/>
              <w:rPr>
                <w:sz w:val="20"/>
              </w:rPr>
            </w:pPr>
            <w:r>
              <w:rPr>
                <w:sz w:val="20"/>
              </w:rPr>
              <w:tab/>
              <w:t>Department of Mines, Industry Regulation and Safety</w:t>
            </w:r>
          </w:p>
          <w:p>
            <w:pPr>
              <w:pStyle w:val="yTableNAm"/>
              <w:tabs>
                <w:tab w:val="clear" w:pos="567"/>
                <w:tab w:val="left" w:pos="754"/>
              </w:tabs>
              <w:spacing w:before="0"/>
              <w:rPr>
                <w:i/>
                <w:sz w:val="20"/>
              </w:rPr>
            </w:pPr>
            <w:r>
              <w:rPr>
                <w:sz w:val="20"/>
              </w:rPr>
              <w:tab/>
            </w:r>
            <w:r>
              <w:rPr>
                <w:i/>
                <w:sz w:val="20"/>
              </w:rPr>
              <w:t>[street address to be inserted]</w:t>
            </w:r>
          </w:p>
          <w:p>
            <w:pPr>
              <w:pStyle w:val="yTableNAm"/>
              <w:tabs>
                <w:tab w:val="clear" w:pos="567"/>
                <w:tab w:val="left" w:pos="754"/>
              </w:tabs>
              <w:spacing w:before="0"/>
              <w:rPr>
                <w:sz w:val="20"/>
              </w:rPr>
            </w:pPr>
          </w:p>
        </w:tc>
      </w:tr>
      <w:tr>
        <w:trPr>
          <w:trHeight w:val="426"/>
        </w:trPr>
        <w:tc>
          <w:tcPr>
            <w:tcW w:w="1418" w:type="dxa"/>
            <w:tcBorders>
              <w:top w:val="nil"/>
              <w:bottom w:val="single" w:sz="4" w:space="0" w:color="auto"/>
            </w:tcBorders>
          </w:tcPr>
          <w:p>
            <w:pPr>
              <w:pStyle w:val="yTableNAm"/>
              <w:spacing w:before="0"/>
              <w:rPr>
                <w:b/>
                <w:sz w:val="20"/>
              </w:rPr>
            </w:pPr>
          </w:p>
        </w:tc>
        <w:tc>
          <w:tcPr>
            <w:tcW w:w="5662" w:type="dxa"/>
            <w:gridSpan w:val="2"/>
            <w:tcBorders>
              <w:top w:val="nil"/>
              <w:bottom w:val="single" w:sz="4" w:space="0" w:color="auto"/>
            </w:tcBorders>
          </w:tcPr>
          <w:p>
            <w:pPr>
              <w:pStyle w:val="yTableNAm"/>
              <w:spacing w:before="0"/>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0"/>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Borders>
              <w:top w:val="single" w:sz="4" w:space="0" w:color="auto"/>
            </w:tcBorders>
          </w:tcPr>
          <w:p>
            <w:pPr>
              <w:pStyle w:val="yTableNAm"/>
              <w:spacing w:before="0"/>
              <w:rPr>
                <w:b/>
                <w:sz w:val="20"/>
              </w:rPr>
            </w:pPr>
          </w:p>
        </w:tc>
        <w:tc>
          <w:tcPr>
            <w:tcW w:w="5662" w:type="dxa"/>
            <w:gridSpan w:val="2"/>
            <w:tcBorders>
              <w:top w:val="single" w:sz="4" w:space="0" w:color="auto"/>
              <w:bottom w:val="single" w:sz="4" w:space="0" w:color="auto"/>
            </w:tcBorders>
          </w:tcPr>
          <w:p>
            <w:pPr>
              <w:pStyle w:val="yTableNAm"/>
              <w:spacing w:before="0"/>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pPr>
        <w:pStyle w:val="yFootnotesection"/>
      </w:pPr>
      <w:r>
        <w:tab/>
        <w:t>[Form 7 inserted by Gazette 22 Sep 2006 p. 4103; amended by Gazette 20 Aug 2013 p. 3828; 2 Oct 2018 p. 3795.]</w:t>
      </w:r>
    </w:p>
    <w:p>
      <w:pPr>
        <w:pStyle w:val="yMiscellaneousHeading"/>
        <w:pageBreakBefore/>
        <w:spacing w:before="0" w:after="80"/>
        <w:rPr>
          <w:b/>
          <w:bCs/>
          <w:snapToGrid w:val="0"/>
        </w:rPr>
      </w:pPr>
      <w:r>
        <w:rPr>
          <w:rStyle w:val="CharSClsNo"/>
          <w:b/>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560" w:type="dxa"/>
            <w:vMerge w:val="restart"/>
          </w:tcPr>
          <w:p>
            <w:pPr>
              <w:pStyle w:val="yTableNAm"/>
              <w:spacing w:before="0"/>
              <w:rPr>
                <w:b/>
                <w:sz w:val="20"/>
              </w:rPr>
            </w:pPr>
            <w:r>
              <w:rPr>
                <w:b/>
                <w:sz w:val="20"/>
              </w:rPr>
              <w:t>Alleged offender</w:t>
            </w:r>
          </w:p>
        </w:tc>
        <w:tc>
          <w:tcPr>
            <w:tcW w:w="5520"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rPr>
                <w:sz w:val="20"/>
              </w:rPr>
            </w:pPr>
            <w:r>
              <w:rPr>
                <w:sz w:val="20"/>
              </w:rPr>
              <w:tab/>
            </w:r>
            <w:r>
              <w:rPr>
                <w:sz w:val="20"/>
              </w:rPr>
              <w:tab/>
              <w:t>Given names</w:t>
            </w:r>
          </w:p>
        </w:tc>
      </w:tr>
      <w:tr>
        <w:trPr>
          <w:cantSplit/>
          <w:trHeight w:val="150"/>
        </w:trPr>
        <w:tc>
          <w:tcPr>
            <w:tcW w:w="1560" w:type="dxa"/>
            <w:vMerge/>
          </w:tcPr>
          <w:p>
            <w:pPr>
              <w:pStyle w:val="yTableNAm"/>
              <w:spacing w:before="0"/>
              <w:rPr>
                <w:b/>
                <w:sz w:val="20"/>
              </w:rPr>
            </w:pPr>
          </w:p>
        </w:tc>
        <w:tc>
          <w:tcPr>
            <w:tcW w:w="5520" w:type="dxa"/>
            <w:gridSpan w:val="2"/>
          </w:tcPr>
          <w:p>
            <w:pPr>
              <w:pStyle w:val="yTableNAm"/>
              <w:tabs>
                <w:tab w:val="left" w:pos="274"/>
              </w:tabs>
              <w:spacing w:before="0"/>
              <w:ind w:right="-108"/>
              <w:rPr>
                <w:sz w:val="20"/>
              </w:rPr>
            </w:pPr>
            <w:r>
              <w:rPr>
                <w:sz w:val="20"/>
              </w:rPr>
              <w:tab/>
              <w:t>or</w:t>
            </w:r>
            <w:r>
              <w:rPr>
                <w:sz w:val="20"/>
              </w:rPr>
              <w:tab/>
            </w:r>
            <w:r>
              <w:rPr>
                <w:sz w:val="20"/>
              </w:rPr>
              <w:tab/>
              <w:t>Company name 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ind w:right="-108"/>
              <w:rPr>
                <w:sz w:val="20"/>
              </w:rPr>
            </w:pPr>
            <w:r>
              <w:rPr>
                <w:sz w:val="20"/>
              </w:rPr>
              <w:t>Address 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560" w:type="dxa"/>
            <w:vMerge w:val="restart"/>
          </w:tcPr>
          <w:p>
            <w:pPr>
              <w:pStyle w:val="yTableNAm"/>
              <w:spacing w:before="0"/>
              <w:rPr>
                <w:b/>
                <w:sz w:val="20"/>
              </w:rPr>
            </w:pPr>
            <w:r>
              <w:rPr>
                <w:b/>
                <w:sz w:val="20"/>
              </w:rPr>
              <w:t>Infringement notice</w:t>
            </w:r>
          </w:p>
        </w:tc>
        <w:tc>
          <w:tcPr>
            <w:tcW w:w="5520" w:type="dxa"/>
            <w:gridSpan w:val="2"/>
          </w:tcPr>
          <w:p>
            <w:pPr>
              <w:pStyle w:val="yTableNAm"/>
              <w:spacing w:before="0"/>
              <w:rPr>
                <w:sz w:val="20"/>
              </w:rPr>
            </w:pPr>
            <w:r>
              <w:rPr>
                <w:sz w:val="20"/>
              </w:rPr>
              <w:t>Infringement notice no.</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1594"/>
                <w:tab w:val="left" w:pos="2160"/>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spacing w:before="0"/>
              <w:rPr>
                <w:b/>
                <w:sz w:val="20"/>
              </w:rPr>
            </w:pPr>
            <w:r>
              <w:rPr>
                <w:b/>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0"/>
              <w:rPr>
                <w:b/>
                <w:sz w:val="20"/>
              </w:rPr>
            </w:pPr>
          </w:p>
        </w:tc>
        <w:tc>
          <w:tcPr>
            <w:tcW w:w="5520" w:type="dxa"/>
            <w:gridSpan w:val="2"/>
          </w:tcPr>
          <w:p>
            <w:pPr>
              <w:pStyle w:val="yTableNAm"/>
              <w:spacing w:before="0"/>
              <w:rPr>
                <w:sz w:val="20"/>
              </w:rPr>
            </w:pPr>
            <w:r>
              <w:rPr>
                <w:b/>
                <w:sz w:val="20"/>
              </w:rPr>
              <w:br w:type="page"/>
            </w:r>
            <w:r>
              <w:rPr>
                <w:i/>
                <w:iCs/>
                <w:sz w:val="20"/>
              </w:rPr>
              <w:t xml:space="preserve">Debt Collectors Licensing Act 1964 </w:t>
            </w:r>
            <w:r>
              <w:rPr>
                <w:sz w:val="20"/>
              </w:rPr>
              <w:t>s.</w:t>
            </w:r>
          </w:p>
          <w:p>
            <w:pPr>
              <w:pStyle w:val="yTableNAm"/>
              <w:spacing w:before="0"/>
              <w:rPr>
                <w:sz w:val="20"/>
              </w:rPr>
            </w:pPr>
            <w:r>
              <w:rPr>
                <w:i/>
                <w:iCs/>
                <w:sz w:val="20"/>
              </w:rPr>
              <w:t>Debt Collectors Licensing Regulations 1964</w:t>
            </w:r>
            <w:r>
              <w:rPr>
                <w:sz w:val="20"/>
              </w:rPr>
              <w:t xml:space="preserve"> r. </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874"/>
                <w:tab w:val="left" w:pos="1474"/>
                <w:tab w:val="left" w:pos="2914"/>
                <w:tab w:val="left" w:pos="4286"/>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val="restart"/>
          </w:tcPr>
          <w:p>
            <w:pPr>
              <w:pStyle w:val="yTableNAm"/>
              <w:spacing w:before="0"/>
              <w:rPr>
                <w:b/>
                <w:sz w:val="20"/>
              </w:rPr>
            </w:pPr>
            <w:r>
              <w:rPr>
                <w:b/>
                <w:sz w:val="20"/>
              </w:rPr>
              <w:t>Officer withdrawing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Office</w:t>
            </w:r>
          </w:p>
        </w:tc>
      </w:tr>
      <w:tr>
        <w:tc>
          <w:tcPr>
            <w:tcW w:w="1560" w:type="dxa"/>
            <w:tcBorders>
              <w:bottom w:val="single" w:sz="4" w:space="0" w:color="auto"/>
            </w:tcBorders>
          </w:tcPr>
          <w:p>
            <w:pPr>
              <w:pStyle w:val="yTableNAm"/>
              <w:spacing w:before="0"/>
              <w:rPr>
                <w:b/>
                <w:sz w:val="20"/>
              </w:rPr>
            </w:pPr>
            <w:r>
              <w:rPr>
                <w:b/>
                <w:sz w:val="20"/>
              </w:rPr>
              <w:t>Date</w:t>
            </w:r>
          </w:p>
        </w:tc>
        <w:tc>
          <w:tcPr>
            <w:tcW w:w="5520" w:type="dxa"/>
            <w:gridSpan w:val="2"/>
            <w:tcBorders>
              <w:bottom w:val="single" w:sz="4" w:space="0" w:color="auto"/>
            </w:tcBorders>
          </w:tcPr>
          <w:p>
            <w:pPr>
              <w:pStyle w:val="yTableNAm"/>
              <w:spacing w:before="0"/>
              <w:rPr>
                <w:sz w:val="20"/>
              </w:rPr>
            </w:pPr>
            <w:r>
              <w:rPr>
                <w:sz w:val="20"/>
              </w:rPr>
              <w:t xml:space="preserve">Date of withdrawal </w:t>
            </w:r>
            <w:r>
              <w:rPr>
                <w:sz w:val="20"/>
              </w:rPr>
              <w:tab/>
              <w:t>/</w:t>
            </w:r>
            <w:r>
              <w:rPr>
                <w:sz w:val="20"/>
              </w:rPr>
              <w:tab/>
              <w:t>/20</w:t>
            </w:r>
          </w:p>
        </w:tc>
      </w:tr>
      <w:tr>
        <w:tc>
          <w:tcPr>
            <w:tcW w:w="1560" w:type="dxa"/>
            <w:tcBorders>
              <w:bottom w:val="nil"/>
            </w:tcBorders>
          </w:tcPr>
          <w:p>
            <w:pPr>
              <w:pStyle w:val="yTableNAm"/>
              <w:spacing w:before="0"/>
              <w:rPr>
                <w:b/>
                <w:sz w:val="20"/>
              </w:rPr>
            </w:pPr>
            <w:r>
              <w:rPr>
                <w:b/>
                <w:sz w:val="20"/>
              </w:rPr>
              <w:t>Withdrawal of infringement notice</w:t>
            </w: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372"/>
              </w:tabs>
              <w:spacing w:before="0"/>
              <w:rPr>
                <w:sz w:val="20"/>
              </w:rPr>
            </w:pPr>
            <w:r>
              <w:rPr>
                <w:sz w:val="20"/>
              </w:rPr>
              <w:t>*</w:t>
            </w:r>
            <w:r>
              <w:rPr>
                <w:sz w:val="20"/>
              </w:rPr>
              <w:tab/>
              <w:t>Your refund is enclosed.</w:t>
            </w:r>
          </w:p>
          <w:p>
            <w:pPr>
              <w:pStyle w:val="yTableNAm"/>
              <w:spacing w:before="0"/>
              <w:rPr>
                <w:sz w:val="20"/>
              </w:rPr>
            </w:pPr>
            <w:r>
              <w:rPr>
                <w:sz w:val="20"/>
              </w:rPr>
              <w:t>or</w:t>
            </w:r>
          </w:p>
        </w:tc>
      </w:tr>
      <w:tr>
        <w:tc>
          <w:tcPr>
            <w:tcW w:w="1560" w:type="dxa"/>
            <w:tcBorders>
              <w:top w:val="nil"/>
            </w:tcBorders>
          </w:tcPr>
          <w:p>
            <w:pPr>
              <w:pStyle w:val="yTableNAm"/>
              <w:spacing w:before="0"/>
              <w:rPr>
                <w:b/>
                <w:sz w:val="20"/>
              </w:rPr>
            </w:pPr>
          </w:p>
        </w:tc>
        <w:tc>
          <w:tcPr>
            <w:tcW w:w="5520" w:type="dxa"/>
            <w:gridSpan w:val="2"/>
            <w:tcBorders>
              <w:top w:val="nil"/>
              <w:bottom w:val="single" w:sz="4" w:space="0" w:color="auto"/>
            </w:tcBorders>
          </w:tcPr>
          <w:p>
            <w:pPr>
              <w:pStyle w:val="yTableNAm"/>
              <w:tabs>
                <w:tab w:val="clear" w:pos="567"/>
                <w:tab w:val="left" w:pos="372"/>
              </w:tabs>
              <w:spacing w:before="0"/>
              <w:ind w:left="372" w:hanging="372"/>
              <w:rPr>
                <w:sz w:val="20"/>
              </w:rPr>
            </w:pPr>
            <w:r>
              <w:rPr>
                <w:sz w:val="20"/>
              </w:rPr>
              <w:t>*</w:t>
            </w:r>
            <w:r>
              <w:rPr>
                <w:sz w:val="20"/>
              </w:rPr>
              <w:tab/>
              <w:t>If you have paid the modified penalty but a refund is not enclosed, to claim your refund sign this notice and post it to:</w:t>
            </w:r>
          </w:p>
          <w:p>
            <w:pPr>
              <w:pStyle w:val="yTableNAm"/>
              <w:tabs>
                <w:tab w:val="clear" w:pos="567"/>
                <w:tab w:val="left" w:pos="612"/>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612"/>
              </w:tabs>
              <w:spacing w:before="0"/>
              <w:rPr>
                <w:sz w:val="20"/>
              </w:rPr>
            </w:pPr>
            <w:r>
              <w:rPr>
                <w:sz w:val="20"/>
              </w:rPr>
              <w:tab/>
              <w:t>Department of Mines, Industry Regulation and Safety</w:t>
            </w:r>
          </w:p>
          <w:p>
            <w:pPr>
              <w:pStyle w:val="yTableNAm"/>
              <w:tabs>
                <w:tab w:val="clear" w:pos="567"/>
                <w:tab w:val="left" w:pos="612"/>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tabs>
                <w:tab w:val="clear" w:pos="567"/>
                <w:tab w:val="left" w:pos="612"/>
              </w:tabs>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4002"/>
                <w:tab w:val="left" w:pos="4569"/>
              </w:tabs>
              <w:spacing w:before="0"/>
              <w:rPr>
                <w:sz w:val="20"/>
              </w:rPr>
            </w:pPr>
            <w:r>
              <w:rPr>
                <w:sz w:val="20"/>
              </w:rPr>
              <w:t>Signature</w:t>
            </w:r>
            <w:r>
              <w:rPr>
                <w:sz w:val="20"/>
              </w:rPr>
              <w:tab/>
              <w:t>/</w:t>
            </w:r>
            <w:r>
              <w:rPr>
                <w:sz w:val="20"/>
              </w:rPr>
              <w:tab/>
              <w:t>/20</w:t>
            </w:r>
          </w:p>
        </w:tc>
      </w:tr>
    </w:tbl>
    <w:p>
      <w:pPr>
        <w:pStyle w:val="yFootnotesection"/>
      </w:pPr>
      <w:r>
        <w:tab/>
        <w:t>[Form 8 inserted by Gazette 22 Sep 2006 p. 4103-4; amended by Gazette 2 Oct 2018 p. 3795.]</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yScheduleHeading"/>
      </w:pPr>
      <w:bookmarkStart w:id="59" w:name="_Toc11747406"/>
      <w:bookmarkStart w:id="60" w:name="_Toc11752932"/>
      <w:bookmarkStart w:id="61" w:name="_Toc11760770"/>
      <w:bookmarkStart w:id="62" w:name="_Toc12278962"/>
      <w:r>
        <w:rPr>
          <w:rStyle w:val="CharSchNo"/>
        </w:rPr>
        <w:t>Second Schedule</w:t>
      </w:r>
      <w:bookmarkEnd w:id="59"/>
      <w:bookmarkEnd w:id="60"/>
      <w:bookmarkEnd w:id="61"/>
      <w:bookmarkEnd w:id="62"/>
    </w:p>
    <w:p>
      <w:pPr>
        <w:pStyle w:val="yMiscellaneousHeading"/>
        <w:rPr>
          <w:iCs/>
          <w:snapToGrid w:val="0"/>
        </w:rPr>
      </w:pPr>
      <w:r>
        <w:rPr>
          <w:i/>
          <w:iCs/>
          <w:snapToGrid w:val="0"/>
        </w:rPr>
        <w:t>Debt Collectors Licensing Act 1964</w:t>
      </w:r>
    </w:p>
    <w:p>
      <w:pPr>
        <w:pStyle w:val="yMiscellaneousHeading"/>
        <w:rPr>
          <w:snapToGrid w:val="0"/>
        </w:rPr>
      </w:pPr>
      <w:r>
        <w:rPr>
          <w:snapToGrid w:val="0"/>
        </w:rPr>
        <w:t>FIDELITY BOND</w:t>
      </w:r>
    </w:p>
    <w:p>
      <w:pPr>
        <w:pStyle w:val="yMiscellaneousBody"/>
        <w:rPr>
          <w:snapToGrid w:val="0"/>
        </w:rPr>
      </w:pPr>
      <w:r>
        <w:rPr>
          <w:snapToGrid w:val="0"/>
        </w:rPr>
        <w:t>KNOW ALL MEN BY THESE PRESENTS that</w:t>
      </w:r>
    </w:p>
    <w:p>
      <w:pPr>
        <w:pStyle w:val="yMiscellaneousBody"/>
        <w:tabs>
          <w:tab w:val="left" w:pos="3120"/>
        </w:tabs>
        <w:spacing w:before="0"/>
        <w:rPr>
          <w:snapToGrid w:val="0"/>
        </w:rPr>
      </w:pPr>
      <w:r>
        <w:rPr>
          <w:snapToGrid w:val="0"/>
        </w:rPr>
        <w:tab/>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MiscellaneousBody"/>
        <w:rPr>
          <w:snapToGrid w:val="0"/>
        </w:rPr>
      </w:pPr>
      <w:r>
        <w:rPr>
          <w:snapToGrid w:val="0"/>
        </w:rPr>
        <w:t>Sealed with our seal</w:t>
      </w:r>
    </w:p>
    <w:p>
      <w:pPr>
        <w:pStyle w:val="yMiscellaneousBody"/>
        <w:rPr>
          <w:snapToGrid w:val="0"/>
        </w:rPr>
      </w:pPr>
      <w:r>
        <w:rPr>
          <w:snapToGrid w:val="0"/>
        </w:rPr>
        <w:t>Dated this .......................................... day of ........................................., 20..........</w:t>
      </w:r>
    </w:p>
    <w:p>
      <w:pPr>
        <w:pStyle w:val="yMiscellaneousBody"/>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30 days from the service of the notice, the obligation of the surety under these presents shall cease as from the date so specified but notwithstanding such determination the Surety shall continue to be liable —</w:t>
      </w:r>
    </w:p>
    <w:p>
      <w:pPr>
        <w:pStyle w:val="yMiscellaneousBody"/>
        <w:tabs>
          <w:tab w:val="left" w:pos="480"/>
          <w:tab w:val="left" w:pos="1080"/>
        </w:tabs>
        <w:ind w:left="1080" w:hanging="1080"/>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MiscellaneousBody"/>
        <w:tabs>
          <w:tab w:val="left" w:pos="480"/>
          <w:tab w:val="left" w:pos="1080"/>
        </w:tabs>
        <w:ind w:left="1080" w:hanging="1080"/>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MiscellaneousBody"/>
        <w:rPr>
          <w:snapToGrid w:val="0"/>
        </w:rPr>
      </w:pPr>
      <w:r>
        <w:rPr>
          <w:snapToGrid w:val="0"/>
        </w:rPr>
        <w:t>In witness whereof the Surety has hereunto affixed its Common Seal the day and year above written.</w:t>
      </w:r>
    </w:p>
    <w:p>
      <w:pPr>
        <w:pStyle w:val="yMiscellaneousBody"/>
        <w:rPr>
          <w:snapToGrid w:val="0"/>
        </w:rPr>
      </w:pPr>
      <w:r>
        <w:rPr>
          <w:snapToGrid w:val="0"/>
        </w:rPr>
        <w:t>The Common Seal of</w:t>
      </w:r>
    </w:p>
    <w:p>
      <w:pPr>
        <w:pStyle w:val="yMiscellaneousBody"/>
        <w:spacing w:before="0"/>
        <w:ind w:left="480" w:hanging="480"/>
        <w:rPr>
          <w:snapToGrid w:val="0"/>
        </w:rPr>
      </w:pPr>
      <w:r>
        <w:rPr>
          <w:snapToGrid w:val="0"/>
        </w:rPr>
        <w:tab/>
        <w:t>was hereunto affixed</w:t>
      </w:r>
    </w:p>
    <w:p>
      <w:pPr>
        <w:pStyle w:val="yMiscellaneousBody"/>
        <w:spacing w:before="0"/>
        <w:ind w:left="480" w:hanging="480"/>
        <w:rPr>
          <w:snapToGrid w:val="0"/>
        </w:rPr>
      </w:pPr>
      <w:r>
        <w:rPr>
          <w:snapToGrid w:val="0"/>
        </w:rPr>
        <w:tab/>
        <w:t>pursuant, etc.,</w:t>
      </w:r>
    </w:p>
    <w:p>
      <w:pPr>
        <w:pStyle w:val="yMiscellaneousBody"/>
        <w:spacing w:before="0"/>
        <w:ind w:left="480" w:hanging="480"/>
        <w:rPr>
          <w:snapToGrid w:val="0"/>
        </w:rPr>
      </w:pPr>
      <w:r>
        <w:rPr>
          <w:snapToGrid w:val="0"/>
        </w:rPr>
        <w:tab/>
        <w:t>in the presence of:</w:t>
      </w:r>
    </w:p>
    <w:p>
      <w:pPr>
        <w:pStyle w:val="yFootnotesection"/>
      </w:pPr>
      <w:r>
        <w:tab/>
        <w:t>[Second Schedule amended: Gazette 30 Dec 2004 p. 6917; 22 Sep 2006 p. 4104.]</w:t>
      </w:r>
    </w:p>
    <w:p>
      <w:pPr>
        <w:pStyle w:val="yScheduleHeading"/>
      </w:pPr>
      <w:bookmarkStart w:id="63" w:name="_Toc11747407"/>
      <w:bookmarkStart w:id="64" w:name="_Toc11752933"/>
      <w:bookmarkStart w:id="65" w:name="_Toc11760771"/>
      <w:bookmarkStart w:id="66" w:name="_Toc12278963"/>
      <w:r>
        <w:rPr>
          <w:rStyle w:val="CharSchNo"/>
        </w:rPr>
        <w:t>Third Schedule</w:t>
      </w:r>
      <w:r>
        <w:t> — </w:t>
      </w:r>
      <w:r>
        <w:rPr>
          <w:rStyle w:val="CharSchText"/>
        </w:rPr>
        <w:t>Prescribed offences and modified penalties</w:t>
      </w:r>
      <w:bookmarkEnd w:id="63"/>
      <w:bookmarkEnd w:id="64"/>
      <w:bookmarkEnd w:id="65"/>
      <w:bookmarkEnd w:id="66"/>
    </w:p>
    <w:p>
      <w:pPr>
        <w:pStyle w:val="yShoulderClause"/>
      </w:pPr>
      <w:r>
        <w:t>[r. 16]</w:t>
      </w:r>
    </w:p>
    <w:p>
      <w:pPr>
        <w:pStyle w:val="yFootnoteheading"/>
        <w:spacing w:after="80"/>
      </w:pPr>
      <w:r>
        <w:tab/>
        <w:t>[Heading inserted: Gazette 22 Sep 2006 p. 4104.]</w:t>
      </w:r>
    </w:p>
    <w:tbl>
      <w:tblPr>
        <w:tblW w:w="0" w:type="auto"/>
        <w:tblInd w:w="57" w:type="dxa"/>
        <w:tblLayout w:type="fixed"/>
        <w:tblCellMar>
          <w:left w:w="57" w:type="dxa"/>
          <w:right w:w="57" w:type="dxa"/>
        </w:tblCellMar>
        <w:tblLook w:val="0000" w:firstRow="0" w:lastRow="0" w:firstColumn="0" w:lastColumn="0" w:noHBand="0" w:noVBand="0"/>
      </w:tblPr>
      <w:tblGrid>
        <w:gridCol w:w="1200"/>
        <w:gridCol w:w="4705"/>
        <w:gridCol w:w="1175"/>
      </w:tblGrid>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Act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s. 5</w:t>
            </w:r>
          </w:p>
        </w:tc>
        <w:tc>
          <w:tcPr>
            <w:tcW w:w="4705" w:type="dxa"/>
          </w:tcPr>
          <w:p>
            <w:pPr>
              <w:pStyle w:val="yTableNAm"/>
            </w:pPr>
            <w:r>
              <w:t>Unlicensed person carrying on business as a debt collector ...........................................................</w:t>
            </w:r>
          </w:p>
        </w:tc>
        <w:tc>
          <w:tcPr>
            <w:tcW w:w="1175" w:type="dxa"/>
          </w:tcPr>
          <w:p>
            <w:pPr>
              <w:pStyle w:val="yTableNAm"/>
            </w:pPr>
            <w:r>
              <w:br/>
              <w:t>$40</w:t>
            </w:r>
          </w:p>
        </w:tc>
      </w:tr>
      <w:tr>
        <w:trPr>
          <w:cantSplit/>
          <w:trHeight w:val="21"/>
        </w:trPr>
        <w:tc>
          <w:tcPr>
            <w:tcW w:w="1200" w:type="dxa"/>
          </w:tcPr>
          <w:p>
            <w:pPr>
              <w:pStyle w:val="yTableNAm"/>
            </w:pPr>
            <w:r>
              <w:t>s. 15(4)</w:t>
            </w:r>
          </w:p>
        </w:tc>
        <w:tc>
          <w:tcPr>
            <w:tcW w:w="4705" w:type="dxa"/>
          </w:tcPr>
          <w:p>
            <w:pPr>
              <w:pStyle w:val="yTableNAm"/>
            </w:pPr>
            <w:r>
              <w:t>Failing to notify Commissioner of opening or change of name of trust account .............................</w:t>
            </w:r>
          </w:p>
        </w:tc>
        <w:tc>
          <w:tcPr>
            <w:tcW w:w="1175" w:type="dxa"/>
          </w:tcPr>
          <w:p>
            <w:pPr>
              <w:pStyle w:val="yTableNAm"/>
            </w:pPr>
            <w:r>
              <w:br/>
              <w:t>$40</w:t>
            </w:r>
          </w:p>
        </w:tc>
      </w:tr>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Regulations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r. 11</w:t>
            </w:r>
          </w:p>
        </w:tc>
        <w:tc>
          <w:tcPr>
            <w:tcW w:w="4705" w:type="dxa"/>
          </w:tcPr>
          <w:p>
            <w:pPr>
              <w:pStyle w:val="yTableNAm"/>
            </w:pPr>
            <w:r>
              <w:t>Using vehicle identifying person as debt</w:t>
            </w:r>
            <w:r>
              <w:br/>
              <w:t>collector ...................................................................</w:t>
            </w:r>
          </w:p>
        </w:tc>
        <w:tc>
          <w:tcPr>
            <w:tcW w:w="1175" w:type="dxa"/>
          </w:tcPr>
          <w:p>
            <w:pPr>
              <w:pStyle w:val="yTableNAm"/>
            </w:pPr>
            <w:r>
              <w:br/>
              <w:t>$40</w:t>
            </w:r>
          </w:p>
        </w:tc>
      </w:tr>
      <w:tr>
        <w:trPr>
          <w:cantSplit/>
          <w:trHeight w:val="21"/>
        </w:trPr>
        <w:tc>
          <w:tcPr>
            <w:tcW w:w="1200" w:type="dxa"/>
            <w:tcBorders>
              <w:bottom w:val="single" w:sz="4" w:space="0" w:color="auto"/>
            </w:tcBorders>
          </w:tcPr>
          <w:p>
            <w:pPr>
              <w:pStyle w:val="yTableNAm"/>
            </w:pPr>
            <w:r>
              <w:t>r. 12</w:t>
            </w:r>
          </w:p>
        </w:tc>
        <w:tc>
          <w:tcPr>
            <w:tcW w:w="4705" w:type="dxa"/>
            <w:tcBorders>
              <w:bottom w:val="single" w:sz="4" w:space="0" w:color="auto"/>
            </w:tcBorders>
          </w:tcPr>
          <w:p>
            <w:pPr>
              <w:pStyle w:val="yTableNAm"/>
            </w:pPr>
            <w:r>
              <w:t>Failing to notify Commissioner of change of address .....................................................................</w:t>
            </w:r>
          </w:p>
        </w:tc>
        <w:tc>
          <w:tcPr>
            <w:tcW w:w="1175" w:type="dxa"/>
            <w:tcBorders>
              <w:bottom w:val="single" w:sz="4" w:space="0" w:color="auto"/>
            </w:tcBorders>
          </w:tcPr>
          <w:p>
            <w:pPr>
              <w:pStyle w:val="yTableNAm"/>
            </w:pPr>
            <w:r>
              <w:br/>
              <w:t>$40</w:t>
            </w:r>
          </w:p>
        </w:tc>
      </w:tr>
    </w:tbl>
    <w:p>
      <w:pPr>
        <w:pStyle w:val="yFootnotesection"/>
      </w:pPr>
      <w:r>
        <w:tab/>
        <w:t>[Third Schedule inserted: Gazette 22 Sep 2006 p. 4104.]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nHeading2"/>
      </w:pPr>
      <w:bookmarkStart w:id="67" w:name="_Toc11747408"/>
      <w:bookmarkStart w:id="68" w:name="_Toc11752934"/>
      <w:bookmarkStart w:id="69" w:name="_Toc11760772"/>
      <w:bookmarkStart w:id="70" w:name="_Toc12278964"/>
      <w:r>
        <w:t>Notes</w:t>
      </w:r>
      <w:bookmarkEnd w:id="67"/>
      <w:bookmarkEnd w:id="68"/>
      <w:bookmarkEnd w:id="69"/>
      <w:bookmarkEnd w:id="70"/>
    </w:p>
    <w:p>
      <w:pPr>
        <w:pStyle w:val="nSubsection"/>
        <w:rPr>
          <w:snapToGrid w:val="0"/>
        </w:rPr>
      </w:pPr>
      <w:r>
        <w:rPr>
          <w:snapToGrid w:val="0"/>
          <w:vertAlign w:val="superscript"/>
        </w:rPr>
        <w:t>1</w:t>
      </w:r>
      <w:r>
        <w:rPr>
          <w:snapToGrid w:val="0"/>
        </w:rPr>
        <w:tab/>
        <w:t xml:space="preserve">This is a compilation of the </w:t>
      </w:r>
      <w:r>
        <w:rPr>
          <w:i/>
          <w:noProof/>
          <w:snapToGrid w:val="0"/>
        </w:rPr>
        <w:t>Debt Collectors Licensing Regulations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1" w:name="_Toc12278965"/>
      <w:bookmarkStart w:id="72" w:name="_Toc11760773"/>
      <w:r>
        <w:rPr>
          <w:snapToGrid w:val="0"/>
        </w:rPr>
        <w:t>Compilation table</w:t>
      </w:r>
      <w:bookmarkEnd w:id="71"/>
      <w:bookmarkEnd w:id="72"/>
    </w:p>
    <w:tbl>
      <w:tblPr>
        <w:tblW w:w="7159" w:type="dxa"/>
        <w:tblInd w:w="56" w:type="dxa"/>
        <w:tblLayout w:type="fixed"/>
        <w:tblCellMar>
          <w:left w:w="56" w:type="dxa"/>
          <w:right w:w="56" w:type="dxa"/>
        </w:tblCellMar>
        <w:tblLook w:val="0000" w:firstRow="0" w:lastRow="0" w:firstColumn="0" w:lastColumn="0" w:noHBand="0" w:noVBand="0"/>
      </w:tblPr>
      <w:tblGrid>
        <w:gridCol w:w="3123"/>
        <w:gridCol w:w="1280"/>
        <w:gridCol w:w="2697"/>
        <w:gridCol w:w="19"/>
        <w:gridCol w:w="40"/>
      </w:tblGrid>
      <w:tr>
        <w:trPr>
          <w:cantSplit/>
          <w:tblHeader/>
        </w:trPr>
        <w:tc>
          <w:tcPr>
            <w:tcW w:w="3123" w:type="dxa"/>
            <w:tcBorders>
              <w:top w:val="single" w:sz="8" w:space="0" w:color="auto"/>
              <w:bottom w:val="single" w:sz="8" w:space="0" w:color="auto"/>
            </w:tcBorders>
            <w:shd w:val="clear" w:color="auto" w:fill="auto"/>
          </w:tcPr>
          <w:p>
            <w:pPr>
              <w:pStyle w:val="nTable"/>
              <w:spacing w:before="50" w:after="50"/>
              <w:ind w:right="113"/>
              <w:rPr>
                <w:b/>
              </w:rPr>
            </w:pPr>
            <w:r>
              <w:rPr>
                <w:b/>
              </w:rPr>
              <w:t>Citation</w:t>
            </w:r>
          </w:p>
        </w:tc>
        <w:tc>
          <w:tcPr>
            <w:tcW w:w="1280" w:type="dxa"/>
            <w:tcBorders>
              <w:top w:val="single" w:sz="8" w:space="0" w:color="auto"/>
              <w:bottom w:val="single" w:sz="8" w:space="0" w:color="auto"/>
            </w:tcBorders>
            <w:shd w:val="clear" w:color="auto" w:fill="auto"/>
          </w:tcPr>
          <w:p>
            <w:pPr>
              <w:pStyle w:val="nTable"/>
              <w:spacing w:before="50" w:after="50"/>
              <w:rPr>
                <w:b/>
              </w:rPr>
            </w:pPr>
            <w:r>
              <w:rPr>
                <w:b/>
              </w:rPr>
              <w:t>Gazettal</w:t>
            </w:r>
          </w:p>
        </w:tc>
        <w:tc>
          <w:tcPr>
            <w:tcW w:w="2756" w:type="dxa"/>
            <w:gridSpan w:val="3"/>
            <w:tcBorders>
              <w:top w:val="single" w:sz="8" w:space="0" w:color="auto"/>
              <w:bottom w:val="single" w:sz="8" w:space="0" w:color="auto"/>
            </w:tcBorders>
            <w:shd w:val="clear" w:color="auto" w:fill="auto"/>
          </w:tcPr>
          <w:p>
            <w:pPr>
              <w:pStyle w:val="nTable"/>
              <w:spacing w:before="50" w:after="50"/>
              <w:rPr>
                <w:b/>
              </w:rPr>
            </w:pPr>
            <w:r>
              <w:rPr>
                <w:b/>
              </w:rPr>
              <w:t>Commencement</w:t>
            </w:r>
          </w:p>
        </w:tc>
      </w:tr>
      <w:tr>
        <w:trPr>
          <w:cantSplit/>
        </w:trPr>
        <w:tc>
          <w:tcPr>
            <w:tcW w:w="3123" w:type="dxa"/>
            <w:tcBorders>
              <w:top w:val="single" w:sz="8" w:space="0" w:color="auto"/>
            </w:tcBorders>
          </w:tcPr>
          <w:p>
            <w:pPr>
              <w:pStyle w:val="nTable"/>
              <w:spacing w:before="50" w:after="50"/>
              <w:ind w:right="113"/>
            </w:pPr>
            <w:r>
              <w:rPr>
                <w:i/>
              </w:rPr>
              <w:t>Debt Collectors Licensing Regulations 1964</w:t>
            </w:r>
          </w:p>
        </w:tc>
        <w:tc>
          <w:tcPr>
            <w:tcW w:w="1280" w:type="dxa"/>
            <w:tcBorders>
              <w:top w:val="single" w:sz="8" w:space="0" w:color="auto"/>
            </w:tcBorders>
          </w:tcPr>
          <w:p>
            <w:pPr>
              <w:pStyle w:val="nTable"/>
              <w:spacing w:before="50" w:after="50"/>
            </w:pPr>
            <w:r>
              <w:t>14 Apr 1965 p. 1031</w:t>
            </w:r>
            <w:r>
              <w:noBreakHyphen/>
              <w:t>7</w:t>
            </w:r>
          </w:p>
        </w:tc>
        <w:tc>
          <w:tcPr>
            <w:tcW w:w="2756" w:type="dxa"/>
            <w:gridSpan w:val="3"/>
            <w:tcBorders>
              <w:top w:val="single" w:sz="8" w:space="0" w:color="auto"/>
            </w:tcBorders>
          </w:tcPr>
          <w:p>
            <w:pPr>
              <w:pStyle w:val="nTable"/>
              <w:spacing w:before="50" w:after="50"/>
            </w:pPr>
            <w:r>
              <w:t xml:space="preserve">1 May 1965 (see </w:t>
            </w:r>
            <w:r>
              <w:rPr>
                <w:i/>
                <w:iCs/>
              </w:rPr>
              <w:t>Gazette</w:t>
            </w:r>
            <w:r>
              <w:t xml:space="preserve"> 15 Apr 1965 p. 1041)</w:t>
            </w:r>
          </w:p>
        </w:tc>
      </w:tr>
      <w:tr>
        <w:trPr>
          <w:cantSplit/>
        </w:trPr>
        <w:tc>
          <w:tcPr>
            <w:tcW w:w="3123" w:type="dxa"/>
          </w:tcPr>
          <w:p>
            <w:pPr>
              <w:pStyle w:val="nTable"/>
              <w:spacing w:before="50" w:after="50"/>
              <w:ind w:right="113"/>
            </w:pPr>
            <w:r>
              <w:t>Untitled regulations</w:t>
            </w:r>
          </w:p>
        </w:tc>
        <w:tc>
          <w:tcPr>
            <w:tcW w:w="1280" w:type="dxa"/>
          </w:tcPr>
          <w:p>
            <w:pPr>
              <w:pStyle w:val="nTable"/>
              <w:spacing w:before="50" w:after="50"/>
            </w:pPr>
            <w:r>
              <w:t>12 Oct 1965 p. 3515</w:t>
            </w:r>
          </w:p>
        </w:tc>
        <w:tc>
          <w:tcPr>
            <w:tcW w:w="2756" w:type="dxa"/>
            <w:gridSpan w:val="3"/>
          </w:tcPr>
          <w:p>
            <w:pPr>
              <w:pStyle w:val="nTable"/>
              <w:spacing w:before="50" w:after="50"/>
            </w:pPr>
            <w:r>
              <w:t>12 Oct 1965</w:t>
            </w:r>
          </w:p>
        </w:tc>
      </w:tr>
      <w:tr>
        <w:trPr>
          <w:cantSplit/>
        </w:trPr>
        <w:tc>
          <w:tcPr>
            <w:tcW w:w="3123" w:type="dxa"/>
          </w:tcPr>
          <w:p>
            <w:pPr>
              <w:pStyle w:val="nTable"/>
              <w:spacing w:before="50" w:after="50"/>
              <w:ind w:right="113"/>
            </w:pPr>
            <w:r>
              <w:t>Untitled regulations</w:t>
            </w:r>
          </w:p>
        </w:tc>
        <w:tc>
          <w:tcPr>
            <w:tcW w:w="1280" w:type="dxa"/>
          </w:tcPr>
          <w:p>
            <w:pPr>
              <w:pStyle w:val="nTable"/>
              <w:spacing w:before="50" w:after="50"/>
            </w:pPr>
            <w:r>
              <w:t>6 Jan 1966</w:t>
            </w:r>
            <w:r>
              <w:br/>
              <w:t>p. 1</w:t>
            </w:r>
          </w:p>
        </w:tc>
        <w:tc>
          <w:tcPr>
            <w:tcW w:w="2756" w:type="dxa"/>
            <w:gridSpan w:val="3"/>
          </w:tcPr>
          <w:p>
            <w:pPr>
              <w:pStyle w:val="nTable"/>
              <w:spacing w:before="50" w:after="50"/>
            </w:pPr>
            <w:r>
              <w:t>6 Jan 1966</w:t>
            </w:r>
          </w:p>
        </w:tc>
      </w:tr>
      <w:tr>
        <w:trPr>
          <w:cantSplit/>
        </w:trPr>
        <w:tc>
          <w:tcPr>
            <w:tcW w:w="3123" w:type="dxa"/>
          </w:tcPr>
          <w:p>
            <w:pPr>
              <w:pStyle w:val="nTable"/>
              <w:spacing w:before="50" w:after="50"/>
              <w:ind w:right="113"/>
            </w:pPr>
            <w:r>
              <w:t>Untitled regulations</w:t>
            </w:r>
          </w:p>
        </w:tc>
        <w:tc>
          <w:tcPr>
            <w:tcW w:w="1280" w:type="dxa"/>
          </w:tcPr>
          <w:p>
            <w:pPr>
              <w:pStyle w:val="nTable"/>
              <w:spacing w:before="50" w:after="50"/>
            </w:pPr>
            <w:r>
              <w:t>26 Sep 1975 p. 3725</w:t>
            </w:r>
          </w:p>
        </w:tc>
        <w:tc>
          <w:tcPr>
            <w:tcW w:w="2756" w:type="dxa"/>
            <w:gridSpan w:val="3"/>
          </w:tcPr>
          <w:p>
            <w:pPr>
              <w:pStyle w:val="nTable"/>
              <w:spacing w:before="50" w:after="50"/>
            </w:pPr>
            <w:r>
              <w:t>1 Oct 1975</w:t>
            </w:r>
          </w:p>
        </w:tc>
      </w:tr>
      <w:tr>
        <w:trPr>
          <w:cantSplit/>
        </w:trPr>
        <w:tc>
          <w:tcPr>
            <w:tcW w:w="7159" w:type="dxa"/>
            <w:gridSpan w:val="5"/>
          </w:tcPr>
          <w:p>
            <w:pPr>
              <w:pStyle w:val="nTable"/>
              <w:spacing w:before="50" w:after="50"/>
            </w:pPr>
            <w:r>
              <w:rPr>
                <w:b/>
                <w:bCs/>
              </w:rPr>
              <w:t xml:space="preserve">Reprint of the </w:t>
            </w:r>
            <w:r>
              <w:rPr>
                <w:b/>
                <w:bCs/>
                <w:i/>
              </w:rPr>
              <w:t>Debt Collectors Licensing Regulations 1964</w:t>
            </w:r>
            <w:r>
              <w:rPr>
                <w:b/>
                <w:bCs/>
              </w:rPr>
              <w:t xml:space="preserve"> authorised 17 Apr 1980 </w:t>
            </w:r>
            <w:r>
              <w:t xml:space="preserve">(see </w:t>
            </w:r>
            <w:r>
              <w:rPr>
                <w:i/>
                <w:iCs/>
              </w:rPr>
              <w:t>Gazette</w:t>
            </w:r>
            <w:r>
              <w:t xml:space="preserve"> 22 Apr 1980 p. 1171</w:t>
            </w:r>
            <w:r>
              <w:noBreakHyphen/>
              <w:t>8) (includes amendments listed above)</w:t>
            </w:r>
          </w:p>
        </w:tc>
      </w:tr>
      <w:tr>
        <w:trPr>
          <w:cantSplit/>
        </w:trPr>
        <w:tc>
          <w:tcPr>
            <w:tcW w:w="3123" w:type="dxa"/>
          </w:tcPr>
          <w:p>
            <w:pPr>
              <w:pStyle w:val="nTable"/>
              <w:spacing w:before="50" w:after="50"/>
              <w:ind w:right="113"/>
            </w:pPr>
            <w:r>
              <w:rPr>
                <w:i/>
              </w:rPr>
              <w:t xml:space="preserve">Debt Collectors Licensing Amendment Regulations 1983 </w:t>
            </w:r>
          </w:p>
        </w:tc>
        <w:tc>
          <w:tcPr>
            <w:tcW w:w="1280" w:type="dxa"/>
          </w:tcPr>
          <w:p>
            <w:pPr>
              <w:pStyle w:val="nTable"/>
              <w:spacing w:before="50" w:after="50"/>
            </w:pPr>
            <w:r>
              <w:t>28 Oct 1983 p. 4370</w:t>
            </w:r>
          </w:p>
        </w:tc>
        <w:tc>
          <w:tcPr>
            <w:tcW w:w="2756" w:type="dxa"/>
            <w:gridSpan w:val="3"/>
          </w:tcPr>
          <w:p>
            <w:pPr>
              <w:pStyle w:val="nTable"/>
              <w:spacing w:before="50" w:after="50"/>
            </w:pPr>
            <w:r>
              <w:t>1 Nov 1983 (see r. 2)</w:t>
            </w:r>
          </w:p>
        </w:tc>
      </w:tr>
      <w:tr>
        <w:trPr>
          <w:cantSplit/>
        </w:trPr>
        <w:tc>
          <w:tcPr>
            <w:tcW w:w="3123" w:type="dxa"/>
          </w:tcPr>
          <w:p>
            <w:pPr>
              <w:pStyle w:val="nTable"/>
              <w:spacing w:before="50" w:after="50"/>
              <w:ind w:right="113"/>
            </w:pPr>
            <w:r>
              <w:rPr>
                <w:i/>
              </w:rPr>
              <w:t>Debt Collectors Licensing Amendment Regulations 1986</w:t>
            </w:r>
          </w:p>
        </w:tc>
        <w:tc>
          <w:tcPr>
            <w:tcW w:w="1280" w:type="dxa"/>
          </w:tcPr>
          <w:p>
            <w:pPr>
              <w:pStyle w:val="nTable"/>
              <w:spacing w:before="50" w:after="50"/>
            </w:pPr>
            <w:r>
              <w:t>29 Aug 1986 p. 3205</w:t>
            </w:r>
            <w:r>
              <w:noBreakHyphen/>
              <w:t>6</w:t>
            </w:r>
          </w:p>
        </w:tc>
        <w:tc>
          <w:tcPr>
            <w:tcW w:w="2756" w:type="dxa"/>
            <w:gridSpan w:val="3"/>
          </w:tcPr>
          <w:p>
            <w:pPr>
              <w:pStyle w:val="nTable"/>
              <w:spacing w:before="50" w:after="50"/>
            </w:pPr>
            <w:r>
              <w:t>1 Sep 1986 (see r. 2)</w:t>
            </w:r>
          </w:p>
        </w:tc>
      </w:tr>
      <w:tr>
        <w:trPr>
          <w:cantSplit/>
        </w:trPr>
        <w:tc>
          <w:tcPr>
            <w:tcW w:w="3123" w:type="dxa"/>
          </w:tcPr>
          <w:p>
            <w:pPr>
              <w:pStyle w:val="nTable"/>
              <w:spacing w:before="50" w:after="50"/>
              <w:ind w:right="113"/>
            </w:pPr>
            <w:r>
              <w:rPr>
                <w:i/>
              </w:rPr>
              <w:t>Debt Collectors Licensing Amendment Regulations 1988</w:t>
            </w:r>
          </w:p>
        </w:tc>
        <w:tc>
          <w:tcPr>
            <w:tcW w:w="1280" w:type="dxa"/>
          </w:tcPr>
          <w:p>
            <w:pPr>
              <w:pStyle w:val="nTable"/>
              <w:spacing w:before="50" w:after="50"/>
            </w:pPr>
            <w:r>
              <w:t>12 Aug 1988 p. 2771</w:t>
            </w:r>
          </w:p>
        </w:tc>
        <w:tc>
          <w:tcPr>
            <w:tcW w:w="2756" w:type="dxa"/>
            <w:gridSpan w:val="3"/>
          </w:tcPr>
          <w:p>
            <w:pPr>
              <w:pStyle w:val="nTable"/>
              <w:spacing w:before="50" w:after="50"/>
            </w:pPr>
            <w:r>
              <w:t>12 Aug 1988</w:t>
            </w:r>
          </w:p>
        </w:tc>
      </w:tr>
      <w:tr>
        <w:trPr>
          <w:cantSplit/>
        </w:trPr>
        <w:tc>
          <w:tcPr>
            <w:tcW w:w="3123" w:type="dxa"/>
          </w:tcPr>
          <w:p>
            <w:pPr>
              <w:pStyle w:val="nTable"/>
              <w:spacing w:before="50" w:after="50"/>
              <w:ind w:right="113"/>
            </w:pPr>
            <w:r>
              <w:rPr>
                <w:i/>
              </w:rPr>
              <w:t>Debt Collectors Licensing Amendment Regulations 1989</w:t>
            </w:r>
          </w:p>
        </w:tc>
        <w:tc>
          <w:tcPr>
            <w:tcW w:w="1280" w:type="dxa"/>
          </w:tcPr>
          <w:p>
            <w:pPr>
              <w:pStyle w:val="nTable"/>
              <w:spacing w:before="50" w:after="50"/>
            </w:pPr>
            <w:r>
              <w:t>30 Jun 1989 p. 1974</w:t>
            </w:r>
          </w:p>
        </w:tc>
        <w:tc>
          <w:tcPr>
            <w:tcW w:w="2756" w:type="dxa"/>
            <w:gridSpan w:val="3"/>
          </w:tcPr>
          <w:p>
            <w:pPr>
              <w:pStyle w:val="nTable"/>
              <w:spacing w:before="50" w:after="50"/>
            </w:pPr>
            <w:r>
              <w:t>1 Jul 1989 (see r. 2)</w:t>
            </w:r>
          </w:p>
        </w:tc>
      </w:tr>
      <w:tr>
        <w:trPr>
          <w:cantSplit/>
        </w:trPr>
        <w:tc>
          <w:tcPr>
            <w:tcW w:w="3123" w:type="dxa"/>
          </w:tcPr>
          <w:p>
            <w:pPr>
              <w:pStyle w:val="nTable"/>
              <w:spacing w:before="50" w:after="50"/>
              <w:ind w:right="113"/>
            </w:pPr>
            <w:r>
              <w:rPr>
                <w:i/>
              </w:rPr>
              <w:t>Debt Collectors Licensing Amendment Regulations 1990</w:t>
            </w:r>
          </w:p>
        </w:tc>
        <w:tc>
          <w:tcPr>
            <w:tcW w:w="1280" w:type="dxa"/>
          </w:tcPr>
          <w:p>
            <w:pPr>
              <w:pStyle w:val="nTable"/>
              <w:spacing w:before="50" w:after="50"/>
            </w:pPr>
            <w:r>
              <w:t>1 Aug 1990 p. 3658</w:t>
            </w:r>
          </w:p>
        </w:tc>
        <w:tc>
          <w:tcPr>
            <w:tcW w:w="2756" w:type="dxa"/>
            <w:gridSpan w:val="3"/>
          </w:tcPr>
          <w:p>
            <w:pPr>
              <w:pStyle w:val="nTable"/>
              <w:spacing w:before="50" w:after="50"/>
            </w:pPr>
            <w:r>
              <w:t>1 Aug 1990</w:t>
            </w:r>
          </w:p>
        </w:tc>
      </w:tr>
      <w:tr>
        <w:trPr>
          <w:cantSplit/>
        </w:trPr>
        <w:tc>
          <w:tcPr>
            <w:tcW w:w="3123" w:type="dxa"/>
          </w:tcPr>
          <w:p>
            <w:pPr>
              <w:pStyle w:val="nTable"/>
              <w:spacing w:before="50" w:after="50"/>
              <w:ind w:right="113"/>
            </w:pPr>
            <w:r>
              <w:rPr>
                <w:i/>
              </w:rPr>
              <w:t>Debt Collectors Licensing Amendment Regulations 1991</w:t>
            </w:r>
          </w:p>
        </w:tc>
        <w:tc>
          <w:tcPr>
            <w:tcW w:w="1280" w:type="dxa"/>
          </w:tcPr>
          <w:p>
            <w:pPr>
              <w:pStyle w:val="nTable"/>
              <w:spacing w:before="50" w:after="50"/>
            </w:pPr>
            <w:r>
              <w:t>13 Dec 1991 p. 6157</w:t>
            </w:r>
          </w:p>
        </w:tc>
        <w:tc>
          <w:tcPr>
            <w:tcW w:w="2756" w:type="dxa"/>
            <w:gridSpan w:val="3"/>
          </w:tcPr>
          <w:p>
            <w:pPr>
              <w:pStyle w:val="nTable"/>
              <w:spacing w:before="50" w:after="50"/>
            </w:pPr>
            <w:r>
              <w:t>13 Dec 1991</w:t>
            </w:r>
          </w:p>
        </w:tc>
      </w:tr>
      <w:tr>
        <w:trPr>
          <w:cantSplit/>
        </w:trPr>
        <w:tc>
          <w:tcPr>
            <w:tcW w:w="3123" w:type="dxa"/>
          </w:tcPr>
          <w:p>
            <w:pPr>
              <w:pStyle w:val="nTable"/>
              <w:spacing w:before="50" w:after="50"/>
              <w:ind w:right="113"/>
            </w:pPr>
            <w:r>
              <w:rPr>
                <w:i/>
              </w:rPr>
              <w:t>Debt Collectors Licensing Amendment Regulations 1992</w:t>
            </w:r>
          </w:p>
        </w:tc>
        <w:tc>
          <w:tcPr>
            <w:tcW w:w="1280" w:type="dxa"/>
          </w:tcPr>
          <w:p>
            <w:pPr>
              <w:pStyle w:val="nTable"/>
              <w:spacing w:before="50" w:after="50"/>
            </w:pPr>
            <w:r>
              <w:t>14 Aug 1992 p. 4023</w:t>
            </w:r>
          </w:p>
        </w:tc>
        <w:tc>
          <w:tcPr>
            <w:tcW w:w="2756" w:type="dxa"/>
            <w:gridSpan w:val="3"/>
          </w:tcPr>
          <w:p>
            <w:pPr>
              <w:pStyle w:val="nTable"/>
              <w:spacing w:before="50" w:after="50"/>
            </w:pPr>
            <w:r>
              <w:t>14 Aug 1992</w:t>
            </w:r>
          </w:p>
        </w:tc>
      </w:tr>
      <w:tr>
        <w:trPr>
          <w:cantSplit/>
        </w:trPr>
        <w:tc>
          <w:tcPr>
            <w:tcW w:w="7159" w:type="dxa"/>
            <w:gridSpan w:val="5"/>
          </w:tcPr>
          <w:p>
            <w:pPr>
              <w:pStyle w:val="nTable"/>
              <w:spacing w:before="50" w:after="50"/>
            </w:pPr>
            <w:r>
              <w:rPr>
                <w:b/>
                <w:bCs/>
              </w:rPr>
              <w:t xml:space="preserve">Reprint of the </w:t>
            </w:r>
            <w:r>
              <w:rPr>
                <w:b/>
                <w:bCs/>
                <w:i/>
              </w:rPr>
              <w:t>Debt Collectors Licensing Regulations 1964</w:t>
            </w:r>
            <w:r>
              <w:rPr>
                <w:b/>
                <w:bCs/>
              </w:rPr>
              <w:t xml:space="preserve"> as at 9 Mar 2001</w:t>
            </w:r>
            <w:r>
              <w:t xml:space="preserve"> (includes amendments listed above)</w:t>
            </w:r>
          </w:p>
        </w:tc>
      </w:tr>
      <w:tr>
        <w:trPr>
          <w:cantSplit/>
        </w:trPr>
        <w:tc>
          <w:tcPr>
            <w:tcW w:w="3123" w:type="dxa"/>
          </w:tcPr>
          <w:p>
            <w:pPr>
              <w:pStyle w:val="nTable"/>
              <w:spacing w:before="50" w:after="50"/>
              <w:ind w:right="113"/>
              <w:rPr>
                <w:i/>
              </w:rPr>
            </w:pPr>
            <w:r>
              <w:rPr>
                <w:i/>
              </w:rPr>
              <w:t>Debt Collectors Licensing Amendment Regulations 2004</w:t>
            </w:r>
          </w:p>
        </w:tc>
        <w:tc>
          <w:tcPr>
            <w:tcW w:w="1280" w:type="dxa"/>
          </w:tcPr>
          <w:p>
            <w:pPr>
              <w:pStyle w:val="nTable"/>
              <w:spacing w:before="50" w:after="50"/>
            </w:pPr>
            <w:r>
              <w:t>30 Dec 2004 p. 6915-17</w:t>
            </w:r>
          </w:p>
        </w:tc>
        <w:tc>
          <w:tcPr>
            <w:tcW w:w="2756" w:type="dxa"/>
            <w:gridSpan w:val="3"/>
          </w:tcPr>
          <w:p>
            <w:pPr>
              <w:pStyle w:val="nTable"/>
              <w:spacing w:before="50" w:after="50"/>
            </w:pPr>
            <w:r>
              <w:t xml:space="preserve">1 Jan 2005 (see r. 2 and </w:t>
            </w:r>
            <w:r>
              <w:rPr>
                <w:i/>
              </w:rPr>
              <w:t>Gazette</w:t>
            </w:r>
            <w:r>
              <w:t xml:space="preserve"> 31 Dec 2004 p. 7130)</w:t>
            </w:r>
          </w:p>
        </w:tc>
      </w:tr>
      <w:tr>
        <w:trPr>
          <w:cantSplit/>
        </w:trPr>
        <w:tc>
          <w:tcPr>
            <w:tcW w:w="3123" w:type="dxa"/>
          </w:tcPr>
          <w:p>
            <w:pPr>
              <w:pStyle w:val="nTable"/>
              <w:keepNext/>
              <w:spacing w:before="50" w:after="50"/>
              <w:ind w:right="113"/>
              <w:rPr>
                <w:i/>
              </w:rPr>
            </w:pPr>
            <w:r>
              <w:rPr>
                <w:i/>
              </w:rPr>
              <w:t>Debt Collectors Licensing Amendment Regulations (No. 2) 2006</w:t>
            </w:r>
          </w:p>
        </w:tc>
        <w:tc>
          <w:tcPr>
            <w:tcW w:w="1280" w:type="dxa"/>
          </w:tcPr>
          <w:p>
            <w:pPr>
              <w:pStyle w:val="nTable"/>
              <w:keepNext/>
              <w:spacing w:before="50" w:after="50"/>
            </w:pPr>
            <w:r>
              <w:t>27 Jun 2006 p. 2254</w:t>
            </w:r>
          </w:p>
        </w:tc>
        <w:tc>
          <w:tcPr>
            <w:tcW w:w="2756" w:type="dxa"/>
            <w:gridSpan w:val="3"/>
          </w:tcPr>
          <w:p>
            <w:pPr>
              <w:pStyle w:val="nTable"/>
              <w:keepNext/>
              <w:spacing w:before="50" w:after="50"/>
              <w:rPr>
                <w:u w:val="words"/>
              </w:rPr>
            </w:pPr>
            <w:r>
              <w:t>1 Jul 2006 (see r. 2)</w:t>
            </w:r>
          </w:p>
        </w:tc>
      </w:tr>
      <w:tr>
        <w:trPr>
          <w:cantSplit/>
        </w:trPr>
        <w:tc>
          <w:tcPr>
            <w:tcW w:w="3123" w:type="dxa"/>
          </w:tcPr>
          <w:p>
            <w:pPr>
              <w:pStyle w:val="nTable"/>
              <w:spacing w:before="50" w:after="50"/>
              <w:ind w:right="113"/>
              <w:rPr>
                <w:i/>
              </w:rPr>
            </w:pPr>
            <w:r>
              <w:rPr>
                <w:i/>
              </w:rPr>
              <w:t>Debt Collectors Licensing Amendment Regulations 2006</w:t>
            </w:r>
          </w:p>
        </w:tc>
        <w:tc>
          <w:tcPr>
            <w:tcW w:w="1280" w:type="dxa"/>
          </w:tcPr>
          <w:p>
            <w:pPr>
              <w:pStyle w:val="nTable"/>
              <w:spacing w:before="50" w:after="50"/>
            </w:pPr>
            <w:r>
              <w:t>22 Sep 2006 p. 4101-4</w:t>
            </w:r>
          </w:p>
        </w:tc>
        <w:tc>
          <w:tcPr>
            <w:tcW w:w="2756" w:type="dxa"/>
            <w:gridSpan w:val="3"/>
          </w:tcPr>
          <w:p>
            <w:pPr>
              <w:pStyle w:val="nTable"/>
              <w:spacing w:before="50" w:after="50"/>
            </w:pPr>
            <w:r>
              <w:t>22 Sep 2006 (see r. 2(a))</w:t>
            </w:r>
          </w:p>
        </w:tc>
      </w:tr>
      <w:tr>
        <w:trPr>
          <w:cantSplit/>
        </w:trPr>
        <w:tc>
          <w:tcPr>
            <w:tcW w:w="7159" w:type="dxa"/>
            <w:gridSpan w:val="5"/>
          </w:tcPr>
          <w:p>
            <w:pPr>
              <w:pStyle w:val="nTable"/>
              <w:spacing w:before="50" w:after="50"/>
            </w:pPr>
            <w:r>
              <w:rPr>
                <w:b/>
                <w:bCs/>
              </w:rPr>
              <w:t xml:space="preserve">Reprint 3: The </w:t>
            </w:r>
            <w:r>
              <w:rPr>
                <w:b/>
                <w:bCs/>
                <w:i/>
              </w:rPr>
              <w:t>Debt Collectors Licensing Regulations 1964</w:t>
            </w:r>
            <w:r>
              <w:rPr>
                <w:b/>
                <w:bCs/>
              </w:rPr>
              <w:t xml:space="preserve"> as at 10 Nov 2006</w:t>
            </w:r>
            <w:r>
              <w:t xml:space="preserve"> (includes amendments listed above)</w:t>
            </w:r>
          </w:p>
        </w:tc>
      </w:tr>
      <w:tr>
        <w:trPr>
          <w:cantSplit/>
        </w:trPr>
        <w:tc>
          <w:tcPr>
            <w:tcW w:w="3123" w:type="dxa"/>
          </w:tcPr>
          <w:p>
            <w:pPr>
              <w:pStyle w:val="nTable"/>
              <w:spacing w:before="50" w:after="50"/>
              <w:ind w:right="113"/>
              <w:rPr>
                <w:i/>
              </w:rPr>
            </w:pPr>
            <w:r>
              <w:rPr>
                <w:i/>
              </w:rPr>
              <w:t>Debt Collectors Licensing Amendment Regulations (No. 3) 2006</w:t>
            </w:r>
          </w:p>
        </w:tc>
        <w:tc>
          <w:tcPr>
            <w:tcW w:w="1280" w:type="dxa"/>
          </w:tcPr>
          <w:p>
            <w:pPr>
              <w:pStyle w:val="nTable"/>
              <w:spacing w:before="50" w:after="50"/>
            </w:pPr>
            <w:r>
              <w:t>12 Jan 2007 p. 46-7</w:t>
            </w:r>
          </w:p>
        </w:tc>
        <w:tc>
          <w:tcPr>
            <w:tcW w:w="2756" w:type="dxa"/>
            <w:gridSpan w:val="3"/>
          </w:tcPr>
          <w:p>
            <w:pPr>
              <w:pStyle w:val="nTable"/>
              <w:spacing w:before="50" w:after="50"/>
            </w:pPr>
            <w:r>
              <w:t>12 Jan 2007</w:t>
            </w:r>
          </w:p>
        </w:tc>
      </w:tr>
      <w:tr>
        <w:trPr>
          <w:cantSplit/>
        </w:trPr>
        <w:tc>
          <w:tcPr>
            <w:tcW w:w="3123" w:type="dxa"/>
          </w:tcPr>
          <w:p>
            <w:pPr>
              <w:pStyle w:val="nTable"/>
              <w:spacing w:before="50" w:after="50"/>
              <w:ind w:right="113"/>
              <w:rPr>
                <w:i/>
              </w:rPr>
            </w:pPr>
            <w:r>
              <w:rPr>
                <w:i/>
              </w:rPr>
              <w:t>Debt Collectors Licensing Amendment Regulations 2007</w:t>
            </w:r>
          </w:p>
        </w:tc>
        <w:tc>
          <w:tcPr>
            <w:tcW w:w="1280" w:type="dxa"/>
          </w:tcPr>
          <w:p>
            <w:pPr>
              <w:pStyle w:val="nTable"/>
              <w:spacing w:before="50" w:after="50"/>
            </w:pPr>
            <w:r>
              <w:t>15 Jun 2007 p. 2771-2</w:t>
            </w:r>
          </w:p>
        </w:tc>
        <w:tc>
          <w:tcPr>
            <w:tcW w:w="2756" w:type="dxa"/>
            <w:gridSpan w:val="3"/>
          </w:tcPr>
          <w:p>
            <w:pPr>
              <w:pStyle w:val="nTable"/>
              <w:spacing w:before="50" w:after="50"/>
            </w:pPr>
            <w:r>
              <w:t>r. 1 and 2: 15 Jun 2007 (see r. 2(a));</w:t>
            </w:r>
            <w:r>
              <w:br/>
              <w:t>Regulations other than r. 1 and 2: 1 Jul 2007 (see r. 2(b)(i))</w:t>
            </w:r>
          </w:p>
        </w:tc>
      </w:tr>
      <w:tr>
        <w:trPr>
          <w:cantSplit/>
        </w:trPr>
        <w:tc>
          <w:tcPr>
            <w:tcW w:w="3123" w:type="dxa"/>
          </w:tcPr>
          <w:p>
            <w:pPr>
              <w:pStyle w:val="nTable"/>
              <w:spacing w:before="50" w:after="50"/>
              <w:ind w:right="113"/>
              <w:rPr>
                <w:i/>
              </w:rPr>
            </w:pPr>
            <w:r>
              <w:rPr>
                <w:i/>
              </w:rPr>
              <w:t>Debt Collectors Licensing Amendment Regulations 2008</w:t>
            </w:r>
          </w:p>
        </w:tc>
        <w:tc>
          <w:tcPr>
            <w:tcW w:w="1280" w:type="dxa"/>
          </w:tcPr>
          <w:p>
            <w:pPr>
              <w:pStyle w:val="nTable"/>
              <w:spacing w:before="50" w:after="50"/>
            </w:pPr>
            <w:r>
              <w:t>17 Jun 2008 p. 2549</w:t>
            </w:r>
          </w:p>
        </w:tc>
        <w:tc>
          <w:tcPr>
            <w:tcW w:w="2756" w:type="dxa"/>
            <w:gridSpan w:val="3"/>
          </w:tcPr>
          <w:p>
            <w:pPr>
              <w:pStyle w:val="nTable"/>
              <w:spacing w:before="50" w:after="50"/>
            </w:pPr>
            <w:r>
              <w:t>r. 1 and 2: 17 Jun 2008 (see r. 2(a));</w:t>
            </w:r>
            <w:r>
              <w:br/>
              <w:t>Regulations other than r. 1 and 2: 1 Jul 2008 (see r. 2(b))</w:t>
            </w:r>
          </w:p>
        </w:tc>
      </w:tr>
      <w:tr>
        <w:trPr>
          <w:cantSplit/>
        </w:trPr>
        <w:tc>
          <w:tcPr>
            <w:tcW w:w="3123" w:type="dxa"/>
          </w:tcPr>
          <w:p>
            <w:pPr>
              <w:pStyle w:val="nTable"/>
              <w:spacing w:before="50" w:after="50"/>
              <w:ind w:right="113"/>
              <w:rPr>
                <w:i/>
              </w:rPr>
            </w:pPr>
            <w:r>
              <w:rPr>
                <w:i/>
              </w:rPr>
              <w:t>Debt Collectors Licensing Amendment Regulations 2009</w:t>
            </w:r>
          </w:p>
        </w:tc>
        <w:tc>
          <w:tcPr>
            <w:tcW w:w="1280" w:type="dxa"/>
          </w:tcPr>
          <w:p>
            <w:pPr>
              <w:pStyle w:val="nTable"/>
              <w:spacing w:before="50" w:after="50"/>
            </w:pPr>
            <w:r>
              <w:t>23 Jun 2009 p. 2437</w:t>
            </w:r>
          </w:p>
        </w:tc>
        <w:tc>
          <w:tcPr>
            <w:tcW w:w="2756" w:type="dxa"/>
            <w:gridSpan w:val="3"/>
          </w:tcPr>
          <w:p>
            <w:pPr>
              <w:pStyle w:val="nTable"/>
              <w:spacing w:before="50" w:after="50"/>
            </w:pPr>
            <w:r>
              <w:rPr>
                <w:snapToGrid w:val="0"/>
              </w:rPr>
              <w:t>r. 1 and 2: 23 Jun 2009 (see r. 2(a));</w:t>
            </w:r>
            <w:r>
              <w:rPr>
                <w:snapToGrid w:val="0"/>
              </w:rPr>
              <w:br/>
              <w:t>Regulations other than r. 1 and 2: 1 Jul 2009 (see r. 2(b))</w:t>
            </w:r>
          </w:p>
        </w:tc>
      </w:tr>
      <w:tr>
        <w:trPr>
          <w:cantSplit/>
        </w:trPr>
        <w:tc>
          <w:tcPr>
            <w:tcW w:w="7159" w:type="dxa"/>
            <w:gridSpan w:val="5"/>
          </w:tcPr>
          <w:p>
            <w:pPr>
              <w:pStyle w:val="nTable"/>
              <w:spacing w:before="50" w:after="50"/>
              <w:rPr>
                <w:snapToGrid w:val="0"/>
                <w:spacing w:val="-2"/>
              </w:rPr>
            </w:pPr>
            <w:r>
              <w:rPr>
                <w:b/>
                <w:bCs/>
              </w:rPr>
              <w:t xml:space="preserve">Reprint 4: The </w:t>
            </w:r>
            <w:r>
              <w:rPr>
                <w:b/>
                <w:bCs/>
                <w:i/>
              </w:rPr>
              <w:t>Debt Collectors Licensing Regulations 1964</w:t>
            </w:r>
            <w:r>
              <w:rPr>
                <w:b/>
                <w:bCs/>
              </w:rPr>
              <w:t xml:space="preserve"> as at 21 Aug 2009</w:t>
            </w:r>
            <w:r>
              <w:t xml:space="preserve"> (includes amendments listed above)</w:t>
            </w:r>
          </w:p>
        </w:tc>
      </w:tr>
      <w:tr>
        <w:trPr>
          <w:cantSplit/>
        </w:trPr>
        <w:tc>
          <w:tcPr>
            <w:tcW w:w="3123" w:type="dxa"/>
          </w:tcPr>
          <w:p>
            <w:pPr>
              <w:pStyle w:val="nTable"/>
              <w:spacing w:before="50" w:after="50"/>
              <w:ind w:right="113"/>
              <w:rPr>
                <w:i/>
              </w:rPr>
            </w:pPr>
            <w:r>
              <w:rPr>
                <w:i/>
              </w:rPr>
              <w:t>Debt Collectors Licensing Amendment Regulations 2010</w:t>
            </w:r>
          </w:p>
        </w:tc>
        <w:tc>
          <w:tcPr>
            <w:tcW w:w="1280" w:type="dxa"/>
          </w:tcPr>
          <w:p>
            <w:pPr>
              <w:pStyle w:val="nTable"/>
              <w:spacing w:before="50" w:after="50"/>
            </w:pPr>
            <w:r>
              <w:t>25 Jun 2010 p. 2844-5</w:t>
            </w:r>
          </w:p>
        </w:tc>
        <w:tc>
          <w:tcPr>
            <w:tcW w:w="2756" w:type="dxa"/>
            <w:gridSpan w:val="3"/>
          </w:tcPr>
          <w:p>
            <w:pPr>
              <w:pStyle w:val="nTable"/>
              <w:spacing w:before="50" w:after="50"/>
            </w:pPr>
            <w:r>
              <w:rPr>
                <w:snapToGrid w:val="0"/>
              </w:rPr>
              <w:t>r. 1 and 2: 25 Jun 2010 (see r. 2(a));</w:t>
            </w:r>
            <w:r>
              <w:rPr>
                <w:snapToGrid w:val="0"/>
              </w:rPr>
              <w:br/>
              <w:t>Regulations other than r. 1 and 2: 1 Jul 2010 (see r. 2(b))</w:t>
            </w:r>
          </w:p>
        </w:tc>
      </w:tr>
      <w:tr>
        <w:trPr>
          <w:cantSplit/>
        </w:trPr>
        <w:tc>
          <w:tcPr>
            <w:tcW w:w="3123" w:type="dxa"/>
          </w:tcPr>
          <w:p>
            <w:pPr>
              <w:pStyle w:val="nTable"/>
              <w:spacing w:before="50" w:after="50"/>
              <w:ind w:right="113"/>
              <w:rPr>
                <w:i/>
              </w:rPr>
            </w:pPr>
            <w:r>
              <w:rPr>
                <w:i/>
              </w:rPr>
              <w:t>Debt Collectors Licensing Amendment Regulations 2011</w:t>
            </w:r>
          </w:p>
        </w:tc>
        <w:tc>
          <w:tcPr>
            <w:tcW w:w="1280" w:type="dxa"/>
          </w:tcPr>
          <w:p>
            <w:pPr>
              <w:pStyle w:val="nTable"/>
              <w:spacing w:before="50" w:after="50"/>
            </w:pPr>
            <w:r>
              <w:t>22 Jun 2011 p. 2345</w:t>
            </w:r>
            <w:r>
              <w:noBreakHyphen/>
              <w:t>6</w:t>
            </w:r>
          </w:p>
        </w:tc>
        <w:tc>
          <w:tcPr>
            <w:tcW w:w="2756" w:type="dxa"/>
            <w:gridSpan w:val="3"/>
          </w:tcPr>
          <w:p>
            <w:pPr>
              <w:pStyle w:val="nTable"/>
              <w:spacing w:before="50" w:after="50"/>
              <w:rPr>
                <w:snapToGrid w:val="0"/>
              </w:rPr>
            </w:pPr>
            <w:r>
              <w:rPr>
                <w:snapToGrid w:val="0"/>
              </w:rPr>
              <w:t>r. 1 and 2: 22 Jun 2011 (see r. 2(a));</w:t>
            </w:r>
            <w:r>
              <w:rPr>
                <w:snapToGrid w:val="0"/>
              </w:rPr>
              <w:br/>
              <w:t>Regulations other than r. 1 and 2: 1 Jul 2011 (see r. 2(b))</w:t>
            </w:r>
          </w:p>
        </w:tc>
      </w:tr>
      <w:tr>
        <w:trPr>
          <w:cantSplit/>
        </w:trPr>
        <w:tc>
          <w:tcPr>
            <w:tcW w:w="3123" w:type="dxa"/>
          </w:tcPr>
          <w:p>
            <w:pPr>
              <w:pStyle w:val="nTable"/>
              <w:spacing w:before="50" w:after="50"/>
              <w:ind w:right="113"/>
              <w:rPr>
                <w:i/>
              </w:rPr>
            </w:pPr>
            <w:r>
              <w:rPr>
                <w:i/>
              </w:rPr>
              <w:t>Debt Collectors Licensing Amendment Regulations 2012</w:t>
            </w:r>
          </w:p>
        </w:tc>
        <w:tc>
          <w:tcPr>
            <w:tcW w:w="1280" w:type="dxa"/>
          </w:tcPr>
          <w:p>
            <w:pPr>
              <w:pStyle w:val="nTable"/>
              <w:spacing w:before="50" w:after="50"/>
            </w:pPr>
            <w:r>
              <w:t>15 Jun 2012 p. 2585-6</w:t>
            </w:r>
          </w:p>
        </w:tc>
        <w:tc>
          <w:tcPr>
            <w:tcW w:w="2756" w:type="dxa"/>
            <w:gridSpan w:val="3"/>
          </w:tcPr>
          <w:p>
            <w:pPr>
              <w:pStyle w:val="nTable"/>
              <w:spacing w:before="50" w:after="50"/>
              <w:rPr>
                <w:snapToGrid w:val="0"/>
              </w:rPr>
            </w:pPr>
            <w:r>
              <w:rPr>
                <w:snapToGrid w:val="0"/>
              </w:rPr>
              <w:t>r. 1 and 2: 15 Jun 2012 (see r. 2(a));</w:t>
            </w:r>
            <w:r>
              <w:rPr>
                <w:snapToGrid w:val="0"/>
              </w:rPr>
              <w:br/>
              <w:t>Regulations other than r. 1 and 2: 1 Jul 2012 (see r. 2(b))</w:t>
            </w:r>
          </w:p>
        </w:tc>
      </w:tr>
      <w:tr>
        <w:trPr>
          <w:cantSplit/>
        </w:trPr>
        <w:tc>
          <w:tcPr>
            <w:tcW w:w="3123" w:type="dxa"/>
          </w:tcPr>
          <w:p>
            <w:pPr>
              <w:pStyle w:val="nTable"/>
              <w:spacing w:before="50" w:after="50"/>
              <w:ind w:right="113"/>
              <w:rPr>
                <w:i/>
              </w:rPr>
            </w:pPr>
            <w:r>
              <w:rPr>
                <w:i/>
              </w:rPr>
              <w:t>Debt Collectors Licensing Amendment Regulations (No. 2) 2013</w:t>
            </w:r>
          </w:p>
        </w:tc>
        <w:tc>
          <w:tcPr>
            <w:tcW w:w="1280" w:type="dxa"/>
          </w:tcPr>
          <w:p>
            <w:pPr>
              <w:pStyle w:val="nTable"/>
              <w:spacing w:before="50" w:after="50"/>
            </w:pPr>
            <w:r>
              <w:t>27 Jun 2013 p. 2677-8</w:t>
            </w:r>
          </w:p>
        </w:tc>
        <w:tc>
          <w:tcPr>
            <w:tcW w:w="2756" w:type="dxa"/>
            <w:gridSpan w:val="3"/>
          </w:tcPr>
          <w:p>
            <w:pPr>
              <w:pStyle w:val="nTable"/>
              <w:spacing w:before="50" w:after="50"/>
              <w:rPr>
                <w:i/>
                <w:snapToGrid w:val="0"/>
              </w:rPr>
            </w:pPr>
            <w:r>
              <w:rPr>
                <w:snapToGrid w:val="0"/>
              </w:rPr>
              <w:t>r. 1 and 2: 27 Jun 2013 (see r. 2(a));</w:t>
            </w:r>
            <w:r>
              <w:rPr>
                <w:snapToGrid w:val="0"/>
              </w:rPr>
              <w:br/>
              <w:t>Regulations other than r. 1 and 2: 1 Jul 2013 (see r. 2(b))</w:t>
            </w:r>
          </w:p>
        </w:tc>
      </w:tr>
      <w:tr>
        <w:trPr>
          <w:cantSplit/>
        </w:trPr>
        <w:tc>
          <w:tcPr>
            <w:tcW w:w="3123" w:type="dxa"/>
            <w:shd w:val="clear" w:color="auto" w:fill="auto"/>
          </w:tcPr>
          <w:p>
            <w:pPr>
              <w:pStyle w:val="nTable"/>
              <w:spacing w:before="50" w:after="50"/>
              <w:ind w:right="113"/>
              <w:rPr>
                <w:i/>
              </w:rPr>
            </w:pPr>
            <w:r>
              <w:rPr>
                <w:i/>
              </w:rPr>
              <w:t>Debt Collectors Licensing Amendment Regulations 2013</w:t>
            </w:r>
          </w:p>
        </w:tc>
        <w:tc>
          <w:tcPr>
            <w:tcW w:w="1280" w:type="dxa"/>
            <w:shd w:val="clear" w:color="auto" w:fill="auto"/>
          </w:tcPr>
          <w:p>
            <w:pPr>
              <w:pStyle w:val="nTable"/>
              <w:spacing w:before="50" w:after="50"/>
            </w:pPr>
            <w:r>
              <w:t>20 Aug 2013 p. 3828</w:t>
            </w:r>
          </w:p>
        </w:tc>
        <w:tc>
          <w:tcPr>
            <w:tcW w:w="2756" w:type="dxa"/>
            <w:gridSpan w:val="3"/>
            <w:shd w:val="clear" w:color="auto" w:fill="auto"/>
          </w:tcPr>
          <w:p>
            <w:pPr>
              <w:pStyle w:val="nTable"/>
              <w:spacing w:before="50" w:after="50"/>
              <w:rPr>
                <w:i/>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159" w:type="dxa"/>
            <w:gridSpan w:val="5"/>
            <w:shd w:val="clear" w:color="auto" w:fill="auto"/>
          </w:tcPr>
          <w:p>
            <w:pPr>
              <w:pStyle w:val="nTable"/>
              <w:spacing w:before="50" w:after="50"/>
              <w:rPr>
                <w:snapToGrid w:val="0"/>
                <w:spacing w:val="-2"/>
              </w:rPr>
            </w:pPr>
            <w:r>
              <w:rPr>
                <w:b/>
                <w:bCs/>
              </w:rPr>
              <w:t xml:space="preserve">Reprint 5: The </w:t>
            </w:r>
            <w:r>
              <w:rPr>
                <w:b/>
                <w:bCs/>
                <w:i/>
              </w:rPr>
              <w:t>Debt Collectors Licensing Regulations 1964</w:t>
            </w:r>
            <w:r>
              <w:rPr>
                <w:b/>
                <w:bCs/>
              </w:rPr>
              <w:t xml:space="preserve"> as at 2 May 2014</w:t>
            </w:r>
            <w:r>
              <w:t xml:space="preserve"> (includes amendments listed above)</w:t>
            </w:r>
          </w:p>
        </w:tc>
      </w:tr>
      <w:tr>
        <w:trPr>
          <w:cantSplit/>
        </w:trPr>
        <w:tc>
          <w:tcPr>
            <w:tcW w:w="3123" w:type="dxa"/>
            <w:shd w:val="clear" w:color="auto" w:fill="auto"/>
          </w:tcPr>
          <w:p>
            <w:pPr>
              <w:pStyle w:val="nTable"/>
              <w:spacing w:before="50" w:after="50"/>
              <w:ind w:right="113"/>
              <w:rPr>
                <w:i/>
              </w:rPr>
            </w:pPr>
            <w:r>
              <w:rPr>
                <w:i/>
              </w:rPr>
              <w:t>Debt Collectors Licensing Amendment Regulations 2014</w:t>
            </w:r>
          </w:p>
        </w:tc>
        <w:tc>
          <w:tcPr>
            <w:tcW w:w="1280" w:type="dxa"/>
            <w:shd w:val="clear" w:color="auto" w:fill="auto"/>
          </w:tcPr>
          <w:p>
            <w:pPr>
              <w:pStyle w:val="nTable"/>
              <w:spacing w:before="50" w:after="50"/>
            </w:pPr>
            <w:r>
              <w:t>17 Jun 2014 p. 1962</w:t>
            </w:r>
            <w:r>
              <w:noBreakHyphen/>
              <w:t>3</w:t>
            </w:r>
          </w:p>
        </w:tc>
        <w:tc>
          <w:tcPr>
            <w:tcW w:w="2756" w:type="dxa"/>
            <w:gridSpan w:val="3"/>
            <w:shd w:val="clear" w:color="auto" w:fill="auto"/>
          </w:tcPr>
          <w:p>
            <w:pPr>
              <w:pStyle w:val="nTable"/>
              <w:spacing w:before="50" w:after="50"/>
              <w:rPr>
                <w:i/>
                <w:snapToGrid w:val="0"/>
                <w:spacing w:val="-2"/>
              </w:rPr>
            </w:pPr>
            <w:r>
              <w:rPr>
                <w:bCs/>
                <w:snapToGrid w:val="0"/>
                <w:spacing w:val="-2"/>
              </w:rPr>
              <w:t>r. 1 and 2: 17 Jun 2014 (see r. 2(a));</w:t>
            </w:r>
            <w:r>
              <w:rPr>
                <w:bCs/>
                <w:snapToGrid w:val="0"/>
                <w:spacing w:val="-2"/>
              </w:rPr>
              <w:br/>
              <w:t>Regulations other than r. 1 and 2: 1 Jul 2014 (see r. 2(b))</w:t>
            </w:r>
          </w:p>
        </w:tc>
      </w:tr>
      <w:tr>
        <w:trPr>
          <w:cantSplit/>
        </w:trPr>
        <w:tc>
          <w:tcPr>
            <w:tcW w:w="3123" w:type="dxa"/>
            <w:shd w:val="clear" w:color="auto" w:fill="auto"/>
          </w:tcPr>
          <w:p>
            <w:pPr>
              <w:pStyle w:val="nTable"/>
              <w:spacing w:before="50" w:after="50"/>
              <w:ind w:right="113"/>
              <w:rPr>
                <w:i/>
              </w:rPr>
            </w:pPr>
            <w:r>
              <w:rPr>
                <w:i/>
              </w:rPr>
              <w:t>Debt Collectors Licensing Amendment Regulations 2015</w:t>
            </w:r>
          </w:p>
        </w:tc>
        <w:tc>
          <w:tcPr>
            <w:tcW w:w="1280" w:type="dxa"/>
            <w:shd w:val="clear" w:color="auto" w:fill="auto"/>
          </w:tcPr>
          <w:p>
            <w:pPr>
              <w:pStyle w:val="nTable"/>
              <w:spacing w:before="50" w:after="50"/>
            </w:pPr>
            <w:r>
              <w:t>23 Jun 2015 p. 2170</w:t>
            </w:r>
            <w:r>
              <w:noBreakHyphen/>
              <w:t>1</w:t>
            </w:r>
          </w:p>
        </w:tc>
        <w:tc>
          <w:tcPr>
            <w:tcW w:w="2756" w:type="dxa"/>
            <w:gridSpan w:val="3"/>
            <w:shd w:val="clear" w:color="auto" w:fill="auto"/>
          </w:tcPr>
          <w:p>
            <w:pPr>
              <w:pStyle w:val="nTable"/>
              <w:spacing w:before="50" w:after="5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blPrEx>
          <w:tblBorders>
            <w:top w:val="single" w:sz="8" w:space="0" w:color="auto"/>
            <w:bottom w:val="single" w:sz="4" w:space="0" w:color="auto"/>
            <w:insideH w:val="single" w:sz="8" w:space="0" w:color="auto"/>
          </w:tblBorders>
        </w:tblPrEx>
        <w:tc>
          <w:tcPr>
            <w:tcW w:w="3123" w:type="dxa"/>
            <w:tcBorders>
              <w:top w:val="nil"/>
              <w:bottom w:val="nil"/>
            </w:tcBorders>
          </w:tcPr>
          <w:p>
            <w:pPr>
              <w:pStyle w:val="nTable"/>
              <w:spacing w:after="40"/>
              <w:rPr>
                <w:vertAlign w:val="superscript"/>
              </w:rPr>
            </w:pPr>
            <w:r>
              <w:rPr>
                <w:i/>
              </w:rPr>
              <w:t>Commerce Regulations Amendment (Fees and Charges) Regulations 2016</w:t>
            </w:r>
            <w:r>
              <w:t xml:space="preserve"> Pt. 7</w:t>
            </w:r>
          </w:p>
        </w:tc>
        <w:tc>
          <w:tcPr>
            <w:tcW w:w="1280" w:type="dxa"/>
            <w:tcBorders>
              <w:top w:val="nil"/>
              <w:bottom w:val="nil"/>
            </w:tcBorders>
          </w:tcPr>
          <w:p>
            <w:pPr>
              <w:pStyle w:val="nTable"/>
              <w:spacing w:after="40"/>
            </w:pPr>
            <w:r>
              <w:t>3 Jun 2016 p. 1745-73</w:t>
            </w:r>
          </w:p>
        </w:tc>
        <w:tc>
          <w:tcPr>
            <w:tcW w:w="2756" w:type="dxa"/>
            <w:gridSpan w:val="3"/>
            <w:tcBorders>
              <w:top w:val="nil"/>
              <w:bottom w:val="nil"/>
            </w:tcBorders>
          </w:tcPr>
          <w:p>
            <w:pPr>
              <w:pStyle w:val="nTable"/>
              <w:spacing w:after="40"/>
            </w:pPr>
            <w:r>
              <w:t>1 Jul 2016 (see r. 2(b))</w:t>
            </w:r>
          </w:p>
        </w:tc>
      </w:tr>
      <w:tr>
        <w:trPr>
          <w:gridAfter w:val="1"/>
          <w:wAfter w:w="40" w:type="dxa"/>
        </w:trPr>
        <w:tc>
          <w:tcPr>
            <w:tcW w:w="3123" w:type="dxa"/>
          </w:tcPr>
          <w:p>
            <w:pPr>
              <w:pStyle w:val="nTable"/>
              <w:spacing w:after="40"/>
              <w:rPr>
                <w:noProof/>
                <w:snapToGrid w:val="0"/>
              </w:rPr>
            </w:pPr>
            <w:r>
              <w:rPr>
                <w:i/>
              </w:rPr>
              <w:t xml:space="preserve">Commerce Regulations Amendment (Fees and Charges) Regulations 2017 </w:t>
            </w:r>
            <w:r>
              <w:t>Pt. 9</w:t>
            </w:r>
          </w:p>
        </w:tc>
        <w:tc>
          <w:tcPr>
            <w:tcW w:w="1280" w:type="dxa"/>
          </w:tcPr>
          <w:p>
            <w:pPr>
              <w:pStyle w:val="nTable"/>
              <w:spacing w:after="40"/>
            </w:pPr>
            <w:r>
              <w:t>23 Jun 2017 p. 3213</w:t>
            </w:r>
            <w:r>
              <w:noBreakHyphen/>
              <w:t>52</w:t>
            </w:r>
          </w:p>
        </w:tc>
        <w:tc>
          <w:tcPr>
            <w:tcW w:w="2716" w:type="dxa"/>
            <w:gridSpan w:val="2"/>
          </w:tcPr>
          <w:p>
            <w:pPr>
              <w:pStyle w:val="nTable"/>
              <w:spacing w:after="40"/>
            </w:pPr>
            <w:r>
              <w:t>1 Jul 2017 (see r. 2(b))</w:t>
            </w:r>
          </w:p>
        </w:tc>
      </w:tr>
      <w:tr>
        <w:trPr>
          <w:gridAfter w:val="1"/>
          <w:wAfter w:w="40" w:type="dxa"/>
        </w:trPr>
        <w:tc>
          <w:tcPr>
            <w:tcW w:w="3123" w:type="dxa"/>
          </w:tcPr>
          <w:p>
            <w:pPr>
              <w:pStyle w:val="nTable"/>
              <w:spacing w:after="40"/>
              <w:rPr>
                <w:i/>
              </w:rPr>
            </w:pPr>
            <w:r>
              <w:rPr>
                <w:i/>
              </w:rPr>
              <w:t>Licensing Provisions Regulations Amendment Regulations 2017</w:t>
            </w:r>
            <w:r>
              <w:t xml:space="preserve"> Pt. 3</w:t>
            </w:r>
          </w:p>
        </w:tc>
        <w:tc>
          <w:tcPr>
            <w:tcW w:w="1280" w:type="dxa"/>
          </w:tcPr>
          <w:p>
            <w:pPr>
              <w:pStyle w:val="nTable"/>
              <w:spacing w:after="40"/>
            </w:pPr>
            <w:r>
              <w:t>27 Jun 2017 p. 3408</w:t>
            </w:r>
            <w:r>
              <w:noBreakHyphen/>
              <w:t>16</w:t>
            </w:r>
          </w:p>
        </w:tc>
        <w:tc>
          <w:tcPr>
            <w:tcW w:w="2716" w:type="dxa"/>
            <w:gridSpan w:val="2"/>
          </w:tcPr>
          <w:p>
            <w:pPr>
              <w:pStyle w:val="nTable"/>
              <w:spacing w:after="40"/>
            </w:pPr>
            <w:r>
              <w:t>1 Jul 2017 (see r. 2(b))</w:t>
            </w:r>
          </w:p>
        </w:tc>
      </w:tr>
      <w:tr>
        <w:tblPrEx>
          <w:tblBorders>
            <w:top w:val="single" w:sz="8" w:space="0" w:color="auto"/>
            <w:bottom w:val="single" w:sz="4" w:space="0" w:color="auto"/>
            <w:insideH w:val="single" w:sz="8" w:space="0" w:color="auto"/>
          </w:tblBorders>
        </w:tblPrEx>
        <w:trPr>
          <w:gridAfter w:val="2"/>
          <w:wAfter w:w="59" w:type="dxa"/>
        </w:trPr>
        <w:tc>
          <w:tcPr>
            <w:tcW w:w="3123" w:type="dxa"/>
            <w:tcBorders>
              <w:top w:val="nil"/>
              <w:bottom w:val="nil"/>
            </w:tcBorders>
          </w:tcPr>
          <w:p>
            <w:pPr>
              <w:pStyle w:val="nTable"/>
              <w:spacing w:after="40"/>
              <w:rPr>
                <w:noProof/>
              </w:rPr>
            </w:pPr>
            <w:r>
              <w:rPr>
                <w:i/>
              </w:rPr>
              <w:t>Commerce and Industrial Relations Regulations Amendment (Fees and Charges) Regulations 2018</w:t>
            </w:r>
            <w:r>
              <w:t xml:space="preserve"> Pt. 8</w:t>
            </w:r>
          </w:p>
        </w:tc>
        <w:tc>
          <w:tcPr>
            <w:tcW w:w="1280" w:type="dxa"/>
            <w:tcBorders>
              <w:top w:val="nil"/>
              <w:bottom w:val="nil"/>
            </w:tcBorders>
          </w:tcPr>
          <w:p>
            <w:pPr>
              <w:pStyle w:val="nTable"/>
              <w:spacing w:after="40"/>
            </w:pPr>
            <w:r>
              <w:t>25 Jun 2018 p. 2325</w:t>
            </w:r>
            <w:r>
              <w:noBreakHyphen/>
              <w:t>53</w:t>
            </w:r>
          </w:p>
        </w:tc>
        <w:tc>
          <w:tcPr>
            <w:tcW w:w="2697"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8" w:space="0" w:color="auto"/>
            <w:bottom w:val="single" w:sz="4" w:space="0" w:color="auto"/>
            <w:insideH w:val="single" w:sz="8" w:space="0" w:color="auto"/>
          </w:tblBorders>
        </w:tblPrEx>
        <w:trPr>
          <w:gridAfter w:val="2"/>
          <w:wAfter w:w="59" w:type="dxa"/>
        </w:trPr>
        <w:tc>
          <w:tcPr>
            <w:tcW w:w="3123" w:type="dxa"/>
            <w:tcBorders>
              <w:top w:val="nil"/>
              <w:bottom w:val="nil"/>
            </w:tcBorders>
          </w:tcPr>
          <w:p>
            <w:pPr>
              <w:pStyle w:val="nTable"/>
              <w:spacing w:after="40"/>
            </w:pPr>
            <w:r>
              <w:rPr>
                <w:i/>
              </w:rPr>
              <w:t xml:space="preserve">Commerce and Industrial Relations Regulations Amendment (Administration) Regulations 2018 </w:t>
            </w:r>
            <w:r>
              <w:t>Pt. 2</w:t>
            </w:r>
          </w:p>
        </w:tc>
        <w:tc>
          <w:tcPr>
            <w:tcW w:w="1280" w:type="dxa"/>
            <w:tcBorders>
              <w:top w:val="nil"/>
              <w:bottom w:val="nil"/>
            </w:tcBorders>
          </w:tcPr>
          <w:p>
            <w:pPr>
              <w:pStyle w:val="nTable"/>
              <w:spacing w:after="40"/>
            </w:pPr>
            <w:r>
              <w:t>2 Oct 2018 p. 3794</w:t>
            </w:r>
            <w:r>
              <w:noBreakHyphen/>
              <w:t>6</w:t>
            </w:r>
          </w:p>
        </w:tc>
        <w:tc>
          <w:tcPr>
            <w:tcW w:w="2697" w:type="dxa"/>
            <w:tcBorders>
              <w:top w:val="nil"/>
              <w:bottom w:val="nil"/>
            </w:tcBorders>
          </w:tcPr>
          <w:p>
            <w:pPr>
              <w:pStyle w:val="nTable"/>
              <w:spacing w:after="40"/>
              <w:rPr>
                <w:bCs/>
                <w:snapToGrid w:val="0"/>
                <w:spacing w:val="-2"/>
              </w:rPr>
            </w:pPr>
            <w:r>
              <w:rPr>
                <w:bCs/>
                <w:snapToGrid w:val="0"/>
                <w:spacing w:val="-2"/>
              </w:rPr>
              <w:t>3 Oct 2018 (see r. 2(b))</w:t>
            </w:r>
          </w:p>
        </w:tc>
      </w:tr>
      <w:tr>
        <w:tblPrEx>
          <w:tblBorders>
            <w:top w:val="single" w:sz="8" w:space="0" w:color="auto"/>
            <w:bottom w:val="single" w:sz="4" w:space="0" w:color="auto"/>
            <w:insideH w:val="single" w:sz="8" w:space="0" w:color="auto"/>
          </w:tblBorders>
        </w:tblPrEx>
        <w:trPr>
          <w:gridAfter w:val="2"/>
          <w:wAfter w:w="59" w:type="dxa"/>
          <w:ins w:id="73" w:author="Master Repository Process" w:date="2021-08-01T05:29:00Z"/>
        </w:trPr>
        <w:tc>
          <w:tcPr>
            <w:tcW w:w="3123" w:type="dxa"/>
            <w:tcBorders>
              <w:top w:val="nil"/>
              <w:bottom w:val="single" w:sz="4" w:space="0" w:color="auto"/>
            </w:tcBorders>
          </w:tcPr>
          <w:p>
            <w:pPr>
              <w:pStyle w:val="nTable"/>
              <w:spacing w:after="40"/>
              <w:rPr>
                <w:ins w:id="74" w:author="Master Repository Process" w:date="2021-08-01T05:29:00Z"/>
                <w:i/>
              </w:rPr>
            </w:pPr>
            <w:ins w:id="75" w:author="Master Repository Process" w:date="2021-08-01T05:29:00Z">
              <w:r>
                <w:rPr>
                  <w:i/>
                </w:rPr>
                <w:t>Debt Collectors Licensing Amendment Regulations 2019</w:t>
              </w:r>
            </w:ins>
          </w:p>
        </w:tc>
        <w:tc>
          <w:tcPr>
            <w:tcW w:w="1280" w:type="dxa"/>
            <w:tcBorders>
              <w:top w:val="nil"/>
              <w:bottom w:val="single" w:sz="4" w:space="0" w:color="auto"/>
            </w:tcBorders>
          </w:tcPr>
          <w:p>
            <w:pPr>
              <w:pStyle w:val="nTable"/>
              <w:spacing w:after="40"/>
              <w:rPr>
                <w:ins w:id="76" w:author="Master Repository Process" w:date="2021-08-01T05:29:00Z"/>
              </w:rPr>
            </w:pPr>
            <w:ins w:id="77" w:author="Master Repository Process" w:date="2021-08-01T05:29:00Z">
              <w:r>
                <w:t>25 Jun 2019 p. 2191</w:t>
              </w:r>
              <w:r>
                <w:noBreakHyphen/>
                <w:t>2</w:t>
              </w:r>
            </w:ins>
          </w:p>
        </w:tc>
        <w:tc>
          <w:tcPr>
            <w:tcW w:w="2697" w:type="dxa"/>
            <w:tcBorders>
              <w:top w:val="nil"/>
              <w:bottom w:val="single" w:sz="4" w:space="0" w:color="auto"/>
            </w:tcBorders>
          </w:tcPr>
          <w:p>
            <w:pPr>
              <w:pStyle w:val="nTable"/>
              <w:spacing w:after="40"/>
              <w:rPr>
                <w:ins w:id="78" w:author="Master Repository Process" w:date="2021-08-01T05:29:00Z"/>
                <w:bCs/>
                <w:snapToGrid w:val="0"/>
                <w:spacing w:val="-2"/>
              </w:rPr>
            </w:pPr>
            <w:ins w:id="79" w:author="Master Repository Process" w:date="2021-08-01T05:29:00Z">
              <w:r>
                <w:rPr>
                  <w:bCs/>
                  <w:snapToGrid w:val="0"/>
                  <w:spacing w:val="-2"/>
                </w:rPr>
                <w:t>r. 1 and 2: 25 Jun 2019 (see r. 2(a));</w:t>
              </w:r>
              <w:r>
                <w:rPr>
                  <w:bCs/>
                  <w:snapToGrid w:val="0"/>
                  <w:spacing w:val="-2"/>
                </w:rPr>
                <w:br/>
                <w:t>Regulations other than r. 1 and 2:</w:t>
              </w:r>
            </w:ins>
          </w:p>
          <w:p>
            <w:pPr>
              <w:pStyle w:val="nTable"/>
              <w:spacing w:after="40"/>
              <w:rPr>
                <w:ins w:id="80" w:author="Master Repository Process" w:date="2021-08-01T05:29:00Z"/>
                <w:bCs/>
                <w:snapToGrid w:val="0"/>
                <w:spacing w:val="-2"/>
              </w:rPr>
            </w:pPr>
            <w:ins w:id="81" w:author="Master Repository Process" w:date="2021-08-01T05:29:00Z">
              <w:r>
                <w:rPr>
                  <w:bCs/>
                  <w:snapToGrid w:val="0"/>
                  <w:spacing w:val="-2"/>
                </w:rPr>
                <w:t>26</w:t>
              </w:r>
              <w:r>
                <w:rPr>
                  <w:bCs/>
                  <w:snapToGrid w:val="0"/>
                  <w:spacing w:val="-2"/>
                  <w:lang w:val="en-US"/>
                </w:rPr>
                <w:t> Jun 2019</w:t>
              </w:r>
              <w:r>
                <w:rPr>
                  <w:bCs/>
                  <w:snapToGrid w:val="0"/>
                  <w:spacing w:val="-2"/>
                </w:rPr>
                <w:t xml:space="preserve"> (see r. 2(b))</w:t>
              </w:r>
            </w:ins>
          </w:p>
        </w:tc>
      </w:tr>
    </w:tbl>
    <w:p>
      <w:pPr>
        <w:pStyle w:val="nSubsection"/>
        <w:keepNext/>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2" w:name="_Toc11750470"/>
      <w:bookmarkStart w:id="83" w:name="_Toc12278966"/>
      <w:bookmarkStart w:id="84" w:name="_Toc11760774"/>
      <w:r>
        <w:t>Provisions that have not come into operation</w:t>
      </w:r>
      <w:bookmarkEnd w:id="82"/>
      <w:bookmarkEnd w:id="83"/>
      <w:bookmarkEnd w:id="8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spacing w:after="40"/>
              <w:rPr>
                <w:b/>
              </w:rPr>
            </w:pPr>
            <w:r>
              <w:rPr>
                <w:b/>
              </w:rPr>
              <w:t>Citation</w:t>
            </w:r>
          </w:p>
        </w:tc>
        <w:tc>
          <w:tcPr>
            <w:tcW w:w="1276" w:type="dxa"/>
          </w:tcPr>
          <w:p>
            <w:pPr>
              <w:pStyle w:val="nTable"/>
              <w:keepNext/>
              <w:spacing w:after="40"/>
              <w:rPr>
                <w:b/>
              </w:rPr>
            </w:pPr>
            <w:r>
              <w:rPr>
                <w:b/>
              </w:rPr>
              <w:t>Gazettal</w:t>
            </w:r>
          </w:p>
        </w:tc>
        <w:tc>
          <w:tcPr>
            <w:tcW w:w="2693" w:type="dxa"/>
          </w:tcPr>
          <w:p>
            <w:pPr>
              <w:pStyle w:val="nTable"/>
              <w:keepNext/>
              <w:spacing w:after="40"/>
              <w:rPr>
                <w:b/>
              </w:rPr>
            </w:pPr>
            <w:r>
              <w:rPr>
                <w:b/>
              </w:rPr>
              <w:t>Commencement</w:t>
            </w:r>
          </w:p>
        </w:tc>
      </w:tr>
      <w:tr>
        <w:tc>
          <w:tcPr>
            <w:tcW w:w="3118" w:type="dxa"/>
          </w:tcPr>
          <w:p>
            <w:pPr>
              <w:pStyle w:val="nTable"/>
              <w:keepNext/>
              <w:spacing w:after="40"/>
            </w:pPr>
            <w:r>
              <w:rPr>
                <w:i/>
              </w:rPr>
              <w:t xml:space="preserve">Commerce Regulations Amendment (Fees and Charges) Regulations 2019 </w:t>
            </w:r>
            <w:r>
              <w:t>Pt. 8</w:t>
            </w:r>
            <w:r>
              <w:rPr>
                <w:snapToGrid w:val="0"/>
                <w:vertAlign w:val="superscript"/>
              </w:rPr>
              <w:t> 3</w:t>
            </w:r>
          </w:p>
        </w:tc>
        <w:tc>
          <w:tcPr>
            <w:tcW w:w="1276" w:type="dxa"/>
          </w:tcPr>
          <w:p>
            <w:pPr>
              <w:pStyle w:val="nTable"/>
              <w:keepNext/>
              <w:spacing w:after="40"/>
            </w:pPr>
            <w:r>
              <w:t>18 Jun 2019 p. 2077</w:t>
            </w:r>
            <w:r>
              <w:noBreakHyphen/>
              <w:t>115</w:t>
            </w:r>
          </w:p>
        </w:tc>
        <w:tc>
          <w:tcPr>
            <w:tcW w:w="2693" w:type="dxa"/>
          </w:tcPr>
          <w:p>
            <w:pPr>
              <w:pStyle w:val="nTable"/>
              <w:keepNext/>
              <w:spacing w:after="40"/>
            </w:pPr>
            <w:r>
              <w:t>1 Jul 2019 (see r. 2(b))</w:t>
            </w:r>
          </w:p>
        </w:tc>
      </w:tr>
    </w:tbl>
    <w:p>
      <w:pPr>
        <w:pStyle w:val="nSubsection"/>
        <w:spacing w:before="120"/>
        <w:rPr>
          <w:del w:id="85" w:author="Master Repository Process" w:date="2021-08-01T05:29:00Z"/>
          <w:vertAlign w:val="superscript"/>
        </w:rPr>
      </w:pPr>
    </w:p>
    <w:p>
      <w:pPr>
        <w:pStyle w:val="nSubsection"/>
        <w:spacing w:before="120"/>
      </w:pPr>
      <w:r>
        <w:rPr>
          <w:vertAlign w:val="superscript"/>
        </w:rPr>
        <w:t>2</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Subsection"/>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pStyle w:val="nSubsection"/>
      </w:pPr>
      <w:r>
        <w:rPr>
          <w:vertAlign w:val="superscript"/>
        </w:rPr>
        <w:t>3</w:t>
      </w:r>
      <w:r>
        <w:tab/>
        <w:t xml:space="preserve">On the date as at which this compilation was prepared, the </w:t>
      </w:r>
      <w:r>
        <w:rPr>
          <w:i/>
        </w:rPr>
        <w:t xml:space="preserve">Commerce Regulations Amendment (Fees and Charges) Regulations 2019 </w:t>
      </w:r>
      <w:r>
        <w:t>Pt. 8 had not come into operation. It reads as follows:</w:t>
      </w:r>
    </w:p>
    <w:p>
      <w:pPr>
        <w:pStyle w:val="BlankOpen"/>
      </w:pPr>
    </w:p>
    <w:p>
      <w:pPr>
        <w:pStyle w:val="nzHeading2"/>
      </w:pPr>
      <w:r>
        <w:t>Part 8 —</w:t>
      </w:r>
      <w:r>
        <w:rPr>
          <w:rStyle w:val="CharDivText"/>
        </w:rPr>
        <w:t> </w:t>
      </w:r>
      <w:r>
        <w:t>Debt Collectors Licensing Regulations 1964 amended</w:t>
      </w:r>
    </w:p>
    <w:p>
      <w:pPr>
        <w:pStyle w:val="nzHeading5"/>
        <w:rPr>
          <w:snapToGrid w:val="0"/>
        </w:rPr>
      </w:pPr>
      <w:r>
        <w:t>15</w:t>
      </w:r>
      <w:r>
        <w:rPr>
          <w:snapToGrid w:val="0"/>
        </w:rPr>
        <w:t>.</w:t>
      </w:r>
      <w:r>
        <w:rPr>
          <w:snapToGrid w:val="0"/>
        </w:rPr>
        <w:tab/>
        <w:t>Regulations amended</w:t>
      </w:r>
    </w:p>
    <w:p>
      <w:pPr>
        <w:pStyle w:val="nzSubsection"/>
      </w:pPr>
      <w:r>
        <w:tab/>
      </w:r>
      <w:r>
        <w:tab/>
        <w:t xml:space="preserve">This Part amends the </w:t>
      </w:r>
      <w:r>
        <w:rPr>
          <w:i/>
        </w:rPr>
        <w:t>Debt Collectors Licensing Regulations 1964</w:t>
      </w:r>
      <w:r>
        <w:t>.</w:t>
      </w:r>
    </w:p>
    <w:p>
      <w:pPr>
        <w:pStyle w:val="nzHeading5"/>
      </w:pPr>
      <w:r>
        <w:t>16.</w:t>
      </w:r>
      <w:r>
        <w:tab/>
        <w:t>Regulation 4 amended</w:t>
      </w:r>
    </w:p>
    <w:p>
      <w:pPr>
        <w:pStyle w:val="nzSubsection"/>
      </w:pPr>
      <w:r>
        <w:tab/>
      </w:r>
      <w:r>
        <w:tab/>
        <w:t>In regulation 4 in the Table:</w:t>
      </w:r>
    </w:p>
    <w:p>
      <w:pPr>
        <w:pStyle w:val="nzIndenta"/>
      </w:pPr>
      <w:r>
        <w:tab/>
        <w:t>(a)</w:t>
      </w:r>
      <w:r>
        <w:tab/>
        <w:t>in item 2 delete “$343.50” and insert:</w:t>
      </w:r>
    </w:p>
    <w:p>
      <w:pPr>
        <w:pStyle w:val="BlankOpen"/>
      </w:pPr>
    </w:p>
    <w:p>
      <w:pPr>
        <w:pStyle w:val="nzIndenta"/>
      </w:pPr>
      <w:r>
        <w:tab/>
      </w:r>
      <w:r>
        <w:tab/>
        <w:t>$361.00</w:t>
      </w:r>
    </w:p>
    <w:p>
      <w:pPr>
        <w:pStyle w:val="BlankClose"/>
      </w:pPr>
    </w:p>
    <w:p>
      <w:pPr>
        <w:pStyle w:val="nzIndenta"/>
      </w:pPr>
      <w:r>
        <w:tab/>
        <w:t>(b)</w:t>
      </w:r>
      <w:r>
        <w:tab/>
        <w:t>in item 3 delete “$28.00” and insert:</w:t>
      </w:r>
    </w:p>
    <w:p>
      <w:pPr>
        <w:pStyle w:val="BlankOpen"/>
      </w:pPr>
    </w:p>
    <w:p>
      <w:pPr>
        <w:pStyle w:val="nzIndenta"/>
      </w:pPr>
      <w:r>
        <w:tab/>
      </w:r>
      <w:r>
        <w:tab/>
        <w:t>$29.50</w:t>
      </w:r>
    </w:p>
    <w:p>
      <w:pPr>
        <w:pStyle w:val="BlankClose"/>
      </w:pPr>
    </w:p>
    <w:p>
      <w:pPr>
        <w:pStyle w:val="nzIndenta"/>
      </w:pPr>
      <w:r>
        <w:tab/>
        <w:t>(c)</w:t>
      </w:r>
      <w:r>
        <w:tab/>
        <w:t>in item 4 delete “$11.25” and insert:</w:t>
      </w:r>
    </w:p>
    <w:p>
      <w:pPr>
        <w:pStyle w:val="BlankOpen"/>
      </w:pPr>
    </w:p>
    <w:p>
      <w:pPr>
        <w:pStyle w:val="nzIndenta"/>
      </w:pPr>
      <w:r>
        <w:tab/>
      </w:r>
      <w:r>
        <w:tab/>
        <w:t>$11.80</w:t>
      </w:r>
    </w:p>
    <w:p>
      <w:pPr>
        <w:pStyle w:val="BlankClose"/>
      </w:pPr>
    </w:p>
    <w:p>
      <w:pPr>
        <w:rPr>
          <w:sz w:val="20"/>
        </w:r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2057" w:type="dxa"/>
        </w:tcPr>
        <w:p>
          <w:pPr>
            <w:pStyle w:val="Header"/>
            <w:spacing w:before="40"/>
          </w:pPr>
          <w:r>
            <w:rPr>
              <w:b/>
            </w:rPr>
            <w:fldChar w:fldCharType="begin"/>
          </w:r>
          <w:r>
            <w:rPr>
              <w:b/>
            </w:rPr>
            <w:instrText>styleref CharSchno</w:instrText>
          </w:r>
          <w:r>
            <w:rPr>
              <w:b/>
            </w:rPr>
            <w:fldChar w:fldCharType="separate"/>
          </w:r>
          <w:r>
            <w:rPr>
              <w:b/>
            </w:rPr>
            <w:t>First Schedule</w:t>
          </w:r>
          <w:r>
            <w:rPr>
              <w:b/>
            </w:rPr>
            <w:fldChar w:fldCharType="end"/>
          </w:r>
        </w:p>
      </w:tc>
      <w:tc>
        <w:tcPr>
          <w:tcW w:w="5206" w:type="dxa"/>
        </w:tcPr>
        <w:p>
          <w:pPr>
            <w:pStyle w:val="Header"/>
            <w:spacing w:before="40"/>
          </w:pPr>
          <w:r>
            <w:fldChar w:fldCharType="begin"/>
          </w:r>
          <w:r>
            <w:instrText>styleref CharSchText</w:instrText>
          </w:r>
          <w:r>
            <w:fldChar w:fldCharType="end"/>
          </w:r>
        </w:p>
      </w:tc>
    </w:tr>
    <w:tr>
      <w:tc>
        <w:tcPr>
          <w:tcW w:w="2057" w:type="dxa"/>
        </w:tcPr>
        <w:p>
          <w:pPr>
            <w:pStyle w:val="Header"/>
            <w:spacing w:before="40"/>
          </w:pPr>
        </w:p>
      </w:tc>
      <w:tc>
        <w:tcPr>
          <w:tcW w:w="5206" w:type="dxa"/>
        </w:tcPr>
        <w:p>
          <w:pPr>
            <w:pStyle w:val="Header"/>
            <w:spacing w:before="40"/>
          </w:pPr>
        </w:p>
      </w:tc>
    </w:tr>
    <w:tr>
      <w:tc>
        <w:tcPr>
          <w:tcW w:w="2057" w:type="dxa"/>
        </w:tcPr>
        <w:p>
          <w:pPr>
            <w:pStyle w:val="Header"/>
            <w:spacing w:before="40"/>
          </w:pPr>
        </w:p>
      </w:tc>
      <w:tc>
        <w:tcPr>
          <w:tcW w:w="520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6" w:name="Compilation"/>
    <w:bookmarkEnd w:id="8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7" w:name="Coversheet"/>
    <w:bookmarkEnd w:id="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2057" w:type="dxa"/>
        </w:tcPr>
        <w:p>
          <w:pPr>
            <w:pStyle w:val="Header"/>
            <w:spacing w:before="40"/>
          </w:pPr>
          <w:r>
            <w:rPr>
              <w:b/>
            </w:rPr>
            <w:fldChar w:fldCharType="begin"/>
          </w:r>
          <w:r>
            <w:rPr>
              <w:b/>
            </w:rPr>
            <w:instrText>styleref CharSchno</w:instrText>
          </w:r>
          <w:r>
            <w:rPr>
              <w:b/>
            </w:rPr>
            <w:fldChar w:fldCharType="end"/>
          </w:r>
        </w:p>
      </w:tc>
      <w:tc>
        <w:tcPr>
          <w:tcW w:w="5206" w:type="dxa"/>
        </w:tcPr>
        <w:p>
          <w:pPr>
            <w:pStyle w:val="Header"/>
            <w:spacing w:before="40"/>
          </w:pPr>
          <w:r>
            <w:fldChar w:fldCharType="begin"/>
          </w:r>
          <w:r>
            <w:instrText xml:space="preserve"> styleref CharSchText </w:instrText>
          </w:r>
          <w:r>
            <w:fldChar w:fldCharType="end"/>
          </w:r>
        </w:p>
      </w:tc>
    </w:tr>
    <w:tr>
      <w:tc>
        <w:tcPr>
          <w:tcW w:w="2057" w:type="dxa"/>
        </w:tcPr>
        <w:p>
          <w:pPr>
            <w:pStyle w:val="Header"/>
            <w:spacing w:before="40"/>
          </w:pPr>
        </w:p>
      </w:tc>
      <w:tc>
        <w:tcPr>
          <w:tcW w:w="5206" w:type="dxa"/>
        </w:tcPr>
        <w:p>
          <w:pPr>
            <w:pStyle w:val="Header"/>
            <w:spacing w:before="40"/>
          </w:pPr>
        </w:p>
      </w:tc>
    </w:tr>
    <w:tr>
      <w:tc>
        <w:tcPr>
          <w:tcW w:w="2057"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206"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bookmarkStart w:id="58" w:name="Schedule"/>
    <w:bookmarkEnd w:id="5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A07A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6947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DE41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2A02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42F5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F451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CEA3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D210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5415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0E0D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402E26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8102443"/>
    <w:docVar w:name="WAFER_20140122142659" w:val="RemoveTocBookmarks,RemoveUnusedBookmarks,RemoveLanguageTags,UsedStyles,ResetPageSize,UpdateArrangement"/>
    <w:docVar w:name="WAFER_20140122142659_GUID" w:val="d1128918-2958-46a9-acc5-ce8598abcdb9"/>
    <w:docVar w:name="WAFER_20140122143136" w:val="RemoveTocBookmarks,RunningHeaders"/>
    <w:docVar w:name="WAFER_20140122143136_GUID" w:val="327dae81-9ecb-4e6e-8bd7-e5ffe64ae964"/>
    <w:docVar w:name="WAFER_20140227131548" w:val="RemoveTocBookmarks,RemoveUnusedBookmarks,RemoveLanguageTags,UsedStyles,ResetPageSize,RemoveCustomizations"/>
    <w:docVar w:name="WAFER_20140227131548_GUID" w:val="9cff3071-ce4f-4839-8fe4-40ed7a871bbc"/>
    <w:docVar w:name="WAFER_20140417075751" w:val="RemoveTocBookmarks,RemoveUnusedBookmarks,RemoveLanguageTags,UsedStyles,RemoveTrackChanges"/>
    <w:docVar w:name="WAFER_20140417075751_GUID" w:val="4ba2f43b-6a0f-4205-b6ee-140afdad4afd"/>
    <w:docVar w:name="WAFER_20140617153555" w:val="RemoveTocBookmarks,RemoveUnusedBookmarks,RemoveLanguageTags,UsedStyles,ResetPageSize,UpdateArrangement"/>
    <w:docVar w:name="WAFER_20140617153555_GUID" w:val="62f92c43-0578-430e-ac4a-12e53dd45753"/>
    <w:docVar w:name="WAFER_20150410154200" w:val="ResetPageSize,UpdateArrangement,UpdateNTable"/>
    <w:docVar w:name="WAFER_20150410154200_GUID" w:val="22040e43-e446-4272-846f-10beda669c5f"/>
    <w:docVar w:name="WAFER_20151103103528" w:val="UpdateStyles,UsedStyles"/>
    <w:docVar w:name="WAFER_20151103103528_GUID" w:val="b2e6cff7-1e60-4abf-82d7-4b9c0268aeda"/>
    <w:docVar w:name="WAFER_20151201093322" w:val="RemoveTrackChanges"/>
    <w:docVar w:name="WAFER_20151201093322_GUID" w:val="1f607be7-f20e-405f-86f0-3e8489f85a61"/>
    <w:docVar w:name="WAFER_20160630082751" w:val="RemoveTocBookmarks,RemoveUnusedBookmarks,RemoveLanguageTags,UsedStyles,ResetPageSize"/>
    <w:docVar w:name="WAFER_20160630082751_GUID" w:val="a6d174ae-ff4f-4db4-8f8d-b97d196aa2d2"/>
    <w:docVar w:name="WAFER_20181001135638" w:val="RemoveTocBookmarks,RemoveUnusedBookmarks,RemoveLanguageTags,UsedStyles,ResetPageSize"/>
    <w:docVar w:name="WAFER_20181001135638_GUID" w:val="a97cecf6-c082-4878-ab7e-e2b1bcd33c72"/>
    <w:docVar w:name="WAFER_20190618102443" w:val="RemoveTocBookmarks,RemoveUnusedBookmarks,RemoveLanguageTags,ResetPageSize,RunningHeaders,UpdateStyles,UsedStyles"/>
    <w:docVar w:name="WAFER_20190618102443_GUID" w:val="707bbc41-ef5a-4657-b598-4b48ec82e9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B8FED607-2479-4A9E-B1E9-D2FC79542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4692</Words>
  <Characters>22901</Characters>
  <Application>Microsoft Office Word</Application>
  <DocSecurity>0</DocSecurity>
  <Lines>789</Lines>
  <Paragraphs>459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05-i0-00 - 05-j0-00</dc:title>
  <dc:subject/>
  <dc:creator/>
  <cp:keywords/>
  <dc:description/>
  <cp:lastModifiedBy>Master Repository Process</cp:lastModifiedBy>
  <cp:revision>2</cp:revision>
  <cp:lastPrinted>2019-06-24T06:19:00Z</cp:lastPrinted>
  <dcterms:created xsi:type="dcterms:W3CDTF">2021-07-31T21:29:00Z</dcterms:created>
  <dcterms:modified xsi:type="dcterms:W3CDTF">2021-07-31T21:29:00Z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DocumentType">
    <vt:lpwstr>Reg</vt:lpwstr>
  </property>
  <property fmtid="{D5CDD505-2E9C-101B-9397-08002B2CF9AE}" pid="4" name="OwlsUID">
    <vt:i4>4386</vt:i4>
  </property>
  <property fmtid="{D5CDD505-2E9C-101B-9397-08002B2CF9AE}" pid="5" name="ReprintNo">
    <vt:lpwstr>5</vt:lpwstr>
  </property>
  <property fmtid="{D5CDD505-2E9C-101B-9397-08002B2CF9AE}" pid="6" name="ReprintedAsAt">
    <vt:filetime>2014-05-01T16:00:00Z</vt:filetime>
  </property>
  <property fmtid="{D5CDD505-2E9C-101B-9397-08002B2CF9AE}" pid="7" name="CommencementDate">
    <vt:lpwstr>20190626</vt:lpwstr>
  </property>
  <property fmtid="{D5CDD505-2E9C-101B-9397-08002B2CF9AE}" pid="8" name="FromSuffix">
    <vt:lpwstr>05-i0-00</vt:lpwstr>
  </property>
  <property fmtid="{D5CDD505-2E9C-101B-9397-08002B2CF9AE}" pid="9" name="FromAsAtDate">
    <vt:lpwstr>18 Jun 2019</vt:lpwstr>
  </property>
  <property fmtid="{D5CDD505-2E9C-101B-9397-08002B2CF9AE}" pid="10" name="ToSuffix">
    <vt:lpwstr>05-j0-00</vt:lpwstr>
  </property>
  <property fmtid="{D5CDD505-2E9C-101B-9397-08002B2CF9AE}" pid="11" name="ToAsAtDate">
    <vt:lpwstr>26 Jun 2019</vt:lpwstr>
  </property>
</Properties>
</file>