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2018</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14 Aug 2019</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1" w:name="_Toc38034791"/>
      <w:bookmarkStart w:id="2" w:name="_Toc516570931"/>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del w:id="4" w:author="Master Repository Process" w:date="2021-08-29T03:22:00Z">
        <w:r>
          <w:rPr>
            <w:vertAlign w:val="superscript"/>
          </w:rPr>
          <w:delText> 1</w:delText>
        </w:r>
      </w:del>
      <w:r>
        <w:t>.</w:t>
      </w:r>
    </w:p>
    <w:p>
      <w:pPr>
        <w:pStyle w:val="Heading5"/>
        <w:rPr>
          <w:spacing w:val="-2"/>
        </w:rPr>
      </w:pPr>
      <w:bookmarkStart w:id="5" w:name="_Toc38034792"/>
      <w:bookmarkStart w:id="6" w:name="_Toc516570932"/>
      <w:r>
        <w:rPr>
          <w:rStyle w:val="CharSectno"/>
        </w:rPr>
        <w:t>2</w:t>
      </w:r>
      <w:r>
        <w:rPr>
          <w:spacing w:val="-2"/>
        </w:rPr>
        <w:t>.</w:t>
      </w:r>
      <w:r>
        <w:rPr>
          <w:spacing w:val="-2"/>
        </w:rPr>
        <w:tab/>
      </w:r>
      <w:r>
        <w:t>Commencement</w:t>
      </w:r>
      <w:r>
        <w:rPr>
          <w:spacing w:val="-2"/>
        </w:rPr>
        <w:t xml:space="preserve"> and application</w:t>
      </w:r>
      <w:bookmarkEnd w:id="5"/>
      <w:bookmarkEnd w:id="6"/>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del w:id="7" w:author="Master Repository Process" w:date="2021-08-29T03:22:00Z">
        <w:r>
          <w:rPr>
            <w:vertAlign w:val="superscript"/>
          </w:rPr>
          <w:delText> 1</w:delText>
        </w:r>
      </w:del>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w:t>
      </w:r>
      <w:del w:id="8" w:author="Master Repository Process" w:date="2021-08-29T03:22:00Z">
        <w:r>
          <w:rPr>
            <w:vertAlign w:val="superscript"/>
          </w:rPr>
          <w:delText>2</w:delText>
        </w:r>
      </w:del>
      <w:ins w:id="9" w:author="Master Repository Process" w:date="2021-08-29T03:22:00Z">
        <w:r>
          <w:rPr>
            <w:vertAlign w:val="superscript"/>
          </w:rPr>
          <w:t>1</w:t>
        </w:r>
      </w:ins>
      <w:r>
        <w:t xml:space="preserve"> section 5(1), that is payable in respect of an assessment year that ends before that day.</w:t>
      </w:r>
    </w:p>
    <w:p>
      <w:pPr>
        <w:pStyle w:val="Heading5"/>
      </w:pPr>
      <w:bookmarkStart w:id="10" w:name="_Toc38034793"/>
      <w:bookmarkStart w:id="11" w:name="_Toc516570933"/>
      <w:r>
        <w:rPr>
          <w:rStyle w:val="CharSectno"/>
        </w:rPr>
        <w:t>3</w:t>
      </w:r>
      <w:r>
        <w:t>.</w:t>
      </w:r>
      <w:r>
        <w:tab/>
        <w:t>Terms and abbreviations used</w:t>
      </w:r>
      <w:bookmarkEnd w:id="10"/>
      <w:bookmarkEnd w:id="11"/>
      <w:r>
        <w:t xml:space="preserve"> </w:t>
      </w:r>
    </w:p>
    <w:p>
      <w:pPr>
        <w:pStyle w:val="Subsection"/>
        <w:keepNext/>
        <w:keepLines/>
      </w:pPr>
      <w:r>
        <w:tab/>
        <w:t>(1)</w:t>
      </w:r>
      <w:r>
        <w:tab/>
        <w:t xml:space="preserve">In these regulations — </w:t>
      </w:r>
    </w:p>
    <w:p>
      <w:pPr>
        <w:pStyle w:val="Defstart"/>
        <w:keepNex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 and</w:t>
      </w:r>
    </w:p>
    <w:p>
      <w:pPr>
        <w:pStyle w:val="Defpara"/>
      </w:pPr>
      <w:r>
        <w:tab/>
        <w:t>(b)</w:t>
      </w:r>
      <w:r>
        <w:tab/>
        <w:t xml:space="preserve">any penalty tax under the </w:t>
      </w:r>
      <w:r>
        <w:rPr>
          <w:i/>
        </w:rPr>
        <w:t>Taxation Administration Act 2003</w:t>
      </w:r>
      <w:r>
        <w:t xml:space="preserve"> section 26 or 27 that is due and payable in relation to land tax; and</w:t>
      </w:r>
    </w:p>
    <w:p>
      <w:pPr>
        <w:pStyle w:val="Defpara"/>
      </w:pPr>
      <w:r>
        <w:tab/>
        <w:t>(c)</w:t>
      </w:r>
      <w:r>
        <w:tab/>
        <w:t xml:space="preserve">any interest under the </w:t>
      </w:r>
      <w:r>
        <w:rPr>
          <w:i/>
        </w:rPr>
        <w:t>Taxation Administration Act 2003</w:t>
      </w:r>
      <w:r>
        <w:t xml:space="preserve"> section 47 that is due and payable in relation to land tax; and</w:t>
      </w:r>
    </w:p>
    <w:p>
      <w:pPr>
        <w:pStyle w:val="Defpara"/>
      </w:pPr>
      <w:r>
        <w:tab/>
        <w:t>(d)</w:t>
      </w:r>
      <w:r>
        <w:tab/>
        <w:t xml:space="preserve">any legal costs or costs, as referred to in the </w:t>
      </w:r>
      <w:r>
        <w:rPr>
          <w:i/>
        </w:rPr>
        <w:t>Taxation Administration Act 2003</w:t>
      </w:r>
      <w:r>
        <w:t xml:space="preserve"> section 62(a</w:t>
      </w:r>
      <w:ins w:id="12" w:author="Master Repository Process" w:date="2021-08-29T03:22:00Z">
        <w:r>
          <w:t>), (b</w:t>
        </w:r>
      </w:ins>
      <w:r>
        <w:t>) or (</w:t>
      </w:r>
      <w:del w:id="13" w:author="Master Repository Process" w:date="2021-08-29T03:22:00Z">
        <w:r>
          <w:delText>b</w:delText>
        </w:r>
      </w:del>
      <w:ins w:id="14" w:author="Master Repository Process" w:date="2021-08-29T03:22:00Z">
        <w:r>
          <w:t>ba</w:t>
        </w:r>
      </w:ins>
      <w:r>
        <w:t>),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Footnotesection"/>
        <w:rPr>
          <w:ins w:id="15" w:author="Master Repository Process" w:date="2021-08-29T03:22:00Z"/>
        </w:rPr>
      </w:pPr>
      <w:ins w:id="16" w:author="Master Repository Process" w:date="2021-08-29T03:22:00Z">
        <w:r>
          <w:tab/>
          <w:t>[Regulation 3 amended: Gazette 13 Aug 2019 p. 3041.]</w:t>
        </w:r>
      </w:ins>
    </w:p>
    <w:p>
      <w:pPr>
        <w:pStyle w:val="Heading5"/>
        <w:spacing w:before="240"/>
      </w:pPr>
      <w:bookmarkStart w:id="17" w:name="_Toc38034794"/>
      <w:bookmarkStart w:id="18" w:name="_Toc516570934"/>
      <w:r>
        <w:rPr>
          <w:rStyle w:val="CharSectno"/>
        </w:rPr>
        <w:t>4</w:t>
      </w:r>
      <w:r>
        <w:t>.</w:t>
      </w:r>
      <w:r>
        <w:tab/>
        <w:t>Tax payment arrangements not affected</w:t>
      </w:r>
      <w:bookmarkEnd w:id="17"/>
      <w:bookmarkEnd w:id="18"/>
    </w:p>
    <w:p>
      <w:pPr>
        <w:pStyle w:val="Subsection"/>
        <w:spacing w:before="180"/>
      </w:pPr>
      <w:r>
        <w:tab/>
      </w:r>
      <w:r>
        <w:tab/>
        <w:t>Nothing in these regulations affects the payment of land tax under a tax payment arrangement.</w:t>
      </w:r>
    </w:p>
    <w:p>
      <w:pPr>
        <w:pStyle w:val="Heading5"/>
        <w:spacing w:before="240"/>
      </w:pPr>
      <w:bookmarkStart w:id="19" w:name="_Toc38034795"/>
      <w:bookmarkStart w:id="20" w:name="_Toc516570935"/>
      <w:r>
        <w:rPr>
          <w:rStyle w:val="CharSectno"/>
        </w:rPr>
        <w:t>5</w:t>
      </w:r>
      <w:r>
        <w:t>.</w:t>
      </w:r>
      <w:r>
        <w:tab/>
        <w:t>Taxpayer’s options in discharging liability to pay assessed amount</w:t>
      </w:r>
      <w:bookmarkEnd w:id="19"/>
      <w:bookmarkEnd w:id="20"/>
    </w:p>
    <w:p>
      <w:pPr>
        <w:pStyle w:val="Subsection"/>
        <w:spacing w:before="180"/>
      </w:pPr>
      <w:r>
        <w:tab/>
      </w:r>
      <w:r>
        <w:tab/>
        <w:t>A taxpayer may discharge a liability to pay an assessed amount by paying in accordance with regulation 6, 7, 8 or 9.</w:t>
      </w:r>
    </w:p>
    <w:p>
      <w:pPr>
        <w:pStyle w:val="Heading5"/>
        <w:spacing w:before="240"/>
      </w:pPr>
      <w:bookmarkStart w:id="21" w:name="_Toc38034796"/>
      <w:bookmarkStart w:id="22" w:name="_Toc516570936"/>
      <w:r>
        <w:rPr>
          <w:rStyle w:val="CharSectno"/>
        </w:rPr>
        <w:t>6</w:t>
      </w:r>
      <w:r>
        <w:t>.</w:t>
      </w:r>
      <w:r>
        <w:tab/>
        <w:t>Paying assessed amount in one discounted payment (option 1)</w:t>
      </w:r>
      <w:bookmarkEnd w:id="21"/>
      <w:bookmarkEnd w:id="22"/>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5.75pt">
            <v:imagedata r:id="rId15" o:title=""/>
          </v:shape>
        </w:pict>
      </w:r>
    </w:p>
    <w:p>
      <w:pPr>
        <w:pStyle w:val="Heading5"/>
        <w:spacing w:before="240"/>
      </w:pPr>
      <w:bookmarkStart w:id="23" w:name="_Toc38034797"/>
      <w:bookmarkStart w:id="24" w:name="_Toc516570937"/>
      <w:r>
        <w:rPr>
          <w:rStyle w:val="CharSectno"/>
        </w:rPr>
        <w:t>7</w:t>
      </w:r>
      <w:r>
        <w:t>.</w:t>
      </w:r>
      <w:r>
        <w:tab/>
        <w:t>Paying assessed amount in 2 instalments (option 2)</w:t>
      </w:r>
      <w:bookmarkEnd w:id="23"/>
      <w:bookmarkEnd w:id="24"/>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6" type="#_x0000_t75" style="width:159.75pt;height:30.75pt">
            <v:imagedata r:id="rId16" o:title=""/>
          </v:shape>
        </w:pict>
      </w:r>
    </w:p>
    <w:p>
      <w:pPr>
        <w:pStyle w:val="Subsection"/>
        <w:keepNext/>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pict>
          <v:shape id="_x0000_i1027" type="#_x0000_t75" style="width:153.75pt;height:30.75pt">
            <v:imagedata r:id="rId17" o:title=""/>
          </v:shape>
        </w:pict>
      </w:r>
    </w:p>
    <w:p>
      <w:pPr>
        <w:pStyle w:val="Footnotesection"/>
      </w:pPr>
      <w:r>
        <w:tab/>
        <w:t>[Regulation 7 amended: Gazette 17 Nov 2009 p. 4633.]</w:t>
      </w:r>
    </w:p>
    <w:p>
      <w:pPr>
        <w:pStyle w:val="Heading5"/>
      </w:pPr>
      <w:bookmarkStart w:id="25" w:name="_Toc38034798"/>
      <w:bookmarkStart w:id="26" w:name="_Toc516570938"/>
      <w:r>
        <w:rPr>
          <w:rStyle w:val="CharSectno"/>
        </w:rPr>
        <w:t>8</w:t>
      </w:r>
      <w:r>
        <w:t>.</w:t>
      </w:r>
      <w:r>
        <w:tab/>
        <w:t>Paying assessed amount in 3 instalments (option 3)</w:t>
      </w:r>
      <w:bookmarkEnd w:id="25"/>
      <w:bookmarkEnd w:id="26"/>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8" type="#_x0000_t75" style="width:187.5pt;height:30.75pt">
            <v:imagedata r:id="rId18" o:title=""/>
          </v:shape>
        </w:pi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pict>
          <v:shape id="_x0000_i1029" type="#_x0000_t75" style="width:182.25pt;height:30.75pt">
            <v:imagedata r:id="rId19" o:title=""/>
          </v:shape>
        </w:pict>
      </w:r>
    </w:p>
    <w:p>
      <w:pPr>
        <w:pStyle w:val="Subsection"/>
        <w:keepNext/>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pict>
          <v:shape id="_x0000_i1030" type="#_x0000_t75" style="width:172.5pt;height:30.75pt">
            <v:imagedata r:id="rId20" o:title=""/>
          </v:shape>
        </w:pict>
      </w:r>
    </w:p>
    <w:p>
      <w:pPr>
        <w:pStyle w:val="Footnotesection"/>
      </w:pPr>
      <w:r>
        <w:tab/>
        <w:t>[Regulation 8 amended: Gazette 17 Nov 2009 p. 4633.]</w:t>
      </w:r>
    </w:p>
    <w:p>
      <w:pPr>
        <w:pStyle w:val="Heading5"/>
        <w:pageBreakBefore/>
        <w:spacing w:before="0"/>
      </w:pPr>
      <w:bookmarkStart w:id="27" w:name="_Toc38034799"/>
      <w:bookmarkStart w:id="28" w:name="_Toc516570939"/>
      <w:r>
        <w:rPr>
          <w:rStyle w:val="CharSectno"/>
        </w:rPr>
        <w:t>9</w:t>
      </w:r>
      <w:r>
        <w:t>.</w:t>
      </w:r>
      <w:r>
        <w:tab/>
        <w:t>Other arrangements for paying assessed amount</w:t>
      </w:r>
      <w:bookmarkEnd w:id="27"/>
      <w:bookmarkEnd w:id="28"/>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Gazette 17 Nov 2009 p. 4633-4.]</w:t>
      </w:r>
    </w:p>
    <w:p>
      <w:pPr>
        <w:pStyle w:val="Heading5"/>
      </w:pPr>
      <w:bookmarkStart w:id="29" w:name="_Toc38034800"/>
      <w:bookmarkStart w:id="30" w:name="_Toc516570940"/>
      <w:r>
        <w:rPr>
          <w:rStyle w:val="CharSectno"/>
        </w:rPr>
        <w:t>10A</w:t>
      </w:r>
      <w:r>
        <w:t>.</w:t>
      </w:r>
      <w:r>
        <w:tab/>
        <w:t>Incorrect payment of assessed amount</w:t>
      </w:r>
      <w:bookmarkEnd w:id="29"/>
      <w:bookmarkEnd w:id="30"/>
    </w:p>
    <w:p>
      <w:pPr>
        <w:pStyle w:val="Subsection"/>
        <w:keepNext/>
      </w:pPr>
      <w:r>
        <w:tab/>
        <w:t>(1)</w:t>
      </w:r>
      <w:r>
        <w:tab/>
        <w:t xml:space="preserve">In this regulation — </w:t>
      </w:r>
    </w:p>
    <w:p>
      <w:pPr>
        <w:pStyle w:val="Defstart"/>
      </w:pPr>
      <w:r>
        <w:tab/>
      </w:r>
      <w:r>
        <w:rPr>
          <w:rStyle w:val="CharDefText"/>
        </w:rPr>
        <w:t>incorrect payment</w:t>
      </w:r>
      <w:r>
        <w:t xml:space="preserve"> means a payment to discharge a liability to pay an assessed amount that is not in accordance with regulation 6, 7, 8 or 9 where — </w:t>
      </w:r>
    </w:p>
    <w:p>
      <w:pPr>
        <w:pStyle w:val="Defpara"/>
      </w:pPr>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p>
    <w:p>
      <w:pPr>
        <w:pStyle w:val="Defpara"/>
      </w:pPr>
      <w:r>
        <w:tab/>
        <w:t>(b)</w:t>
      </w:r>
      <w:r>
        <w:tab/>
        <w:t>the payment was received by the Commissioner within 7 days after the amount or instalment was due and payable under the relevant provision.</w:t>
      </w:r>
    </w:p>
    <w:p>
      <w:pPr>
        <w:pStyle w:val="Subsection"/>
        <w:keepNext/>
      </w:pPr>
      <w:r>
        <w:tab/>
        <w:t>(2)</w:t>
      </w:r>
      <w:r>
        <w:tab/>
        <w:t xml:space="preserve">If this subregulation applies in respect of an incorrect payment — </w:t>
      </w:r>
    </w:p>
    <w:p>
      <w:pPr>
        <w:pStyle w:val="Indenta"/>
        <w:keepNext/>
      </w:pPr>
      <w:r>
        <w:tab/>
        <w:t>(a)</w:t>
      </w:r>
      <w:r>
        <w:tab/>
        <w:t xml:space="preserve">the payment — </w:t>
      </w:r>
    </w:p>
    <w:p>
      <w:pPr>
        <w:pStyle w:val="Indenti"/>
      </w:pPr>
      <w:r>
        <w:tab/>
        <w:t>(i)</w:t>
      </w:r>
      <w:r>
        <w:tab/>
        <w:t>is to be taken to have been made under the relevant provision; and</w:t>
      </w:r>
    </w:p>
    <w:p>
      <w:pPr>
        <w:pStyle w:val="Indenti"/>
      </w:pPr>
      <w:r>
        <w:tab/>
        <w:t>(ii)</w:t>
      </w:r>
      <w:r>
        <w:tab/>
        <w:t>so far as is practicable, the relevant provision applies in respect of the payment;</w:t>
      </w:r>
    </w:p>
    <w:p>
      <w:pPr>
        <w:pStyle w:val="Indenta"/>
      </w:pPr>
      <w:r>
        <w:tab/>
      </w:r>
      <w:r>
        <w:tab/>
        <w:t>and</w:t>
      </w:r>
    </w:p>
    <w:p>
      <w:pPr>
        <w:pStyle w:val="Indenta"/>
      </w:pPr>
      <w:r>
        <w:tab/>
        <w:t>(b)</w:t>
      </w:r>
      <w:r>
        <w:tab/>
        <w:t>regulations 9(1) and (2) and 11 do not apply in respect of the payment.</w:t>
      </w:r>
    </w:p>
    <w:p>
      <w:pPr>
        <w:pStyle w:val="Subsection"/>
      </w:pPr>
      <w:r>
        <w:tab/>
        <w:t>(3)</w:t>
      </w:r>
      <w:r>
        <w:tab/>
        <w:t xml:space="preserve">Subregulation (2) applies in respect of an incorrect payment — </w:t>
      </w:r>
    </w:p>
    <w:p>
      <w:pPr>
        <w:pStyle w:val="Indenta"/>
      </w:pPr>
      <w:r>
        <w:tab/>
        <w:t>(a)</w:t>
      </w:r>
      <w:r>
        <w:tab/>
        <w:t>if the payment is equal to or more than the amount or instalment due under the relevant provision; or</w:t>
      </w:r>
    </w:p>
    <w:p>
      <w:pPr>
        <w:pStyle w:val="Indenta"/>
      </w:pPr>
      <w:r>
        <w:tab/>
        <w:t>(b)</w:t>
      </w:r>
      <w:r>
        <w:tab/>
        <w:t xml:space="preserve">if — </w:t>
      </w:r>
    </w:p>
    <w:p>
      <w:pPr>
        <w:pStyle w:val="Indenti"/>
      </w:pPr>
      <w:r>
        <w:tab/>
        <w:t>(i)</w:t>
      </w:r>
      <w:r>
        <w:tab/>
        <w:t xml:space="preserve">the payment is less than the amount or instalment due under the relevant provision; and </w:t>
      </w:r>
    </w:p>
    <w:p>
      <w:pPr>
        <w:pStyle w:val="Indenti"/>
      </w:pPr>
      <w:r>
        <w:tab/>
        <w:t>(ii)</w:t>
      </w:r>
      <w:r>
        <w:tab/>
        <w:t>the amount of the shortfall has been paid by the taxpayer immediately in accordance with subregulation (4).</w:t>
      </w:r>
    </w:p>
    <w:p>
      <w:pPr>
        <w:pStyle w:val="Subsection"/>
      </w:pPr>
      <w:r>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p>
    <w:p>
      <w:pPr>
        <w:pStyle w:val="Footnotesection"/>
      </w:pPr>
      <w:r>
        <w:tab/>
        <w:t>[Regulation 10A inserted: Gazette 18 Sep 2015 p. 3814</w:t>
      </w:r>
      <w:r>
        <w:noBreakHyphen/>
        <w:t xml:space="preserve">15.] </w:t>
      </w:r>
    </w:p>
    <w:p>
      <w:pPr>
        <w:pStyle w:val="Heading5"/>
        <w:pageBreakBefore/>
        <w:spacing w:before="0"/>
      </w:pPr>
      <w:bookmarkStart w:id="31" w:name="_Toc38034801"/>
      <w:bookmarkStart w:id="32" w:name="_Toc516570941"/>
      <w:r>
        <w:rPr>
          <w:rStyle w:val="CharSectno"/>
        </w:rPr>
        <w:t>10</w:t>
      </w:r>
      <w:r>
        <w:t>.</w:t>
      </w:r>
      <w:r>
        <w:tab/>
        <w:t>Instalments to be multiples of 5 cents</w:t>
      </w:r>
      <w:bookmarkEnd w:id="31"/>
      <w:bookmarkEnd w:id="32"/>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33" w:name="_Toc38034802"/>
      <w:bookmarkStart w:id="34" w:name="_Toc516570942"/>
      <w:r>
        <w:rPr>
          <w:rStyle w:val="CharSectno"/>
        </w:rPr>
        <w:t>11</w:t>
      </w:r>
      <w:r>
        <w:t>.</w:t>
      </w:r>
      <w:r>
        <w:tab/>
        <w:t>When full amount of land tax becomes due and payable</w:t>
      </w:r>
      <w:bookmarkEnd w:id="33"/>
      <w:bookmarkEnd w:id="34"/>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35" w:name="_Toc38034803"/>
      <w:bookmarkStart w:id="36" w:name="_Toc516570943"/>
      <w:r>
        <w:rPr>
          <w:rStyle w:val="CharSectno"/>
        </w:rPr>
        <w:t>12</w:t>
      </w:r>
      <w:r>
        <w:t>.</w:t>
      </w:r>
      <w:r>
        <w:tab/>
        <w:t>Taxable authorities</w:t>
      </w:r>
      <w:bookmarkEnd w:id="35"/>
      <w:bookmarkEnd w:id="36"/>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keepNext/>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pPr>
      <w:r>
        <w:tab/>
        <w:t>(b)</w:t>
      </w:r>
      <w:r>
        <w:tab/>
        <w:t xml:space="preserve">the Water Corporation established by the </w:t>
      </w:r>
      <w:r>
        <w:rPr>
          <w:i/>
        </w:rPr>
        <w:t>Water Corporations Act 1995</w:t>
      </w:r>
      <w:r>
        <w:t xml:space="preserve"> section 4(1);</w:t>
      </w:r>
    </w:p>
    <w:p>
      <w:pPr>
        <w:pStyle w:val="Indenta"/>
      </w:pPr>
      <w:r>
        <w:tab/>
        <w:t>(ca)</w:t>
      </w:r>
      <w:r>
        <w:tab/>
        <w:t xml:space="preserve">the Bunbury Water Corporation established by the </w:t>
      </w:r>
      <w:r>
        <w:rPr>
          <w:i/>
        </w:rPr>
        <w:t>Water Corporations Act 1995</w:t>
      </w:r>
      <w:r>
        <w:t xml:space="preserve"> section 4(2);</w:t>
      </w:r>
    </w:p>
    <w:p>
      <w:pPr>
        <w:pStyle w:val="Indenta"/>
      </w:pPr>
      <w:r>
        <w:tab/>
        <w:t>(cb)</w:t>
      </w:r>
      <w:r>
        <w:tab/>
        <w:t xml:space="preserve">the Busselton Water Corporation established by the </w:t>
      </w:r>
      <w:r>
        <w:rPr>
          <w:i/>
        </w:rPr>
        <w:t>Water Corporations Act 1995</w:t>
      </w:r>
      <w:r>
        <w:t xml:space="preserve"> section 4(3);</w:t>
      </w:r>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Gazette 31 Mar 2006 p. 1350</w:t>
      </w:r>
      <w:r>
        <w:noBreakHyphen/>
        <w:t>1; 20 Mar 2007 p. 1049; 4 Sep 2007 p. 4522; 30 May 2008 p. 2088; 27 Dec 2013 p. 6478; 30 Jun 2014 p. 2425</w:t>
      </w:r>
      <w:r>
        <w:noBreakHyphen/>
        <w:t>6; 19 Sep 2014 p. 3340; 18 Sep 2015 p. 3815.]</w:t>
      </w:r>
    </w:p>
    <w:p>
      <w:pPr>
        <w:pStyle w:val="Heading5"/>
      </w:pPr>
      <w:bookmarkStart w:id="37" w:name="_Toc38034804"/>
      <w:bookmarkStart w:id="38" w:name="_Toc516570944"/>
      <w:r>
        <w:rPr>
          <w:rStyle w:val="CharSectno"/>
        </w:rPr>
        <w:t>12A</w:t>
      </w:r>
      <w:r>
        <w:t>.</w:t>
      </w:r>
      <w:r>
        <w:tab/>
        <w:t>Taxable value: prescribed percentage</w:t>
      </w:r>
      <w:bookmarkEnd w:id="37"/>
      <w:bookmarkEnd w:id="38"/>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12A inserted as regulation 13A: Gazette 17 Nov 2009 p. 4634; renumbered as 12A: Gazette 12 Jun 2018 p. 1898.]</w:t>
      </w:r>
    </w:p>
    <w:p>
      <w:pPr>
        <w:pStyle w:val="Heading5"/>
      </w:pPr>
      <w:bookmarkStart w:id="39" w:name="_Toc38034805"/>
      <w:bookmarkStart w:id="40" w:name="_Toc516570945"/>
      <w:r>
        <w:rPr>
          <w:rStyle w:val="CharSectno"/>
        </w:rPr>
        <w:t>13</w:t>
      </w:r>
      <w:r>
        <w:t>.</w:t>
      </w:r>
      <w:r>
        <w:tab/>
        <w:t>Inner city area</w:t>
      </w:r>
      <w:bookmarkEnd w:id="39"/>
      <w:bookmarkEnd w:id="40"/>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41" w:name="_Toc38034806"/>
      <w:bookmarkStart w:id="42" w:name="_Toc516570946"/>
      <w:r>
        <w:rPr>
          <w:rStyle w:val="CharSectno"/>
        </w:rPr>
        <w:t>13A</w:t>
      </w:r>
      <w:r>
        <w:t>.</w:t>
      </w:r>
      <w:r>
        <w:tab/>
        <w:t>Land used for production-based agistment is used for primary production (s. 30A(1)(e))</w:t>
      </w:r>
      <w:bookmarkEnd w:id="41"/>
      <w:bookmarkEnd w:id="42"/>
    </w:p>
    <w:p>
      <w:pPr>
        <w:pStyle w:val="Subsection"/>
      </w:pPr>
      <w:r>
        <w:tab/>
        <w:t>(1)</w:t>
      </w:r>
      <w:r>
        <w:tab/>
        <w:t xml:space="preserve">In this regulation — </w:t>
      </w:r>
    </w:p>
    <w:p>
      <w:pPr>
        <w:pStyle w:val="Defstart"/>
      </w:pPr>
      <w:r>
        <w:tab/>
      </w:r>
      <w:r>
        <w:rPr>
          <w:rStyle w:val="CharDefText"/>
        </w:rPr>
        <w:t>section</w:t>
      </w:r>
      <w:r>
        <w:t xml:space="preserve"> means a section of the </w:t>
      </w:r>
      <w:r>
        <w:rPr>
          <w:i/>
        </w:rPr>
        <w:t>Land Tax Assessment Act 2002</w:t>
      </w:r>
      <w:r>
        <w:t>.</w:t>
      </w:r>
    </w:p>
    <w:p>
      <w:pPr>
        <w:pStyle w:val="Subsection"/>
      </w:pPr>
      <w:r>
        <w:tab/>
        <w:t>(2)</w:t>
      </w:r>
      <w:r>
        <w:tab/>
        <w:t>Land used for production-based agistment is prescribed for the purposes of section 30A(1).</w:t>
      </w:r>
    </w:p>
    <w:p>
      <w:pPr>
        <w:pStyle w:val="Subsection"/>
      </w:pPr>
      <w:r>
        <w:tab/>
        <w:t>(3)</w:t>
      </w:r>
      <w:r>
        <w:tab/>
        <w:t xml:space="preserve">Land is used for production-based agistment if — </w:t>
      </w:r>
    </w:p>
    <w:p>
      <w:pPr>
        <w:pStyle w:val="Indenta"/>
      </w:pPr>
      <w:r>
        <w:tab/>
        <w:t>(a)</w:t>
      </w:r>
      <w:r>
        <w:tab/>
        <w:t>the land is used for the purpose of rearing living creatures in accordance with an agistment arrangement provided for in a contract, or agreement, that is in writing; and</w:t>
      </w:r>
    </w:p>
    <w:p>
      <w:pPr>
        <w:pStyle w:val="Indenta"/>
      </w:pPr>
      <w:r>
        <w:tab/>
        <w:t>(b)</w:t>
      </w:r>
      <w:r>
        <w:tab/>
        <w:t>the agistment arrangement provided for in the contract or agreement is limited to agistment of the living creatures for a purpose referred to in section 30A(1)(b)(ii) or (iii); and</w:t>
      </w:r>
    </w:p>
    <w:p>
      <w:pPr>
        <w:pStyle w:val="Indenta"/>
      </w:pPr>
      <w:r>
        <w:tab/>
        <w:t>(c)</w:t>
      </w:r>
      <w:r>
        <w:tab/>
        <w:t xml:space="preserve">the contract or agreement is made between — </w:t>
      </w:r>
    </w:p>
    <w:p>
      <w:pPr>
        <w:pStyle w:val="Indenti"/>
      </w:pPr>
      <w:r>
        <w:tab/>
        <w:t>(i)</w:t>
      </w:r>
      <w:r>
        <w:tab/>
        <w:t>a person who may lawfully use the land for the purpose referred to in paragraph (a); and</w:t>
      </w:r>
    </w:p>
    <w:p>
      <w:pPr>
        <w:pStyle w:val="Indenti"/>
      </w:pPr>
      <w:r>
        <w:tab/>
        <w:t>(ii)</w:t>
      </w:r>
      <w:r>
        <w:tab/>
        <w:t>a person to whom subparagraph (i) does not apply who owns the living creatures.</w:t>
      </w:r>
    </w:p>
    <w:p>
      <w:pPr>
        <w:pStyle w:val="Subsection"/>
        <w:rPr>
          <w:ins w:id="43" w:author="Master Repository Process" w:date="2021-08-29T03:22:00Z"/>
        </w:rPr>
      </w:pPr>
      <w:ins w:id="44" w:author="Master Repository Process" w:date="2021-08-29T03:22:00Z">
        <w:r>
          <w:tab/>
          <w:t>(4)</w:t>
        </w:r>
        <w:r>
          <w:tab/>
          <w:t>This regulation applies to the assessment year that began on 1 July 2014 and each subsequent assessment year.</w:t>
        </w:r>
      </w:ins>
    </w:p>
    <w:p>
      <w:pPr>
        <w:pStyle w:val="Footnotesection"/>
      </w:pPr>
      <w:r>
        <w:tab/>
        <w:t>[Regulation 13A inserted: Gazette 12 Jun 2018 p. 1898</w:t>
      </w:r>
      <w:r>
        <w:noBreakHyphen/>
        <w:t>9</w:t>
      </w:r>
      <w:ins w:id="45" w:author="Master Repository Process" w:date="2021-08-29T03:22:00Z">
        <w:r>
          <w:t>; amended: Gazette 13 Aug 2019 p. 3042</w:t>
        </w:r>
      </w:ins>
      <w:r>
        <w:t>.]</w:t>
      </w:r>
    </w:p>
    <w:p>
      <w:pPr>
        <w:pStyle w:val="Heading5"/>
      </w:pPr>
      <w:bookmarkStart w:id="46" w:name="_Toc38034807"/>
      <w:bookmarkStart w:id="47" w:name="_Toc516570947"/>
      <w:r>
        <w:rPr>
          <w:rStyle w:val="CharSectno"/>
        </w:rPr>
        <w:t>14</w:t>
      </w:r>
      <w:r>
        <w:t>.</w:t>
      </w:r>
      <w:r>
        <w:tab/>
        <w:t>Repeal and savings</w:t>
      </w:r>
      <w:bookmarkEnd w:id="46"/>
      <w:bookmarkEnd w:id="47"/>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w:t>
      </w:r>
      <w:del w:id="48" w:author="Master Repository Process" w:date="2021-08-29T03:22:00Z">
        <w:r>
          <w:rPr>
            <w:iCs/>
            <w:vertAlign w:val="superscript"/>
          </w:rPr>
          <w:delText>2</w:delText>
        </w:r>
      </w:del>
      <w:ins w:id="49" w:author="Master Repository Process" w:date="2021-08-29T03:22:00Z">
        <w:r>
          <w:rPr>
            <w:iCs/>
            <w:vertAlign w:val="superscript"/>
          </w:rPr>
          <w:t>1</w:t>
        </w:r>
      </w:ins>
      <w:r>
        <w:t xml:space="preserve"> section 5(1), that is payable in respect of an assessment year that ends before the day referred to in regulation 2(1).</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0" w:name="_Toc38032426"/>
      <w:bookmarkStart w:id="51" w:name="_Toc38032459"/>
      <w:bookmarkStart w:id="52" w:name="_Toc38032507"/>
      <w:bookmarkStart w:id="53" w:name="_Toc38034808"/>
      <w:bookmarkStart w:id="54" w:name="_Toc469994940"/>
      <w:bookmarkStart w:id="55" w:name="_Toc516570892"/>
      <w:bookmarkStart w:id="56" w:name="_Toc516570948"/>
      <w:r>
        <w:rPr>
          <w:rStyle w:val="CharSchNo"/>
        </w:rPr>
        <w:t>Schedule 1</w:t>
      </w:r>
      <w:r>
        <w:t xml:space="preserve"> — </w:t>
      </w:r>
      <w:r>
        <w:rPr>
          <w:rStyle w:val="CharSchText"/>
        </w:rPr>
        <w:t>Inner city area</w:t>
      </w:r>
      <w:bookmarkEnd w:id="50"/>
      <w:bookmarkEnd w:id="51"/>
      <w:bookmarkEnd w:id="52"/>
      <w:bookmarkEnd w:id="53"/>
      <w:bookmarkEnd w:id="54"/>
      <w:bookmarkEnd w:id="55"/>
      <w:bookmarkEnd w:id="56"/>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58" w:name="_Toc38032427"/>
      <w:bookmarkStart w:id="59" w:name="_Toc38032460"/>
      <w:bookmarkStart w:id="60" w:name="_Toc38032508"/>
      <w:bookmarkStart w:id="61" w:name="_Toc38034809"/>
      <w:bookmarkStart w:id="62" w:name="_Toc469994941"/>
      <w:bookmarkStart w:id="63" w:name="_Toc516570893"/>
      <w:bookmarkStart w:id="64" w:name="_Toc516570949"/>
      <w:r>
        <w:t>Notes</w:t>
      </w:r>
      <w:bookmarkEnd w:id="58"/>
      <w:bookmarkEnd w:id="59"/>
      <w:bookmarkEnd w:id="60"/>
      <w:bookmarkEnd w:id="61"/>
      <w:bookmarkEnd w:id="62"/>
      <w:bookmarkEnd w:id="63"/>
      <w:bookmarkEnd w:id="64"/>
    </w:p>
    <w:p>
      <w:pPr>
        <w:pStyle w:val="nStatement"/>
      </w:pPr>
      <w:del w:id="65" w:author="Master Repository Process" w:date="2021-08-29T03:22:00Z">
        <w:r>
          <w:rPr>
            <w:vertAlign w:val="superscript"/>
          </w:rPr>
          <w:delText>1</w:delText>
        </w:r>
        <w:r>
          <w:tab/>
        </w:r>
      </w:del>
      <w:r>
        <w:t xml:space="preserve">This is a compilation of the </w:t>
      </w:r>
      <w:r>
        <w:rPr>
          <w:i/>
          <w:noProof/>
        </w:rPr>
        <w:t>Land Tax Assessment Regulations 2003</w:t>
      </w:r>
      <w:r>
        <w:t xml:space="preserve"> and includes </w:t>
      </w:r>
      <w:del w:id="66" w:author="Master Repository Process" w:date="2021-08-29T03:22:00Z">
        <w:r>
          <w:delText xml:space="preserve">the </w:delText>
        </w:r>
      </w:del>
      <w:r>
        <w:t xml:space="preserve">amendments made by </w:t>
      </w:r>
      <w:del w:id="67" w:author="Master Repository Process" w:date="2021-08-29T03:22:00Z">
        <w:r>
          <w:delText xml:space="preserve">the </w:delText>
        </w:r>
      </w:del>
      <w:r>
        <w:t>other written laws</w:t>
      </w:r>
      <w:del w:id="68" w:author="Master Repository Process" w:date="2021-08-29T03:22:00Z">
        <w:r>
          <w:delText xml:space="preserve"> referred to in the following table</w:delText>
        </w:r>
      </w:del>
      <w:ins w:id="69" w:author="Master Repository Process" w:date="2021-08-29T03:22:00Z">
        <w:r>
          <w:t> </w:t>
        </w:r>
        <w:r>
          <w:rPr>
            <w:vertAlign w:val="superscript"/>
          </w:rPr>
          <w:t>2,</w:t>
        </w:r>
      </w:ins>
      <w:r>
        <w:rPr>
          <w:vertAlign w:val="superscript"/>
        </w:rPr>
        <w:t> 3</w:t>
      </w:r>
      <w:del w:id="70" w:author="Master Repository Process" w:date="2021-08-29T03:22:00Z">
        <w:r>
          <w:rPr>
            <w:vertAlign w:val="superscript"/>
          </w:rPr>
          <w:delText>, 4</w:delText>
        </w:r>
        <w:r>
          <w:delText>.  The table also contains</w:delText>
        </w:r>
      </w:del>
      <w:ins w:id="71" w:author="Master Repository Process" w:date="2021-08-29T03:22:00Z">
        <w:r>
          <w:t>. For provisions that have come into operation, and for</w:t>
        </w:r>
      </w:ins>
      <w:r>
        <w:t xml:space="preserve"> information about any </w:t>
      </w:r>
      <w:del w:id="72" w:author="Master Repository Process" w:date="2021-08-29T03:22:00Z">
        <w:r>
          <w:delText>reprint</w:delText>
        </w:r>
      </w:del>
      <w:ins w:id="73" w:author="Master Repository Process" w:date="2021-08-29T03:22:00Z">
        <w:r>
          <w:t>reprints, see the compilation table. For provisions that have not yet come into operation see the uncommenced provisions table</w:t>
        </w:r>
      </w:ins>
      <w:r>
        <w:t>.</w:t>
      </w:r>
    </w:p>
    <w:p>
      <w:pPr>
        <w:pStyle w:val="nHeading3"/>
      </w:pPr>
      <w:bookmarkStart w:id="74" w:name="_Toc38034810"/>
      <w:bookmarkStart w:id="75" w:name="_Toc516570950"/>
      <w:r>
        <w:t>Compilation table</w:t>
      </w:r>
      <w:bookmarkEnd w:id="74"/>
      <w:bookmarkEnd w:id="7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del w:id="76" w:author="Master Repository Process" w:date="2021-08-29T03:22:00Z">
              <w:r>
                <w:rPr>
                  <w:b/>
                </w:rPr>
                <w:delText>Gazettal</w:delText>
              </w:r>
            </w:del>
            <w:ins w:id="77" w:author="Master Repository Process" w:date="2021-08-29T03:22:00Z">
              <w:r>
                <w:rPr>
                  <w:b/>
                </w:rPr>
                <w:t>Published</w:t>
              </w:r>
            </w:ins>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shd w:val="clear" w:color="auto" w:fill="auto"/>
          </w:tcPr>
          <w:p>
            <w:pPr>
              <w:pStyle w:val="nTable"/>
              <w:spacing w:after="40"/>
              <w:rPr>
                <w:i/>
              </w:rPr>
            </w:pPr>
            <w:r>
              <w:rPr>
                <w:i/>
              </w:rPr>
              <w:t>Land Tax Assessment Amendment Regulations (No. 2) 2014</w:t>
            </w:r>
          </w:p>
        </w:tc>
        <w:tc>
          <w:tcPr>
            <w:tcW w:w="1276" w:type="dxa"/>
            <w:shd w:val="clear" w:color="auto" w:fill="auto"/>
          </w:tcPr>
          <w:p>
            <w:pPr>
              <w:pStyle w:val="nTable"/>
              <w:spacing w:after="40"/>
            </w:pPr>
            <w:r>
              <w:t>19 Sep 2014 p. 3340</w:t>
            </w:r>
          </w:p>
        </w:tc>
        <w:tc>
          <w:tcPr>
            <w:tcW w:w="2693" w:type="dxa"/>
            <w:shd w:val="clear" w:color="auto" w:fill="auto"/>
          </w:tcPr>
          <w:p>
            <w:pPr>
              <w:pStyle w:val="nTable"/>
              <w:spacing w:after="40"/>
              <w:rPr>
                <w:snapToGrid w:val="0"/>
              </w:rPr>
            </w:pPr>
            <w:r>
              <w:rPr>
                <w:bCs/>
                <w:snapToGrid w:val="0"/>
                <w:spacing w:val="-2"/>
              </w:rPr>
              <w:t>r. 1 and 2: 19 Sep 2014 (see r. 2(a));</w:t>
            </w:r>
            <w:r>
              <w:rPr>
                <w:bCs/>
                <w:snapToGrid w:val="0"/>
                <w:spacing w:val="-2"/>
              </w:rPr>
              <w:br/>
              <w:t>Regulations other than r. 1 and 2: 1 Oct 2014 (see r. 2(b)(i))</w:t>
            </w:r>
          </w:p>
        </w:tc>
      </w:tr>
      <w:tr>
        <w:tc>
          <w:tcPr>
            <w:tcW w:w="3118" w:type="dxa"/>
            <w:shd w:val="clear" w:color="auto" w:fill="auto"/>
          </w:tcPr>
          <w:p>
            <w:pPr>
              <w:pStyle w:val="nTable"/>
              <w:keepNext/>
              <w:spacing w:after="40"/>
              <w:rPr>
                <w:i/>
              </w:rPr>
            </w:pPr>
            <w:r>
              <w:rPr>
                <w:i/>
              </w:rPr>
              <w:t>Land Tax Assessment Amendment Regulations 2015</w:t>
            </w:r>
          </w:p>
        </w:tc>
        <w:tc>
          <w:tcPr>
            <w:tcW w:w="1276" w:type="dxa"/>
            <w:shd w:val="clear" w:color="auto" w:fill="auto"/>
          </w:tcPr>
          <w:p>
            <w:pPr>
              <w:pStyle w:val="nTable"/>
              <w:keepNext/>
              <w:spacing w:after="40"/>
            </w:pPr>
            <w:r>
              <w:t>18 Sep 2015 p. 3813</w:t>
            </w:r>
            <w:r>
              <w:noBreakHyphen/>
              <w:t>15</w:t>
            </w:r>
          </w:p>
        </w:tc>
        <w:tc>
          <w:tcPr>
            <w:tcW w:w="2693" w:type="dxa"/>
            <w:shd w:val="clear" w:color="auto" w:fill="auto"/>
          </w:tcPr>
          <w:p>
            <w:pPr>
              <w:pStyle w:val="nTable"/>
              <w:keepNext/>
              <w:spacing w:after="40"/>
              <w:rPr>
                <w:bCs/>
                <w:snapToGrid w:val="0"/>
                <w:spacing w:val="-2"/>
              </w:rPr>
            </w:pPr>
            <w:r>
              <w:rPr>
                <w:bCs/>
                <w:snapToGrid w:val="0"/>
                <w:spacing w:val="-2"/>
              </w:rPr>
              <w:t>r. 1 and 2: 18 Sep 2015 (see r. 2(a));</w:t>
            </w:r>
            <w:r>
              <w:rPr>
                <w:bCs/>
                <w:snapToGrid w:val="0"/>
                <w:spacing w:val="-2"/>
              </w:rPr>
              <w:br/>
              <w:t>Regulations other than r. 1 and 2: 19 Sep 2015 (see r. 2(b))</w:t>
            </w:r>
          </w:p>
        </w:tc>
      </w:tr>
      <w:tr>
        <w:tc>
          <w:tcPr>
            <w:tcW w:w="7087" w:type="dxa"/>
            <w:gridSpan w:val="3"/>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Land Tax Assessment Regulations 2003</w:t>
            </w:r>
            <w:r>
              <w:rPr>
                <w:b/>
                <w:bCs/>
                <w:snapToGrid w:val="0"/>
                <w:spacing w:val="-2"/>
              </w:rPr>
              <w:t xml:space="preserve"> as at 7 Apr 2017</w:t>
            </w:r>
            <w:r>
              <w:rPr>
                <w:bCs/>
                <w:snapToGrid w:val="0"/>
                <w:spacing w:val="-2"/>
              </w:rPr>
              <w:t xml:space="preserve"> (includes amendments listed above)</w:t>
            </w:r>
          </w:p>
        </w:tc>
      </w:tr>
      <w:tr>
        <w:tc>
          <w:tcPr>
            <w:tcW w:w="3118" w:type="dxa"/>
            <w:shd w:val="clear" w:color="auto" w:fill="auto"/>
          </w:tcPr>
          <w:p>
            <w:pPr>
              <w:pStyle w:val="nTable"/>
              <w:spacing w:after="40"/>
              <w:rPr>
                <w:i/>
              </w:rPr>
            </w:pPr>
            <w:r>
              <w:rPr>
                <w:i/>
              </w:rPr>
              <w:t>Land Tax Assessment Amendment Regulations 2018</w:t>
            </w:r>
          </w:p>
        </w:tc>
        <w:tc>
          <w:tcPr>
            <w:tcW w:w="1276" w:type="dxa"/>
            <w:shd w:val="clear" w:color="auto" w:fill="auto"/>
          </w:tcPr>
          <w:p>
            <w:pPr>
              <w:pStyle w:val="nTable"/>
              <w:spacing w:after="40"/>
            </w:pPr>
            <w:r>
              <w:t>12 Jun 2018 p. 1898</w:t>
            </w:r>
            <w:r>
              <w:noBreakHyphen/>
              <w:t>9</w:t>
            </w:r>
          </w:p>
        </w:tc>
        <w:tc>
          <w:tcPr>
            <w:tcW w:w="2693" w:type="dxa"/>
            <w:shd w:val="clear" w:color="auto" w:fill="auto"/>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bl>
    <w:p>
      <w:pPr>
        <w:pStyle w:val="nTable"/>
        <w:spacing w:after="40"/>
        <w:rPr>
          <w:del w:id="78" w:author="Master Repository Process" w:date="2021-08-29T03:22:00Z"/>
          <w:i/>
        </w:rPr>
      </w:pPr>
      <w:del w:id="79" w:author="Master Repository Process" w:date="2021-08-29T03:22: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ins w:id="80" w:author="Master Repository Process" w:date="2021-08-29T03:22:00Z"/>
        </w:trPr>
        <w:tc>
          <w:tcPr>
            <w:tcW w:w="3118" w:type="dxa"/>
            <w:tcBorders>
              <w:bottom w:val="single" w:sz="4" w:space="0" w:color="auto"/>
            </w:tcBorders>
            <w:shd w:val="clear" w:color="auto" w:fill="auto"/>
          </w:tcPr>
          <w:p>
            <w:pPr>
              <w:pStyle w:val="nTable"/>
              <w:spacing w:after="40"/>
              <w:rPr>
                <w:ins w:id="81" w:author="Master Repository Process" w:date="2021-08-29T03:22:00Z"/>
                <w:i/>
              </w:rPr>
            </w:pPr>
            <w:ins w:id="82" w:author="Master Repository Process" w:date="2021-08-29T03:22:00Z">
              <w:r>
                <w:rPr>
                  <w:i/>
                </w:rPr>
                <w:t>Finance Regulations Amendment Regulations 2019</w:t>
              </w:r>
              <w:r>
                <w:t xml:space="preserve"> Pt. 2 (other than r. 5)</w:t>
              </w:r>
            </w:ins>
          </w:p>
        </w:tc>
        <w:tc>
          <w:tcPr>
            <w:tcW w:w="1276" w:type="dxa"/>
            <w:tcBorders>
              <w:bottom w:val="single" w:sz="4" w:space="0" w:color="auto"/>
            </w:tcBorders>
            <w:shd w:val="clear" w:color="auto" w:fill="auto"/>
          </w:tcPr>
          <w:p>
            <w:pPr>
              <w:pStyle w:val="nTable"/>
              <w:spacing w:after="40"/>
              <w:rPr>
                <w:ins w:id="83" w:author="Master Repository Process" w:date="2021-08-29T03:22:00Z"/>
              </w:rPr>
            </w:pPr>
            <w:ins w:id="84" w:author="Master Repository Process" w:date="2021-08-29T03:22:00Z">
              <w:r>
                <w:t>13 Aug 2019 p. 3041</w:t>
              </w:r>
              <w:r>
                <w:noBreakHyphen/>
                <w:t>3</w:t>
              </w:r>
            </w:ins>
          </w:p>
        </w:tc>
        <w:tc>
          <w:tcPr>
            <w:tcW w:w="2693" w:type="dxa"/>
            <w:tcBorders>
              <w:bottom w:val="single" w:sz="4" w:space="0" w:color="auto"/>
            </w:tcBorders>
            <w:shd w:val="clear" w:color="auto" w:fill="auto"/>
          </w:tcPr>
          <w:p>
            <w:pPr>
              <w:pStyle w:val="nTable"/>
              <w:spacing w:after="40"/>
              <w:rPr>
                <w:ins w:id="85" w:author="Master Repository Process" w:date="2021-08-29T03:22:00Z"/>
                <w:bCs/>
                <w:snapToGrid w:val="0"/>
                <w:spacing w:val="-2"/>
              </w:rPr>
            </w:pPr>
            <w:ins w:id="86" w:author="Master Repository Process" w:date="2021-08-29T03:22:00Z">
              <w:r>
                <w:rPr>
                  <w:bCs/>
                  <w:snapToGrid w:val="0"/>
                  <w:spacing w:val="-2"/>
                </w:rPr>
                <w:t>14 Aug 2019 (see r. 2(c))</w:t>
              </w:r>
            </w:ins>
          </w:p>
        </w:tc>
      </w:tr>
    </w:tbl>
    <w:p>
      <w:pPr>
        <w:pStyle w:val="nHeading3"/>
        <w:rPr>
          <w:ins w:id="87" w:author="Master Repository Process" w:date="2021-08-29T03:22:00Z"/>
        </w:rPr>
      </w:pPr>
      <w:bookmarkStart w:id="88" w:name="_Toc38034811"/>
      <w:ins w:id="89" w:author="Master Repository Process" w:date="2021-08-29T03:22:00Z">
        <w:r>
          <w:t>Uncommenced provisions table</w:t>
        </w:r>
        <w:bookmarkEnd w:id="88"/>
      </w:ins>
    </w:p>
    <w:p>
      <w:pPr>
        <w:pStyle w:val="nStatement"/>
        <w:keepNext/>
        <w:spacing w:after="240"/>
        <w:rPr>
          <w:ins w:id="90" w:author="Master Repository Process" w:date="2021-08-29T03:22:00Z"/>
        </w:rPr>
      </w:pPr>
      <w:ins w:id="91" w:author="Master Repository Process" w:date="2021-08-29T03:2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2" w:author="Master Repository Process" w:date="2021-08-29T03:22:00Z"/>
        </w:trPr>
        <w:tc>
          <w:tcPr>
            <w:tcW w:w="3118" w:type="dxa"/>
          </w:tcPr>
          <w:p>
            <w:pPr>
              <w:pStyle w:val="nTable"/>
              <w:spacing w:after="40"/>
              <w:rPr>
                <w:ins w:id="93" w:author="Master Repository Process" w:date="2021-08-29T03:22:00Z"/>
                <w:b/>
              </w:rPr>
            </w:pPr>
            <w:ins w:id="94" w:author="Master Repository Process" w:date="2021-08-29T03:22:00Z">
              <w:r>
                <w:rPr>
                  <w:b/>
                </w:rPr>
                <w:t>Citation</w:t>
              </w:r>
            </w:ins>
          </w:p>
        </w:tc>
        <w:tc>
          <w:tcPr>
            <w:tcW w:w="1276" w:type="dxa"/>
          </w:tcPr>
          <w:p>
            <w:pPr>
              <w:pStyle w:val="nTable"/>
              <w:spacing w:after="40"/>
              <w:rPr>
                <w:ins w:id="95" w:author="Master Repository Process" w:date="2021-08-29T03:22:00Z"/>
                <w:b/>
              </w:rPr>
            </w:pPr>
            <w:ins w:id="96" w:author="Master Repository Process" w:date="2021-08-29T03:22:00Z">
              <w:r>
                <w:rPr>
                  <w:b/>
                </w:rPr>
                <w:t>Published</w:t>
              </w:r>
            </w:ins>
          </w:p>
        </w:tc>
        <w:tc>
          <w:tcPr>
            <w:tcW w:w="2693" w:type="dxa"/>
          </w:tcPr>
          <w:p>
            <w:pPr>
              <w:pStyle w:val="nTable"/>
              <w:spacing w:after="40"/>
              <w:rPr>
                <w:ins w:id="97" w:author="Master Repository Process" w:date="2021-08-29T03:22:00Z"/>
                <w:b/>
              </w:rPr>
            </w:pPr>
            <w:ins w:id="98" w:author="Master Repository Process" w:date="2021-08-29T03:22:00Z">
              <w:r>
                <w:rPr>
                  <w:b/>
                </w:rPr>
                <w:t>Commencement</w:t>
              </w:r>
            </w:ins>
          </w:p>
        </w:tc>
      </w:tr>
      <w:tr>
        <w:trPr>
          <w:ins w:id="99" w:author="Master Repository Process" w:date="2021-08-29T03:22:00Z"/>
        </w:trPr>
        <w:tc>
          <w:tcPr>
            <w:tcW w:w="3118" w:type="dxa"/>
          </w:tcPr>
          <w:p>
            <w:pPr>
              <w:pStyle w:val="nTable"/>
              <w:spacing w:after="40"/>
              <w:rPr>
                <w:ins w:id="100" w:author="Master Repository Process" w:date="2021-08-29T03:22:00Z"/>
              </w:rPr>
            </w:pPr>
            <w:ins w:id="101" w:author="Master Repository Process" w:date="2021-08-29T03:22:00Z">
              <w:r>
                <w:rPr>
                  <w:i/>
                </w:rPr>
                <w:t>Finance Regulations Amendment Regulations 2019</w:t>
              </w:r>
              <w:r>
                <w:t xml:space="preserve"> r. 5</w:t>
              </w:r>
            </w:ins>
          </w:p>
        </w:tc>
        <w:tc>
          <w:tcPr>
            <w:tcW w:w="1276" w:type="dxa"/>
          </w:tcPr>
          <w:p>
            <w:pPr>
              <w:pStyle w:val="nTable"/>
              <w:spacing w:after="40"/>
              <w:rPr>
                <w:ins w:id="102" w:author="Master Repository Process" w:date="2021-08-29T03:22:00Z"/>
              </w:rPr>
            </w:pPr>
            <w:ins w:id="103" w:author="Master Repository Process" w:date="2021-08-29T03:22:00Z">
              <w:r>
                <w:t>13 Aug 2019 p. 3041</w:t>
              </w:r>
              <w:r>
                <w:noBreakHyphen/>
                <w:t>3</w:t>
              </w:r>
            </w:ins>
          </w:p>
        </w:tc>
        <w:tc>
          <w:tcPr>
            <w:tcW w:w="2693" w:type="dxa"/>
          </w:tcPr>
          <w:p>
            <w:pPr>
              <w:pStyle w:val="nTable"/>
              <w:spacing w:after="40"/>
              <w:rPr>
                <w:ins w:id="104" w:author="Master Repository Process" w:date="2021-08-29T03:22:00Z"/>
              </w:rPr>
            </w:pPr>
            <w:ins w:id="105" w:author="Master Repository Process" w:date="2021-08-29T03:22:00Z">
              <w:r>
                <w:t>1 May 2020 (see r. 2(b) and SL 2020/39 cl. 2)</w:t>
              </w:r>
            </w:ins>
          </w:p>
        </w:tc>
      </w:tr>
    </w:tbl>
    <w:p>
      <w:pPr>
        <w:pStyle w:val="nHeading3"/>
        <w:rPr>
          <w:ins w:id="106" w:author="Master Repository Process" w:date="2021-08-29T03:22:00Z"/>
        </w:rPr>
      </w:pPr>
      <w:bookmarkStart w:id="107" w:name="_Toc38034812"/>
      <w:ins w:id="108" w:author="Master Repository Process" w:date="2021-08-29T03:22:00Z">
        <w:r>
          <w:t>Other notes</w:t>
        </w:r>
        <w:bookmarkEnd w:id="107"/>
      </w:ins>
    </w:p>
    <w:p>
      <w:pPr>
        <w:pStyle w:val="nNote"/>
        <w:spacing w:before="160"/>
      </w:pPr>
      <w:ins w:id="109" w:author="Master Repository Process" w:date="2021-08-29T03:22:00Z">
        <w:r>
          <w:rPr>
            <w:vertAlign w:val="superscript"/>
          </w:rPr>
          <w:t>1</w:t>
        </w:r>
      </w:ins>
      <w:r>
        <w:tab/>
        <w:t xml:space="preserve">Repealed by the </w:t>
      </w:r>
      <w:r>
        <w:rPr>
          <w:i/>
          <w:iCs/>
        </w:rPr>
        <w:t xml:space="preserve">Taxation Administration (Consequential Provisions) Act 2002 </w:t>
      </w:r>
      <w:r>
        <w:t>s. 5(d).</w:t>
      </w:r>
    </w:p>
    <w:p>
      <w:pPr>
        <w:pStyle w:val="nNote"/>
      </w:pPr>
      <w:del w:id="110" w:author="Master Repository Process" w:date="2021-08-29T03:22:00Z">
        <w:r>
          <w:rPr>
            <w:vertAlign w:val="superscript"/>
          </w:rPr>
          <w:delText>3</w:delText>
        </w:r>
      </w:del>
      <w:ins w:id="111" w:author="Master Repository Process" w:date="2021-08-29T03:22:00Z">
        <w:r>
          <w:rPr>
            <w:vertAlign w:val="superscript"/>
          </w:rPr>
          <w:t>2</w:t>
        </w:r>
      </w:ins>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Regulations 1</w:t>
      </w:r>
      <w:r>
        <w:noBreakHyphen/>
        <w:t>4 and Pt. 3 Div. 3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12" w:name="_Toc125188319"/>
      <w:bookmarkStart w:id="113" w:name="_Toc156617933"/>
      <w:bookmarkStart w:id="114" w:name="_Toc161118387"/>
      <w:bookmarkStart w:id="115" w:name="_Toc342570243"/>
      <w:bookmarkStart w:id="116" w:name="_Toc415493534"/>
      <w:r>
        <w:rPr>
          <w:rStyle w:val="CharSectno"/>
        </w:rPr>
        <w:t>3</w:t>
      </w:r>
      <w:r>
        <w:t>.</w:t>
      </w:r>
      <w:r>
        <w:tab/>
        <w:t>When certain modifications have effect</w:t>
      </w:r>
      <w:bookmarkEnd w:id="112"/>
      <w:bookmarkEnd w:id="113"/>
      <w:bookmarkEnd w:id="114"/>
      <w:bookmarkEnd w:id="115"/>
      <w:bookmarkEnd w:id="116"/>
    </w:p>
    <w:p>
      <w:pPr>
        <w:pStyle w:val="nzSubsection"/>
      </w:pPr>
      <w:r>
        <w:tab/>
        <w:t>(1)</w:t>
      </w:r>
      <w:r>
        <w:tab/>
        <w:t xml:space="preserve">Subject to this regulation, the modifications prescribed in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Administration) Regulations 2002</w:t>
      </w:r>
      <w:r>
        <w:t xml:space="preserve"> Part 5 to the extent of any inconsistency.</w:t>
      </w:r>
    </w:p>
    <w:p>
      <w:pPr>
        <w:pStyle w:val="nzSubsection"/>
      </w:pPr>
      <w:r>
        <w:tab/>
        <w:t>(3)</w:t>
      </w:r>
      <w:r>
        <w:tab/>
        <w:t>The modifications prescribed in Part 2 have effect on and from 1 July 2008.</w:t>
      </w:r>
    </w:p>
    <w:p>
      <w:pPr>
        <w:pStyle w:val="nzSubsection"/>
      </w:pPr>
      <w:r>
        <w:tab/>
        <w:t>(4)</w:t>
      </w:r>
      <w:r>
        <w:tab/>
        <w:t>The modification in regulation 29 has effect on and from 25 June 2010.</w:t>
      </w:r>
    </w:p>
    <w:p>
      <w:pPr>
        <w:pStyle w:val="nzSubsection"/>
      </w:pPr>
      <w:r>
        <w:tab/>
        <w:t>(5)</w:t>
      </w:r>
      <w:r>
        <w:tab/>
        <w:t>The modifications in regulation 47 have effect on and from 1 July 2008.</w:t>
      </w:r>
    </w:p>
    <w:p>
      <w:pPr>
        <w:pStyle w:val="nzPermNoteHeading"/>
      </w:pPr>
      <w:r>
        <w:tab/>
        <w:t>Note for this regulation:</w:t>
      </w:r>
    </w:p>
    <w:p>
      <w:pPr>
        <w:pStyle w:val="nzPermNoteText"/>
      </w:pPr>
      <w:r>
        <w:tab/>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117" w:name="_Toc25468872"/>
      <w:bookmarkStart w:id="118" w:name="_Toc31620063"/>
      <w:bookmarkStart w:id="119" w:name="_Toc156617934"/>
      <w:bookmarkStart w:id="120" w:name="_Toc161118388"/>
      <w:bookmarkStart w:id="121" w:name="_Toc342570244"/>
      <w:bookmarkStart w:id="122" w:name="_Toc415493535"/>
      <w:r>
        <w:rPr>
          <w:rStyle w:val="CharSectno"/>
        </w:rPr>
        <w:t>4</w:t>
      </w:r>
      <w:r>
        <w:t>.</w:t>
      </w:r>
      <w:r>
        <w:tab/>
        <w:t>Modification of State taxing laws</w:t>
      </w:r>
      <w:bookmarkEnd w:id="117"/>
      <w:bookmarkEnd w:id="118"/>
      <w:bookmarkEnd w:id="119"/>
      <w:bookmarkEnd w:id="120"/>
      <w:bookmarkEnd w:id="121"/>
      <w:bookmarkEnd w:id="12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PermNoteHeading"/>
      </w:pPr>
      <w:r>
        <w:tab/>
        <w:t>Note for this regulation:</w:t>
      </w:r>
    </w:p>
    <w:p>
      <w:pPr>
        <w:pStyle w:val="nzPermNoteText"/>
      </w:pPr>
      <w:r>
        <w:tab/>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zHeading2"/>
        <w:keepNext w:val="0"/>
      </w:pPr>
      <w:r>
        <w:t>Part 3 — Land tax</w:t>
      </w:r>
    </w:p>
    <w:p>
      <w:pPr>
        <w:pStyle w:val="nzHeading3"/>
        <w:keepNext w:val="0"/>
      </w:pPr>
      <w:r>
        <w:t xml:space="preserve">Division 3 — The </w:t>
      </w:r>
      <w:r>
        <w:rPr>
          <w:i/>
          <w:iCs/>
        </w:rPr>
        <w:t>Land Tax Assessment Regulations 2003</w:t>
      </w:r>
    </w:p>
    <w:p>
      <w:pPr>
        <w:pStyle w:val="nzHeading5"/>
        <w:keepNext w:val="0"/>
        <w:keepLines w:val="0"/>
      </w:pPr>
      <w:r>
        <w:t>19.</w:t>
      </w:r>
      <w:r>
        <w:tab/>
        <w:t xml:space="preserve">Modification of the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r>
        <w:t>20.</w:t>
      </w:r>
      <w:r>
        <w:tab/>
        <w:t>Regulation 3A inserted</w:t>
      </w:r>
    </w:p>
    <w:p>
      <w:pPr>
        <w:pStyle w:val="nzSubsection"/>
        <w:keepNext/>
      </w:pPr>
      <w:r>
        <w:tab/>
      </w:r>
      <w:r>
        <w:tab/>
        <w:t xml:space="preserve">After regulation 3 the following regulation is inserted — </w:t>
      </w:r>
    </w:p>
    <w:p>
      <w:pPr>
        <w:pStyle w:val="BlankOpen"/>
      </w:pPr>
    </w:p>
    <w:p>
      <w:pPr>
        <w:pStyle w:val="nzHeading5"/>
      </w:pPr>
      <w:bookmarkStart w:id="123" w:name="_Toc156617964"/>
      <w:bookmarkStart w:id="124" w:name="_Toc342570273"/>
      <w:bookmarkStart w:id="125" w:name="_Toc415493564"/>
      <w:r>
        <w:t>3A.</w:t>
      </w:r>
      <w:r>
        <w:tab/>
        <w:t>Application of regulations in non</w:t>
      </w:r>
      <w:r>
        <w:noBreakHyphen/>
        <w:t>Commonwealth places</w:t>
      </w:r>
      <w:bookmarkEnd w:id="123"/>
      <w:bookmarkEnd w:id="124"/>
      <w:bookmarkEnd w:id="125"/>
    </w:p>
    <w:p>
      <w:pPr>
        <w:pStyle w:val="nzSubsection"/>
      </w:pPr>
      <w:r>
        <w:tab/>
        <w:t>(1)</w:t>
      </w:r>
      <w:r>
        <w:tab/>
      </w:r>
      <w:r>
        <w:rPr>
          <w:spacing w:val="-4"/>
        </w:rPr>
        <w:t xml:space="preserve">In this regulation — </w:t>
      </w:r>
    </w:p>
    <w:p>
      <w:pPr>
        <w:pStyle w:val="nzDefstart"/>
      </w:pPr>
      <w:r>
        <w:rPr>
          <w:spacing w:val="-4"/>
        </w:rPr>
        <w:tab/>
      </w:r>
      <w:r>
        <w:rPr>
          <w:rStyle w:val="CharDefText"/>
        </w:rPr>
        <w:t>applied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a reference to these regulations is to be read as a reference to these regulations in their application as a law of Western Australia; and</w:t>
      </w:r>
    </w:p>
    <w:p>
      <w:pPr>
        <w:pStyle w:val="nzIndenta"/>
      </w:pPr>
      <w:r>
        <w:tab/>
        <w:t>(b)</w:t>
      </w:r>
      <w:r>
        <w:tab/>
        <w:t>a reference to the Act is to be read as a reference to the Act in its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Indenta"/>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nzIndenta"/>
      </w:pPr>
      <w:r>
        <w:tab/>
        <w:t>(e)</w:t>
      </w:r>
      <w:r>
        <w:tab/>
        <w:t xml:space="preserve">a reference to the </w:t>
      </w:r>
      <w:r>
        <w:rPr>
          <w:i/>
        </w:rPr>
        <w:t>Land Tax Assessment Regulations 1976</w:t>
      </w:r>
      <w:r>
        <w:t xml:space="preserve"> is to be read as a reference to those regulations in their application, before 1 July 2003, as a law of Western Australia.</w:t>
      </w:r>
    </w:p>
    <w:p>
      <w:pPr>
        <w:pStyle w:val="nzSubsection"/>
      </w:pPr>
      <w:r>
        <w:tab/>
        <w:t>(3)</w:t>
      </w:r>
      <w:r>
        <w:tab/>
        <w:t>These regulations are to be read with the applied Land Tax Assessment Regulations as a single body of law.</w:t>
      </w:r>
    </w:p>
    <w:p>
      <w:pPr>
        <w:pStyle w:val="BlankClose"/>
      </w:pPr>
    </w:p>
    <w:p>
      <w:pPr>
        <w:pStyle w:val="nNote"/>
      </w:pPr>
      <w:del w:id="126" w:author="Master Repository Process" w:date="2021-08-29T03:22:00Z">
        <w:r>
          <w:rPr>
            <w:vertAlign w:val="superscript"/>
          </w:rPr>
          <w:delText>4</w:delText>
        </w:r>
      </w:del>
      <w:ins w:id="127" w:author="Master Repository Process" w:date="2021-08-29T03:22:00Z">
        <w:r>
          <w:rPr>
            <w:vertAlign w:val="superscript"/>
          </w:rPr>
          <w:t>3</w:t>
        </w:r>
      </w:ins>
      <w:r>
        <w:tab/>
        <w:t xml:space="preserve">Under the </w:t>
      </w:r>
      <w:r>
        <w:rPr>
          <w:i/>
        </w:rPr>
        <w:t>Commonwealth Places (Mirror Taxes) Act 1998</w:t>
      </w:r>
      <w:r>
        <w:t xml:space="preserve"> (Commonwealth) s. 8(2)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Clauses 1</w:t>
      </w:r>
      <w:r>
        <w:noBreakHyphen/>
        <w:t>5 and Pt. 3 Div. 3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Subject to this regulation, the modifications prescribed in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Subsection"/>
      </w:pPr>
      <w:r>
        <w:tab/>
        <w:t>(3)</w:t>
      </w:r>
      <w:r>
        <w:tab/>
        <w:t>The modifications prescribed in Part 2 have effect on and from 1 July 2008.</w:t>
      </w:r>
    </w:p>
    <w:p>
      <w:pPr>
        <w:pStyle w:val="nzSubsection"/>
      </w:pPr>
      <w:r>
        <w:tab/>
        <w:t>(4)</w:t>
      </w:r>
      <w:r>
        <w:tab/>
        <w:t>The modification prescribed in clause 30 has effect on and from 25 June 2010.</w:t>
      </w:r>
    </w:p>
    <w:p>
      <w:pPr>
        <w:pStyle w:val="nzSubsection"/>
      </w:pPr>
      <w:r>
        <w:tab/>
        <w:t>(5)</w:t>
      </w:r>
      <w:r>
        <w:tab/>
        <w:t>The modifications prescribed in clause 51 have effect on and from 1 July 2008.</w:t>
      </w:r>
    </w:p>
    <w:p>
      <w:pPr>
        <w:pStyle w:val="nzMiscellaneousBody"/>
        <w:tabs>
          <w:tab w:val="left" w:pos="1484"/>
        </w:tabs>
        <w:ind w:left="1498" w:hanging="588"/>
        <w:rPr>
          <w:rFonts w:ascii="Arial" w:hAnsi="Arial" w:cs="Arial"/>
          <w:sz w:val="14"/>
          <w:szCs w:val="14"/>
        </w:rPr>
      </w:pPr>
      <w:r>
        <w:rPr>
          <w:rFonts w:ascii="Arial" w:hAnsi="Arial" w:cs="Arial"/>
          <w:sz w:val="14"/>
          <w:szCs w:val="14"/>
        </w:rPr>
        <w:t xml:space="preserve">Note: </w:t>
      </w:r>
      <w:r>
        <w:rPr>
          <w:rFonts w:ascii="Arial" w:hAnsi="Arial" w:cs="Arial"/>
          <w:sz w:val="14"/>
          <w:szCs w:val="14"/>
        </w:rPr>
        <w:tab/>
        <w:t xml:space="preserve">Modifications prescribed in a notice under section 8 of the Act may be expressed to take effect from a date that is earlier than the date on which the modifications are published in the </w:t>
      </w:r>
      <w:r>
        <w:rPr>
          <w:rFonts w:ascii="Arial" w:hAnsi="Arial" w:cs="Arial"/>
          <w:i/>
          <w:sz w:val="14"/>
          <w:szCs w:val="14"/>
        </w:rPr>
        <w:t>Commonwealth of Australia Gazette</w:t>
      </w:r>
      <w:r>
        <w:rPr>
          <w:rFonts w:ascii="Arial" w:hAnsi="Arial" w:cs="Arial"/>
          <w:sz w:val="14"/>
          <w:szCs w:val="14"/>
        </w:rPr>
        <w:t>, see section 8(5) of the Act.</w:t>
      </w:r>
    </w:p>
    <w:p>
      <w:pPr>
        <w:pStyle w:val="nzHeading5"/>
      </w:pPr>
      <w:r>
        <w:rPr>
          <w:rStyle w:val="CharSectno"/>
        </w:rPr>
        <w:t>4</w:t>
      </w:r>
      <w:r>
        <w:t>.</w:t>
      </w:r>
      <w:r>
        <w:tab/>
        <w:t>Definitions</w:t>
      </w:r>
    </w:p>
    <w:p>
      <w:pPr>
        <w:pStyle w:val="nzSubsection"/>
        <w:keepNext/>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MiscellaneousBody"/>
        <w:tabs>
          <w:tab w:val="left" w:pos="1484"/>
        </w:tabs>
        <w:ind w:left="1498" w:hanging="588"/>
        <w:rPr>
          <w:rFonts w:ascii="Arial" w:hAnsi="Arial" w:cs="Arial"/>
          <w:sz w:val="14"/>
          <w:szCs w:val="14"/>
        </w:rPr>
      </w:pPr>
      <w:r>
        <w:rPr>
          <w:rFonts w:ascii="Arial" w:hAnsi="Arial" w:cs="Arial"/>
          <w:sz w:val="14"/>
          <w:szCs w:val="14"/>
        </w:rPr>
        <w:t>Note:</w:t>
      </w:r>
      <w:r>
        <w:rPr>
          <w:rFonts w:ascii="Arial" w:hAnsi="Arial" w:cs="Arial"/>
          <w:sz w:val="14"/>
          <w:szCs w:val="14"/>
        </w:rPr>
        <w:tab/>
        <w:t>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item.</w:t>
      </w:r>
    </w:p>
    <w:p>
      <w:pPr>
        <w:pStyle w:val="nzHeading2"/>
      </w:pPr>
      <w:r>
        <w:t>Part 3 — Land tax</w:t>
      </w:r>
    </w:p>
    <w:p>
      <w:pPr>
        <w:pStyle w:val="nzHeading3"/>
      </w:pPr>
      <w:r>
        <w:rPr>
          <w:rStyle w:val="CharDivNo"/>
        </w:rPr>
        <w:t>Division 3</w:t>
      </w:r>
      <w:r>
        <w:t> — </w:t>
      </w:r>
      <w:r>
        <w:rPr>
          <w:rStyle w:val="CharDivText"/>
        </w:rPr>
        <w:t xml:space="preserve">The applied </w:t>
      </w:r>
      <w:r>
        <w:rPr>
          <w:rStyle w:val="CharDivText"/>
          <w:i/>
          <w:iCs/>
        </w:rPr>
        <w:t>Land Tax Assessment Regulations 2003</w:t>
      </w:r>
    </w:p>
    <w:p>
      <w:pPr>
        <w:pStyle w:val="nzHeading5"/>
      </w:pPr>
      <w:r>
        <w:rPr>
          <w:rStyle w:val="CharSectno"/>
        </w:rPr>
        <w:t>20</w:t>
      </w:r>
      <w:r>
        <w:t>.</w:t>
      </w:r>
      <w:r>
        <w:tab/>
        <w:t xml:space="preserve">Modification of the applied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r>
        <w:rPr>
          <w:rStyle w:val="CharSectno"/>
        </w:rPr>
        <w:t>21</w:t>
      </w:r>
      <w:r>
        <w:t>.</w:t>
      </w:r>
      <w:r>
        <w:tab/>
        <w:t>Regulation 3A inserted</w:t>
      </w:r>
    </w:p>
    <w:p>
      <w:pPr>
        <w:pStyle w:val="nzSubsection"/>
        <w:keepNext/>
        <w:spacing w:before="60"/>
      </w:pPr>
      <w:r>
        <w:tab/>
      </w:r>
      <w:r>
        <w:tab/>
        <w:t xml:space="preserve">After regulation 3 the following regulation is inserted — </w:t>
      </w:r>
    </w:p>
    <w:p>
      <w:pPr>
        <w:pStyle w:val="BlankOpen"/>
      </w:pPr>
    </w:p>
    <w:p>
      <w:pPr>
        <w:pStyle w:val="nzHeading5"/>
        <w:spacing w:before="40"/>
      </w:pPr>
      <w:r>
        <w:t>3A.</w:t>
      </w:r>
      <w:r>
        <w:tab/>
        <w:t>Application of regulations in Commonwealth places</w:t>
      </w:r>
    </w:p>
    <w:p>
      <w:pPr>
        <w:pStyle w:val="nzSubsection"/>
        <w:keepNext/>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keepNext/>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BlankClose"/>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55500"/>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 w:name="WAFER_20161031171618" w:val="RemoveTocBookmarks,RemoveUnusedBookmarks,RemoveLanguageTags,UsedStyles,ResetPageSize,RemoveCustomizations"/>
    <w:docVar w:name="WAFER_20161031171618_GUID" w:val="0291ff6d-c8a8-4852-807a-df6759061ec3"/>
    <w:docVar w:name="WAFER_20161220102656" w:val="RemoveTocBookmarks,RemoveUnusedBookmarks,RemoveLanguageTags,UsedStyles,RemoveTrackChanges"/>
    <w:docVar w:name="WAFER_20161220102656_GUID" w:val="a6fb6e45-2588-4b14-aaa2-b98d0e072569"/>
    <w:docVar w:name="WAFER_20161220102723" w:val="RemoveTocBookmarks,RemoveLanguageTags,RemoveTrackChanges,RunningHeaders"/>
    <w:docVar w:name="WAFER_20161220102723_GUID" w:val="d095cb0f-6d4c-47aa-843b-85088d941821"/>
    <w:docVar w:name="WAFER_20200212133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003_GUID" w:val="1a1fed33-cc51-4b34-8163-eb916d83c240"/>
    <w:docVar w:name="WAFER_2020041715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5500_GUID" w:val="c5f9fc08-d22a-4f0c-8719-9773b0694c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A0D6A2-A6B9-4539-AC6F-80CC2135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7.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image" Target="media/image9.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8.wmf"/><Relationship Id="rId30" Type="http://schemas.openxmlformats.org/officeDocument/2006/relationships/header" Target="header8.xm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49D8-FC32-4347-959C-B50CB578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4680</Words>
  <Characters>22656</Characters>
  <Application>Microsoft Office Word</Application>
  <DocSecurity>0</DocSecurity>
  <Lines>647</Lines>
  <Paragraphs>337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26999</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02-b0-01 - 02-c0-03</dc:title>
  <dc:subject/>
  <dc:creator/>
  <cp:keywords/>
  <dc:description/>
  <cp:lastModifiedBy>Master Repository Process</cp:lastModifiedBy>
  <cp:revision>2</cp:revision>
  <cp:lastPrinted>2018-06-12T07:13:00Z</cp:lastPrinted>
  <dcterms:created xsi:type="dcterms:W3CDTF">2021-08-28T19:22:00Z</dcterms:created>
  <dcterms:modified xsi:type="dcterms:W3CDTF">2021-08-28T19:22:00Z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DocumentType">
    <vt:lpwstr>Reg</vt:lpwstr>
  </property>
  <property fmtid="{D5CDD505-2E9C-101B-9397-08002B2CF9AE}" pid="4" name="OwlsUID">
    <vt:i4>15942</vt:i4>
  </property>
  <property fmtid="{D5CDD505-2E9C-101B-9397-08002B2CF9AE}" pid="5" name="ReprintedAsAt">
    <vt:filetime>2017-04-06T16:00:00Z</vt:filetime>
  </property>
  <property fmtid="{D5CDD505-2E9C-101B-9397-08002B2CF9AE}" pid="6" name="ReprintNo">
    <vt:lpwstr>2</vt:lpwstr>
  </property>
  <property fmtid="{D5CDD505-2E9C-101B-9397-08002B2CF9AE}" pid="7" name="CommencementDate">
    <vt:lpwstr>20190814</vt:lpwstr>
  </property>
  <property fmtid="{D5CDD505-2E9C-101B-9397-08002B2CF9AE}" pid="8" name="FromSuffix">
    <vt:lpwstr>02-b0-01</vt:lpwstr>
  </property>
  <property fmtid="{D5CDD505-2E9C-101B-9397-08002B2CF9AE}" pid="9" name="FromAsAtDate">
    <vt:lpwstr>13 Jun 2018</vt:lpwstr>
  </property>
  <property fmtid="{D5CDD505-2E9C-101B-9397-08002B2CF9AE}" pid="10" name="ToSuffix">
    <vt:lpwstr>02-c0-03</vt:lpwstr>
  </property>
  <property fmtid="{D5CDD505-2E9C-101B-9397-08002B2CF9AE}" pid="11" name="ToAsAtDate">
    <vt:lpwstr>14 Aug 2019</vt:lpwstr>
  </property>
</Properties>
</file>