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0" w:name="_Toc531752172"/>
      <w:bookmarkStart w:id="1" w:name="_Toc7233519"/>
      <w:bookmarkStart w:id="2" w:name="_Toc9307107"/>
      <w:bookmarkStart w:id="3" w:name="_Toc15273776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531752173"/>
      <w:bookmarkStart w:id="6" w:name="_Toc7233520"/>
      <w:bookmarkStart w:id="7" w:name="_Toc9307108"/>
      <w:bookmarkStart w:id="8" w:name="_Toc152737768"/>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one of the forms set out in the Schedule;</w:t>
      </w:r>
    </w:p>
    <w:p>
      <w:pPr>
        <w:pStyle w:val="Defstart"/>
      </w:pPr>
      <w:r>
        <w:rPr>
          <w:b/>
        </w:rPr>
        <w:tab/>
        <w:t>“</w:t>
      </w:r>
      <w:r>
        <w:rPr>
          <w:rStyle w:val="CharDefText"/>
        </w:rPr>
        <w:t>subject</w:t>
      </w:r>
      <w:r>
        <w:rPr>
          <w:b/>
        </w:rPr>
        <w:t>”</w:t>
      </w:r>
      <w:r>
        <w:t xml:space="preserve"> means a person required, or electing, to submit himself and allow a sample of his blood to be taken, or from whom a sample of blood is caused to be taken for analysis pursuant to section 66 of the Act;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w:t>
      </w:r>
    </w:p>
    <w:p>
      <w:pPr>
        <w:pStyle w:val="Heading5"/>
        <w:rPr>
          <w:snapToGrid w:val="0"/>
        </w:rPr>
      </w:pPr>
      <w:bookmarkStart w:id="9" w:name="_Toc531752174"/>
      <w:bookmarkStart w:id="10" w:name="_Toc7233521"/>
      <w:bookmarkStart w:id="11" w:name="_Toc9307109"/>
      <w:bookmarkStart w:id="12" w:name="_Toc152737769"/>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531752175"/>
      <w:bookmarkStart w:id="14" w:name="_Toc7233522"/>
      <w:bookmarkStart w:id="15" w:name="_Toc9307110"/>
      <w:bookmarkStart w:id="16" w:name="_Toc152737770"/>
      <w:r>
        <w:rPr>
          <w:rStyle w:val="CharSectno"/>
        </w:rPr>
        <w:t>4</w:t>
      </w:r>
      <w:r>
        <w:rPr>
          <w:snapToGrid w:val="0"/>
        </w:rPr>
        <w:t>.</w:t>
      </w:r>
      <w:r>
        <w:rPr>
          <w:snapToGrid w:val="0"/>
        </w:rPr>
        <w:tab/>
        <w:t>Sampling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b/>
          <w:snapToGrid w:val="0"/>
        </w:rPr>
        <w:t>“</w:t>
      </w:r>
      <w:bookmarkStart w:id="17" w:name="endcomma"/>
      <w:bookmarkEnd w:id="17"/>
      <w:r>
        <w:rPr>
          <w:rStyle w:val="CharDefText"/>
        </w:rPr>
        <w:t>the sampling equipment</w:t>
      </w:r>
      <w:r>
        <w:rPr>
          <w:b/>
          <w:snapToGrid w:val="0"/>
        </w:rPr>
        <w: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19" w:name="_Toc531752176"/>
      <w:bookmarkStart w:id="20" w:name="_Toc7233523"/>
      <w:bookmarkStart w:id="21" w:name="_Toc9307111"/>
      <w:bookmarkStart w:id="22" w:name="_Toc152737771"/>
      <w:r>
        <w:rPr>
          <w:rStyle w:val="CharSectno"/>
        </w:rPr>
        <w:t>5.</w:t>
      </w:r>
      <w:r>
        <w:tab/>
        <w:t>Sampling equipment</w:t>
      </w:r>
      <w:bookmarkEnd w:id="19"/>
      <w:bookmarkEnd w:id="20"/>
      <w:bookmarkEnd w:id="21"/>
      <w:bookmarkEnd w:id="22"/>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23" w:name="_Toc531752177"/>
      <w:bookmarkStart w:id="24" w:name="_Toc7233524"/>
      <w:bookmarkStart w:id="25" w:name="_Toc9307112"/>
      <w:bookmarkStart w:id="26" w:name="_Toc152737772"/>
      <w:r>
        <w:rPr>
          <w:rStyle w:val="CharSectno"/>
        </w:rPr>
        <w:t>6</w:t>
      </w:r>
      <w:r>
        <w:rPr>
          <w:snapToGrid w:val="0"/>
        </w:rPr>
        <w:t>.</w:t>
      </w:r>
      <w:r>
        <w:rPr>
          <w:snapToGrid w:val="0"/>
        </w:rPr>
        <w:tab/>
        <w:t>Preparation of sampling equipment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27" w:name="_Toc531752178"/>
      <w:bookmarkStart w:id="28" w:name="_Toc7233525"/>
      <w:bookmarkStart w:id="29" w:name="_Toc9307113"/>
      <w:bookmarkStart w:id="30" w:name="_Toc152737773"/>
      <w:r>
        <w:rPr>
          <w:rStyle w:val="CharSectno"/>
        </w:rPr>
        <w:t>7</w:t>
      </w:r>
      <w:r>
        <w:rPr>
          <w:snapToGrid w:val="0"/>
        </w:rPr>
        <w:t>.</w:t>
      </w:r>
      <w:r>
        <w:rPr>
          <w:snapToGrid w:val="0"/>
        </w:rPr>
        <w:tab/>
        <w:t>Method of sampling</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31" w:name="_Toc531752179"/>
      <w:bookmarkStart w:id="32" w:name="_Toc7233526"/>
      <w:bookmarkStart w:id="33" w:name="_Toc9307114"/>
      <w:bookmarkStart w:id="34" w:name="_Toc152737774"/>
      <w:r>
        <w:rPr>
          <w:rStyle w:val="CharSectno"/>
        </w:rPr>
        <w:t>8</w:t>
      </w:r>
      <w:r>
        <w:rPr>
          <w:snapToGrid w:val="0"/>
        </w:rPr>
        <w:t>.</w:t>
      </w:r>
      <w:r>
        <w:rPr>
          <w:snapToGrid w:val="0"/>
        </w:rPr>
        <w:tab/>
        <w:t>Certification of blood samples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35" w:name="_Toc531752180"/>
      <w:bookmarkStart w:id="36" w:name="_Toc7233527"/>
      <w:bookmarkStart w:id="37" w:name="_Toc9307115"/>
      <w:bookmarkStart w:id="38" w:name="_Toc152737775"/>
      <w:r>
        <w:rPr>
          <w:rStyle w:val="CharSectno"/>
        </w:rPr>
        <w:t>9</w:t>
      </w:r>
      <w:r>
        <w:rPr>
          <w:snapToGrid w:val="0"/>
        </w:rPr>
        <w:t>.</w:t>
      </w:r>
      <w:r>
        <w:rPr>
          <w:snapToGrid w:val="0"/>
        </w:rPr>
        <w:tab/>
        <w:t>Analytical method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9" w:name="_Toc531752181"/>
      <w:bookmarkStart w:id="40" w:name="_Toc7233528"/>
      <w:bookmarkStart w:id="41" w:name="_Toc9307116"/>
      <w:bookmarkStart w:id="42" w:name="_Toc152737776"/>
      <w:r>
        <w:rPr>
          <w:rStyle w:val="CharSectno"/>
        </w:rPr>
        <w:t>10</w:t>
      </w:r>
      <w:r>
        <w:rPr>
          <w:snapToGrid w:val="0"/>
        </w:rPr>
        <w:t>.</w:t>
      </w:r>
      <w:r>
        <w:rPr>
          <w:snapToGrid w:val="0"/>
        </w:rPr>
        <w:tab/>
        <w:t>Certificate of analyst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certificate for the purposes of section 70(2)(e) of the Act shall be in the form of Form C.</w:t>
      </w:r>
    </w:p>
    <w:p>
      <w:pPr>
        <w:pStyle w:val="Heading5"/>
        <w:rPr>
          <w:del w:id="43" w:author="Master Repository Process" w:date="2021-09-12T08:33:00Z"/>
          <w:snapToGrid w:val="0"/>
        </w:rPr>
      </w:pPr>
      <w:ins w:id="44" w:author="Master Repository Process" w:date="2021-09-12T08:33:00Z">
        <w:r>
          <w:t>[</w:t>
        </w:r>
      </w:ins>
      <w:bookmarkStart w:id="45" w:name="_Toc531752182"/>
      <w:bookmarkStart w:id="46" w:name="_Toc7233529"/>
      <w:bookmarkStart w:id="47" w:name="_Toc9307117"/>
      <w:r>
        <w:rPr>
          <w:bCs/>
        </w:rPr>
        <w:t>11.</w:t>
      </w:r>
      <w:r>
        <w:tab/>
      </w:r>
      <w:del w:id="48" w:author="Master Repository Process" w:date="2021-09-12T08:33:00Z">
        <w:r>
          <w:rPr>
            <w:snapToGrid w:val="0"/>
          </w:rPr>
          <w:delText>Fees payable to medical practitioners and analysts</w:delText>
        </w:r>
        <w:bookmarkEnd w:id="45"/>
        <w:bookmarkEnd w:id="46"/>
        <w:bookmarkEnd w:id="47"/>
        <w:r>
          <w:rPr>
            <w:snapToGrid w:val="0"/>
          </w:rPr>
          <w:delText xml:space="preserve"> </w:delText>
        </w:r>
      </w:del>
    </w:p>
    <w:p>
      <w:pPr>
        <w:pStyle w:val="Subsection"/>
        <w:spacing w:before="120"/>
        <w:rPr>
          <w:del w:id="49" w:author="Master Repository Process" w:date="2021-09-12T08:33:00Z"/>
          <w:snapToGrid w:val="0"/>
        </w:rPr>
      </w:pPr>
      <w:del w:id="50" w:author="Master Repository Process" w:date="2021-09-12T08:33:00Z">
        <w:r>
          <w:rPr>
            <w:snapToGrid w:val="0"/>
          </w:rPr>
          <w:tab/>
          <w:delText>(1)</w:delText>
        </w:r>
        <w:r>
          <w:rPr>
            <w:snapToGrid w:val="0"/>
          </w:rPr>
          <w:tab/>
          <w:delText>The fees prescribed for the attendance of a medical practitioner</w:delText>
        </w:r>
        <w:r>
          <w:delText xml:space="preserve"> or registered nurse</w:delText>
        </w:r>
        <w:r>
          <w:rPr>
            <w:snapToGrid w:val="0"/>
          </w:rPr>
          <w:delText xml:space="preserve"> for the purpose of these regulations are — </w:delText>
        </w:r>
      </w:del>
    </w:p>
    <w:p>
      <w:pPr>
        <w:pStyle w:val="Indenta"/>
        <w:rPr>
          <w:del w:id="51" w:author="Master Repository Process" w:date="2021-09-12T08:33:00Z"/>
          <w:snapToGrid w:val="0"/>
        </w:rPr>
      </w:pPr>
      <w:del w:id="52" w:author="Master Repository Process" w:date="2021-09-12T08:33:00Z">
        <w:r>
          <w:rPr>
            <w:snapToGrid w:val="0"/>
          </w:rPr>
          <w:tab/>
          <w:delText>(a)</w:delText>
        </w:r>
        <w:r>
          <w:rPr>
            <w:snapToGrid w:val="0"/>
          </w:rPr>
          <w:tab/>
          <w:delText>on any public holiday, or between 5.00 p.m. on a Friday and 9.00 a.m. on the following Monday, or during the period between 5.00 p.m. and 9.00 a.m. commencing on any day — $120 and</w:delText>
        </w:r>
      </w:del>
    </w:p>
    <w:p>
      <w:pPr>
        <w:pStyle w:val="Indenta"/>
        <w:rPr>
          <w:del w:id="53" w:author="Master Repository Process" w:date="2021-09-12T08:33:00Z"/>
          <w:snapToGrid w:val="0"/>
        </w:rPr>
      </w:pPr>
      <w:del w:id="54" w:author="Master Repository Process" w:date="2021-09-12T08:33:00Z">
        <w:r>
          <w:rPr>
            <w:snapToGrid w:val="0"/>
          </w:rPr>
          <w:tab/>
          <w:delText>(b)</w:delText>
        </w:r>
        <w:r>
          <w:rPr>
            <w:snapToGrid w:val="0"/>
          </w:rPr>
          <w:tab/>
          <w:delText>at any other time — $100.</w:delText>
        </w:r>
      </w:del>
    </w:p>
    <w:p>
      <w:pPr>
        <w:pStyle w:val="Subsection"/>
        <w:spacing w:before="120"/>
        <w:rPr>
          <w:del w:id="55" w:author="Master Repository Process" w:date="2021-09-12T08:33:00Z"/>
          <w:snapToGrid w:val="0"/>
        </w:rPr>
      </w:pPr>
      <w:del w:id="56" w:author="Master Repository Process" w:date="2021-09-12T08:33:00Z">
        <w:r>
          <w:rPr>
            <w:snapToGrid w:val="0"/>
          </w:rPr>
          <w:tab/>
          <w:delText>(1a)</w:delText>
        </w:r>
        <w:r>
          <w:rPr>
            <w:snapToGrid w:val="0"/>
          </w:rPr>
          <w:tab/>
          <w:delText xml:space="preserve">Where a sample of blood is taken pursuant to these regulations and a sample of urine is collected pursuant to the </w:delText>
        </w:r>
        <w:r>
          <w:rPr>
            <w:i/>
            <w:snapToGrid w:val="0"/>
          </w:rPr>
          <w:delText>Road Traffic (Urine Sampling and Analysis) Regulations 1983</w:delText>
        </w:r>
        <w:r>
          <w:rPr>
            <w:snapToGrid w:val="0"/>
          </w:rPr>
          <w:delText xml:space="preserve"> at the same attendance only one fee is payable in respect of the taking and collection of such samples.</w:delText>
        </w:r>
      </w:del>
    </w:p>
    <w:p>
      <w:pPr>
        <w:pStyle w:val="Subsection"/>
        <w:spacing w:before="120"/>
        <w:rPr>
          <w:del w:id="57" w:author="Master Repository Process" w:date="2021-09-12T08:33:00Z"/>
          <w:snapToGrid w:val="0"/>
        </w:rPr>
      </w:pPr>
      <w:del w:id="58" w:author="Master Repository Process" w:date="2021-09-12T08:33:00Z">
        <w:r>
          <w:rPr>
            <w:snapToGrid w:val="0"/>
          </w:rPr>
          <w:tab/>
          <w:delText>(2)</w:delText>
        </w:r>
        <w:r>
          <w:rPr>
            <w:snapToGrid w:val="0"/>
          </w:rPr>
          <w:tab/>
          <w:delText>Subject to subregulation (2a) the fee for an analysis of a blood sample by an analyst at the Chemistry Centre (WA) is — </w:delText>
        </w:r>
      </w:del>
    </w:p>
    <w:p>
      <w:pPr>
        <w:pStyle w:val="Indenta"/>
        <w:rPr>
          <w:del w:id="59" w:author="Master Repository Process" w:date="2021-09-12T08:33:00Z"/>
          <w:snapToGrid w:val="0"/>
        </w:rPr>
      </w:pPr>
      <w:del w:id="60" w:author="Master Repository Process" w:date="2021-09-12T08:33:00Z">
        <w:r>
          <w:rPr>
            <w:snapToGrid w:val="0"/>
          </w:rPr>
          <w:tab/>
          <w:delText>(a)</w:delText>
        </w:r>
        <w:r>
          <w:rPr>
            <w:snapToGrid w:val="0"/>
          </w:rPr>
          <w:tab/>
          <w:delText>where the analysis is for alcohol content ................ $100</w:delText>
        </w:r>
      </w:del>
    </w:p>
    <w:p>
      <w:pPr>
        <w:pStyle w:val="Indenta"/>
        <w:rPr>
          <w:del w:id="61" w:author="Master Repository Process" w:date="2021-09-12T08:33:00Z"/>
          <w:snapToGrid w:val="0"/>
        </w:rPr>
      </w:pPr>
      <w:del w:id="62" w:author="Master Repository Process" w:date="2021-09-12T08:33:00Z">
        <w:r>
          <w:rPr>
            <w:snapToGrid w:val="0"/>
          </w:rPr>
          <w:tab/>
          <w:delText>(b)</w:delText>
        </w:r>
        <w:r>
          <w:rPr>
            <w:snapToGrid w:val="0"/>
          </w:rPr>
          <w:tab/>
          <w:delText>where the analysis is for drug content ..................... $450</w:delText>
        </w:r>
      </w:del>
    </w:p>
    <w:p>
      <w:pPr>
        <w:pStyle w:val="Subsection"/>
        <w:spacing w:before="120"/>
        <w:rPr>
          <w:del w:id="63" w:author="Master Repository Process" w:date="2021-09-12T08:33:00Z"/>
          <w:snapToGrid w:val="0"/>
        </w:rPr>
      </w:pPr>
      <w:del w:id="64" w:author="Master Repository Process" w:date="2021-09-12T08:33:00Z">
        <w:r>
          <w:rPr>
            <w:snapToGrid w:val="0"/>
          </w:rPr>
          <w:tab/>
          <w:delText>(2a)</w:delText>
        </w:r>
        <w:r>
          <w:rPr>
            <w:snapToGrid w:val="0"/>
          </w:rPr>
          <w:tab/>
          <w:delText>Where a sample of blood is analysed for both alcohol and drug content only one fee of $450 is payable.</w:delText>
        </w:r>
      </w:del>
    </w:p>
    <w:p>
      <w:pPr>
        <w:pStyle w:val="Subsection"/>
        <w:spacing w:before="120"/>
        <w:rPr>
          <w:del w:id="65" w:author="Master Repository Process" w:date="2021-09-12T08:33:00Z"/>
          <w:snapToGrid w:val="0"/>
        </w:rPr>
      </w:pPr>
      <w:del w:id="66" w:author="Master Repository Process" w:date="2021-09-12T08:33:00Z">
        <w:r>
          <w:rPr>
            <w:snapToGrid w:val="0"/>
          </w:rPr>
          <w:tab/>
          <w:delText>(3)</w:delText>
        </w:r>
        <w:r>
          <w:rPr>
            <w:snapToGrid w:val="0"/>
          </w:rPr>
          <w:tab/>
          <w:delText>The fees payable under subregulation (1) shall be paid, as the case may require, by the Board or, where the person who caused the sample of blood to be taken was a traffic inspector or assistant inspector acting under the authority of section 110 of the Act, by the local authority concerned.</w:delText>
        </w:r>
      </w:del>
    </w:p>
    <w:p>
      <w:pPr>
        <w:pStyle w:val="Subsection"/>
        <w:spacing w:before="120"/>
        <w:rPr>
          <w:del w:id="67" w:author="Master Repository Process" w:date="2021-09-12T08:33:00Z"/>
          <w:snapToGrid w:val="0"/>
        </w:rPr>
      </w:pPr>
      <w:del w:id="68" w:author="Master Repository Process" w:date="2021-09-12T08:33:00Z">
        <w:r>
          <w:rPr>
            <w:snapToGrid w:val="0"/>
          </w:rPr>
          <w:tab/>
          <w:delText>(4)</w:delText>
        </w:r>
        <w:r>
          <w:rPr>
            <w:snapToGrid w:val="0"/>
          </w:rPr>
          <w:tab/>
        </w:r>
        <w:r>
          <w:rPr>
            <w:snapToGrid w:val="0"/>
            <w:spacing w:val="-4"/>
          </w:rPr>
          <w:delText>Where a person is convicted of an offence under section 63, 64, 64A or 64AA of the Act and the payment of a fee provided by subregulation (1) or (2) has been incurred for the purposes of section 66 of the Act the court convicting that person shall order him to pay the amount of the fee and that amount may, thereupon, be recovered as if it were a penalty imposed under the Act.</w:delText>
        </w:r>
      </w:del>
    </w:p>
    <w:p>
      <w:pPr>
        <w:pStyle w:val="Ednotesection"/>
      </w:pPr>
      <w:del w:id="69" w:author="Master Repository Process" w:date="2021-09-12T08:33:00Z">
        <w:r>
          <w:tab/>
          <w:delText>[Regulation 11 amended</w:delText>
        </w:r>
      </w:del>
      <w:ins w:id="70" w:author="Master Repository Process" w:date="2021-09-12T08:33:00Z">
        <w:r>
          <w:t>Repealed</w:t>
        </w:r>
      </w:ins>
      <w:r>
        <w:t xml:space="preserve"> in Gazette </w:t>
      </w:r>
      <w:del w:id="71" w:author="Master Repository Process" w:date="2021-09-12T08:33:00Z">
        <w:r>
          <w:delText xml:space="preserve">12 Dec 1975 p. 4500; 17 Jun 1977 p. 1838; 17 Oct 1980 p. 3583; 2 Feb 1982 p. 398; 25 Feb 1983 p. 650; 18 Dec 1987 p. 4458; 9 Aug 1991 p. 4232; 1 Jun 1993 p. 2730; 30 Jan 2001 p. 624 and 625.] </w:delText>
        </w:r>
      </w:del>
      <w:ins w:id="72" w:author="Master Repository Process" w:date="2021-09-12T08:33:00Z">
        <w:r>
          <w:t>28 Nov 2006 p. 4897.]</w:t>
        </w:r>
      </w:ins>
    </w:p>
    <w:p>
      <w:pPr>
        <w:pStyle w:val="Heading5"/>
        <w:rPr>
          <w:snapToGrid w:val="0"/>
        </w:rPr>
      </w:pPr>
      <w:bookmarkStart w:id="73" w:name="_Toc531752183"/>
      <w:bookmarkStart w:id="74" w:name="_Toc7233530"/>
      <w:bookmarkStart w:id="75" w:name="_Toc9307118"/>
      <w:bookmarkStart w:id="76" w:name="_Toc152737777"/>
      <w:r>
        <w:rPr>
          <w:rStyle w:val="CharSectno"/>
        </w:rPr>
        <w:t>12</w:t>
      </w:r>
      <w:r>
        <w:rPr>
          <w:snapToGrid w:val="0"/>
        </w:rPr>
        <w:t>.</w:t>
      </w:r>
      <w:r>
        <w:rPr>
          <w:snapToGrid w:val="0"/>
        </w:rPr>
        <w:tab/>
        <w:t>Request for taking of blood sample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77" w:name="_Toc531752184"/>
      <w:bookmarkStart w:id="78" w:name="_Toc7233531"/>
      <w:bookmarkStart w:id="79" w:name="_Toc9307119"/>
      <w:bookmarkStart w:id="80" w:name="_Toc152737778"/>
      <w:r>
        <w:rPr>
          <w:rStyle w:val="CharSectno"/>
        </w:rPr>
        <w:t>13</w:t>
      </w:r>
      <w:r>
        <w:rPr>
          <w:snapToGrid w:val="0"/>
        </w:rPr>
        <w:t>.</w:t>
      </w:r>
      <w:r>
        <w:rPr>
          <w:snapToGrid w:val="0"/>
        </w:rPr>
        <w:tab/>
        <w:t>Certificate as to competence of analyst</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81" w:name="_Toc531752185"/>
      <w:bookmarkStart w:id="82" w:name="_Toc7233532"/>
      <w:bookmarkStart w:id="83" w:name="_Toc9307120"/>
      <w:bookmarkStart w:id="84" w:name="_Toc152737779"/>
      <w:r>
        <w:rPr>
          <w:rStyle w:val="CharSectno"/>
        </w:rPr>
        <w:t>14</w:t>
      </w:r>
      <w:r>
        <w:rPr>
          <w:snapToGrid w:val="0"/>
        </w:rPr>
        <w:t>.</w:t>
      </w:r>
      <w:r>
        <w:rPr>
          <w:snapToGrid w:val="0"/>
        </w:rPr>
        <w:tab/>
        <w:t>Certificate as to competence of drug analyst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5" w:name="_Toc9307121"/>
      <w:bookmarkStart w:id="86" w:name="_Toc152647060"/>
      <w:bookmarkStart w:id="87" w:name="_Toc152737780"/>
      <w:r>
        <w:rPr>
          <w:rStyle w:val="CharSchNo"/>
        </w:rPr>
        <w:t>Schedule</w:t>
      </w:r>
      <w:bookmarkEnd w:id="85"/>
      <w:bookmarkEnd w:id="86"/>
      <w:bookmarkEnd w:id="87"/>
      <w: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P:\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said package was indorsed (inter alia)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per centum of alcohol.</w:t>
      </w:r>
    </w:p>
    <w:p>
      <w:pPr>
        <w:pStyle w:val="yMiscellaneousBody"/>
        <w:ind w:left="4253"/>
      </w:pPr>
      <w:r>
        <w:t>...................................................</w:t>
      </w:r>
    </w:p>
    <w:p>
      <w:pPr>
        <w:pStyle w:val="yMiscellaneousBody"/>
        <w:spacing w:before="0"/>
        <w:ind w:left="4253"/>
        <w:jc w:val="center"/>
      </w:pPr>
      <w:r>
        <w:t>Analyst.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Director of the Chemistry Centre (WA), hereby certify that ................................. ................................................................................................................................ of ............................................................................................................................ * is an analyst/* was as at  ................................................................... an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Director of the Chemistry Centre (WA), hereby certify that ................................. ................................................................................................................................ of .......................................................................................................................... * is a drug analyst/ * was as at ..................................................... a drug analyst.</w:t>
      </w:r>
    </w:p>
    <w:p>
      <w:pPr>
        <w:pStyle w:val="yMiscellaneousBody"/>
        <w:ind w:left="4111"/>
      </w:pPr>
      <w:r>
        <w:t>.....................................................</w:t>
      </w:r>
    </w:p>
    <w:p>
      <w:pPr>
        <w:pStyle w:val="yMiscellaneousBody"/>
        <w:spacing w:before="0"/>
        <w:ind w:left="4111" w:firstLine="284"/>
      </w:pPr>
      <w:r>
        <w:t>Director,</w:t>
      </w:r>
      <w:r>
        <w:br/>
        <w:t>Chemistry Centre (WA).</w:t>
      </w:r>
    </w:p>
    <w:p>
      <w:pPr>
        <w:pStyle w:val="yMiscellaneousBody"/>
      </w:pPr>
      <w:r>
        <w:t>* Delete whichever is not applicable.</w:t>
      </w:r>
    </w:p>
    <w:p>
      <w:pPr>
        <w:pStyle w:val="yFootnotesection"/>
        <w:tabs>
          <w:tab w:val="clear" w:pos="893"/>
        </w:tabs>
        <w:ind w:left="0" w:firstLine="0"/>
      </w:pPr>
      <w:r>
        <w:t>[Schedule amended in Gazette 23 Jan 1976 p. 132; 10 Mar 1978 p. 688; 2 Feb 1982 p. 398; 25 Feb 1983 p. 650</w:t>
      </w:r>
      <w:r>
        <w:noBreakHyphen/>
        <w:t>1; 29 Jun 1984 p. 1795; 9 Aug 1991 p. 4232; 30 Jan 2001 p. 624</w:t>
      </w:r>
      <w:r>
        <w:noBreakHyphen/>
        <w:t xml:space="preserve">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8" w:name="_Toc152647061"/>
      <w:bookmarkStart w:id="89" w:name="_Toc152737781"/>
      <w:r>
        <w:t>Notes</w:t>
      </w:r>
      <w:bookmarkEnd w:id="88"/>
      <w:bookmarkEnd w:id="8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90" w:name="_Toc9307122"/>
      <w:bookmarkStart w:id="91" w:name="_Toc152737782"/>
      <w:r>
        <w:rPr>
          <w:snapToGrid w:val="0"/>
        </w:rPr>
        <w:t>Compilation table</w:t>
      </w:r>
      <w:bookmarkEnd w:id="90"/>
      <w:bookmarkEnd w:id="9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w:t>
            </w:r>
            <w:del w:id="92" w:author="Master Repository Process" w:date="2021-09-12T08:33:00Z">
              <w:r>
                <w:rPr>
                  <w:b/>
                  <w:sz w:val="19"/>
                </w:rPr>
                <w:delText xml:space="preserve"> </w:delText>
              </w:r>
            </w:del>
            <w:ins w:id="93" w:author="Master Repository Process" w:date="2021-09-12T08:33:00Z">
              <w:r>
                <w:rPr>
                  <w:b/>
                  <w:sz w:val="19"/>
                </w:rPr>
                <w:t> </w:t>
              </w:r>
            </w:ins>
            <w:r>
              <w:rPr>
                <w:b/>
                <w:sz w:val="19"/>
              </w:rPr>
              <w:t xml:space="preserve">2002  </w:t>
            </w:r>
            <w:del w:id="94" w:author="Master Repository Process" w:date="2021-09-12T08:33:00Z">
              <w:r>
                <w:rPr>
                  <w:b/>
                  <w:sz w:val="19"/>
                </w:rPr>
                <w:delText xml:space="preserve"> </w:delText>
              </w:r>
            </w:del>
            <w:r>
              <w:rPr>
                <w:sz w:val="19"/>
              </w:rPr>
              <w:t>(includes amendments listed above)</w:t>
            </w:r>
          </w:p>
        </w:tc>
      </w:tr>
      <w:tr>
        <w:trPr>
          <w:cantSplit/>
          <w:ins w:id="95" w:author="Master Repository Process" w:date="2021-09-12T08:33:00Z"/>
        </w:trPr>
        <w:tc>
          <w:tcPr>
            <w:tcW w:w="3119" w:type="dxa"/>
            <w:tcBorders>
              <w:bottom w:val="single" w:sz="4" w:space="0" w:color="auto"/>
            </w:tcBorders>
          </w:tcPr>
          <w:p>
            <w:pPr>
              <w:pStyle w:val="nTable"/>
              <w:spacing w:before="120"/>
              <w:ind w:right="113"/>
              <w:rPr>
                <w:ins w:id="96" w:author="Master Repository Process" w:date="2021-09-12T08:33:00Z"/>
                <w:i/>
                <w:sz w:val="19"/>
              </w:rPr>
            </w:pPr>
            <w:ins w:id="97" w:author="Master Repository Process" w:date="2021-09-12T08:33:00Z">
              <w:r>
                <w:rPr>
                  <w:i/>
                  <w:sz w:val="19"/>
                </w:rPr>
                <w:t>Road Traffic (Blood Sampling and Analysis) Amendment Regulations 2006</w:t>
              </w:r>
            </w:ins>
          </w:p>
        </w:tc>
        <w:tc>
          <w:tcPr>
            <w:tcW w:w="1276" w:type="dxa"/>
            <w:tcBorders>
              <w:bottom w:val="single" w:sz="4" w:space="0" w:color="auto"/>
            </w:tcBorders>
          </w:tcPr>
          <w:p>
            <w:pPr>
              <w:pStyle w:val="nTable"/>
              <w:spacing w:before="120"/>
              <w:rPr>
                <w:ins w:id="98" w:author="Master Repository Process" w:date="2021-09-12T08:33:00Z"/>
                <w:sz w:val="19"/>
              </w:rPr>
            </w:pPr>
            <w:ins w:id="99" w:author="Master Repository Process" w:date="2021-09-12T08:33:00Z">
              <w:r>
                <w:rPr>
                  <w:sz w:val="19"/>
                </w:rPr>
                <w:t>28 Nov 2006 p. 4896</w:t>
              </w:r>
              <w:r>
                <w:rPr>
                  <w:sz w:val="19"/>
                </w:rPr>
                <w:noBreakHyphen/>
                <w:t>7</w:t>
              </w:r>
            </w:ins>
          </w:p>
        </w:tc>
        <w:tc>
          <w:tcPr>
            <w:tcW w:w="2693" w:type="dxa"/>
            <w:tcBorders>
              <w:bottom w:val="single" w:sz="4" w:space="0" w:color="auto"/>
            </w:tcBorders>
          </w:tcPr>
          <w:p>
            <w:pPr>
              <w:pStyle w:val="nTable"/>
              <w:spacing w:before="120"/>
              <w:rPr>
                <w:ins w:id="100" w:author="Master Repository Process" w:date="2021-09-12T08:33:00Z"/>
                <w:sz w:val="19"/>
              </w:rPr>
            </w:pPr>
            <w:ins w:id="101" w:author="Master Repository Process" w:date="2021-09-12T08:33:00Z">
              <w:r>
                <w:rPr>
                  <w:sz w:val="19"/>
                </w:rPr>
                <w:t xml:space="preserve">4 Dec 2006 (see r. 2 and </w:t>
              </w:r>
              <w:r>
                <w:rPr>
                  <w:i/>
                  <w:iCs/>
                  <w:sz w:val="19"/>
                </w:rPr>
                <w:t>Gazette</w:t>
              </w:r>
              <w:r>
                <w:rPr>
                  <w:sz w:val="19"/>
                </w:rPr>
                <w:t xml:space="preserve"> 28 Nov 2006 p. 4889)</w:t>
              </w:r>
            </w:ins>
          </w:p>
        </w:tc>
      </w:tr>
    </w:tbl>
    <w:p>
      <w:pPr>
        <w:pStyle w:val="nTable"/>
        <w:spacing w:before="120"/>
        <w:ind w:right="113"/>
        <w:rPr>
          <w:del w:id="102" w:author="Master Repository Process" w:date="2021-09-12T08:33:00Z"/>
          <w:i/>
          <w:sz w:val="19"/>
        </w:rPr>
      </w:pPr>
      <w:bookmarkStart w:id="103" w:name="UpToHere"/>
      <w:bookmarkEnd w:id="103"/>
    </w:p>
    <w:p>
      <w:pPr>
        <w:pStyle w:val="nTable"/>
        <w:spacing w:before="120"/>
        <w:ind w:right="113"/>
        <w:rPr>
          <w:del w:id="104" w:author="Master Repository Process" w:date="2021-09-12T08:33:00Z"/>
          <w:i/>
          <w:sz w:val="19"/>
        </w:rPr>
      </w:pPr>
    </w:p>
    <w:p>
      <w:pPr>
        <w:pStyle w:val="nTable"/>
        <w:spacing w:before="120"/>
        <w:ind w:right="113"/>
        <w:rPr>
          <w:del w:id="105" w:author="Master Repository Process" w:date="2021-09-12T08:33:00Z"/>
          <w:i/>
          <w:sz w:val="19"/>
        </w:rPr>
      </w:pPr>
    </w:p>
    <w:p>
      <w:pPr>
        <w:pStyle w:val="nTable"/>
        <w:spacing w:before="120"/>
        <w:ind w:right="113"/>
        <w:rPr>
          <w:del w:id="106" w:author="Master Repository Process" w:date="2021-09-12T08:33:00Z"/>
          <w:i/>
          <w:sz w:val="19"/>
        </w:rPr>
      </w:pPr>
    </w:p>
    <w:p>
      <w:pPr>
        <w:pStyle w:val="nTable"/>
        <w:spacing w:before="120"/>
        <w:ind w:right="113"/>
        <w:rPr>
          <w:del w:id="107" w:author="Master Repository Process" w:date="2021-09-12T08:33:00Z"/>
          <w:i/>
          <w:sz w:val="19"/>
        </w:rPr>
      </w:pPr>
    </w:p>
    <w:p>
      <w:pPr>
        <w:pStyle w:val="nTable"/>
        <w:spacing w:before="120"/>
        <w:ind w:right="113"/>
        <w:rPr>
          <w:del w:id="108" w:author="Master Repository Process" w:date="2021-09-12T08:33:00Z"/>
          <w:i/>
          <w:sz w:val="19"/>
        </w:rPr>
      </w:pPr>
    </w:p>
    <w:p>
      <w:pPr>
        <w:pStyle w:val="nTable"/>
        <w:spacing w:before="120"/>
        <w:ind w:right="113"/>
        <w:rPr>
          <w:del w:id="109" w:author="Master Repository Process" w:date="2021-09-12T08:33:00Z"/>
          <w:i/>
          <w:sz w:val="19"/>
        </w:rPr>
      </w:pPr>
    </w:p>
    <w:p>
      <w:pPr>
        <w:pStyle w:val="nTable"/>
        <w:spacing w:before="120"/>
        <w:ind w:right="113"/>
        <w:rPr>
          <w:del w:id="110" w:author="Master Repository Process" w:date="2021-09-12T08:33:00Z"/>
          <w:i/>
          <w:sz w:val="19"/>
        </w:rPr>
      </w:pPr>
    </w:p>
    <w:p>
      <w:pPr>
        <w:pStyle w:val="nTable"/>
        <w:spacing w:before="120"/>
        <w:ind w:right="113"/>
        <w:rPr>
          <w:del w:id="111" w:author="Master Repository Process" w:date="2021-09-12T08:33:00Z"/>
          <w:i/>
          <w:sz w:val="19"/>
        </w:rPr>
      </w:pPr>
    </w:p>
    <w:p>
      <w:pPr>
        <w:pStyle w:val="nTable"/>
        <w:spacing w:before="120"/>
        <w:ind w:right="113"/>
        <w:rPr>
          <w:del w:id="112" w:author="Master Repository Process" w:date="2021-09-12T08:33:00Z"/>
          <w:i/>
          <w:sz w:val="19"/>
        </w:rPr>
      </w:pPr>
    </w:p>
    <w:p>
      <w:pPr>
        <w:pStyle w:val="nTable"/>
        <w:spacing w:before="120"/>
        <w:ind w:right="113"/>
        <w:rPr>
          <w:del w:id="113" w:author="Master Repository Process" w:date="2021-09-12T08:33:00Z"/>
          <w:i/>
          <w:sz w:val="19"/>
        </w:rPr>
      </w:pPr>
    </w:p>
    <w:p>
      <w:pPr>
        <w:pStyle w:val="nTable"/>
        <w:spacing w:before="120"/>
        <w:ind w:right="113"/>
        <w:rPr>
          <w:del w:id="114" w:author="Master Repository Process" w:date="2021-09-12T08:33:00Z"/>
          <w:i/>
          <w:sz w:val="19"/>
        </w:rPr>
      </w:pPr>
    </w:p>
    <w:p>
      <w:pPr>
        <w:pStyle w:val="nTable"/>
        <w:spacing w:before="120"/>
        <w:ind w:right="113"/>
        <w:rPr>
          <w:del w:id="115" w:author="Master Repository Process" w:date="2021-09-12T08:33:00Z"/>
          <w:i/>
          <w:sz w:val="19"/>
        </w:rPr>
      </w:pPr>
    </w:p>
    <w:p>
      <w:pPr>
        <w:pStyle w:val="nTable"/>
        <w:spacing w:before="120"/>
        <w:ind w:right="113"/>
        <w:rPr>
          <w:del w:id="116" w:author="Master Repository Process" w:date="2021-09-12T08:33:00Z"/>
          <w:i/>
          <w:sz w:val="19"/>
        </w:rPr>
      </w:pPr>
    </w:p>
    <w:p>
      <w:pPr>
        <w:pStyle w:val="nTable"/>
        <w:spacing w:before="120"/>
        <w:ind w:right="113"/>
        <w:rPr>
          <w:del w:id="117" w:author="Master Repository Process" w:date="2021-09-12T08:33:00Z"/>
          <w:i/>
          <w:sz w:val="19"/>
        </w:rPr>
      </w:pPr>
    </w:p>
    <w:p>
      <w:pPr>
        <w:pStyle w:val="nTable"/>
        <w:spacing w:before="120"/>
        <w:ind w:right="113"/>
        <w:rPr>
          <w:del w:id="118" w:author="Master Repository Process" w:date="2021-09-12T08:33:00Z"/>
          <w:i/>
          <w:sz w:val="19"/>
        </w:rPr>
      </w:pPr>
    </w:p>
    <w:p>
      <w:pPr>
        <w:pStyle w:val="nTable"/>
        <w:spacing w:before="120"/>
        <w:ind w:right="113"/>
        <w:rPr>
          <w:del w:id="119" w:author="Master Repository Process" w:date="2021-09-12T08:33:00Z"/>
          <w:i/>
          <w:sz w:val="19"/>
        </w:rPr>
      </w:pPr>
    </w:p>
    <w:p>
      <w:pPr>
        <w:rPr>
          <w:iCs/>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Road Traffic (Blood Sampling and Analysis) Regulations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0FB5E4-B244-417C-B779-76ABA087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2432</Words>
  <Characters>15693</Characters>
  <Application>Microsoft Office Word</Application>
  <DocSecurity>0</DocSecurity>
  <Lines>435</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17859</CharactersWithSpaces>
  <SharedDoc>false</SharedDoc>
  <HLinks>
    <vt:vector size="6" baseType="variant">
      <vt:variant>
        <vt:i4>1966127</vt:i4>
      </vt:variant>
      <vt:variant>
        <vt:i4>8962</vt:i4>
      </vt:variant>
      <vt:variant>
        <vt:i4>1025</vt:i4>
      </vt:variant>
      <vt:variant>
        <vt:i4>1</vt:i4>
      </vt:variant>
      <vt:variant>
        <vt:lpwstr>P:\cd.gif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03-a0-04 - 03-b0-03</dc:title>
  <dc:subject/>
  <dc:creator/>
  <cp:keywords/>
  <dc:description/>
  <cp:lastModifiedBy>Master Repository Process</cp:lastModifiedBy>
  <cp:revision>2</cp:revision>
  <cp:lastPrinted>2002-04-24T00:14:00Z</cp:lastPrinted>
  <dcterms:created xsi:type="dcterms:W3CDTF">2021-09-12T00:33:00Z</dcterms:created>
  <dcterms:modified xsi:type="dcterms:W3CDTF">2021-09-12T00:33:00Z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4750</vt:i4>
  </property>
  <property fmtid="{D5CDD505-2E9C-101B-9397-08002B2CF9AE}" pid="6" name="FromSuffix">
    <vt:lpwstr>03-a0-04</vt:lpwstr>
  </property>
  <property fmtid="{D5CDD505-2E9C-101B-9397-08002B2CF9AE}" pid="7" name="FromAsAtDate">
    <vt:lpwstr>19 Apr 2002</vt:lpwstr>
  </property>
  <property fmtid="{D5CDD505-2E9C-101B-9397-08002B2CF9AE}" pid="8" name="ToSuffix">
    <vt:lpwstr>03-b0-03</vt:lpwstr>
  </property>
  <property fmtid="{D5CDD505-2E9C-101B-9397-08002B2CF9AE}" pid="9" name="ToAsAtDate">
    <vt:lpwstr>04 Dec 2006</vt:lpwstr>
  </property>
</Properties>
</file>