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09 Oct 2019</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21354990"/>
      <w:bookmarkStart w:id="2" w:name="_Toc21356423"/>
      <w:bookmarkStart w:id="3" w:name="_Toc21435240"/>
      <w:bookmarkStart w:id="4" w:name="_Toc529872399"/>
      <w:bookmarkStart w:id="5" w:name="_Toc529872728"/>
      <w:bookmarkStart w:id="6" w:name="_Toc529876645"/>
      <w:bookmarkStart w:id="7" w:name="_Toc529877358"/>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21435241"/>
      <w:bookmarkStart w:id="10" w:name="_Toc529877359"/>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11" w:name="_Toc21435242"/>
      <w:bookmarkStart w:id="12" w:name="_Toc52987736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13" w:name="_Toc21435243"/>
      <w:bookmarkStart w:id="14" w:name="_Toc529877361"/>
      <w:r>
        <w:rPr>
          <w:rStyle w:val="CharSectno"/>
        </w:rPr>
        <w:t>3</w:t>
      </w:r>
      <w:r>
        <w:rPr>
          <w:snapToGrid w:val="0"/>
        </w:rPr>
        <w:t>.</w:t>
      </w:r>
      <w:r>
        <w:rPr>
          <w:snapToGrid w:val="0"/>
        </w:rP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Gazette 5 Sep 2006 p. 3623; 22 Jun 2007 p. 2878 (disallowed: Gazette 27 Nov 2007 p. 5910); 28 Dec 2007 p. 6425 (disallowed: Gazette 11 Apr 2008 p. 1396); 23 Jun 2009 p. 2495.]</w:t>
      </w:r>
    </w:p>
    <w:p>
      <w:pPr>
        <w:pStyle w:val="Heading2"/>
      </w:pPr>
      <w:bookmarkStart w:id="15" w:name="_Toc21354994"/>
      <w:bookmarkStart w:id="16" w:name="_Toc21356427"/>
      <w:bookmarkStart w:id="17" w:name="_Toc21435244"/>
      <w:bookmarkStart w:id="18" w:name="_Toc529872403"/>
      <w:bookmarkStart w:id="19" w:name="_Toc529872732"/>
      <w:bookmarkStart w:id="20" w:name="_Toc529876649"/>
      <w:bookmarkStart w:id="21" w:name="_Toc529877362"/>
      <w:r>
        <w:rPr>
          <w:rStyle w:val="CharPartNo"/>
        </w:rPr>
        <w:t>Part 2</w:t>
      </w:r>
      <w:r>
        <w:rPr>
          <w:rStyle w:val="CharDivNo"/>
        </w:rPr>
        <w:t xml:space="preserve"> </w:t>
      </w:r>
      <w:r>
        <w:t>—</w:t>
      </w:r>
      <w:r>
        <w:rPr>
          <w:rStyle w:val="CharDivText"/>
        </w:rPr>
        <w:t xml:space="preserve"> </w:t>
      </w:r>
      <w:r>
        <w:rPr>
          <w:rStyle w:val="CharPartText"/>
        </w:rPr>
        <w:t>Permits</w:t>
      </w:r>
      <w:bookmarkEnd w:id="15"/>
      <w:bookmarkEnd w:id="16"/>
      <w:bookmarkEnd w:id="17"/>
      <w:bookmarkEnd w:id="18"/>
      <w:bookmarkEnd w:id="19"/>
      <w:bookmarkEnd w:id="20"/>
      <w:bookmarkEnd w:id="21"/>
    </w:p>
    <w:p>
      <w:pPr>
        <w:pStyle w:val="Heading5"/>
      </w:pPr>
      <w:bookmarkStart w:id="22" w:name="_Toc21435245"/>
      <w:bookmarkStart w:id="23" w:name="_Toc529877363"/>
      <w:r>
        <w:rPr>
          <w:rStyle w:val="CharSectno"/>
        </w:rPr>
        <w:t>4</w:t>
      </w:r>
      <w:r>
        <w:t>.</w:t>
      </w:r>
      <w:r>
        <w:tab/>
        <w:t>Applications for permits</w:t>
      </w:r>
      <w:bookmarkEnd w:id="22"/>
      <w:bookmarkEnd w:id="23"/>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 and</w:t>
      </w:r>
    </w:p>
    <w:p>
      <w:pPr>
        <w:pStyle w:val="Indenta"/>
      </w:pPr>
      <w:r>
        <w:tab/>
        <w:t>(c)</w:t>
      </w:r>
      <w:r>
        <w:tab/>
        <w:t>accompanied by the fee (if any) worked out in accordance with Part 7.</w:t>
      </w:r>
    </w:p>
    <w:p>
      <w:pPr>
        <w:pStyle w:val="Subsection"/>
      </w:pPr>
      <w:r>
        <w:tab/>
        <w:t>(2)</w:t>
      </w:r>
      <w:r>
        <w:tab/>
        <w:t>An applicant for a permit must provide the Minister with any further information that the Minister may require.</w:t>
      </w:r>
    </w:p>
    <w:p>
      <w:pPr>
        <w:pStyle w:val="Footnotesection"/>
      </w:pPr>
      <w:r>
        <w:tab/>
        <w:t>[Regulation 4 amended: Gazette 22 Jun 2007 p. 2878 (disallowed: Gazette 27 Nov 2007 p. 5910); 28 Dec 2007 p. 6425 (disallowed: Gazette 11 Apr 2008 p. 1396); 23 Jun 2009 p. 2495; 30 Oct 2018 p. 4337.]</w:t>
      </w:r>
    </w:p>
    <w:p>
      <w:pPr>
        <w:pStyle w:val="Heading5"/>
      </w:pPr>
      <w:bookmarkStart w:id="24" w:name="_Toc21435246"/>
      <w:bookmarkStart w:id="25" w:name="_Toc529877364"/>
      <w:r>
        <w:rPr>
          <w:rStyle w:val="CharSectno"/>
        </w:rPr>
        <w:t>5</w:t>
      </w:r>
      <w:r>
        <w:t>.</w:t>
      </w:r>
      <w:r>
        <w:tab/>
        <w:t>Advertising of applications</w:t>
      </w:r>
      <w:bookmarkEnd w:id="24"/>
      <w:bookmarkEnd w:id="25"/>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keepNext/>
      </w:pPr>
      <w:r>
        <w:tab/>
        <w:t>(3)</w:t>
      </w:r>
      <w:r>
        <w:tab/>
        <w:t xml:space="preserve">A notice is to be in a form approved and is to state — </w:t>
      </w:r>
    </w:p>
    <w:p>
      <w:pPr>
        <w:pStyle w:val="Indenta"/>
        <w:keepNext/>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Gazette 23 Jun 2009 p. 2495.]</w:t>
      </w:r>
    </w:p>
    <w:p>
      <w:pPr>
        <w:pStyle w:val="Heading5"/>
      </w:pPr>
      <w:bookmarkStart w:id="26" w:name="_Toc21435247"/>
      <w:bookmarkStart w:id="27" w:name="_Toc529877365"/>
      <w:r>
        <w:rPr>
          <w:rStyle w:val="CharSectno"/>
        </w:rPr>
        <w:t>6</w:t>
      </w:r>
      <w:r>
        <w:t>.</w:t>
      </w:r>
      <w:r>
        <w:tab/>
        <w:t>Applicant may make representations to Minister in some cases</w:t>
      </w:r>
      <w:bookmarkEnd w:id="26"/>
      <w:bookmarkEnd w:id="27"/>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Gazette 23 Jun 2009 p. 2495 and 2497.]</w:t>
      </w:r>
    </w:p>
    <w:p>
      <w:pPr>
        <w:pStyle w:val="Heading5"/>
      </w:pPr>
      <w:bookmarkStart w:id="28" w:name="_Toc21435248"/>
      <w:bookmarkStart w:id="29" w:name="_Toc529877366"/>
      <w:r>
        <w:rPr>
          <w:rStyle w:val="CharSectno"/>
        </w:rPr>
        <w:t>7</w:t>
      </w:r>
      <w:r>
        <w:t>.</w:t>
      </w:r>
      <w:r>
        <w:tab/>
        <w:t>Deciding applications</w:t>
      </w:r>
      <w:bookmarkEnd w:id="28"/>
      <w:bookmarkEnd w:id="29"/>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keepNext/>
      </w:pPr>
      <w:r>
        <w:tab/>
        <w:t>(3)</w:t>
      </w:r>
      <w:r>
        <w:tab/>
        <w:t xml:space="preserve">The Minister is not to have regard to the safety of — </w:t>
      </w:r>
    </w:p>
    <w:p>
      <w:pPr>
        <w:pStyle w:val="Indenta"/>
        <w:keepNext/>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Gazette 23 Jun 2009 p. 2495-6 and 2497.]</w:t>
      </w:r>
    </w:p>
    <w:p>
      <w:pPr>
        <w:pStyle w:val="Heading5"/>
      </w:pPr>
      <w:bookmarkStart w:id="30" w:name="_Toc21435249"/>
      <w:bookmarkStart w:id="31" w:name="_Toc529877367"/>
      <w:r>
        <w:rPr>
          <w:rStyle w:val="CharSectno"/>
        </w:rPr>
        <w:t>8</w:t>
      </w:r>
      <w:r>
        <w:t>.</w:t>
      </w:r>
      <w:r>
        <w:tab/>
        <w:t>When Minister must refuse permit; Minister may undertake to grant permit in some cases</w:t>
      </w:r>
      <w:bookmarkEnd w:id="30"/>
      <w:bookmarkEnd w:id="31"/>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Gazette 23 Jun 2009 p. 2495</w:t>
      </w:r>
      <w:r>
        <w:noBreakHyphen/>
        <w:t>6 and 2497.]</w:t>
      </w:r>
    </w:p>
    <w:p>
      <w:pPr>
        <w:pStyle w:val="Heading5"/>
      </w:pPr>
      <w:bookmarkStart w:id="32" w:name="_Toc21435250"/>
      <w:bookmarkStart w:id="33" w:name="_Toc529877368"/>
      <w:r>
        <w:rPr>
          <w:rStyle w:val="CharSectno"/>
        </w:rPr>
        <w:t>9</w:t>
      </w:r>
      <w:r>
        <w:t>.</w:t>
      </w:r>
      <w:r>
        <w:tab/>
        <w:t>Minister to notify applicant of decision etc.</w:t>
      </w:r>
      <w:bookmarkEnd w:id="32"/>
      <w:bookmarkEnd w:id="33"/>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Gazette 23 Jun 2009 p. 2495</w:t>
      </w:r>
      <w:r>
        <w:noBreakHyphen/>
        <w:t>6.]</w:t>
      </w:r>
    </w:p>
    <w:p>
      <w:pPr>
        <w:pStyle w:val="Heading5"/>
      </w:pPr>
      <w:bookmarkStart w:id="34" w:name="_Toc21435251"/>
      <w:bookmarkStart w:id="35" w:name="_Toc529877369"/>
      <w:r>
        <w:rPr>
          <w:rStyle w:val="CharSectno"/>
        </w:rPr>
        <w:t>10</w:t>
      </w:r>
      <w:r>
        <w:t>.</w:t>
      </w:r>
      <w:r>
        <w:tab/>
        <w:t>Duration of permits</w:t>
      </w:r>
      <w:bookmarkEnd w:id="34"/>
      <w:bookmarkEnd w:id="35"/>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36" w:name="_Toc21435252"/>
      <w:bookmarkStart w:id="37" w:name="_Toc529877370"/>
      <w:r>
        <w:rPr>
          <w:rStyle w:val="CharSectno"/>
        </w:rPr>
        <w:t>11</w:t>
      </w:r>
      <w:r>
        <w:t>.</w:t>
      </w:r>
      <w:r>
        <w:tab/>
        <w:t>Applications for amendment of permits</w:t>
      </w:r>
      <w:bookmarkEnd w:id="36"/>
      <w:bookmarkEnd w:id="37"/>
    </w:p>
    <w:p>
      <w:pPr>
        <w:pStyle w:val="Subsection"/>
        <w:keepNext/>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Gazette 23 Jun 2009 p. 2495</w:t>
      </w:r>
      <w:r>
        <w:noBreakHyphen/>
        <w:t>6.]</w:t>
      </w:r>
    </w:p>
    <w:p>
      <w:pPr>
        <w:pStyle w:val="Heading5"/>
      </w:pPr>
      <w:bookmarkStart w:id="38" w:name="_Toc21435253"/>
      <w:bookmarkStart w:id="39" w:name="_Toc529877371"/>
      <w:r>
        <w:rPr>
          <w:rStyle w:val="CharSectno"/>
        </w:rPr>
        <w:t>12</w:t>
      </w:r>
      <w:r>
        <w:t>.</w:t>
      </w:r>
      <w:r>
        <w:tab/>
        <w:t>Minister may amend permit</w:t>
      </w:r>
      <w:bookmarkEnd w:id="38"/>
      <w:bookmarkEnd w:id="39"/>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Gazette 17 Dec 2002 p. 5912; 23 Jun 2009 p. 2495</w:t>
      </w:r>
      <w:r>
        <w:noBreakHyphen/>
        <w:t>6.]</w:t>
      </w:r>
    </w:p>
    <w:p>
      <w:pPr>
        <w:pStyle w:val="Heading5"/>
        <w:spacing w:before="180"/>
      </w:pPr>
      <w:bookmarkStart w:id="40" w:name="_Toc21435254"/>
      <w:bookmarkStart w:id="41" w:name="_Toc529877372"/>
      <w:r>
        <w:rPr>
          <w:rStyle w:val="CharSectno"/>
        </w:rPr>
        <w:t>13</w:t>
      </w:r>
      <w:r>
        <w:t>.</w:t>
      </w:r>
      <w:r>
        <w:tab/>
        <w:t>Minister may suspend or cancel permit</w:t>
      </w:r>
      <w:bookmarkEnd w:id="40"/>
      <w:bookmarkEnd w:id="41"/>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keepNext/>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Gazette 23 Jun 2009 p. 2495</w:t>
      </w:r>
      <w:r>
        <w:noBreakHyphen/>
        <w:t>6.]</w:t>
      </w:r>
    </w:p>
    <w:p>
      <w:pPr>
        <w:pStyle w:val="Heading5"/>
      </w:pPr>
      <w:bookmarkStart w:id="42" w:name="_Toc21435255"/>
      <w:bookmarkStart w:id="43" w:name="_Toc529877373"/>
      <w:r>
        <w:rPr>
          <w:rStyle w:val="CharSectno"/>
        </w:rPr>
        <w:t>14</w:t>
      </w:r>
      <w:r>
        <w:t>.</w:t>
      </w:r>
      <w:r>
        <w:tab/>
        <w:t>Permit holder’s rights before permit amended, suspended or cancelled</w:t>
      </w:r>
      <w:bookmarkEnd w:id="42"/>
      <w:bookmarkEnd w:id="43"/>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Gazette 23 Jun 2009 p. 2495</w:t>
      </w:r>
      <w:r>
        <w:noBreakHyphen/>
        <w:t>6 and 2497.]</w:t>
      </w:r>
    </w:p>
    <w:p>
      <w:pPr>
        <w:pStyle w:val="Heading5"/>
      </w:pPr>
      <w:bookmarkStart w:id="44" w:name="_Toc21435256"/>
      <w:bookmarkStart w:id="45" w:name="_Toc529877374"/>
      <w:r>
        <w:rPr>
          <w:rStyle w:val="CharSectno"/>
        </w:rPr>
        <w:t>15</w:t>
      </w:r>
      <w:r>
        <w:t>.</w:t>
      </w:r>
      <w:r>
        <w:tab/>
        <w:t>Surrender of permits</w:t>
      </w:r>
      <w:bookmarkEnd w:id="44"/>
      <w:bookmarkEnd w:id="45"/>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Gazette 23 Jun 2009 p. 2495</w:t>
      </w:r>
      <w:r>
        <w:noBreakHyphen/>
        <w:t>6.]</w:t>
      </w:r>
    </w:p>
    <w:p>
      <w:pPr>
        <w:pStyle w:val="Heading5"/>
        <w:keepNext w:val="0"/>
        <w:keepLines w:val="0"/>
      </w:pPr>
      <w:bookmarkStart w:id="46" w:name="_Toc21435257"/>
      <w:bookmarkStart w:id="47" w:name="_Toc529877375"/>
      <w:r>
        <w:rPr>
          <w:rStyle w:val="CharSectno"/>
        </w:rPr>
        <w:t>16</w:t>
      </w:r>
      <w:r>
        <w:t>.</w:t>
      </w:r>
      <w:r>
        <w:tab/>
        <w:t>Minister to be notified of change of ownership</w:t>
      </w:r>
      <w:bookmarkEnd w:id="46"/>
      <w:bookmarkEnd w:id="47"/>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Gazette 23 Jun 2009 p. 2495</w:t>
      </w:r>
      <w:r>
        <w:noBreakHyphen/>
        <w:t>6.]</w:t>
      </w:r>
    </w:p>
    <w:p>
      <w:pPr>
        <w:pStyle w:val="Heading5"/>
        <w:spacing w:before="180"/>
      </w:pPr>
      <w:bookmarkStart w:id="48" w:name="_Toc21435258"/>
      <w:bookmarkStart w:id="49" w:name="_Toc529877376"/>
      <w:r>
        <w:rPr>
          <w:rStyle w:val="CharSectno"/>
        </w:rPr>
        <w:t>17</w:t>
      </w:r>
      <w:r>
        <w:t>.</w:t>
      </w:r>
      <w:r>
        <w:tab/>
        <w:t>Terms, conditions and restrictions</w:t>
      </w:r>
      <w:bookmarkEnd w:id="48"/>
      <w:bookmarkEnd w:id="49"/>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Gazette 23 Jun 2009 p. 2495</w:t>
      </w:r>
      <w:r>
        <w:noBreakHyphen/>
        <w:t>6 and 2497.]</w:t>
      </w:r>
    </w:p>
    <w:p>
      <w:pPr>
        <w:pStyle w:val="Heading5"/>
        <w:spacing w:before="180"/>
      </w:pPr>
      <w:bookmarkStart w:id="50" w:name="_Toc21435259"/>
      <w:bookmarkStart w:id="51" w:name="_Toc529877377"/>
      <w:r>
        <w:rPr>
          <w:rStyle w:val="CharSectno"/>
        </w:rPr>
        <w:t>18</w:t>
      </w:r>
      <w:r>
        <w:t>.</w:t>
      </w:r>
      <w:r>
        <w:tab/>
        <w:t>Minister may direct compliance with permit condition</w:t>
      </w:r>
      <w:bookmarkEnd w:id="50"/>
      <w:bookmarkEnd w:id="51"/>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Gazette 23 Jun 2009 p. 2495</w:t>
      </w:r>
      <w:r>
        <w:noBreakHyphen/>
        <w:t>6 and 2498.]</w:t>
      </w:r>
    </w:p>
    <w:p>
      <w:pPr>
        <w:pStyle w:val="Heading2"/>
      </w:pPr>
      <w:bookmarkStart w:id="52" w:name="_Toc21355010"/>
      <w:bookmarkStart w:id="53" w:name="_Toc21356443"/>
      <w:bookmarkStart w:id="54" w:name="_Toc21435260"/>
      <w:bookmarkStart w:id="55" w:name="_Toc529872419"/>
      <w:bookmarkStart w:id="56" w:name="_Toc529872748"/>
      <w:bookmarkStart w:id="57" w:name="_Toc529876665"/>
      <w:bookmarkStart w:id="58" w:name="_Toc529877378"/>
      <w:r>
        <w:rPr>
          <w:rStyle w:val="CharPartNo"/>
        </w:rPr>
        <w:t>Part 3</w:t>
      </w:r>
      <w:r>
        <w:rPr>
          <w:rStyle w:val="CharDivNo"/>
        </w:rPr>
        <w:t xml:space="preserve"> </w:t>
      </w:r>
      <w:r>
        <w:t>—</w:t>
      </w:r>
      <w:r>
        <w:rPr>
          <w:rStyle w:val="CharDivText"/>
        </w:rPr>
        <w:t xml:space="preserve"> </w:t>
      </w:r>
      <w:r>
        <w:rPr>
          <w:rStyle w:val="CharPartText"/>
        </w:rPr>
        <w:t>Licences under section 5C</w:t>
      </w:r>
      <w:bookmarkEnd w:id="52"/>
      <w:bookmarkEnd w:id="53"/>
      <w:bookmarkEnd w:id="54"/>
      <w:bookmarkEnd w:id="55"/>
      <w:bookmarkEnd w:id="56"/>
      <w:bookmarkEnd w:id="57"/>
      <w:bookmarkEnd w:id="58"/>
    </w:p>
    <w:p>
      <w:pPr>
        <w:pStyle w:val="Ednotesection"/>
      </w:pPr>
      <w:r>
        <w:t>[</w:t>
      </w:r>
      <w:r>
        <w:rPr>
          <w:b/>
          <w:bCs/>
        </w:rPr>
        <w:t>19A.</w:t>
      </w:r>
      <w:r>
        <w:tab/>
        <w:t>Inserted: Gazette 28 Dec 2007 p. 6426 (disallowed: Gazette 11 Apr 2008 p. 1396).]</w:t>
      </w:r>
    </w:p>
    <w:p>
      <w:pPr>
        <w:pStyle w:val="Ednotesection"/>
      </w:pPr>
      <w:r>
        <w:t>[</w:t>
      </w:r>
      <w:r>
        <w:rPr>
          <w:b/>
        </w:rPr>
        <w:t>19, 20.</w:t>
      </w:r>
      <w:r>
        <w:rPr>
          <w:b/>
        </w:rPr>
        <w:tab/>
      </w:r>
      <w:r>
        <w:t>Deleted: Gazette 16 Dec 2014 p. 4766.]</w:t>
      </w:r>
    </w:p>
    <w:p>
      <w:pPr>
        <w:pStyle w:val="Heading5"/>
        <w:spacing w:before="240"/>
      </w:pPr>
      <w:bookmarkStart w:id="59" w:name="_Toc21435261"/>
      <w:bookmarkStart w:id="60" w:name="_Toc529877379"/>
      <w:r>
        <w:rPr>
          <w:rStyle w:val="CharSectno"/>
        </w:rPr>
        <w:t>21</w:t>
      </w:r>
      <w:r>
        <w:t>.</w:t>
      </w:r>
      <w:r>
        <w:tab/>
        <w:t>Renewal of licence</w:t>
      </w:r>
      <w:bookmarkEnd w:id="59"/>
      <w:bookmarkEnd w:id="60"/>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Gazette 23 Jun 2009 p. 2495</w:t>
      </w:r>
      <w:r>
        <w:noBreakHyphen/>
        <w:t>6.]</w:t>
      </w:r>
    </w:p>
    <w:p>
      <w:pPr>
        <w:pStyle w:val="Heading5"/>
        <w:spacing w:before="240"/>
        <w:rPr>
          <w:rStyle w:val="CharSectno"/>
        </w:rPr>
      </w:pPr>
      <w:bookmarkStart w:id="61" w:name="_Toc21435262"/>
      <w:bookmarkStart w:id="62" w:name="_Toc529877380"/>
      <w:r>
        <w:rPr>
          <w:rStyle w:val="CharSectno"/>
        </w:rPr>
        <w:t>22.</w:t>
      </w:r>
      <w:r>
        <w:rPr>
          <w:rStyle w:val="CharSectno"/>
        </w:rPr>
        <w:tab/>
        <w:t>Fee for certified copy of licence</w:t>
      </w:r>
      <w:bookmarkEnd w:id="61"/>
      <w:bookmarkEnd w:id="62"/>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Gazette 22 Jun 2007 p. 2880 (disallowed: Gazette 27 Nov 2007 p. 5910); 28 Dec 2007 p. 6428 (disallowed: Gazette 11 Apr 2008 p. 1396); 23 Jun 2009 p. 2495</w:t>
      </w:r>
      <w:r>
        <w:noBreakHyphen/>
        <w:t>6.]</w:t>
      </w:r>
    </w:p>
    <w:p>
      <w:pPr>
        <w:pStyle w:val="Heading5"/>
        <w:spacing w:before="240"/>
      </w:pPr>
      <w:bookmarkStart w:id="63" w:name="_Toc21435263"/>
      <w:bookmarkStart w:id="64" w:name="_Toc529877381"/>
      <w:r>
        <w:rPr>
          <w:rStyle w:val="CharSectno"/>
        </w:rPr>
        <w:t>23</w:t>
      </w:r>
      <w:r>
        <w:t>.</w:t>
      </w:r>
      <w:r>
        <w:tab/>
        <w:t>Advertising applications (Act Sch. 1 cl. 5)</w:t>
      </w:r>
      <w:bookmarkEnd w:id="63"/>
      <w:bookmarkEnd w:id="64"/>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Gazette 17 Dec 2002 p. 5912; 23 Jun 2009 p. 2495</w:t>
      </w:r>
      <w:r>
        <w:noBreakHyphen/>
        <w:t>6 and 2497.]</w:t>
      </w:r>
    </w:p>
    <w:p>
      <w:pPr>
        <w:pStyle w:val="Heading5"/>
      </w:pPr>
      <w:bookmarkStart w:id="65" w:name="_Toc21435264"/>
      <w:bookmarkStart w:id="66" w:name="_Toc529877382"/>
      <w:r>
        <w:rPr>
          <w:rStyle w:val="CharSectno"/>
        </w:rPr>
        <w:t>24</w:t>
      </w:r>
      <w:r>
        <w:t>.</w:t>
      </w:r>
      <w:r>
        <w:tab/>
        <w:t>Security interest holders may make submissions on application</w:t>
      </w:r>
      <w:bookmarkEnd w:id="65"/>
      <w:bookmarkEnd w:id="66"/>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Gazette 23 Jun 2009 p. 2495</w:t>
      </w:r>
      <w:r>
        <w:noBreakHyphen/>
        <w:t>6 and 2497.]</w:t>
      </w:r>
    </w:p>
    <w:p>
      <w:pPr>
        <w:pStyle w:val="Heading5"/>
        <w:spacing w:before="120"/>
      </w:pPr>
      <w:bookmarkStart w:id="67" w:name="_Toc21435265"/>
      <w:bookmarkStart w:id="68" w:name="_Toc529877383"/>
      <w:r>
        <w:rPr>
          <w:rStyle w:val="CharSectno"/>
        </w:rPr>
        <w:t>25</w:t>
      </w:r>
      <w:r>
        <w:t>.</w:t>
      </w:r>
      <w:r>
        <w:tab/>
        <w:t>Licensee no longer eligible to hold licence to inform  Minister</w:t>
      </w:r>
      <w:bookmarkEnd w:id="67"/>
      <w:bookmarkEnd w:id="68"/>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Gazette 23 Jun 2009 p. 2495-6.]</w:t>
      </w:r>
    </w:p>
    <w:p>
      <w:pPr>
        <w:pStyle w:val="Heading5"/>
      </w:pPr>
      <w:bookmarkStart w:id="69" w:name="_Toc21435266"/>
      <w:bookmarkStart w:id="70" w:name="_Toc529877384"/>
      <w:r>
        <w:rPr>
          <w:rStyle w:val="CharSectno"/>
        </w:rPr>
        <w:t>26</w:t>
      </w:r>
      <w:r>
        <w:t>.</w:t>
      </w:r>
      <w:r>
        <w:tab/>
        <w:t>Removal of endorsement that licence is subject to Act Sch. 1 cl. 20</w:t>
      </w:r>
      <w:bookmarkEnd w:id="69"/>
      <w:bookmarkEnd w:id="70"/>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Gazette 23 Jun 2009 p. 2495-6 and 2497.]</w:t>
      </w:r>
    </w:p>
    <w:p>
      <w:pPr>
        <w:pStyle w:val="Heading5"/>
      </w:pPr>
      <w:bookmarkStart w:id="71" w:name="_Toc21435267"/>
      <w:bookmarkStart w:id="72" w:name="_Toc529877385"/>
      <w:r>
        <w:rPr>
          <w:rStyle w:val="CharSectno"/>
        </w:rPr>
        <w:t>27</w:t>
      </w:r>
      <w:r>
        <w:t>.</w:t>
      </w:r>
      <w:r>
        <w:tab/>
        <w:t>Prescribed circumstances where Minister may suspend or cancel a licence (Act Sch. 1 cl. 25)</w:t>
      </w:r>
      <w:bookmarkEnd w:id="71"/>
      <w:bookmarkEnd w:id="72"/>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Gazette 23 Jun 2009 p. 2495</w:t>
      </w:r>
      <w:r>
        <w:noBreakHyphen/>
        <w:t>6.]</w:t>
      </w:r>
    </w:p>
    <w:p>
      <w:pPr>
        <w:pStyle w:val="Heading5"/>
      </w:pPr>
      <w:bookmarkStart w:id="73" w:name="_Toc21435268"/>
      <w:bookmarkStart w:id="74" w:name="_Toc529877386"/>
      <w:r>
        <w:rPr>
          <w:rStyle w:val="CharSectno"/>
        </w:rPr>
        <w:t>28</w:t>
      </w:r>
      <w:r>
        <w:t>.</w:t>
      </w:r>
      <w:r>
        <w:tab/>
        <w:t>Application for approval to transfer licence, water entitlement or agreement, submissions and responses about (Act Sch. 1 cl. 35)</w:t>
      </w:r>
      <w:bookmarkEnd w:id="73"/>
      <w:bookmarkEnd w:id="74"/>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Gazette 22 Jun 2007 p. 2880 (disallowed: Gazette 27 Nov 2007 p. 5910); 28 Dec 2007 p. 6428 (disallowed: Gazette 11 Apr 2008 p. 1396).]</w:t>
      </w:r>
    </w:p>
    <w:p>
      <w:pPr>
        <w:pStyle w:val="Heading5"/>
      </w:pPr>
      <w:bookmarkStart w:id="75" w:name="_Toc21435269"/>
      <w:bookmarkStart w:id="76" w:name="_Toc529877387"/>
      <w:r>
        <w:rPr>
          <w:rStyle w:val="CharSectno"/>
        </w:rPr>
        <w:t>29</w:t>
      </w:r>
      <w:r>
        <w:t>.</w:t>
      </w:r>
      <w:r>
        <w:tab/>
        <w:t>Licensee to return licence on suspension and cancellation</w:t>
      </w:r>
      <w:bookmarkEnd w:id="75"/>
      <w:bookmarkEnd w:id="76"/>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Gazette 23 Jun 2009 p. 2495</w:t>
      </w:r>
      <w:r>
        <w:noBreakHyphen/>
        <w:t>6.]</w:t>
      </w:r>
    </w:p>
    <w:p>
      <w:pPr>
        <w:pStyle w:val="Heading5"/>
      </w:pPr>
      <w:bookmarkStart w:id="77" w:name="_Toc21435270"/>
      <w:bookmarkStart w:id="78" w:name="_Toc529877388"/>
      <w:r>
        <w:rPr>
          <w:rStyle w:val="CharSectno"/>
        </w:rPr>
        <w:t>30</w:t>
      </w:r>
      <w:r>
        <w:t>.</w:t>
      </w:r>
      <w:r>
        <w:tab/>
        <w:t>Licence to be provided to Minister in certain cases (Act Sch. 1 cl. 23, 24 and 32)</w:t>
      </w:r>
      <w:bookmarkEnd w:id="77"/>
      <w:bookmarkEnd w:id="78"/>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Gazette 23 Jun 2009 p. 2495</w:t>
      </w:r>
      <w:r>
        <w:noBreakHyphen/>
        <w:t>6.]</w:t>
      </w:r>
    </w:p>
    <w:p>
      <w:pPr>
        <w:pStyle w:val="Heading5"/>
      </w:pPr>
      <w:bookmarkStart w:id="79" w:name="_Toc21435271"/>
      <w:bookmarkStart w:id="80" w:name="_Toc529877389"/>
      <w:r>
        <w:rPr>
          <w:rStyle w:val="CharSectno"/>
        </w:rPr>
        <w:t>31</w:t>
      </w:r>
      <w:r>
        <w:t>.</w:t>
      </w:r>
      <w:r>
        <w:tab/>
        <w:t>Evidence</w:t>
      </w:r>
      <w:bookmarkEnd w:id="79"/>
      <w:bookmarkEnd w:id="80"/>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r>
      <w:del w:id="81" w:author="Master Repository Process" w:date="2021-09-12T14:51:00Z">
        <w:r>
          <w:delText xml:space="preserve">that </w:delText>
        </w:r>
      </w:del>
      <w:r>
        <w:t>a specified person is the</w:t>
      </w:r>
      <w:del w:id="82" w:author="Master Repository Process" w:date="2021-09-12T14:51:00Z">
        <w:r>
          <w:delText xml:space="preserve"> licence</w:delText>
        </w:r>
      </w:del>
      <w:r>
        <w:t xml:space="preserv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Footnotesection"/>
        <w:rPr>
          <w:ins w:id="83" w:author="Master Repository Process" w:date="2021-09-12T14:51:00Z"/>
        </w:rPr>
      </w:pPr>
      <w:ins w:id="84" w:author="Master Repository Process" w:date="2021-09-12T14:51:00Z">
        <w:r>
          <w:tab/>
          <w:t>[Regulation 31 amended: Gazette 8 Oct 2019 p. 3622.]</w:t>
        </w:r>
      </w:ins>
    </w:p>
    <w:p>
      <w:pPr>
        <w:pStyle w:val="Heading2"/>
      </w:pPr>
      <w:bookmarkStart w:id="85" w:name="_Toc21355022"/>
      <w:bookmarkStart w:id="86" w:name="_Toc21356455"/>
      <w:bookmarkStart w:id="87" w:name="_Toc21435272"/>
      <w:bookmarkStart w:id="88" w:name="_Toc529872431"/>
      <w:bookmarkStart w:id="89" w:name="_Toc529872760"/>
      <w:bookmarkStart w:id="90" w:name="_Toc529876677"/>
      <w:bookmarkStart w:id="91" w:name="_Toc529877390"/>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85"/>
      <w:bookmarkEnd w:id="86"/>
      <w:bookmarkEnd w:id="87"/>
      <w:bookmarkEnd w:id="88"/>
      <w:bookmarkEnd w:id="89"/>
      <w:bookmarkEnd w:id="90"/>
      <w:bookmarkEnd w:id="91"/>
    </w:p>
    <w:p>
      <w:pPr>
        <w:pStyle w:val="Heading5"/>
      </w:pPr>
      <w:bookmarkStart w:id="92" w:name="_Toc21435273"/>
      <w:bookmarkStart w:id="93" w:name="_Toc529877391"/>
      <w:r>
        <w:rPr>
          <w:rStyle w:val="CharSectno"/>
        </w:rPr>
        <w:t>32</w:t>
      </w:r>
      <w:r>
        <w:t>.</w:t>
      </w:r>
      <w:r>
        <w:tab/>
        <w:t>Terms used</w:t>
      </w:r>
      <w:bookmarkEnd w:id="92"/>
      <w:bookmarkEnd w:id="93"/>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94" w:name="_Toc21435274"/>
      <w:bookmarkStart w:id="95" w:name="_Toc529877392"/>
      <w:r>
        <w:rPr>
          <w:rStyle w:val="CharSectno"/>
        </w:rPr>
        <w:t>33</w:t>
      </w:r>
      <w:r>
        <w:t>.</w:t>
      </w:r>
      <w:r>
        <w:tab/>
        <w:t>Applications for licences</w:t>
      </w:r>
      <w:bookmarkEnd w:id="94"/>
      <w:bookmarkEnd w:id="9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(if any) worked out in accordance with Part 7.</w:t>
      </w:r>
    </w:p>
    <w:p>
      <w:pPr>
        <w:pStyle w:val="Subsection"/>
      </w:pPr>
      <w:r>
        <w:tab/>
        <w:t>(3)</w:t>
      </w:r>
      <w:r>
        <w:tab/>
        <w:t>The plan, specification and statement accompanying an application are to be signed by the applicant and are to be dated.</w:t>
      </w:r>
    </w:p>
    <w:p>
      <w:pPr>
        <w:pStyle w:val="Footnotesection"/>
      </w:pPr>
      <w:r>
        <w:tab/>
        <w:t>[Regulation 33 amended: Gazette 22 Jun 2007 p. 2881 (disallowed: Gazette 27 Nov 2007 p. 5910); 28 Dec 2007 p. 6428 (disallowed: Gazette 11 Apr 2008 p. 1396); 30 Oct 2018 p. 4337.]</w:t>
      </w:r>
    </w:p>
    <w:p>
      <w:pPr>
        <w:pStyle w:val="Heading5"/>
      </w:pPr>
      <w:bookmarkStart w:id="96" w:name="_Toc21435275"/>
      <w:bookmarkStart w:id="97" w:name="_Toc529877393"/>
      <w:r>
        <w:rPr>
          <w:rStyle w:val="CharSectno"/>
        </w:rPr>
        <w:t>34</w:t>
      </w:r>
      <w:r>
        <w:t>.</w:t>
      </w:r>
      <w:r>
        <w:tab/>
        <w:t>Applicant may make representations to Minister in some cases</w:t>
      </w:r>
      <w:bookmarkEnd w:id="96"/>
      <w:bookmarkEnd w:id="97"/>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Gazette 23 Jun 2009 p. 2495</w:t>
      </w:r>
      <w:r>
        <w:noBreakHyphen/>
        <w:t>6 and 2497-8.]</w:t>
      </w:r>
    </w:p>
    <w:p>
      <w:pPr>
        <w:pStyle w:val="Heading5"/>
      </w:pPr>
      <w:bookmarkStart w:id="98" w:name="_Toc21435276"/>
      <w:bookmarkStart w:id="99" w:name="_Toc529877394"/>
      <w:r>
        <w:rPr>
          <w:rStyle w:val="CharSectno"/>
        </w:rPr>
        <w:t>35</w:t>
      </w:r>
      <w:r>
        <w:t>.</w:t>
      </w:r>
      <w:r>
        <w:tab/>
        <w:t>Deciding applications</w:t>
      </w:r>
      <w:bookmarkEnd w:id="98"/>
      <w:bookmarkEnd w:id="99"/>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Gazette 23 Jun 2009 p. 2495-7 and 2497</w:t>
      </w:r>
      <w:r>
        <w:noBreakHyphen/>
        <w:t>8.]</w:t>
      </w:r>
    </w:p>
    <w:p>
      <w:pPr>
        <w:pStyle w:val="Heading5"/>
      </w:pPr>
      <w:bookmarkStart w:id="100" w:name="_Toc21435277"/>
      <w:bookmarkStart w:id="101" w:name="_Toc529877395"/>
      <w:r>
        <w:rPr>
          <w:rStyle w:val="CharSectno"/>
        </w:rPr>
        <w:t>36</w:t>
      </w:r>
      <w:r>
        <w:t>.</w:t>
      </w:r>
      <w:r>
        <w:tab/>
        <w:t>When Minister must refuse licence; Minister may undertake to grant licence in some cases</w:t>
      </w:r>
      <w:bookmarkEnd w:id="100"/>
      <w:bookmarkEnd w:id="101"/>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Gazette 23 Jun 2009 p. 2495</w:t>
      </w:r>
      <w:r>
        <w:noBreakHyphen/>
        <w:t>7 and 2497</w:t>
      </w:r>
      <w:r>
        <w:noBreakHyphen/>
        <w:t>8.]</w:t>
      </w:r>
    </w:p>
    <w:p>
      <w:pPr>
        <w:pStyle w:val="Heading5"/>
      </w:pPr>
      <w:bookmarkStart w:id="102" w:name="_Toc21435278"/>
      <w:bookmarkStart w:id="103" w:name="_Toc529877396"/>
      <w:r>
        <w:rPr>
          <w:rStyle w:val="CharSectno"/>
        </w:rPr>
        <w:t>37</w:t>
      </w:r>
      <w:r>
        <w:t>.</w:t>
      </w:r>
      <w:r>
        <w:tab/>
        <w:t>Minister to notify applicant of decision etc.</w:t>
      </w:r>
      <w:bookmarkEnd w:id="102"/>
      <w:bookmarkEnd w:id="103"/>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Gazette 23 Jun 2009 p. 2495</w:t>
      </w:r>
      <w:r>
        <w:noBreakHyphen/>
        <w:t>7.]</w:t>
      </w:r>
    </w:p>
    <w:p>
      <w:pPr>
        <w:pStyle w:val="Heading5"/>
      </w:pPr>
      <w:bookmarkStart w:id="104" w:name="_Toc21435279"/>
      <w:bookmarkStart w:id="105" w:name="_Toc529877397"/>
      <w:r>
        <w:rPr>
          <w:rStyle w:val="CharSectno"/>
        </w:rPr>
        <w:t>38</w:t>
      </w:r>
      <w:r>
        <w:t>.</w:t>
      </w:r>
      <w:r>
        <w:tab/>
        <w:t>Information on work on artesian wells to be provided at certain times</w:t>
      </w:r>
      <w:bookmarkEnd w:id="104"/>
      <w:bookmarkEnd w:id="105"/>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Gazette 23 Jun 2009 p. 2495</w:t>
      </w:r>
      <w:r>
        <w:noBreakHyphen/>
        <w:t>7.]</w:t>
      </w:r>
    </w:p>
    <w:p>
      <w:pPr>
        <w:pStyle w:val="Heading5"/>
        <w:spacing w:before="200"/>
      </w:pPr>
      <w:bookmarkStart w:id="106" w:name="_Toc21435280"/>
      <w:bookmarkStart w:id="107" w:name="_Toc529877398"/>
      <w:r>
        <w:rPr>
          <w:rStyle w:val="CharSectno"/>
        </w:rPr>
        <w:t>39</w:t>
      </w:r>
      <w:r>
        <w:t>.</w:t>
      </w:r>
      <w:r>
        <w:tab/>
        <w:t>Information on non</w:t>
      </w:r>
      <w:r>
        <w:noBreakHyphen/>
        <w:t>artesian wells prescribed (Act s. 26E)</w:t>
      </w:r>
      <w:bookmarkEnd w:id="106"/>
      <w:bookmarkEnd w:id="107"/>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108" w:name="_Toc21435281"/>
      <w:bookmarkStart w:id="109" w:name="_Toc529877399"/>
      <w:r>
        <w:rPr>
          <w:rStyle w:val="CharSectno"/>
        </w:rPr>
        <w:t>40</w:t>
      </w:r>
      <w:r>
        <w:t>.</w:t>
      </w:r>
      <w:r>
        <w:tab/>
        <w:t>Application for an amended licence (Act s. 26F(3))</w:t>
      </w:r>
      <w:bookmarkEnd w:id="108"/>
      <w:bookmarkEnd w:id="109"/>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Gazette 22 Jun 2007 p. 2881 (disallowed: Gazette 27 Nov 2007 p. 5910); 28 Dec 2007 p. 6428-9 (disallowed: Gazette 11 Apr 2008 p. 1396).]</w:t>
      </w:r>
    </w:p>
    <w:p>
      <w:pPr>
        <w:pStyle w:val="Heading5"/>
        <w:spacing w:before="200"/>
      </w:pPr>
      <w:bookmarkStart w:id="110" w:name="_Toc21435282"/>
      <w:bookmarkStart w:id="111" w:name="_Toc529877400"/>
      <w:r>
        <w:rPr>
          <w:rStyle w:val="CharSectno"/>
        </w:rPr>
        <w:t>41</w:t>
      </w:r>
      <w:r>
        <w:t>.</w:t>
      </w:r>
      <w:r>
        <w:tab/>
        <w:t>Cancelled licence to be given to Minister</w:t>
      </w:r>
      <w:bookmarkEnd w:id="110"/>
      <w:bookmarkEnd w:id="111"/>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Gazette 23 Jun 2009 p. 2495</w:t>
      </w:r>
      <w:r>
        <w:noBreakHyphen/>
        <w:t>7.]</w:t>
      </w:r>
    </w:p>
    <w:p>
      <w:pPr>
        <w:pStyle w:val="Heading2"/>
      </w:pPr>
      <w:bookmarkStart w:id="112" w:name="_Toc21355033"/>
      <w:bookmarkStart w:id="113" w:name="_Toc21356466"/>
      <w:bookmarkStart w:id="114" w:name="_Toc21435283"/>
      <w:bookmarkStart w:id="115" w:name="_Toc529872442"/>
      <w:bookmarkStart w:id="116" w:name="_Toc529872771"/>
      <w:bookmarkStart w:id="117" w:name="_Toc529876688"/>
      <w:bookmarkStart w:id="118" w:name="_Toc529877401"/>
      <w:r>
        <w:rPr>
          <w:rStyle w:val="CharPartNo"/>
        </w:rPr>
        <w:t>Part 4A</w:t>
      </w:r>
      <w:r>
        <w:rPr>
          <w:b w:val="0"/>
        </w:rPr>
        <w:t> </w:t>
      </w:r>
      <w:r>
        <w:t>—</w:t>
      </w:r>
      <w:r>
        <w:rPr>
          <w:b w:val="0"/>
        </w:rPr>
        <w:t> </w:t>
      </w:r>
      <w:r>
        <w:rPr>
          <w:rStyle w:val="CharPartText"/>
        </w:rPr>
        <w:t>Meters</w:t>
      </w:r>
      <w:bookmarkEnd w:id="112"/>
      <w:bookmarkEnd w:id="113"/>
      <w:bookmarkEnd w:id="114"/>
      <w:bookmarkEnd w:id="115"/>
      <w:bookmarkEnd w:id="116"/>
      <w:bookmarkEnd w:id="117"/>
      <w:bookmarkEnd w:id="118"/>
    </w:p>
    <w:p>
      <w:pPr>
        <w:pStyle w:val="Footnoteheading"/>
        <w:tabs>
          <w:tab w:val="left" w:pos="851"/>
        </w:tabs>
      </w:pPr>
      <w:r>
        <w:tab/>
        <w:t>[Heading inserted: Gazette 17 Dec 2002 p. 5912.]</w:t>
      </w:r>
    </w:p>
    <w:p>
      <w:pPr>
        <w:pStyle w:val="Heading5"/>
      </w:pPr>
      <w:bookmarkStart w:id="119" w:name="_Toc21435284"/>
      <w:bookmarkStart w:id="120" w:name="_Toc529877402"/>
      <w:r>
        <w:rPr>
          <w:rStyle w:val="CharSectno"/>
        </w:rPr>
        <w:t>41A</w:t>
      </w:r>
      <w:r>
        <w:t>.</w:t>
      </w:r>
      <w:r>
        <w:tab/>
        <w:t>Terms used</w:t>
      </w:r>
      <w:bookmarkEnd w:id="119"/>
      <w:bookmarkEnd w:id="120"/>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r>
        <w:tab/>
        <w:t>[Regulation 41A inserted: Gazette 20 Feb 2018 p. 495</w:t>
      </w:r>
      <w:r>
        <w:noBreakHyphen/>
        <w:t>6.]</w:t>
      </w:r>
    </w:p>
    <w:p>
      <w:pPr>
        <w:pStyle w:val="Heading5"/>
      </w:pPr>
      <w:bookmarkStart w:id="121" w:name="_Toc21435285"/>
      <w:bookmarkStart w:id="122" w:name="_Toc529877403"/>
      <w:r>
        <w:rPr>
          <w:rStyle w:val="CharSectno"/>
        </w:rPr>
        <w:t>41B</w:t>
      </w:r>
      <w:r>
        <w:t>.</w:t>
      </w:r>
      <w:r>
        <w:tab/>
        <w:t>Application of regulation 41C</w:t>
      </w:r>
      <w:bookmarkEnd w:id="121"/>
      <w:bookmarkEnd w:id="122"/>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rPr>
          <w:ins w:id="123" w:author="Master Repository Process" w:date="2021-09-12T14:51:00Z"/>
        </w:rPr>
      </w:pPr>
      <w:ins w:id="124" w:author="Master Repository Process" w:date="2021-09-12T14:51:00Z">
        <w:r>
          <w:tab/>
          <w:t>(ba)</w:t>
        </w:r>
        <w:r>
          <w:tab/>
          <w:t>is a licence granted for the taking of water from a water resource in one of the following areas, and under which water is taken through at least one draw</w:t>
        </w:r>
        <w:r>
          <w:noBreakHyphen/>
          <w:t>point on which a meter owned by the State is installed —</w:t>
        </w:r>
      </w:ins>
    </w:p>
    <w:p>
      <w:pPr>
        <w:pStyle w:val="Indenti"/>
        <w:rPr>
          <w:ins w:id="125" w:author="Master Repository Process" w:date="2021-09-12T14:51:00Z"/>
        </w:rPr>
      </w:pPr>
      <w:ins w:id="126" w:author="Master Repository Process" w:date="2021-09-12T14:51:00Z">
        <w:r>
          <w:tab/>
          <w:t>(i)</w:t>
        </w:r>
        <w:r>
          <w:tab/>
          <w:t>the Gascoyne Groundwater Area under section 26B of the Act;</w:t>
        </w:r>
      </w:ins>
    </w:p>
    <w:p>
      <w:pPr>
        <w:pStyle w:val="Indenti"/>
        <w:rPr>
          <w:ins w:id="127" w:author="Master Repository Process" w:date="2021-09-12T14:51:00Z"/>
        </w:rPr>
      </w:pPr>
      <w:ins w:id="128" w:author="Master Repository Process" w:date="2021-09-12T14:51:00Z">
        <w:r>
          <w:tab/>
          <w:t>(ii)</w:t>
        </w:r>
        <w:r>
          <w:tab/>
          <w:t xml:space="preserve">the Gascoyne River and all of its tributaries to which Part III Division 1B of the Act applies under section 6 of the Act; </w:t>
        </w:r>
      </w:ins>
    </w:p>
    <w:p>
      <w:pPr>
        <w:pStyle w:val="Indenti"/>
        <w:rPr>
          <w:ins w:id="129" w:author="Master Repository Process" w:date="2021-09-12T14:51:00Z"/>
        </w:rPr>
      </w:pPr>
      <w:ins w:id="130" w:author="Master Repository Process" w:date="2021-09-12T14:51:00Z">
        <w:r>
          <w:tab/>
          <w:t>(iii)</w:t>
        </w:r>
        <w:r>
          <w:tab/>
          <w:t>the Carnarvon Irrigation District under Part IV of the Act;</w:t>
        </w:r>
      </w:ins>
    </w:p>
    <w:p>
      <w:pPr>
        <w:pStyle w:val="Indenti"/>
        <w:rPr>
          <w:ins w:id="131" w:author="Master Repository Process" w:date="2021-09-12T14:51:00Z"/>
        </w:rPr>
      </w:pPr>
      <w:ins w:id="132" w:author="Master Repository Process" w:date="2021-09-12T14:51:00Z">
        <w:r>
          <w:tab/>
          <w:t>(iv)</w:t>
        </w:r>
        <w:r>
          <w:tab/>
          <w:t>the Carnarvon Irrigation Area under section 26B of the Act;</w:t>
        </w:r>
      </w:ins>
    </w:p>
    <w:p>
      <w:pPr>
        <w:pStyle w:val="Indenta"/>
        <w:rPr>
          <w:ins w:id="133" w:author="Master Repository Process" w:date="2021-09-12T14:51:00Z"/>
        </w:rPr>
      </w:pPr>
      <w:ins w:id="134" w:author="Master Repository Process" w:date="2021-09-12T14:51:00Z">
        <w:r>
          <w:tab/>
        </w:r>
        <w:r>
          <w:tab/>
          <w:t>or</w:t>
        </w:r>
      </w:ins>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Subsection"/>
        <w:rPr>
          <w:ins w:id="135" w:author="Master Repository Process" w:date="2021-09-12T14:51:00Z"/>
        </w:rPr>
      </w:pPr>
      <w:ins w:id="136" w:author="Master Repository Process" w:date="2021-09-12T14:51:00Z">
        <w:r>
          <w:tab/>
          <w:t>(3)</w:t>
        </w:r>
        <w:r>
          <w:tab/>
          <w:t>Nothing in subregulation (2) prevents the Minister from including in a licence referred to in subregulation (2) any term, condition or restriction in relation to metering.</w:t>
        </w:r>
      </w:ins>
    </w:p>
    <w:p>
      <w:pPr>
        <w:pStyle w:val="Footnotesection"/>
        <w:ind w:left="890" w:hanging="890"/>
      </w:pPr>
      <w:r>
        <w:tab/>
        <w:t>[Regulation 41B inserted: Gazette 20 Feb 2018 p. 496</w:t>
      </w:r>
      <w:r>
        <w:noBreakHyphen/>
        <w:t>7</w:t>
      </w:r>
      <w:ins w:id="137" w:author="Master Repository Process" w:date="2021-09-12T14:51:00Z">
        <w:r>
          <w:t>; amended: Gazette 8 Oct 2019 p. 3622</w:t>
        </w:r>
        <w:r>
          <w:noBreakHyphen/>
          <w:t>3</w:t>
        </w:r>
      </w:ins>
      <w:r>
        <w:t>.]</w:t>
      </w:r>
    </w:p>
    <w:p>
      <w:pPr>
        <w:pStyle w:val="Heading5"/>
        <w:pageBreakBefore/>
        <w:spacing w:before="0"/>
      </w:pPr>
      <w:bookmarkStart w:id="138" w:name="_Toc21435286"/>
      <w:bookmarkStart w:id="139" w:name="_Toc529877404"/>
      <w:r>
        <w:rPr>
          <w:rStyle w:val="CharSectno"/>
        </w:rPr>
        <w:t>41C</w:t>
      </w:r>
      <w:r>
        <w:t>.</w:t>
      </w:r>
      <w:r>
        <w:tab/>
        <w:t>Licence subject to metering conditions</w:t>
      </w:r>
      <w:bookmarkEnd w:id="138"/>
      <w:bookmarkEnd w:id="139"/>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 xml:space="preserve">provide a copy of the meter readings recorded under subparagraph (iv) to the </w:t>
      </w:r>
      <w:del w:id="140" w:author="Master Repository Process" w:date="2021-09-12T14:51:00Z">
        <w:r>
          <w:delText>Minster</w:delText>
        </w:r>
      </w:del>
      <w:ins w:id="141" w:author="Master Repository Process" w:date="2021-09-12T14:51:00Z">
        <w:r>
          <w:t>Minister</w:t>
        </w:r>
      </w:ins>
      <w:r>
        <w:t xml:space="preserve">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keepNext/>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r>
        <w:tab/>
        <w:t>[Regulation 41C inserted: Gazette 20 Feb 2018 p. </w:t>
      </w:r>
      <w:del w:id="142" w:author="Master Repository Process" w:date="2021-09-12T14:51:00Z">
        <w:r>
          <w:delText>497</w:delText>
        </w:r>
        <w:r>
          <w:noBreakHyphen/>
          <w:delText>8</w:delText>
        </w:r>
      </w:del>
      <w:ins w:id="143" w:author="Master Repository Process" w:date="2021-09-12T14:51:00Z">
        <w:r>
          <w:t>497</w:t>
        </w:r>
        <w:r>
          <w:noBreakHyphen/>
          <w:t>8; amended: Gazette 8 Oct 2019 p. 3623</w:t>
        </w:r>
      </w:ins>
      <w:r>
        <w:t>.]</w:t>
      </w:r>
    </w:p>
    <w:p>
      <w:pPr>
        <w:pStyle w:val="Heading5"/>
      </w:pPr>
      <w:bookmarkStart w:id="144" w:name="_Toc21435287"/>
      <w:bookmarkStart w:id="145" w:name="_Toc529877405"/>
      <w:r>
        <w:rPr>
          <w:rStyle w:val="CharSectno"/>
        </w:rPr>
        <w:t>41D</w:t>
      </w:r>
      <w:r>
        <w:t>.</w:t>
      </w:r>
      <w:r>
        <w:tab/>
        <w:t>Minister may direct compliance with metering conditions</w:t>
      </w:r>
      <w:bookmarkEnd w:id="144"/>
      <w:bookmarkEnd w:id="145"/>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r>
        <w:tab/>
        <w:t>[Regulation 41D inserted: Gazette 20 Feb 2018 p. 498</w:t>
      </w:r>
      <w:r>
        <w:noBreakHyphen/>
        <w:t>9.]</w:t>
      </w:r>
    </w:p>
    <w:p>
      <w:pPr>
        <w:pStyle w:val="Heading5"/>
      </w:pPr>
      <w:bookmarkStart w:id="146" w:name="_Toc21435288"/>
      <w:bookmarkStart w:id="147" w:name="_Toc529877406"/>
      <w:r>
        <w:rPr>
          <w:rStyle w:val="CharSectno"/>
        </w:rPr>
        <w:t>41E</w:t>
      </w:r>
      <w:r>
        <w:t>.</w:t>
      </w:r>
      <w:r>
        <w:tab/>
        <w:t>Minister may approve alternative measurement method</w:t>
      </w:r>
      <w:bookmarkEnd w:id="146"/>
      <w:bookmarkEnd w:id="147"/>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r>
        <w:tab/>
        <w:t>[Regulation 41E inserted: Gazette 20 Feb 2018 p. 499.]</w:t>
      </w:r>
    </w:p>
    <w:p>
      <w:pPr>
        <w:pStyle w:val="Heading5"/>
      </w:pPr>
      <w:bookmarkStart w:id="148" w:name="_Toc21435289"/>
      <w:bookmarkStart w:id="149" w:name="_Toc529877407"/>
      <w:r>
        <w:rPr>
          <w:rStyle w:val="CharSectno"/>
        </w:rPr>
        <w:t>41F</w:t>
      </w:r>
      <w:r>
        <w:t>.</w:t>
      </w:r>
      <w:r>
        <w:tab/>
        <w:t>Exemption from requirement to measure quantity of water taken under licence</w:t>
      </w:r>
      <w:bookmarkEnd w:id="148"/>
      <w:bookmarkEnd w:id="149"/>
    </w:p>
    <w:p>
      <w:pPr>
        <w:pStyle w:val="Subsection"/>
        <w:keepNext/>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w:t>
      </w:r>
      <w:ins w:id="150" w:author="Master Repository Process" w:date="2021-09-12T14:51:00Z">
        <w:r>
          <w:t xml:space="preserve"> that relate to the taking of water or the measurement of the quantity of water taken</w:t>
        </w:r>
      </w:ins>
      <w:r>
        <w:t>.</w:t>
      </w:r>
    </w:p>
    <w:p>
      <w:pPr>
        <w:pStyle w:val="Footnotesection"/>
      </w:pPr>
      <w:r>
        <w:tab/>
        <w:t>[Regulation 41F inserted: Gazette 20 Feb 2018 p. </w:t>
      </w:r>
      <w:del w:id="151" w:author="Master Repository Process" w:date="2021-09-12T14:51:00Z">
        <w:r>
          <w:delText>499</w:delText>
        </w:r>
      </w:del>
      <w:ins w:id="152" w:author="Master Repository Process" w:date="2021-09-12T14:51:00Z">
        <w:r>
          <w:t>499; amended: Gazette 8 Oct 2019 p. 3623</w:t>
        </w:r>
      </w:ins>
      <w:r>
        <w:t>.]</w:t>
      </w:r>
    </w:p>
    <w:p>
      <w:pPr>
        <w:pStyle w:val="Ednotesection"/>
      </w:pPr>
      <w:r>
        <w:t>[</w:t>
      </w:r>
      <w:r>
        <w:rPr>
          <w:b/>
          <w:bCs/>
        </w:rPr>
        <w:t>42A.</w:t>
      </w:r>
      <w:r>
        <w:tab/>
        <w:t>Inserted: Gazette 28 Dec 2007 p. 6429 (disallowed: Gazette 11 Apr 2008 p. 1396).]</w:t>
      </w:r>
    </w:p>
    <w:p>
      <w:pPr>
        <w:pStyle w:val="Heading5"/>
      </w:pPr>
      <w:bookmarkStart w:id="153" w:name="_Toc21435290"/>
      <w:bookmarkStart w:id="154" w:name="_Toc529877408"/>
      <w:r>
        <w:rPr>
          <w:rStyle w:val="CharSectno"/>
        </w:rPr>
        <w:t>42</w:t>
      </w:r>
      <w:r>
        <w:t>.</w:t>
      </w:r>
      <w:r>
        <w:tab/>
        <w:t>Damage to meters</w:t>
      </w:r>
      <w:bookmarkEnd w:id="153"/>
      <w:bookmarkEnd w:id="154"/>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 Gazette 23 Jun 2009 p. 2498; amended: Gazette 20 Feb 2018 p. 500</w:t>
      </w:r>
      <w:r>
        <w:noBreakHyphen/>
        <w:t>1.]</w:t>
      </w:r>
    </w:p>
    <w:p>
      <w:pPr>
        <w:pStyle w:val="Heading5"/>
      </w:pPr>
      <w:bookmarkStart w:id="155" w:name="_Toc21435291"/>
      <w:bookmarkStart w:id="156" w:name="_Toc529877409"/>
      <w:r>
        <w:rPr>
          <w:rStyle w:val="CharSectno"/>
        </w:rPr>
        <w:t>43</w:t>
      </w:r>
      <w:r>
        <w:t>.</w:t>
      </w:r>
      <w:r>
        <w:tab/>
        <w:t>Interfering with meters</w:t>
      </w:r>
      <w:bookmarkEnd w:id="155"/>
      <w:bookmarkEnd w:id="156"/>
    </w:p>
    <w:p>
      <w:pPr>
        <w:pStyle w:val="Subsection"/>
        <w:keepNext/>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157" w:name="_Toc21435292"/>
      <w:bookmarkStart w:id="158" w:name="_Toc529877410"/>
      <w:r>
        <w:rPr>
          <w:rStyle w:val="CharSectno"/>
        </w:rPr>
        <w:t>44</w:t>
      </w:r>
      <w:r>
        <w:t>.</w:t>
      </w:r>
      <w:r>
        <w:tab/>
        <w:t>Testing meters</w:t>
      </w:r>
      <w:bookmarkEnd w:id="157"/>
      <w:bookmarkEnd w:id="158"/>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Gazette 22 Jun 2007 p. 2881 (disallowed: Gazette 27 Nov 2007 p. 5910); 28 Dec 2007 p. 6429 (disallowed: Gazette 11 Apr 2008 p. 1396); 23 Jun 2009 p. 2495</w:t>
      </w:r>
      <w:r>
        <w:noBreakHyphen/>
        <w:t>7; 20 Feb 2018 p. 500</w:t>
      </w:r>
      <w:r>
        <w:noBreakHyphen/>
        <w:t>1.]</w:t>
      </w:r>
    </w:p>
    <w:p>
      <w:pPr>
        <w:pStyle w:val="Heading5"/>
        <w:spacing w:before="180"/>
      </w:pPr>
      <w:bookmarkStart w:id="159" w:name="_Toc21435293"/>
      <w:bookmarkStart w:id="160" w:name="_Toc529877411"/>
      <w:r>
        <w:rPr>
          <w:rStyle w:val="CharSectno"/>
        </w:rPr>
        <w:t>45</w:t>
      </w:r>
      <w:r>
        <w:t>.</w:t>
      </w:r>
      <w:r>
        <w:tab/>
        <w:t>Estimating water used where meter out of order or inaccurate</w:t>
      </w:r>
      <w:bookmarkEnd w:id="159"/>
      <w:bookmarkEnd w:id="160"/>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Gazette 23 Jun 2009 p. 2495</w:t>
      </w:r>
      <w:r>
        <w:noBreakHyphen/>
        <w:t>7; 20 Feb 2018 p. 500</w:t>
      </w:r>
      <w:r>
        <w:noBreakHyphen/>
        <w:t>1.]</w:t>
      </w:r>
    </w:p>
    <w:p>
      <w:pPr>
        <w:pStyle w:val="Heading5"/>
        <w:spacing w:before="180"/>
      </w:pPr>
      <w:bookmarkStart w:id="161" w:name="_Toc21435294"/>
      <w:bookmarkStart w:id="162" w:name="_Toc529877412"/>
      <w:r>
        <w:rPr>
          <w:rStyle w:val="CharSectno"/>
        </w:rPr>
        <w:t>46</w:t>
      </w:r>
      <w:r>
        <w:t>.</w:t>
      </w:r>
      <w:r>
        <w:tab/>
        <w:t>Evidence of water taken from well</w:t>
      </w:r>
      <w:bookmarkEnd w:id="161"/>
      <w:bookmarkEnd w:id="162"/>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Gazette 23 Jun 2009 p. 2495</w:t>
      </w:r>
      <w:r>
        <w:noBreakHyphen/>
        <w:t>7; 20 Feb 2018 p. 500</w:t>
      </w:r>
      <w:r>
        <w:noBreakHyphen/>
        <w:t>1.]</w:t>
      </w:r>
    </w:p>
    <w:p>
      <w:pPr>
        <w:pStyle w:val="Heading2"/>
      </w:pPr>
      <w:bookmarkStart w:id="163" w:name="_Toc21355045"/>
      <w:bookmarkStart w:id="164" w:name="_Toc21356478"/>
      <w:bookmarkStart w:id="165" w:name="_Toc21435295"/>
      <w:bookmarkStart w:id="166" w:name="_Toc529872454"/>
      <w:bookmarkStart w:id="167" w:name="_Toc529872783"/>
      <w:bookmarkStart w:id="168" w:name="_Toc529876700"/>
      <w:bookmarkStart w:id="169" w:name="_Toc529877413"/>
      <w:r>
        <w:rPr>
          <w:rStyle w:val="CharPartNo"/>
        </w:rPr>
        <w:t>Part 5</w:t>
      </w:r>
      <w:r>
        <w:rPr>
          <w:rStyle w:val="CharDivNo"/>
        </w:rPr>
        <w:t> </w:t>
      </w:r>
      <w:r>
        <w:t>—</w:t>
      </w:r>
      <w:r>
        <w:rPr>
          <w:rStyle w:val="CharDivText"/>
        </w:rPr>
        <w:t> </w:t>
      </w:r>
      <w:r>
        <w:rPr>
          <w:rStyle w:val="CharPartText"/>
        </w:rPr>
        <w:t>Registration of instruments</w:t>
      </w:r>
      <w:bookmarkEnd w:id="163"/>
      <w:bookmarkEnd w:id="164"/>
      <w:bookmarkEnd w:id="165"/>
      <w:bookmarkEnd w:id="166"/>
      <w:bookmarkEnd w:id="167"/>
      <w:bookmarkEnd w:id="168"/>
      <w:bookmarkEnd w:id="169"/>
    </w:p>
    <w:p>
      <w:pPr>
        <w:pStyle w:val="Heading5"/>
      </w:pPr>
      <w:bookmarkStart w:id="170" w:name="_Toc21435296"/>
      <w:bookmarkStart w:id="171" w:name="_Toc529877414"/>
      <w:r>
        <w:rPr>
          <w:rStyle w:val="CharSectno"/>
        </w:rPr>
        <w:t>47</w:t>
      </w:r>
      <w:r>
        <w:t>.</w:t>
      </w:r>
      <w:r>
        <w:tab/>
        <w:t>Terms used</w:t>
      </w:r>
      <w:bookmarkEnd w:id="170"/>
      <w:bookmarkEnd w:id="171"/>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172" w:name="_Toc21435297"/>
      <w:bookmarkStart w:id="173" w:name="_Toc529877415"/>
      <w:r>
        <w:rPr>
          <w:rStyle w:val="CharSectno"/>
        </w:rPr>
        <w:t>48</w:t>
      </w:r>
      <w:r>
        <w:t>.</w:t>
      </w:r>
      <w:r>
        <w:tab/>
        <w:t>Prescribed details for register (Act s. 26GZJ)</w:t>
      </w:r>
      <w:bookmarkEnd w:id="172"/>
      <w:bookmarkEnd w:id="173"/>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Gazette 23 Jun 2009 p. 2495</w:t>
      </w:r>
      <w:r>
        <w:noBreakHyphen/>
        <w:t>7; 20 Feb 2018 p. 500</w:t>
      </w:r>
      <w:r>
        <w:noBreakHyphen/>
        <w:t>1.]</w:t>
      </w:r>
    </w:p>
    <w:p>
      <w:pPr>
        <w:pStyle w:val="Heading5"/>
      </w:pPr>
      <w:bookmarkStart w:id="174" w:name="_Toc21435298"/>
      <w:bookmarkStart w:id="175" w:name="_Toc529877416"/>
      <w:r>
        <w:rPr>
          <w:rStyle w:val="CharSectno"/>
        </w:rPr>
        <w:t>49</w:t>
      </w:r>
      <w:r>
        <w:t>.</w:t>
      </w:r>
      <w:r>
        <w:tab/>
        <w:t>Fees in relation to the register (Sch. 1 Part 2)</w:t>
      </w:r>
      <w:bookmarkEnd w:id="174"/>
      <w:bookmarkEnd w:id="175"/>
    </w:p>
    <w:p>
      <w:pPr>
        <w:pStyle w:val="Subsection"/>
      </w:pPr>
      <w:r>
        <w:tab/>
      </w:r>
      <w:r>
        <w:tab/>
        <w:t>A fee set out in Schedule 1 Part 2 is the fee to be paid in respect of the matter described opposite the fee.</w:t>
      </w:r>
    </w:p>
    <w:p>
      <w:pPr>
        <w:pStyle w:val="Footnotesection"/>
      </w:pPr>
      <w:r>
        <w:tab/>
        <w:t>[Regulation 49 amended: Gazette 22 Jun 2007 p. 2881 (disallowed: Gazette 27 Nov 2007 p. 5910); 28 Dec 2007 p. 6429 (disallowed: Gazette 11 Apr 2008 p. 1396).]</w:t>
      </w:r>
    </w:p>
    <w:p>
      <w:pPr>
        <w:pStyle w:val="Ednotepart"/>
      </w:pPr>
      <w:r>
        <w:t>[Part 5A (r. 49A</w:t>
      </w:r>
      <w:r>
        <w:noBreakHyphen/>
        <w:t>49O) deleted: Gazette 30 Dec 2004 p. 7000.]</w:t>
      </w:r>
    </w:p>
    <w:p>
      <w:pPr>
        <w:pStyle w:val="Heading2"/>
      </w:pPr>
      <w:bookmarkStart w:id="176" w:name="_Toc21355049"/>
      <w:bookmarkStart w:id="177" w:name="_Toc21356482"/>
      <w:bookmarkStart w:id="178" w:name="_Toc21435299"/>
      <w:bookmarkStart w:id="179" w:name="_Toc529872458"/>
      <w:bookmarkStart w:id="180" w:name="_Toc529872787"/>
      <w:bookmarkStart w:id="181" w:name="_Toc529876704"/>
      <w:bookmarkStart w:id="182" w:name="_Toc529877417"/>
      <w:r>
        <w:rPr>
          <w:rStyle w:val="CharPartNo"/>
        </w:rPr>
        <w:t>Part 6</w:t>
      </w:r>
      <w:r>
        <w:rPr>
          <w:rStyle w:val="CharDivNo"/>
        </w:rPr>
        <w:t xml:space="preserve"> </w:t>
      </w:r>
      <w:r>
        <w:t>—</w:t>
      </w:r>
      <w:r>
        <w:rPr>
          <w:rStyle w:val="CharDivText"/>
        </w:rPr>
        <w:t xml:space="preserve"> </w:t>
      </w:r>
      <w:r>
        <w:rPr>
          <w:rStyle w:val="CharPartText"/>
        </w:rPr>
        <w:t>Miscellaneous</w:t>
      </w:r>
      <w:bookmarkEnd w:id="176"/>
      <w:bookmarkEnd w:id="177"/>
      <w:bookmarkEnd w:id="178"/>
      <w:bookmarkEnd w:id="179"/>
      <w:bookmarkEnd w:id="180"/>
      <w:bookmarkEnd w:id="181"/>
      <w:bookmarkEnd w:id="182"/>
    </w:p>
    <w:p>
      <w:pPr>
        <w:pStyle w:val="Heading5"/>
      </w:pPr>
      <w:bookmarkStart w:id="183" w:name="_Toc21435300"/>
      <w:bookmarkStart w:id="184" w:name="_Toc529877418"/>
      <w:r>
        <w:rPr>
          <w:rStyle w:val="CharSectno"/>
        </w:rPr>
        <w:t>50</w:t>
      </w:r>
      <w:r>
        <w:t>.</w:t>
      </w:r>
      <w:r>
        <w:tab/>
        <w:t>Prescribed offences</w:t>
      </w:r>
      <w:bookmarkEnd w:id="183"/>
      <w:bookmarkEnd w:id="184"/>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Gazette 14 Jun 2002 p. 2835.]</w:t>
      </w:r>
    </w:p>
    <w:p>
      <w:pPr>
        <w:pStyle w:val="Heading5"/>
      </w:pPr>
      <w:bookmarkStart w:id="185" w:name="_Toc21435301"/>
      <w:bookmarkStart w:id="186" w:name="_Toc529877419"/>
      <w:r>
        <w:rPr>
          <w:rStyle w:val="CharSectno"/>
        </w:rPr>
        <w:t>51</w:t>
      </w:r>
      <w:r>
        <w:t>.</w:t>
      </w:r>
      <w:r>
        <w:tab/>
        <w:t>Modified penalties</w:t>
      </w:r>
      <w:bookmarkEnd w:id="185"/>
      <w:bookmarkEnd w:id="186"/>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187" w:name="_Toc21435302"/>
      <w:bookmarkStart w:id="188" w:name="_Toc529877420"/>
      <w:r>
        <w:rPr>
          <w:rStyle w:val="CharSectno"/>
        </w:rPr>
        <w:t>52A</w:t>
      </w:r>
      <w:r>
        <w:t>.</w:t>
      </w:r>
      <w:r>
        <w:tab/>
        <w:t>Persons authorised to give infringement notices</w:t>
      </w:r>
      <w:bookmarkEnd w:id="187"/>
      <w:bookmarkEnd w:id="188"/>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Gazette 16 Mar 2010 p. 985; amended: Gazette 20 Dec 2011 p. 5411.]</w:t>
      </w:r>
    </w:p>
    <w:p>
      <w:pPr>
        <w:pStyle w:val="Heading5"/>
      </w:pPr>
      <w:bookmarkStart w:id="189" w:name="_Toc21435303"/>
      <w:bookmarkStart w:id="190" w:name="_Toc529877421"/>
      <w:r>
        <w:rPr>
          <w:rStyle w:val="CharSectno"/>
        </w:rPr>
        <w:t>52B</w:t>
      </w:r>
      <w:r>
        <w:t>.</w:t>
      </w:r>
      <w:r>
        <w:tab/>
        <w:t>Prescribed persons for infringement notices</w:t>
      </w:r>
      <w:bookmarkEnd w:id="189"/>
      <w:bookmarkEnd w:id="190"/>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Gazette 23 Jun 2009 p. 2499; amended: Gazette 20 Dec 2011 p. 5411.]</w:t>
      </w:r>
    </w:p>
    <w:p>
      <w:pPr>
        <w:pStyle w:val="Heading5"/>
      </w:pPr>
      <w:bookmarkStart w:id="191" w:name="_Toc21435304"/>
      <w:bookmarkStart w:id="192" w:name="_Toc529877422"/>
      <w:r>
        <w:rPr>
          <w:rStyle w:val="CharSectno"/>
        </w:rPr>
        <w:t>52</w:t>
      </w:r>
      <w:r>
        <w:t>.</w:t>
      </w:r>
      <w:r>
        <w:tab/>
        <w:t>Designated person for infringement notices</w:t>
      </w:r>
      <w:bookmarkEnd w:id="191"/>
      <w:bookmarkEnd w:id="192"/>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Gazette 23 Jun 2009 p. 2499.]</w:t>
      </w:r>
    </w:p>
    <w:p>
      <w:pPr>
        <w:pStyle w:val="Heading5"/>
      </w:pPr>
      <w:bookmarkStart w:id="193" w:name="_Toc21435305"/>
      <w:bookmarkStart w:id="194" w:name="_Toc529877423"/>
      <w:r>
        <w:rPr>
          <w:rStyle w:val="CharSectno"/>
        </w:rPr>
        <w:t>53</w:t>
      </w:r>
      <w:r>
        <w:t>.</w:t>
      </w:r>
      <w:r>
        <w:tab/>
        <w:t>Form of infringement notice</w:t>
      </w:r>
      <w:bookmarkEnd w:id="193"/>
      <w:bookmarkEnd w:id="194"/>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195" w:name="_Toc21435306"/>
      <w:bookmarkStart w:id="196" w:name="_Toc529877424"/>
      <w:r>
        <w:rPr>
          <w:rStyle w:val="CharSectno"/>
        </w:rPr>
        <w:t>54</w:t>
      </w:r>
      <w:r>
        <w:t>.</w:t>
      </w:r>
      <w:r>
        <w:tab/>
        <w:t>Form of notice of withdrawal of infringement notice</w:t>
      </w:r>
      <w:bookmarkEnd w:id="195"/>
      <w:bookmarkEnd w:id="196"/>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197" w:name="_Toc21435307"/>
      <w:bookmarkStart w:id="198" w:name="_Toc529877425"/>
      <w:r>
        <w:rPr>
          <w:rStyle w:val="CharSectno"/>
        </w:rPr>
        <w:t>55A</w:t>
      </w:r>
      <w:r>
        <w:t>.</w:t>
      </w:r>
      <w:r>
        <w:tab/>
        <w:t>Form of certificate for authorised person</w:t>
      </w:r>
      <w:bookmarkEnd w:id="197"/>
      <w:bookmarkEnd w:id="198"/>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Gazette 23 Jun 2009 p. 2499.]</w:t>
      </w:r>
    </w:p>
    <w:p>
      <w:pPr>
        <w:pStyle w:val="Heading5"/>
      </w:pPr>
      <w:bookmarkStart w:id="199" w:name="_Toc21435308"/>
      <w:bookmarkStart w:id="200" w:name="_Toc529877426"/>
      <w:r>
        <w:rPr>
          <w:rStyle w:val="CharSectno"/>
        </w:rPr>
        <w:t>55</w:t>
      </w:r>
      <w:r>
        <w:t>.</w:t>
      </w:r>
      <w:r>
        <w:tab/>
        <w:t>Unauthorised alteration of infringement notices</w:t>
      </w:r>
      <w:bookmarkEnd w:id="199"/>
      <w:bookmarkEnd w:id="200"/>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Gazette 16 Dec 2014 p. 4766.]</w:t>
      </w:r>
    </w:p>
    <w:p>
      <w:pPr>
        <w:pStyle w:val="Ednotesection"/>
      </w:pPr>
      <w:r>
        <w:t>[</w:t>
      </w:r>
      <w:r>
        <w:rPr>
          <w:b/>
          <w:bCs/>
        </w:rPr>
        <w:t>56A.</w:t>
      </w:r>
      <w:r>
        <w:tab/>
        <w:t>Inserted: Gazette 28 Dec 2007 p. 6429-30 (disallowed: Gazette 11 Apr 2008 p. 1396).]</w:t>
      </w:r>
    </w:p>
    <w:p>
      <w:pPr>
        <w:pStyle w:val="Heading5"/>
      </w:pPr>
      <w:bookmarkStart w:id="201" w:name="_Toc21435309"/>
      <w:bookmarkStart w:id="202" w:name="_Toc529877427"/>
      <w:r>
        <w:rPr>
          <w:rStyle w:val="CharSectno"/>
        </w:rPr>
        <w:t>57</w:t>
      </w:r>
      <w:r>
        <w:t>.</w:t>
      </w:r>
      <w:r>
        <w:tab/>
        <w:t>False or misleading information in respect of applications</w:t>
      </w:r>
      <w:bookmarkEnd w:id="201"/>
      <w:bookmarkEnd w:id="202"/>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Gazette 23 Jun 2009 p. 2495</w:t>
      </w:r>
      <w:r>
        <w:noBreakHyphen/>
        <w:t>7.]</w:t>
      </w:r>
    </w:p>
    <w:p>
      <w:pPr>
        <w:pStyle w:val="Ednotesection"/>
      </w:pPr>
      <w:r>
        <w:t>[</w:t>
      </w:r>
      <w:r>
        <w:rPr>
          <w:b/>
          <w:bCs/>
        </w:rPr>
        <w:t>58.</w:t>
      </w:r>
      <w:r>
        <w:tab/>
        <w:t>Deleted: Gazette 30 Oct 2018 p. 4337.]</w:t>
      </w:r>
    </w:p>
    <w:p>
      <w:pPr>
        <w:pStyle w:val="Heading2"/>
      </w:pPr>
      <w:bookmarkStart w:id="203" w:name="_Toc21355060"/>
      <w:bookmarkStart w:id="204" w:name="_Toc21356493"/>
      <w:bookmarkStart w:id="205" w:name="_Toc21435310"/>
      <w:bookmarkStart w:id="206" w:name="_Toc525911748"/>
      <w:bookmarkStart w:id="207" w:name="_Toc525911764"/>
      <w:bookmarkStart w:id="208" w:name="_Toc525912005"/>
      <w:bookmarkStart w:id="209" w:name="_Toc525912937"/>
      <w:bookmarkStart w:id="210" w:name="_Toc525912955"/>
      <w:bookmarkStart w:id="211" w:name="_Toc529872469"/>
      <w:bookmarkStart w:id="212" w:name="_Toc529872798"/>
      <w:bookmarkStart w:id="213" w:name="_Toc529876715"/>
      <w:bookmarkStart w:id="214" w:name="_Toc529877428"/>
      <w:r>
        <w:rPr>
          <w:rStyle w:val="CharPartNo"/>
        </w:rPr>
        <w:t>Part 7</w:t>
      </w:r>
      <w:r>
        <w:t> — </w:t>
      </w:r>
      <w:r>
        <w:rPr>
          <w:rStyle w:val="CharPartText"/>
        </w:rPr>
        <w:t>Fees for applications for permits and section 5C and section 26D licences</w:t>
      </w:r>
      <w:bookmarkEnd w:id="203"/>
      <w:bookmarkEnd w:id="204"/>
      <w:bookmarkEnd w:id="205"/>
      <w:bookmarkEnd w:id="206"/>
      <w:bookmarkEnd w:id="207"/>
      <w:bookmarkEnd w:id="208"/>
      <w:bookmarkEnd w:id="209"/>
      <w:bookmarkEnd w:id="210"/>
      <w:bookmarkEnd w:id="211"/>
      <w:bookmarkEnd w:id="212"/>
      <w:bookmarkEnd w:id="213"/>
      <w:bookmarkEnd w:id="214"/>
    </w:p>
    <w:p>
      <w:pPr>
        <w:pStyle w:val="Footnotesection"/>
      </w:pPr>
      <w:bookmarkStart w:id="215" w:name="_Toc525912938"/>
      <w:bookmarkStart w:id="216" w:name="_Toc525912956"/>
      <w:r>
        <w:tab/>
        <w:t>[Heading inserted: Gazette 30 Oct 2018 p. 4338.]</w:t>
      </w:r>
    </w:p>
    <w:p>
      <w:pPr>
        <w:pStyle w:val="Heading5"/>
      </w:pPr>
      <w:bookmarkStart w:id="217" w:name="_Toc21435311"/>
      <w:bookmarkStart w:id="218" w:name="_Toc529877429"/>
      <w:r>
        <w:rPr>
          <w:rStyle w:val="CharSectno"/>
        </w:rPr>
        <w:t>58</w:t>
      </w:r>
      <w:r>
        <w:t>.</w:t>
      </w:r>
      <w:r>
        <w:tab/>
        <w:t>Terms used</w:t>
      </w:r>
      <w:bookmarkEnd w:id="217"/>
      <w:bookmarkEnd w:id="215"/>
      <w:bookmarkEnd w:id="216"/>
      <w:bookmarkEnd w:id="218"/>
    </w:p>
    <w:p>
      <w:pPr>
        <w:pStyle w:val="Subsection"/>
      </w:pPr>
      <w:r>
        <w:tab/>
      </w:r>
      <w:r>
        <w:tab/>
        <w:t xml:space="preserve">In this Part — </w:t>
      </w:r>
    </w:p>
    <w:p>
      <w:pPr>
        <w:pStyle w:val="Defstart"/>
      </w:pPr>
      <w:r>
        <w:tab/>
      </w:r>
      <w:r>
        <w:rPr>
          <w:rStyle w:val="CharDefText"/>
        </w:rPr>
        <w:t>allocation limit</w:t>
      </w:r>
      <w:r>
        <w:t>, of a water resource, means the annual volume of water that is, for the purposes of the Act, allocated for consumptive use;</w:t>
      </w:r>
    </w:p>
    <w:p>
      <w:pPr>
        <w:pStyle w:val="PermNoteHeading"/>
      </w:pPr>
      <w:r>
        <w:tab/>
        <w:t>Note for this definition:</w:t>
      </w:r>
    </w:p>
    <w:p>
      <w:pPr>
        <w:pStyle w:val="PermNoteText"/>
      </w:pPr>
      <w:r>
        <w:tab/>
      </w:r>
      <w:r>
        <w:tab/>
        <w:t>The allocation limit of a water resource is determined by the Department for the purposes of assessing applications for section 5C licences.</w:t>
      </w:r>
    </w:p>
    <w:p>
      <w:pPr>
        <w:pStyle w:val="Defstart"/>
      </w:pPr>
      <w:r>
        <w:tab/>
      </w:r>
      <w:r>
        <w:rPr>
          <w:rStyle w:val="CharDefText"/>
        </w:rPr>
        <w:t>allocation status</w:t>
      </w:r>
      <w:r>
        <w:t xml:space="preserve">, of a water resource at a particular time, means — </w:t>
      </w:r>
    </w:p>
    <w:p>
      <w:pPr>
        <w:pStyle w:val="Defpara"/>
      </w:pPr>
      <w:r>
        <w:tab/>
        <w:t>(a)</w:t>
      </w:r>
      <w:r>
        <w:tab/>
        <w:t>the proportion of the allocation limit for the water resource that can be taken under section 5C licences and other rights in effect at that time; or</w:t>
      </w:r>
    </w:p>
    <w:p>
      <w:pPr>
        <w:pStyle w:val="Defpara"/>
      </w:pPr>
      <w:r>
        <w:tab/>
        <w:t>(b)</w:t>
      </w:r>
      <w:r>
        <w:tab/>
        <w:t>that there is no allocation limit for the water resource at that time;</w:t>
      </w:r>
    </w:p>
    <w:p>
      <w:pPr>
        <w:pStyle w:val="Defstart"/>
      </w:pPr>
      <w:r>
        <w:tab/>
      </w:r>
      <w:r>
        <w:rPr>
          <w:rStyle w:val="CharDefText"/>
        </w:rPr>
        <w:t>applicable allocation status</w:t>
      </w:r>
      <w:r>
        <w:t xml:space="preserve">, of a water resource in relation to an application, means — </w:t>
      </w:r>
    </w:p>
    <w:p>
      <w:pPr>
        <w:pStyle w:val="Defpara"/>
      </w:pPr>
      <w:r>
        <w:tab/>
        <w:t>(a)</w:t>
      </w:r>
      <w:r>
        <w:tab/>
        <w:t>the allocation status of the water resource as published on the Department’s website on the day on which the application is made; or</w:t>
      </w:r>
    </w:p>
    <w:p>
      <w:pPr>
        <w:pStyle w:val="Defpara"/>
      </w:pPr>
      <w:r>
        <w:tab/>
        <w:t>(b)</w:t>
      </w:r>
      <w:r>
        <w:tab/>
        <w:t>if no allocation status is published on that day — the allocation status of the water resource most recently published on the website;</w:t>
      </w:r>
    </w:p>
    <w:p>
      <w:pPr>
        <w:pStyle w:val="Defstart"/>
      </w:pPr>
      <w:r>
        <w:tab/>
      </w:r>
      <w:r>
        <w:rPr>
          <w:rStyle w:val="CharDefText"/>
        </w:rPr>
        <w:t>application</w:t>
      </w:r>
      <w:r>
        <w:t xml:space="preserve"> means an application for — </w:t>
      </w:r>
    </w:p>
    <w:p>
      <w:pPr>
        <w:pStyle w:val="Defpara"/>
      </w:pPr>
      <w:r>
        <w:tab/>
        <w:t>(a)</w:t>
      </w:r>
      <w:r>
        <w:tab/>
        <w:t>the grant of a permit; or</w:t>
      </w:r>
    </w:p>
    <w:p>
      <w:pPr>
        <w:pStyle w:val="Defpara"/>
      </w:pPr>
      <w:r>
        <w:tab/>
        <w:t>(b)</w:t>
      </w:r>
      <w:r>
        <w:tab/>
        <w:t>the grant, renewal or amendment of a section 5C licence; or</w:t>
      </w:r>
    </w:p>
    <w:p>
      <w:pPr>
        <w:pStyle w:val="Defpara"/>
      </w:pPr>
      <w:r>
        <w:tab/>
        <w:t>(c)</w:t>
      </w:r>
      <w:r>
        <w:tab/>
        <w:t>the grant of a section 26D licence;</w:t>
      </w:r>
    </w:p>
    <w:p>
      <w:pPr>
        <w:pStyle w:val="Defstart"/>
      </w:pPr>
      <w:r>
        <w:tab/>
      </w:r>
      <w:r>
        <w:rPr>
          <w:rStyle w:val="CharDefText"/>
        </w:rPr>
        <w:t>consumptive use</w:t>
      </w:r>
      <w:r>
        <w:t xml:space="preserve"> means taking water under section 5C licences and other rights (including riparian rights and rights under other written laws);</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extraction operation</w:t>
      </w:r>
      <w:r>
        <w:t xml:space="preserve"> means an operation to remove any of the following from private land for the purpose of sale — </w:t>
      </w:r>
    </w:p>
    <w:p>
      <w:pPr>
        <w:pStyle w:val="Defpara"/>
      </w:pPr>
      <w:r>
        <w:tab/>
        <w:t>(a)</w:t>
      </w:r>
      <w:r>
        <w:tab/>
        <w:t>limestone, rock or gravel;</w:t>
      </w:r>
    </w:p>
    <w:p>
      <w:pPr>
        <w:pStyle w:val="Defpara"/>
      </w:pPr>
      <w:r>
        <w:tab/>
        <w:t>(b)</w:t>
      </w:r>
      <w:r>
        <w:tab/>
        <w:t>shale, other than oil shale;</w:t>
      </w:r>
    </w:p>
    <w:p>
      <w:pPr>
        <w:pStyle w:val="Defpara"/>
      </w:pPr>
      <w:r>
        <w:tab/>
        <w:t>(c)</w:t>
      </w:r>
      <w:r>
        <w:tab/>
        <w:t>sand, other than mineral sand, silica sand or garnet sand;</w:t>
      </w:r>
    </w:p>
    <w:p>
      <w:pPr>
        <w:pStyle w:val="Defpara"/>
      </w:pPr>
      <w:r>
        <w:tab/>
        <w:t>(d)</w:t>
      </w:r>
      <w:r>
        <w:tab/>
        <w:t>clay, other than kaolin, bentonite, attapulgite or montmorillonite;</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mining tenement</w:t>
      </w:r>
      <w:r>
        <w:t xml:space="preserve"> has the meaning given in the </w:t>
      </w:r>
      <w:r>
        <w:rPr>
          <w:i/>
        </w:rPr>
        <w:t>Mining Act 1978</w:t>
      </w:r>
      <w:r>
        <w:t xml:space="preserve"> section 8(1);</w:t>
      </w:r>
    </w:p>
    <w:p>
      <w:pPr>
        <w:pStyle w:val="Defstart"/>
      </w:pPr>
      <w:r>
        <w:tab/>
      </w:r>
      <w:r>
        <w:rPr>
          <w:rStyle w:val="CharDefText"/>
        </w:rPr>
        <w:t>petroleum operation</w:t>
      </w:r>
      <w:r>
        <w:t xml:space="preserve"> has the meaning given in the </w:t>
      </w:r>
      <w:r>
        <w:rPr>
          <w:i/>
        </w:rPr>
        <w:t>Petroleum and Geothermal Energy Resources Act 1967</w:t>
      </w:r>
      <w:r>
        <w:t xml:space="preserve"> section 5(1);</w:t>
      </w:r>
    </w:p>
    <w:p>
      <w:pPr>
        <w:pStyle w:val="Defstart"/>
      </w:pPr>
      <w:r>
        <w:tab/>
      </w:r>
      <w:r>
        <w:rPr>
          <w:rStyle w:val="CharDefText"/>
        </w:rPr>
        <w:t>petroleum pipeline licence</w:t>
      </w:r>
      <w:r>
        <w:t xml:space="preserve"> means a licence under the </w:t>
      </w:r>
      <w:r>
        <w:rPr>
          <w:i/>
        </w:rPr>
        <w:t>Petroleum Pipelines Act 1969</w:t>
      </w:r>
      <w:r>
        <w:t xml:space="preserve"> section 10;</w:t>
      </w:r>
    </w:p>
    <w:p>
      <w:pPr>
        <w:pStyle w:val="Defstart"/>
      </w:pPr>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p>
    <w:p>
      <w:pPr>
        <w:pStyle w:val="Defstart"/>
      </w:pPr>
      <w:r>
        <w:tab/>
      </w:r>
      <w:r>
        <w:rPr>
          <w:rStyle w:val="CharDefText"/>
        </w:rPr>
        <w:t>pipeline operation</w:t>
      </w:r>
      <w:r>
        <w:t xml:space="preserve"> has the meaning given in the </w:t>
      </w:r>
      <w:r>
        <w:rPr>
          <w:i/>
        </w:rPr>
        <w:t>Petroleum Pipelines Act 1969</w:t>
      </w:r>
      <w:r>
        <w:t xml:space="preserve"> section 4(1);</w:t>
      </w:r>
    </w:p>
    <w:p>
      <w:pPr>
        <w:pStyle w:val="Defstart"/>
      </w:pPr>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p>
    <w:p>
      <w:pPr>
        <w:pStyle w:val="Defstart"/>
      </w:pPr>
      <w:r>
        <w:tab/>
      </w:r>
      <w:r>
        <w:rPr>
          <w:rStyle w:val="CharDefText"/>
        </w:rPr>
        <w:t>section 5C licence</w:t>
      </w:r>
      <w:r>
        <w:t xml:space="preserve"> means a licence under section 5C;</w:t>
      </w:r>
    </w:p>
    <w:p>
      <w:pPr>
        <w:pStyle w:val="Defstart"/>
      </w:pPr>
      <w:r>
        <w:tab/>
      </w:r>
      <w:r>
        <w:rPr>
          <w:rStyle w:val="CharDefText"/>
        </w:rPr>
        <w:t>section 26D licence</w:t>
      </w:r>
      <w:r>
        <w:t xml:space="preserve"> means a licence under section 26D;</w:t>
      </w:r>
    </w:p>
    <w:p>
      <w:pPr>
        <w:pStyle w:val="Defstart"/>
      </w:pPr>
      <w:r>
        <w:tab/>
      </w:r>
      <w:r>
        <w:rPr>
          <w:rStyle w:val="CharDefText"/>
        </w:rPr>
        <w:t>water services licence</w:t>
      </w:r>
      <w:r>
        <w:t xml:space="preserve"> means a licence under the </w:t>
      </w:r>
      <w:r>
        <w:rPr>
          <w:i/>
        </w:rPr>
        <w:t>Water Services Act 2012</w:t>
      </w:r>
      <w:r>
        <w:t xml:space="preserve"> Part 2 Division 2;</w:t>
      </w:r>
    </w:p>
    <w:p>
      <w:pPr>
        <w:pStyle w:val="Defstart"/>
      </w:pPr>
      <w:r>
        <w:tab/>
      </w:r>
      <w:r>
        <w:rPr>
          <w:rStyle w:val="CharDefText"/>
        </w:rPr>
        <w:t>water supply service</w:t>
      </w:r>
      <w:r>
        <w:t xml:space="preserve"> has the meaning given in the </w:t>
      </w:r>
      <w:r>
        <w:rPr>
          <w:i/>
        </w:rPr>
        <w:t>Water Services Act 2012</w:t>
      </w:r>
      <w:r>
        <w:t xml:space="preserve"> section 3(1).</w:t>
      </w:r>
    </w:p>
    <w:p>
      <w:pPr>
        <w:pStyle w:val="Footnotesection"/>
      </w:pPr>
      <w:r>
        <w:tab/>
        <w:t>[Regulation 58 inserted: Gazette 30 Oct 2018 p. 4338-9.]</w:t>
      </w:r>
    </w:p>
    <w:p>
      <w:pPr>
        <w:pStyle w:val="Heading5"/>
      </w:pPr>
      <w:bookmarkStart w:id="219" w:name="_Toc21435312"/>
      <w:bookmarkStart w:id="220" w:name="_Toc525912939"/>
      <w:bookmarkStart w:id="221" w:name="_Toc525912957"/>
      <w:bookmarkStart w:id="222" w:name="_Toc529877430"/>
      <w:r>
        <w:rPr>
          <w:rStyle w:val="CharSectno"/>
        </w:rPr>
        <w:t>59</w:t>
      </w:r>
      <w:r>
        <w:t>.</w:t>
      </w:r>
      <w:r>
        <w:tab/>
        <w:t>Mining purposes and public water supply purposes</w:t>
      </w:r>
      <w:bookmarkEnd w:id="219"/>
      <w:bookmarkEnd w:id="220"/>
      <w:bookmarkEnd w:id="221"/>
      <w:bookmarkEnd w:id="222"/>
    </w:p>
    <w:p>
      <w:pPr>
        <w:pStyle w:val="Subsection"/>
      </w:pPr>
      <w:r>
        <w:tab/>
        <w:t>(1)</w:t>
      </w:r>
      <w:r>
        <w:tab/>
        <w:t>Water is taken for mining purposes or for public water supply purposes if the proposed use of the water is for mining purposes or for public water supply purposes.</w:t>
      </w:r>
    </w:p>
    <w:p>
      <w:pPr>
        <w:pStyle w:val="Subsection"/>
      </w:pPr>
      <w:r>
        <w:tab/>
        <w:t>(2)</w:t>
      </w:r>
      <w:r>
        <w:tab/>
        <w:t xml:space="preserve">Water is used for mining purposes if it is used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(3)</w:t>
      </w:r>
      <w:r>
        <w:tab/>
        <w:t xml:space="preserve">An activity is for mining purposes if it is carried out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(4)</w:t>
      </w:r>
      <w:r>
        <w:tab/>
        <w:t>Water is used for public water supply purposes if it is used by the holder of a water services licence in or in relation to the provision of a potable water supply service.</w:t>
      </w:r>
    </w:p>
    <w:p>
      <w:pPr>
        <w:pStyle w:val="Subsection"/>
      </w:pPr>
      <w:r>
        <w:tab/>
        <w:t>(5)</w:t>
      </w:r>
      <w:r>
        <w:tab/>
        <w:t>An activity is for public water supply purposes if it is carried out by or on behalf of the holder of a water services licence in or in relation to the provision of a potable water supply service.</w:t>
      </w:r>
    </w:p>
    <w:p>
      <w:pPr>
        <w:pStyle w:val="Footnotesection"/>
      </w:pPr>
      <w:bookmarkStart w:id="223" w:name="_Toc525912940"/>
      <w:bookmarkStart w:id="224" w:name="_Toc525912958"/>
      <w:r>
        <w:tab/>
        <w:t>[Regulation 59 inserted: Gazette 30 Oct 2018 p. 4339-40.]</w:t>
      </w:r>
    </w:p>
    <w:p>
      <w:pPr>
        <w:pStyle w:val="Heading5"/>
      </w:pPr>
      <w:bookmarkStart w:id="225" w:name="_Toc21435313"/>
      <w:bookmarkStart w:id="226" w:name="_Toc529877431"/>
      <w:r>
        <w:rPr>
          <w:rStyle w:val="CharSectno"/>
        </w:rPr>
        <w:t>60</w:t>
      </w:r>
      <w:r>
        <w:t>.</w:t>
      </w:r>
      <w:r>
        <w:tab/>
        <w:t>Fee for application for grant of permit</w:t>
      </w:r>
      <w:bookmarkEnd w:id="225"/>
      <w:bookmarkEnd w:id="223"/>
      <w:bookmarkEnd w:id="224"/>
      <w:bookmarkEnd w:id="226"/>
    </w:p>
    <w:p>
      <w:pPr>
        <w:pStyle w:val="Subsection"/>
      </w:pPr>
      <w:r>
        <w:tab/>
        <w:t>(1)</w:t>
      </w:r>
      <w:r>
        <w:tab/>
        <w:t xml:space="preserve">For the purposes of regulation 4(1)(c), the fee for an application for the grant of a permit is — </w:t>
      </w:r>
    </w:p>
    <w:p>
      <w:pPr>
        <w:pStyle w:val="Indenta"/>
      </w:pPr>
      <w:r>
        <w:tab/>
        <w:t>(a)</w:t>
      </w:r>
      <w:r>
        <w:tab/>
        <w:t>if the activity to be authorised by the permit is, to some extent, for mining purposes or for public water supply purposes (whether or not for the taking of water for such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jc w:val="center"/>
            </w:pPr>
            <w:r>
              <w:t>$2 477</w:t>
            </w:r>
          </w:p>
        </w:tc>
        <w:tc>
          <w:tcPr>
            <w:tcW w:w="2126" w:type="dxa"/>
          </w:tcPr>
          <w:p>
            <w:pPr>
              <w:pStyle w:val="TableNAm"/>
              <w:jc w:val="center"/>
            </w:pPr>
            <w:r>
              <w:t>$3 302</w:t>
            </w:r>
          </w:p>
        </w:tc>
        <w:tc>
          <w:tcPr>
            <w:tcW w:w="2127" w:type="dxa"/>
          </w:tcPr>
          <w:p>
            <w:pPr>
              <w:pStyle w:val="TableNAm"/>
              <w:jc w:val="center"/>
            </w:pPr>
            <w:r>
              <w:t>$4 128</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bookmarkStart w:id="227" w:name="_Toc525912941"/>
      <w:bookmarkStart w:id="228" w:name="_Toc525912959"/>
      <w:r>
        <w:tab/>
        <w:t>[Regulation 60 inserted: Gazette 30 Oct 2018 p. 4340-1.]</w:t>
      </w:r>
    </w:p>
    <w:p>
      <w:pPr>
        <w:pStyle w:val="Heading5"/>
      </w:pPr>
      <w:bookmarkStart w:id="229" w:name="_Toc21435314"/>
      <w:bookmarkStart w:id="230" w:name="_Toc529877432"/>
      <w:r>
        <w:rPr>
          <w:rStyle w:val="CharSectno"/>
        </w:rPr>
        <w:t>61</w:t>
      </w:r>
      <w:r>
        <w:t>.</w:t>
      </w:r>
      <w:r>
        <w:tab/>
        <w:t>Fee for application for grant, renewal or amendment of s. 5C licence</w:t>
      </w:r>
      <w:bookmarkEnd w:id="229"/>
      <w:bookmarkEnd w:id="227"/>
      <w:bookmarkEnd w:id="228"/>
      <w:bookmarkEnd w:id="230"/>
    </w:p>
    <w:p>
      <w:pPr>
        <w:pStyle w:val="Subsection"/>
      </w:pPr>
      <w:r>
        <w:tab/>
        <w:t>(1)</w:t>
      </w:r>
      <w:r>
        <w:tab/>
        <w:t xml:space="preserve">For the purposes of Schedule 1 clauses 4(1)(d), 22(1)(b) and 23(3) of the Act, the fee for an application for the grant, renewal or amendment of a section 5C licence is — </w:t>
      </w:r>
    </w:p>
    <w:p>
      <w:pPr>
        <w:pStyle w:val="Indenta"/>
      </w:pPr>
      <w:r>
        <w:tab/>
        <w:t>(a)</w:t>
      </w:r>
      <w:r>
        <w:tab/>
        <w:t>if the low volume exemption does not apply and at least some of the water to be taken under the licence is for mining purposes or for public water supply purposes — the fee worked out under subregulation (3); or</w:t>
      </w:r>
    </w:p>
    <w:p>
      <w:pPr>
        <w:pStyle w:val="Indenta"/>
      </w:pPr>
      <w:r>
        <w:tab/>
        <w:t>(b)</w:t>
      </w:r>
      <w:r>
        <w:tab/>
        <w:t>if the low volume exemption applies and at least some of the water to be taken under the licence is for mining purposes or for public water supply purposes — $200; or</w:t>
      </w:r>
    </w:p>
    <w:p>
      <w:pPr>
        <w:pStyle w:val="Indenta"/>
      </w:pPr>
      <w:r>
        <w:tab/>
        <w:t>(c)</w:t>
      </w:r>
      <w:r>
        <w:tab/>
        <w:t>otherwise — nil.</w:t>
      </w:r>
    </w:p>
    <w:p>
      <w:pPr>
        <w:pStyle w:val="Subsection"/>
      </w:pPr>
      <w:r>
        <w:tab/>
        <w:t>(2)</w:t>
      </w:r>
      <w:r>
        <w:tab/>
        <w:t>The low volume exemption applies in relation to an application if the maximum volume of water that may be taken under the licence, if granted, renewed or amended in accordance with the application, does not exceed 1 500 kL/annum.</w:t>
      </w:r>
    </w:p>
    <w:p>
      <w:pPr>
        <w:pStyle w:val="Subsection"/>
      </w:pPr>
      <w:r>
        <w:tab/>
        <w:t>(3)</w:t>
      </w:r>
      <w:r>
        <w:tab/>
        <w:t xml:space="preserve">The fee is — </w:t>
      </w:r>
    </w:p>
    <w:p>
      <w:pPr>
        <w:pStyle w:val="Indenta"/>
      </w:pPr>
      <w:r>
        <w:tab/>
        <w:t>(a)</w:t>
      </w:r>
      <w:r>
        <w:tab/>
        <w:t>if the application is for the grant of a licence — the applicable fee set out in item 1 of the Table according to the assessment level applicable to the water resource in respect of which the application is made; or</w:t>
      </w:r>
    </w:p>
    <w:p>
      <w:pPr>
        <w:pStyle w:val="Indenta"/>
      </w:pPr>
      <w:r>
        <w:tab/>
        <w:t>(b)</w:t>
      </w:r>
      <w:r>
        <w:tab/>
        <w:t>if the application is for the renewal of the licence — the applicable fee set out in item 2 of the Table according to the assessment level applicable to the water resource in respect of which the application is made; or</w:t>
      </w:r>
    </w:p>
    <w:p>
      <w:pPr>
        <w:pStyle w:val="Indenta"/>
      </w:pPr>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trPr>
        <w:tc>
          <w:tcPr>
            <w:tcW w:w="709" w:type="dxa"/>
            <w:vMerge w:val="restart"/>
          </w:tcPr>
          <w:p>
            <w:pPr>
              <w:pStyle w:val="TableNAm"/>
              <w:jc w:val="center"/>
            </w:pPr>
            <w:r>
              <w:rPr>
                <w:b/>
                <w:bCs/>
              </w:rPr>
              <w:t>Item</w:t>
            </w:r>
          </w:p>
        </w:tc>
        <w:tc>
          <w:tcPr>
            <w:tcW w:w="2551" w:type="dxa"/>
            <w:vMerge w:val="restart"/>
          </w:tcPr>
          <w:p>
            <w:pPr>
              <w:pStyle w:val="TableNAm"/>
              <w:jc w:val="center"/>
            </w:pPr>
            <w:r>
              <w:rPr>
                <w:b/>
                <w:bCs/>
              </w:rPr>
              <w:t>Type of application</w:t>
            </w:r>
          </w:p>
        </w:tc>
        <w:tc>
          <w:tcPr>
            <w:tcW w:w="3119" w:type="dxa"/>
            <w:gridSpan w:val="3"/>
          </w:tcPr>
          <w:p>
            <w:pPr>
              <w:pStyle w:val="TableNAm"/>
              <w:jc w:val="center"/>
            </w:pPr>
            <w:r>
              <w:rPr>
                <w:b/>
                <w:bCs/>
              </w:rPr>
              <w:t>Assessment level</w:t>
            </w:r>
          </w:p>
        </w:tc>
      </w:tr>
      <w:tr>
        <w:tc>
          <w:tcPr>
            <w:tcW w:w="709" w:type="dxa"/>
            <w:vMerge/>
          </w:tcPr>
          <w:p>
            <w:pPr>
              <w:pStyle w:val="zTableNAm"/>
              <w:jc w:val="center"/>
            </w:pPr>
          </w:p>
        </w:tc>
        <w:tc>
          <w:tcPr>
            <w:tcW w:w="2551" w:type="dxa"/>
            <w:vMerge/>
          </w:tcPr>
          <w:p>
            <w:pPr>
              <w:pStyle w:val="zTableNAm"/>
              <w:jc w:val="center"/>
            </w:pPr>
          </w:p>
        </w:tc>
        <w:tc>
          <w:tcPr>
            <w:tcW w:w="1039" w:type="dxa"/>
          </w:tcPr>
          <w:p>
            <w:pPr>
              <w:pStyle w:val="TableNAm"/>
              <w:jc w:val="center"/>
            </w:pPr>
            <w:r>
              <w:t>low</w:t>
            </w:r>
          </w:p>
        </w:tc>
        <w:tc>
          <w:tcPr>
            <w:tcW w:w="1040" w:type="dxa"/>
          </w:tcPr>
          <w:p>
            <w:pPr>
              <w:pStyle w:val="TableNAm"/>
              <w:jc w:val="center"/>
            </w:pPr>
            <w:r>
              <w:t>medium</w:t>
            </w:r>
          </w:p>
        </w:tc>
        <w:tc>
          <w:tcPr>
            <w:tcW w:w="1040" w:type="dxa"/>
          </w:tcPr>
          <w:p>
            <w:pPr>
              <w:pStyle w:val="TableNAm"/>
              <w:jc w:val="center"/>
            </w:pPr>
            <w:r>
              <w:t>high</w:t>
            </w:r>
          </w:p>
        </w:tc>
      </w:tr>
      <w:tr>
        <w:tc>
          <w:tcPr>
            <w:tcW w:w="709" w:type="dxa"/>
          </w:tcPr>
          <w:p>
            <w:pPr>
              <w:pStyle w:val="TableNAm"/>
            </w:pPr>
            <w:r>
              <w:t>1.</w:t>
            </w:r>
          </w:p>
        </w:tc>
        <w:tc>
          <w:tcPr>
            <w:tcW w:w="2551" w:type="dxa"/>
          </w:tcPr>
          <w:p>
            <w:pPr>
              <w:pStyle w:val="TableNAm"/>
            </w:pPr>
            <w:r>
              <w:t>new licence</w:t>
            </w:r>
          </w:p>
        </w:tc>
        <w:tc>
          <w:tcPr>
            <w:tcW w:w="1039" w:type="dxa"/>
          </w:tcPr>
          <w:p>
            <w:pPr>
              <w:pStyle w:val="TableNAm"/>
              <w:jc w:val="center"/>
            </w:pPr>
            <w:r>
              <w:t>$5 357</w:t>
            </w:r>
          </w:p>
        </w:tc>
        <w:tc>
          <w:tcPr>
            <w:tcW w:w="1040" w:type="dxa"/>
          </w:tcPr>
          <w:p>
            <w:pPr>
              <w:pStyle w:val="TableNAm"/>
              <w:jc w:val="center"/>
            </w:pPr>
            <w:r>
              <w:t>$7 143</w:t>
            </w:r>
          </w:p>
        </w:tc>
        <w:tc>
          <w:tcPr>
            <w:tcW w:w="1040" w:type="dxa"/>
          </w:tcPr>
          <w:p>
            <w:pPr>
              <w:pStyle w:val="TableNAm"/>
              <w:jc w:val="center"/>
            </w:pPr>
            <w:r>
              <w:t>$8 929</w:t>
            </w:r>
          </w:p>
        </w:tc>
      </w:tr>
      <w:tr>
        <w:tc>
          <w:tcPr>
            <w:tcW w:w="709" w:type="dxa"/>
          </w:tcPr>
          <w:p>
            <w:pPr>
              <w:pStyle w:val="TableNAm"/>
            </w:pPr>
            <w:r>
              <w:t>2.</w:t>
            </w:r>
          </w:p>
        </w:tc>
        <w:tc>
          <w:tcPr>
            <w:tcW w:w="2551" w:type="dxa"/>
          </w:tcPr>
          <w:p>
            <w:pPr>
              <w:pStyle w:val="TableNAm"/>
            </w:pPr>
            <w:r>
              <w:t>renewal of licence</w:t>
            </w:r>
          </w:p>
        </w:tc>
        <w:tc>
          <w:tcPr>
            <w:tcW w:w="1039" w:type="dxa"/>
          </w:tcPr>
          <w:p>
            <w:pPr>
              <w:pStyle w:val="TableNAm"/>
              <w:jc w:val="center"/>
            </w:pPr>
            <w:r>
              <w:t>$4 001</w:t>
            </w:r>
          </w:p>
        </w:tc>
        <w:tc>
          <w:tcPr>
            <w:tcW w:w="1040" w:type="dxa"/>
          </w:tcPr>
          <w:p>
            <w:pPr>
              <w:pStyle w:val="TableNAm"/>
              <w:jc w:val="center"/>
            </w:pPr>
            <w:r>
              <w:t>$5 335</w:t>
            </w:r>
          </w:p>
        </w:tc>
        <w:tc>
          <w:tcPr>
            <w:tcW w:w="1040" w:type="dxa"/>
          </w:tcPr>
          <w:p>
            <w:pPr>
              <w:pStyle w:val="TableNAm"/>
              <w:jc w:val="center"/>
            </w:pPr>
            <w:r>
              <w:t>$6 668</w:t>
            </w:r>
          </w:p>
        </w:tc>
      </w:tr>
      <w:tr>
        <w:tc>
          <w:tcPr>
            <w:tcW w:w="709" w:type="dxa"/>
          </w:tcPr>
          <w:p>
            <w:pPr>
              <w:pStyle w:val="TableNAm"/>
            </w:pPr>
            <w:r>
              <w:t>3.</w:t>
            </w:r>
          </w:p>
        </w:tc>
        <w:tc>
          <w:tcPr>
            <w:tcW w:w="2551" w:type="dxa"/>
          </w:tcPr>
          <w:p>
            <w:pPr>
              <w:pStyle w:val="TableNAm"/>
            </w:pPr>
            <w:r>
              <w:t>amendment of licence</w:t>
            </w:r>
          </w:p>
        </w:tc>
        <w:tc>
          <w:tcPr>
            <w:tcW w:w="1039" w:type="dxa"/>
          </w:tcPr>
          <w:p>
            <w:pPr>
              <w:pStyle w:val="TableNAm"/>
              <w:jc w:val="center"/>
            </w:pPr>
            <w:r>
              <w:t>$4 407</w:t>
            </w:r>
          </w:p>
        </w:tc>
        <w:tc>
          <w:tcPr>
            <w:tcW w:w="1040" w:type="dxa"/>
          </w:tcPr>
          <w:p>
            <w:pPr>
              <w:pStyle w:val="TableNAm"/>
              <w:jc w:val="center"/>
            </w:pPr>
            <w:r>
              <w:t>$5 876</w:t>
            </w:r>
          </w:p>
        </w:tc>
        <w:tc>
          <w:tcPr>
            <w:tcW w:w="1040" w:type="dxa"/>
          </w:tcPr>
          <w:p>
            <w:pPr>
              <w:pStyle w:val="TableNAm"/>
              <w:jc w:val="center"/>
            </w:pPr>
            <w:r>
              <w:t>$7 345</w:t>
            </w:r>
          </w:p>
        </w:tc>
      </w:tr>
    </w:tbl>
    <w:p>
      <w:pPr>
        <w:pStyle w:val="Subsection"/>
      </w:pPr>
      <w:r>
        <w:tab/>
        <w:t>(4)</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907"/>
        <w:gridCol w:w="1049"/>
        <w:gridCol w:w="1049"/>
        <w:gridCol w:w="1049"/>
        <w:gridCol w:w="1049"/>
      </w:tblGrid>
      <w:tr>
        <w:trPr>
          <w:cantSplit/>
          <w:tblHeader/>
        </w:trPr>
        <w:tc>
          <w:tcPr>
            <w:tcW w:w="1417" w:type="dxa"/>
            <w:vMerge w:val="restart"/>
          </w:tcPr>
          <w:p>
            <w:pPr>
              <w:pStyle w:val="TableNAm"/>
              <w:jc w:val="center"/>
            </w:pPr>
            <w:r>
              <w:rPr>
                <w:b/>
                <w:bCs/>
              </w:rPr>
              <w:t>Volume</w:t>
            </w:r>
          </w:p>
        </w:tc>
        <w:tc>
          <w:tcPr>
            <w:tcW w:w="5103" w:type="dxa"/>
            <w:gridSpan w:val="5"/>
          </w:tcPr>
          <w:p>
            <w:pPr>
              <w:pStyle w:val="TableNAm"/>
              <w:jc w:val="center"/>
            </w:pPr>
            <w:r>
              <w:rPr>
                <w:b/>
                <w:bCs/>
              </w:rPr>
              <w:t>Applicable allocation status of water resource</w:t>
            </w:r>
          </w:p>
        </w:tc>
      </w:tr>
      <w:tr>
        <w:trPr>
          <w:cantSplit/>
        </w:trPr>
        <w:tc>
          <w:tcPr>
            <w:tcW w:w="1417" w:type="dxa"/>
            <w:vMerge/>
          </w:tcPr>
          <w:p>
            <w:pPr>
              <w:pStyle w:val="zTableNAm"/>
            </w:pPr>
          </w:p>
        </w:tc>
        <w:tc>
          <w:tcPr>
            <w:tcW w:w="907" w:type="dxa"/>
          </w:tcPr>
          <w:p>
            <w:pPr>
              <w:pStyle w:val="TableNAm"/>
              <w:jc w:val="center"/>
            </w:pPr>
            <w:r>
              <w:t>≤</w:t>
            </w:r>
            <w:r>
              <w:rPr>
                <w:sz w:val="16"/>
                <w:szCs w:val="16"/>
              </w:rPr>
              <w:t>  </w:t>
            </w:r>
            <w:r>
              <w:t>30%</w:t>
            </w:r>
          </w:p>
        </w:tc>
        <w:tc>
          <w:tcPr>
            <w:tcW w:w="1049" w:type="dxa"/>
          </w:tcPr>
          <w:p>
            <w:pPr>
              <w:pStyle w:val="TableNAm"/>
              <w:jc w:val="center"/>
            </w:pPr>
            <w:r>
              <w:t>&gt; 30% but ≤</w:t>
            </w:r>
            <w:r>
              <w:rPr>
                <w:sz w:val="16"/>
                <w:szCs w:val="16"/>
              </w:rPr>
              <w:t>  </w:t>
            </w:r>
            <w:r>
              <w:t>70%</w:t>
            </w:r>
          </w:p>
        </w:tc>
        <w:tc>
          <w:tcPr>
            <w:tcW w:w="1049" w:type="dxa"/>
          </w:tcPr>
          <w:p>
            <w:pPr>
              <w:pStyle w:val="TableNAm"/>
              <w:jc w:val="center"/>
            </w:pPr>
            <w:r>
              <w:t>&gt; 70% but ≤</w:t>
            </w:r>
            <w:r>
              <w:rPr>
                <w:sz w:val="16"/>
                <w:szCs w:val="16"/>
              </w:rPr>
              <w:t>  </w:t>
            </w:r>
            <w:r>
              <w:t>100%</w:t>
            </w:r>
          </w:p>
        </w:tc>
        <w:tc>
          <w:tcPr>
            <w:tcW w:w="1049" w:type="dxa"/>
          </w:tcPr>
          <w:p>
            <w:pPr>
              <w:pStyle w:val="TableNAm"/>
              <w:jc w:val="center"/>
            </w:pPr>
            <w:r>
              <w:t>&gt; 100%</w:t>
            </w:r>
          </w:p>
        </w:tc>
        <w:tc>
          <w:tcPr>
            <w:tcW w:w="1049" w:type="dxa"/>
          </w:tcPr>
          <w:p>
            <w:pPr>
              <w:pStyle w:val="TableNAm"/>
              <w:jc w:val="center"/>
            </w:pPr>
            <w:r>
              <w:t xml:space="preserve">no </w:t>
            </w:r>
            <w:r>
              <w:rPr>
                <w:spacing w:val="-12"/>
                <w:kern w:val="24"/>
              </w:rPr>
              <w:t>allocation</w:t>
            </w:r>
            <w:r>
              <w:t xml:space="preserve"> limit</w:t>
            </w:r>
          </w:p>
        </w:tc>
      </w:tr>
      <w:tr>
        <w:trPr>
          <w:cantSplit/>
        </w:trPr>
        <w:tc>
          <w:tcPr>
            <w:tcW w:w="1417" w:type="dxa"/>
          </w:tcPr>
          <w:p>
            <w:pPr>
              <w:pStyle w:val="TableNAm"/>
            </w:pPr>
            <w:r>
              <w:t>&lt; 50 000 kL/annum</w:t>
            </w:r>
          </w:p>
        </w:tc>
        <w:tc>
          <w:tcPr>
            <w:tcW w:w="907" w:type="dxa"/>
          </w:tcPr>
          <w:p>
            <w:pPr>
              <w:pStyle w:val="TableNAm"/>
              <w:jc w:val="center"/>
            </w:pPr>
            <w:r>
              <w:t>low</w:t>
            </w:r>
          </w:p>
        </w:tc>
        <w:tc>
          <w:tcPr>
            <w:tcW w:w="1049"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50 000 but &lt; 500 000 kL/annum</w:t>
            </w:r>
          </w:p>
        </w:tc>
        <w:tc>
          <w:tcPr>
            <w:tcW w:w="907"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500 000 kL/annum</w:t>
            </w:r>
          </w:p>
        </w:tc>
        <w:tc>
          <w:tcPr>
            <w:tcW w:w="907"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more than or equal to</w:t>
      </w:r>
    </w:p>
    <w:p>
      <w:pPr>
        <w:pStyle w:val="PermNoteText"/>
      </w:pPr>
      <w:r>
        <w:tab/>
      </w:r>
      <w:r>
        <w:tab/>
        <w:t>&lt;</w:t>
      </w:r>
      <w:r>
        <w:tab/>
        <w:t>signifies less than</w:t>
      </w:r>
    </w:p>
    <w:p>
      <w:pPr>
        <w:pStyle w:val="PermNoteText"/>
      </w:pPr>
      <w:r>
        <w:tab/>
      </w:r>
      <w:r>
        <w:tab/>
        <w:t>≤</w:t>
      </w:r>
      <w:r>
        <w:tab/>
        <w:t>signifies less than or equal to</w:t>
      </w:r>
    </w:p>
    <w:p>
      <w:pPr>
        <w:pStyle w:val="Subsection"/>
      </w:pPr>
      <w:r>
        <w:tab/>
        <w:t>(5)</w:t>
      </w:r>
      <w:r>
        <w:tab/>
        <w:t xml:space="preserve">For the purposes of the Table to subregulation (4) — </w:t>
      </w:r>
    </w:p>
    <w:p>
      <w:pPr>
        <w:pStyle w:val="Defstart"/>
      </w:pPr>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p>
    <w:p>
      <w:pPr>
        <w:pStyle w:val="Footnotesection"/>
      </w:pPr>
      <w:bookmarkStart w:id="231" w:name="_Toc525912942"/>
      <w:bookmarkStart w:id="232" w:name="_Toc525912960"/>
      <w:r>
        <w:tab/>
        <w:t>[Regulation 61 inserted: Gazette 30 Oct 2018 p. 4341-3.]</w:t>
      </w:r>
    </w:p>
    <w:p>
      <w:pPr>
        <w:pStyle w:val="Heading5"/>
      </w:pPr>
      <w:bookmarkStart w:id="233" w:name="_Toc21435315"/>
      <w:bookmarkStart w:id="234" w:name="_Toc529877433"/>
      <w:r>
        <w:rPr>
          <w:rStyle w:val="CharSectno"/>
        </w:rPr>
        <w:t>62</w:t>
      </w:r>
      <w:r>
        <w:t>.</w:t>
      </w:r>
      <w:r>
        <w:tab/>
        <w:t>Fee for application for grant of s. 26D licence</w:t>
      </w:r>
      <w:bookmarkEnd w:id="233"/>
      <w:bookmarkEnd w:id="231"/>
      <w:bookmarkEnd w:id="232"/>
      <w:bookmarkEnd w:id="234"/>
    </w:p>
    <w:p>
      <w:pPr>
        <w:pStyle w:val="Subsection"/>
      </w:pPr>
      <w:r>
        <w:tab/>
        <w:t>(1)</w:t>
      </w:r>
      <w:r>
        <w:tab/>
        <w:t xml:space="preserve">For the purposes of regulation 33(2)(d), the fee for an application for the grant of a section 26D licence is — </w:t>
      </w:r>
    </w:p>
    <w:p>
      <w:pPr>
        <w:pStyle w:val="Indenta"/>
      </w:pPr>
      <w:r>
        <w:tab/>
        <w:t>(a)</w:t>
      </w:r>
      <w:r>
        <w:tab/>
        <w:t>if the proposed use of the water is, to some extent, for mining purposes or for public water supply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keepLines/>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keepNext/>
              <w:keepLines/>
              <w:jc w:val="center"/>
            </w:pPr>
            <w:r>
              <w:rPr>
                <w:b/>
                <w:bCs/>
              </w:rPr>
              <w:t>Assessment level</w:t>
            </w:r>
          </w:p>
        </w:tc>
      </w:tr>
      <w:tr>
        <w:tc>
          <w:tcPr>
            <w:tcW w:w="2126" w:type="dxa"/>
          </w:tcPr>
          <w:p>
            <w:pPr>
              <w:pStyle w:val="TableNAm"/>
              <w:keepNext/>
              <w:keepLines/>
              <w:jc w:val="center"/>
            </w:pPr>
            <w:r>
              <w:t>low</w:t>
            </w:r>
          </w:p>
        </w:tc>
        <w:tc>
          <w:tcPr>
            <w:tcW w:w="2126" w:type="dxa"/>
          </w:tcPr>
          <w:p>
            <w:pPr>
              <w:pStyle w:val="TableNAm"/>
              <w:keepNext/>
              <w:keepLines/>
              <w:jc w:val="center"/>
            </w:pPr>
            <w:r>
              <w:t>medium</w:t>
            </w:r>
          </w:p>
        </w:tc>
        <w:tc>
          <w:tcPr>
            <w:tcW w:w="2127" w:type="dxa"/>
          </w:tcPr>
          <w:p>
            <w:pPr>
              <w:pStyle w:val="TableNAm"/>
              <w:keepNext/>
              <w:keepLines/>
              <w:jc w:val="center"/>
            </w:pPr>
            <w:r>
              <w:t>high</w:t>
            </w:r>
          </w:p>
        </w:tc>
      </w:tr>
      <w:tr>
        <w:tc>
          <w:tcPr>
            <w:tcW w:w="2126" w:type="dxa"/>
          </w:tcPr>
          <w:p>
            <w:pPr>
              <w:pStyle w:val="TableNAm"/>
              <w:jc w:val="center"/>
            </w:pPr>
            <w:r>
              <w:t>$172</w:t>
            </w:r>
          </w:p>
        </w:tc>
        <w:tc>
          <w:tcPr>
            <w:tcW w:w="2126" w:type="dxa"/>
          </w:tcPr>
          <w:p>
            <w:pPr>
              <w:pStyle w:val="TableNAm"/>
              <w:jc w:val="center"/>
            </w:pPr>
            <w:r>
              <w:t>$215</w:t>
            </w:r>
          </w:p>
        </w:tc>
        <w:tc>
          <w:tcPr>
            <w:tcW w:w="2127" w:type="dxa"/>
          </w:tcPr>
          <w:p>
            <w:pPr>
              <w:pStyle w:val="TableNAm"/>
              <w:jc w:val="center"/>
            </w:pPr>
            <w:r>
              <w:t>$269</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bookmarkStart w:id="235" w:name="_Toc525912943"/>
      <w:bookmarkStart w:id="236" w:name="_Toc525912961"/>
      <w:r>
        <w:tab/>
        <w:t>[Regulation 62 inserted: Gazette 30 Oct 2018 p. 4343.]</w:t>
      </w:r>
    </w:p>
    <w:p>
      <w:pPr>
        <w:pStyle w:val="Heading5"/>
      </w:pPr>
      <w:bookmarkStart w:id="237" w:name="_Toc21435316"/>
      <w:bookmarkStart w:id="238" w:name="_Toc529877434"/>
      <w:r>
        <w:rPr>
          <w:rStyle w:val="CharSectno"/>
        </w:rPr>
        <w:t>63</w:t>
      </w:r>
      <w:r>
        <w:t>.</w:t>
      </w:r>
      <w:r>
        <w:tab/>
        <w:t>Publication of applicable allocation status of water resources</w:t>
      </w:r>
      <w:bookmarkEnd w:id="237"/>
      <w:bookmarkEnd w:id="235"/>
      <w:bookmarkEnd w:id="236"/>
      <w:bookmarkEnd w:id="238"/>
    </w:p>
    <w:p>
      <w:pPr>
        <w:pStyle w:val="Subsection"/>
      </w:pPr>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p>
    <w:p>
      <w:pPr>
        <w:pStyle w:val="Footnotesection"/>
      </w:pPr>
      <w:bookmarkStart w:id="239" w:name="_Toc525912944"/>
      <w:bookmarkStart w:id="240" w:name="_Toc525912962"/>
      <w:r>
        <w:tab/>
        <w:t>[Regulation 63 inserted: Gazette 30 Oct 2018 p. 4343-4.]</w:t>
      </w:r>
    </w:p>
    <w:p>
      <w:pPr>
        <w:pStyle w:val="Heading5"/>
      </w:pPr>
      <w:bookmarkStart w:id="241" w:name="_Toc21435317"/>
      <w:bookmarkStart w:id="242" w:name="_Toc529877435"/>
      <w:r>
        <w:rPr>
          <w:rStyle w:val="CharSectno"/>
        </w:rPr>
        <w:t>64</w:t>
      </w:r>
      <w:r>
        <w:t>.</w:t>
      </w:r>
      <w:r>
        <w:tab/>
        <w:t>Fee waiver, reduction or refund</w:t>
      </w:r>
      <w:bookmarkEnd w:id="241"/>
      <w:bookmarkEnd w:id="239"/>
      <w:bookmarkEnd w:id="240"/>
      <w:bookmarkEnd w:id="242"/>
    </w:p>
    <w:p>
      <w:pPr>
        <w:pStyle w:val="Subsection"/>
      </w:pPr>
      <w:r>
        <w:tab/>
      </w:r>
      <w:r>
        <w:tab/>
        <w:t>The CEO may, in a particular case, refund, reduce or waive, in whole or in part, a fee paid or payable under this Part if the CEO considers it appropriate to do so.</w:t>
      </w:r>
    </w:p>
    <w:p>
      <w:pPr>
        <w:pStyle w:val="Footnotesection"/>
      </w:pPr>
      <w:r>
        <w:tab/>
        <w:t>[Regulation 64 inserted: Gazette 30 Oct 2018 p. 4344.]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3" w:name="_Toc21355068"/>
      <w:bookmarkStart w:id="244" w:name="_Toc21356501"/>
      <w:bookmarkStart w:id="245" w:name="_Toc21435318"/>
      <w:bookmarkStart w:id="246" w:name="_Toc529872477"/>
      <w:bookmarkStart w:id="247" w:name="_Toc529872806"/>
      <w:bookmarkStart w:id="248" w:name="_Toc529876723"/>
      <w:bookmarkStart w:id="249" w:name="_Toc529877436"/>
      <w:r>
        <w:rPr>
          <w:rStyle w:val="CharSchNo"/>
        </w:rPr>
        <w:t>Schedule 1</w:t>
      </w:r>
      <w:r>
        <w:t xml:space="preserve"> — </w:t>
      </w:r>
      <w:r>
        <w:rPr>
          <w:rStyle w:val="CharSchText"/>
        </w:rPr>
        <w:t>Fees</w:t>
      </w:r>
      <w:bookmarkEnd w:id="243"/>
      <w:bookmarkEnd w:id="244"/>
      <w:bookmarkEnd w:id="245"/>
      <w:bookmarkEnd w:id="246"/>
      <w:bookmarkEnd w:id="247"/>
      <w:bookmarkEnd w:id="248"/>
      <w:bookmarkEnd w:id="249"/>
    </w:p>
    <w:p>
      <w:pPr>
        <w:pStyle w:val="yHeading2"/>
        <w:spacing w:after="120"/>
      </w:pPr>
      <w:bookmarkStart w:id="250" w:name="_Toc21355069"/>
      <w:bookmarkStart w:id="251" w:name="_Toc21356502"/>
      <w:bookmarkStart w:id="252" w:name="_Toc21435319"/>
      <w:bookmarkStart w:id="253" w:name="_Toc529872478"/>
      <w:bookmarkStart w:id="254" w:name="_Toc529872807"/>
      <w:bookmarkStart w:id="255" w:name="_Toc529876724"/>
      <w:bookmarkStart w:id="256" w:name="_Toc529877437"/>
      <w:r>
        <w:rPr>
          <w:rStyle w:val="CharSDivNo"/>
        </w:rPr>
        <w:t>Part 1</w:t>
      </w:r>
      <w:r>
        <w:t xml:space="preserve"> — </w:t>
      </w:r>
      <w:r>
        <w:rPr>
          <w:rStyle w:val="CharSDivText"/>
        </w:rPr>
        <w:t>Fees relating to licences and permits</w:t>
      </w:r>
      <w:bookmarkEnd w:id="250"/>
      <w:bookmarkEnd w:id="251"/>
      <w:bookmarkEnd w:id="252"/>
      <w:bookmarkEnd w:id="253"/>
      <w:bookmarkEnd w:id="254"/>
      <w:bookmarkEnd w:id="255"/>
      <w:bookmarkEnd w:id="256"/>
    </w:p>
    <w:p>
      <w:pPr>
        <w:pStyle w:val="yFootnotesection"/>
      </w:pPr>
      <w:r>
        <w:tab/>
        <w:t>[Heading inserted as Division 1: Gazette 28 Dec 2007 p. 6430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Gazette 17 Dec 2002 p. 5917</w:t>
      </w:r>
      <w:r>
        <w:noBreakHyphen/>
        <w:t>18; 22 Jun 2007 p. 2882-3 (disallowed: Gazette 27 Nov 2007 p. 5910); Part 1 inserted as Division 1: Gazette 28 Dec 2007 p. 6430-1 (disallowed: Gazette 11 Apr 2008 p. 1396); 16 Dec 2014 p. 4766.]</w:t>
      </w:r>
    </w:p>
    <w:p>
      <w:pPr>
        <w:pStyle w:val="yHeading2"/>
        <w:pageBreakBefore/>
        <w:spacing w:before="480" w:after="120"/>
      </w:pPr>
      <w:bookmarkStart w:id="257" w:name="_Toc21355070"/>
      <w:bookmarkStart w:id="258" w:name="_Toc21356503"/>
      <w:bookmarkStart w:id="259" w:name="_Toc21435320"/>
      <w:bookmarkStart w:id="260" w:name="_Toc529872479"/>
      <w:bookmarkStart w:id="261" w:name="_Toc529872808"/>
      <w:bookmarkStart w:id="262" w:name="_Toc529876725"/>
      <w:bookmarkStart w:id="263" w:name="_Toc529877438"/>
      <w:r>
        <w:rPr>
          <w:rStyle w:val="CharSDivNo"/>
        </w:rPr>
        <w:t>Part 2</w:t>
      </w:r>
      <w:r>
        <w:t xml:space="preserve"> — </w:t>
      </w:r>
      <w:r>
        <w:rPr>
          <w:rStyle w:val="CharSDivText"/>
        </w:rPr>
        <w:t>Registration of instruments in the register and access to the register</w:t>
      </w:r>
      <w:bookmarkEnd w:id="257"/>
      <w:bookmarkEnd w:id="258"/>
      <w:bookmarkEnd w:id="259"/>
      <w:bookmarkEnd w:id="260"/>
      <w:bookmarkEnd w:id="261"/>
      <w:bookmarkEnd w:id="262"/>
      <w:bookmarkEnd w:id="263"/>
    </w:p>
    <w:p>
      <w:pPr>
        <w:pStyle w:val="yFootnotesection"/>
      </w:pPr>
      <w:r>
        <w:tab/>
        <w:t>[Heading amended: Gazette 22 Jun 2007 p. 2883 (disallowed: Gazette 27 Nov 2007 p. 5910); Part 2 heading inserted as Division 2: Gazette 28 Dec 2007 p. 6431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Gazette 30 Dec 2004 p. 7000.]</w:t>
      </w:r>
    </w:p>
    <w:p>
      <w:pPr>
        <w:pStyle w:val="yScheduleHeading"/>
      </w:pPr>
      <w:bookmarkStart w:id="264" w:name="_Toc21355071"/>
      <w:bookmarkStart w:id="265" w:name="_Toc21356504"/>
      <w:bookmarkStart w:id="266" w:name="_Toc21435321"/>
      <w:bookmarkStart w:id="267" w:name="_Toc529872480"/>
      <w:bookmarkStart w:id="268" w:name="_Toc529872809"/>
      <w:bookmarkStart w:id="269" w:name="_Toc529876726"/>
      <w:bookmarkStart w:id="270" w:name="_Toc529877439"/>
      <w:r>
        <w:rPr>
          <w:rStyle w:val="CharSchNo"/>
        </w:rPr>
        <w:t>Schedule 2</w:t>
      </w:r>
      <w:r>
        <w:rPr>
          <w:rStyle w:val="CharSDivNo"/>
        </w:rPr>
        <w:t> </w:t>
      </w:r>
      <w:r>
        <w:t>—</w:t>
      </w:r>
      <w:r>
        <w:rPr>
          <w:rStyle w:val="CharSDivText"/>
        </w:rPr>
        <w:t> </w:t>
      </w:r>
      <w:r>
        <w:rPr>
          <w:rStyle w:val="CharSchText"/>
        </w:rPr>
        <w:t>Prescribed offences and modified penalties</w:t>
      </w:r>
      <w:bookmarkEnd w:id="264"/>
      <w:bookmarkEnd w:id="265"/>
      <w:bookmarkEnd w:id="266"/>
      <w:bookmarkEnd w:id="267"/>
      <w:bookmarkEnd w:id="268"/>
      <w:bookmarkEnd w:id="269"/>
      <w:bookmarkEnd w:id="270"/>
    </w:p>
    <w:p>
      <w:pPr>
        <w:pStyle w:val="yShoulderClause"/>
      </w:pPr>
      <w:r>
        <w:t>[r. 50 and 51]</w:t>
      </w:r>
    </w:p>
    <w:p>
      <w:pPr>
        <w:pStyle w:val="yFootnoteheading"/>
        <w:spacing w:after="80"/>
      </w:pPr>
      <w:r>
        <w:tab/>
        <w:t>[Heading inserted: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Gazette 5 Sep 2006 p. 3624; amended: Gazette 20 Feb 2018 p. 499.]</w:t>
      </w:r>
    </w:p>
    <w:p>
      <w:pPr>
        <w:pStyle w:val="yScheduleHeading"/>
      </w:pPr>
      <w:bookmarkStart w:id="271" w:name="_Toc21355072"/>
      <w:bookmarkStart w:id="272" w:name="_Toc21356505"/>
      <w:bookmarkStart w:id="273" w:name="_Toc21435322"/>
      <w:bookmarkStart w:id="274" w:name="_Toc529872481"/>
      <w:bookmarkStart w:id="275" w:name="_Toc529872810"/>
      <w:bookmarkStart w:id="276" w:name="_Toc529876727"/>
      <w:bookmarkStart w:id="277" w:name="_Toc529877440"/>
      <w:r>
        <w:rPr>
          <w:rStyle w:val="CharSchNo"/>
        </w:rPr>
        <w:t>Schedule 3</w:t>
      </w:r>
      <w:r>
        <w:t xml:space="preserve"> — </w:t>
      </w:r>
      <w:r>
        <w:rPr>
          <w:rStyle w:val="CharSchText"/>
        </w:rPr>
        <w:t>Forms</w:t>
      </w:r>
      <w:bookmarkEnd w:id="271"/>
      <w:bookmarkEnd w:id="272"/>
      <w:bookmarkEnd w:id="273"/>
      <w:bookmarkEnd w:id="274"/>
      <w:bookmarkEnd w:id="275"/>
      <w:bookmarkEnd w:id="276"/>
      <w:bookmarkEnd w:id="277"/>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Cs/>
              </w:rPr>
            </w:pPr>
            <w:r>
              <w:rPr>
                <w:b/>
                <w:bCs/>
              </w:rPr>
              <w:t>Description of the land in respect of which the application is made</w:t>
            </w:r>
          </w:p>
          <w:p>
            <w:pPr>
              <w:pStyle w:val="yTableNAm"/>
              <w:spacing w:before="60"/>
              <w:rPr>
                <w:b/>
                <w:bCs/>
              </w:rPr>
            </w:pPr>
            <w:r>
              <w:rPr>
                <w:bCs/>
                <w:i/>
              </w:rPr>
              <w:t>[Land descriptions to be as they appear on Certificate of Title, certificate of Crown land title or TENGRAPH]</w:t>
            </w:r>
          </w:p>
        </w:tc>
        <w:tc>
          <w:tcPr>
            <w:tcW w:w="3840" w:type="dxa"/>
          </w:tcPr>
          <w:p>
            <w:pPr>
              <w:pStyle w:val="yTableNAm"/>
              <w:tabs>
                <w:tab w:val="clear" w:pos="567"/>
                <w:tab w:val="left" w:leader="dot" w:pos="3611"/>
              </w:tabs>
              <w:spacing w:before="60"/>
            </w:pPr>
            <w:r>
              <w:t>.................................................................................................................................................................................................................................................................... .................................................................................................................................. .................................................................</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rPr>
          <w:cantSplit/>
        </w:trPr>
        <w:tc>
          <w:tcPr>
            <w:tcW w:w="3240" w:type="dxa"/>
          </w:tcPr>
          <w:p>
            <w:pPr>
              <w:spacing w:before="120"/>
              <w:rPr>
                <w:b/>
                <w:sz w:val="22"/>
                <w:szCs w:val="22"/>
              </w:rPr>
            </w:pPr>
            <w:r>
              <w:rPr>
                <w:b/>
                <w:sz w:val="22"/>
                <w:szCs w:val="22"/>
              </w:rPr>
              <w:t>If the applicant is a water services licensee, specify water services provider name and licence number</w:t>
            </w:r>
          </w:p>
        </w:tc>
        <w:tc>
          <w:tcPr>
            <w:tcW w:w="3840" w:type="dxa"/>
          </w:tcPr>
          <w:p>
            <w:pPr>
              <w:rPr>
                <w:szCs w:val="24"/>
              </w:rPr>
            </w:pPr>
            <w:del w:id="278" w:author="Master Repository Process" w:date="2021-09-12T14:51:00Z">
              <w:r>
                <w:rPr>
                  <w:szCs w:val="24"/>
                </w:rPr>
                <w:delText>........................................................................................................................</w:delText>
              </w:r>
              <w:r>
                <w:delText xml:space="preserve"> .................................................................</w:delText>
              </w:r>
              <w:r>
                <w:rPr>
                  <w:szCs w:val="24"/>
                </w:rPr>
                <w:delText>.......................................................</w:delText>
              </w:r>
            </w:del>
            <w:ins w:id="279" w:author="Master Repository Process" w:date="2021-09-12T14:51:00Z">
              <w:r>
                <w:rPr>
                  <w:szCs w:val="24"/>
                </w:rPr>
                <w:t>........................................................................................................................</w:t>
              </w:r>
              <w:r>
                <w:t>.................................................................</w:t>
              </w:r>
              <w:r>
                <w:rPr>
                  <w:szCs w:val="24"/>
                </w:rPr>
                <w:t>.......................................................</w:t>
              </w:r>
            </w:ins>
          </w:p>
        </w:tc>
      </w:tr>
      <w:tr>
        <w:trPr>
          <w:cantSplit/>
        </w:trPr>
        <w:tc>
          <w:tcPr>
            <w:tcW w:w="3240" w:type="dxa"/>
          </w:tcPr>
          <w:p>
            <w:pPr>
              <w:spacing w:before="120"/>
              <w:rPr>
                <w:b/>
                <w:sz w:val="22"/>
                <w:szCs w:val="22"/>
              </w:rPr>
            </w:pPr>
            <w:r>
              <w:rPr>
                <w:b/>
                <w:sz w:val="22"/>
                <w:szCs w:val="22"/>
              </w:rPr>
              <w:t>Is the application related to public water supply purposes?</w:t>
            </w:r>
          </w:p>
        </w:tc>
        <w:tc>
          <w:tcPr>
            <w:tcW w:w="3840" w:type="dxa"/>
          </w:tcPr>
          <w:p>
            <w:pPr>
              <w:rPr>
                <w:szCs w:val="24"/>
              </w:rPr>
            </w:pPr>
            <w:r>
              <w:rPr>
                <w:szCs w:val="24"/>
              </w:rPr>
              <w:t>......................................................</w:t>
            </w:r>
            <w:r>
              <w:t>..................................................................</w:t>
            </w:r>
          </w:p>
        </w:tc>
      </w:tr>
      <w:tr>
        <w:trPr>
          <w:cantSplit/>
        </w:trPr>
        <w:tc>
          <w:tcPr>
            <w:tcW w:w="3240" w:type="dxa"/>
          </w:tcPr>
          <w:p>
            <w:pPr>
              <w:spacing w:before="120"/>
              <w:rPr>
                <w:b/>
                <w:sz w:val="22"/>
                <w:szCs w:val="22"/>
              </w:rPr>
            </w:pPr>
            <w:r>
              <w:rPr>
                <w:b/>
                <w:sz w:val="22"/>
                <w:szCs w:val="22"/>
              </w:rPr>
              <w:t>Is the application related to mining purposes?</w:t>
            </w:r>
            <w:r>
              <w:rPr>
                <w:b/>
                <w:sz w:val="22"/>
                <w:szCs w:val="22"/>
              </w:rPr>
              <w:br/>
              <w:t>If so, include details as relevant:</w:t>
            </w:r>
          </w:p>
          <w:p>
            <w:pPr>
              <w:numPr>
                <w:ilvl w:val="0"/>
                <w:numId w:val="14"/>
              </w:numPr>
              <w:spacing w:before="120"/>
              <w:ind w:left="227" w:hanging="238"/>
              <w:rPr>
                <w:b/>
                <w:sz w:val="22"/>
                <w:szCs w:val="22"/>
              </w:rPr>
            </w:pPr>
            <w:r>
              <w:rPr>
                <w:b/>
                <w:sz w:val="22"/>
                <w:szCs w:val="22"/>
              </w:rPr>
              <w:t>mining tenement number(s), mine name and mine field</w:t>
            </w:r>
          </w:p>
          <w:p>
            <w:pPr>
              <w:numPr>
                <w:ilvl w:val="0"/>
                <w:numId w:val="14"/>
              </w:numPr>
              <w:spacing w:before="120"/>
              <w:ind w:left="227" w:hanging="238"/>
              <w:rPr>
                <w:b/>
                <w:sz w:val="22"/>
                <w:szCs w:val="22"/>
              </w:rPr>
            </w:pPr>
            <w:r>
              <w:rPr>
                <w:b/>
                <w:sz w:val="22"/>
                <w:szCs w:val="22"/>
              </w:rPr>
              <w:t>details of petroleum or geothermal title(s)</w:t>
            </w:r>
          </w:p>
          <w:p>
            <w:pPr>
              <w:numPr>
                <w:ilvl w:val="0"/>
                <w:numId w:val="14"/>
              </w:numPr>
              <w:spacing w:before="120"/>
              <w:ind w:left="227" w:hanging="238"/>
              <w:rPr>
                <w:b/>
                <w:sz w:val="22"/>
                <w:szCs w:val="22"/>
              </w:rPr>
            </w:pPr>
            <w:r>
              <w:rPr>
                <w:b/>
                <w:sz w:val="22"/>
                <w:szCs w:val="22"/>
              </w:rPr>
              <w:t>petroleum pipeline licence number(s)</w:t>
            </w:r>
          </w:p>
        </w:tc>
        <w:tc>
          <w:tcPr>
            <w:tcW w:w="3840" w:type="dxa"/>
          </w:tcPr>
          <w:p>
            <w:pPr>
              <w:rPr>
                <w:szCs w:val="24"/>
              </w:rPr>
            </w:pPr>
            <w:del w:id="280" w:author="Master Repository Process" w:date="2021-09-12T14:51:00Z">
              <w:r>
                <w:rPr>
                  <w:szCs w:val="24"/>
                </w:rPr>
                <w:delText>....................................................................................................................................................................................</w:delText>
              </w:r>
              <w:r>
                <w:delText xml:space="preserve"> .................................................................</w:delText>
              </w:r>
              <w:r>
                <w:rPr>
                  <w:szCs w:val="24"/>
                </w:rPr>
                <w:delText xml:space="preserve">................................................................................................................... </w:delText>
              </w:r>
              <w:r>
                <w:delText>.................................................................</w:delText>
              </w:r>
              <w:r>
                <w:rPr>
                  <w:szCs w:val="24"/>
                </w:rPr>
                <w:delText xml:space="preserve">................................................................................................................... </w:delText>
              </w:r>
              <w:r>
                <w:delText>............................................................</w:delText>
              </w:r>
            </w:del>
            <w:ins w:id="281" w:author="Master Repository Process" w:date="2021-09-12T14:51:00Z">
              <w:r>
                <w:rPr>
                  <w:szCs w:val="24"/>
                </w:rPr>
                <w:t>....................................................................................................................................................................................</w:t>
              </w:r>
              <w:r>
                <w:t>.................................................................</w:t>
              </w:r>
              <w:r>
                <w:rPr>
                  <w:szCs w:val="24"/>
                </w:rPr>
                <w:t>....................................................................................................................</w:t>
              </w:r>
              <w:r>
                <w:t>................................................................</w:t>
              </w:r>
              <w:r>
                <w:rPr>
                  <w:szCs w:val="24"/>
                </w:rPr>
                <w:t>....................................................................................................................</w:t>
              </w:r>
              <w:r>
                <w:t>...........................................................</w:t>
              </w:r>
            </w:ins>
          </w:p>
        </w:tc>
      </w:tr>
      <w:tr>
        <w:tc>
          <w:tcPr>
            <w:tcW w:w="3240" w:type="dxa"/>
          </w:tcPr>
          <w:p>
            <w:pPr>
              <w:pStyle w:val="yTableNAm"/>
              <w:keepNext/>
              <w:keepLines/>
              <w:rPr>
                <w:b/>
                <w:bCs/>
              </w:rPr>
            </w:pPr>
            <w:r>
              <w:rPr>
                <w:b/>
                <w:bCs/>
              </w:rPr>
              <w:t>Proposed water use:</w:t>
            </w:r>
          </w:p>
          <w:p>
            <w:pPr>
              <w:pStyle w:val="yTableNAm"/>
              <w:keepNext/>
              <w:keepLines/>
              <w:numPr>
                <w:ilvl w:val="0"/>
                <w:numId w:val="13"/>
              </w:numPr>
              <w:tabs>
                <w:tab w:val="clear" w:pos="567"/>
                <w:tab w:val="clear" w:pos="720"/>
                <w:tab w:val="left" w:pos="230"/>
              </w:tabs>
              <w:ind w:left="227" w:hanging="238"/>
              <w:rPr>
                <w:b/>
              </w:rPr>
            </w:pPr>
            <w:r>
              <w:rPr>
                <w:b/>
              </w:rPr>
              <w:t>specify whether the use is commercial or not</w:t>
            </w:r>
          </w:p>
          <w:p>
            <w:pPr>
              <w:pStyle w:val="yTableNAm"/>
              <w:keepNext/>
              <w:keepLines/>
              <w:numPr>
                <w:ilvl w:val="0"/>
                <w:numId w:val="13"/>
              </w:numPr>
              <w:tabs>
                <w:tab w:val="clear" w:pos="567"/>
                <w:tab w:val="clear" w:pos="720"/>
                <w:tab w:val="left" w:pos="230"/>
              </w:tabs>
              <w:ind w:left="230" w:hanging="240"/>
              <w:rPr>
                <w:b/>
              </w:rPr>
            </w:pPr>
            <w:r>
              <w:rPr>
                <w:b/>
              </w:rPr>
              <w:t>specify volume of water to be used</w:t>
            </w:r>
          </w:p>
          <w:p>
            <w:pPr>
              <w:pStyle w:val="yTableNAm"/>
              <w:keepNext/>
              <w:keepLines/>
              <w:numPr>
                <w:ilvl w:val="0"/>
                <w:numId w:val="13"/>
              </w:numPr>
              <w:tabs>
                <w:tab w:val="clear" w:pos="567"/>
                <w:tab w:val="clear" w:pos="720"/>
                <w:tab w:val="left" w:pos="230"/>
              </w:tabs>
              <w:ind w:left="230" w:hanging="240"/>
              <w:rPr>
                <w:b/>
              </w:rPr>
            </w:pPr>
            <w:r>
              <w:rPr>
                <w:b/>
              </w:rPr>
              <w:t>include detailed description of purposes for which water to be used</w:t>
            </w:r>
          </w:p>
          <w:p>
            <w:pPr>
              <w:pStyle w:val="yTableNAm"/>
              <w:keepNext/>
              <w:keepLines/>
              <w:numPr>
                <w:ilvl w:val="0"/>
                <w:numId w:val="13"/>
              </w:numPr>
              <w:tabs>
                <w:tab w:val="clear" w:pos="567"/>
                <w:tab w:val="clear" w:pos="720"/>
                <w:tab w:val="left" w:pos="230"/>
              </w:tabs>
              <w:ind w:left="227" w:hanging="238"/>
              <w:rPr>
                <w:b/>
                <w:bCs/>
              </w:rPr>
            </w:pPr>
            <w:r>
              <w:rPr>
                <w:b/>
              </w:rPr>
              <w:t>specify duration of use and licence</w:t>
            </w:r>
          </w:p>
        </w:tc>
        <w:tc>
          <w:tcPr>
            <w:tcW w:w="3840" w:type="dxa"/>
          </w:tcPr>
          <w:p>
            <w:pPr>
              <w:pStyle w:val="yTableNAm"/>
              <w:keepNext/>
              <w:keepLines/>
              <w:tabs>
                <w:tab w:val="clear" w:pos="567"/>
                <w:tab w:val="left" w:leader="dot" w:pos="3611"/>
              </w:tabs>
              <w:spacing w:before="60"/>
              <w:rPr>
                <w:sz w:val="24"/>
                <w:szCs w:val="24"/>
              </w:rPr>
            </w:pPr>
            <w:r>
              <w:rPr>
                <w:sz w:val="24"/>
                <w:szCs w:val="24"/>
              </w:rPr>
              <w:t>........................................................................................................................</w:t>
            </w:r>
            <w:r>
              <w:t xml:space="preserve"> </w:t>
            </w:r>
            <w:r>
              <w:rPr>
                <w:sz w:val="24"/>
                <w:szCs w:val="24"/>
              </w:rPr>
              <w:t>............................................................ ............................................................ ............................................................ ............................................................ ............................................................ ............................................................ ............................................................ ............................................................ ............................................................</w:t>
            </w: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Gazette 23 Jun 2009 p. 2500; 30 Oct 2018 p. 4344-5.]</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bottom w:val="single" w:sz="4" w:space="0" w:color="auto"/>
              <w:right w:val="nil"/>
            </w:tcBorders>
          </w:tcPr>
          <w:p>
            <w:pPr>
              <w:pStyle w:val="yTableNAm"/>
              <w:spacing w:before="60"/>
              <w:rPr>
                <w:sz w:val="20"/>
              </w:rPr>
            </w:pPr>
          </w:p>
        </w:tc>
        <w:tc>
          <w:tcPr>
            <w:tcW w:w="5510" w:type="dxa"/>
            <w:gridSpan w:val="14"/>
            <w:tcBorders>
              <w:top w:val="single" w:sz="4" w:space="0" w:color="auto"/>
              <w:left w:val="nil"/>
              <w:bottom w:val="single" w:sz="4" w:space="0" w:color="auto"/>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keepNext/>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keepNext/>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keepNext/>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keepNext/>
              <w:spacing w:before="60"/>
              <w:jc w:val="center"/>
              <w:rPr>
                <w:b/>
                <w:bCs/>
                <w:sz w:val="20"/>
              </w:rPr>
            </w:pPr>
            <w:r>
              <w:rPr>
                <w:b/>
                <w:bCs/>
                <w:sz w:val="20"/>
              </w:rPr>
              <w:t>Production casing details</w:t>
            </w:r>
          </w:p>
        </w:tc>
      </w:tr>
      <w:tr>
        <w:trPr>
          <w:cantSplit/>
        </w:trPr>
        <w:tc>
          <w:tcPr>
            <w:tcW w:w="992" w:type="dxa"/>
            <w:gridSpan w:val="2"/>
            <w:vMerge w:val="restart"/>
          </w:tcPr>
          <w:p>
            <w:pPr>
              <w:pStyle w:val="yTableNAm"/>
              <w:keepNext/>
              <w:spacing w:before="60"/>
              <w:rPr>
                <w:sz w:val="20"/>
              </w:rPr>
            </w:pPr>
            <w:r>
              <w:rPr>
                <w:sz w:val="20"/>
              </w:rPr>
              <w:t>Material</w:t>
            </w:r>
          </w:p>
        </w:tc>
        <w:tc>
          <w:tcPr>
            <w:tcW w:w="992" w:type="dxa"/>
            <w:gridSpan w:val="4"/>
            <w:vMerge w:val="restart"/>
          </w:tcPr>
          <w:p>
            <w:pPr>
              <w:pStyle w:val="yTableNAm"/>
              <w:keepNext/>
              <w:spacing w:before="60"/>
              <w:rPr>
                <w:sz w:val="20"/>
              </w:rPr>
            </w:pPr>
            <w:r>
              <w:rPr>
                <w:sz w:val="20"/>
              </w:rPr>
              <w:t>Nominal bore</w:t>
            </w:r>
          </w:p>
        </w:tc>
        <w:tc>
          <w:tcPr>
            <w:tcW w:w="1134" w:type="dxa"/>
            <w:gridSpan w:val="4"/>
            <w:vMerge w:val="restart"/>
          </w:tcPr>
          <w:p>
            <w:pPr>
              <w:pStyle w:val="yTableNAm"/>
              <w:keepNext/>
              <w:spacing w:before="60"/>
              <w:rPr>
                <w:sz w:val="20"/>
              </w:rPr>
            </w:pPr>
            <w:r>
              <w:rPr>
                <w:sz w:val="20"/>
              </w:rPr>
              <w:t>Diameter O.D (mm)</w:t>
            </w:r>
          </w:p>
        </w:tc>
        <w:tc>
          <w:tcPr>
            <w:tcW w:w="1418" w:type="dxa"/>
            <w:gridSpan w:val="3"/>
            <w:vMerge w:val="restart"/>
          </w:tcPr>
          <w:p>
            <w:pPr>
              <w:pStyle w:val="yTableNAm"/>
              <w:keepNext/>
              <w:spacing w:before="60"/>
              <w:rPr>
                <w:sz w:val="20"/>
              </w:rPr>
            </w:pPr>
            <w:r>
              <w:rPr>
                <w:sz w:val="20"/>
              </w:rPr>
              <w:t>Wall thickness (mm)</w:t>
            </w:r>
          </w:p>
        </w:tc>
        <w:tc>
          <w:tcPr>
            <w:tcW w:w="2126" w:type="dxa"/>
            <w:gridSpan w:val="4"/>
          </w:tcPr>
          <w:p>
            <w:pPr>
              <w:pStyle w:val="yTableNAm"/>
              <w:keepNext/>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keepNext/>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keepNext/>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keepNext/>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keepNext/>
        <w:spacing w:before="60"/>
        <w:ind w:left="480"/>
      </w:pPr>
    </w:p>
    <w:p>
      <w:pPr>
        <w:pStyle w:val="yMiscellaneousBody"/>
        <w:keepNext/>
        <w:spacing w:before="60"/>
        <w:ind w:left="480"/>
      </w:pPr>
    </w:p>
    <w:p>
      <w:pPr>
        <w:pStyle w:val="yMiscellaneousBody"/>
        <w:keepNext/>
        <w:spacing w:before="60"/>
        <w:ind w:left="480"/>
      </w:pPr>
      <w:r>
        <w:t>__________________________________</w:t>
      </w:r>
    </w:p>
    <w:p>
      <w:pPr>
        <w:pStyle w:val="yMiscellaneousBody"/>
        <w:keepNext/>
        <w:spacing w:before="60"/>
        <w:ind w:left="480"/>
      </w:pPr>
      <w:r>
        <w:t>Signature of person making declaration</w:t>
      </w:r>
    </w:p>
    <w:p>
      <w:pPr>
        <w:pStyle w:val="yMiscellaneousBody"/>
        <w:keepNext/>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Gazette 14 Jun 2002 p. 2837; 23 Jun 2009 p. 2501; 15 Sep 2017 p. 4795.]</w:t>
      </w:r>
    </w:p>
    <w:p>
      <w:pPr>
        <w:pStyle w:val="yScheduleHeading"/>
      </w:pPr>
      <w:bookmarkStart w:id="282" w:name="_Toc21355073"/>
      <w:bookmarkStart w:id="283" w:name="_Toc21356506"/>
      <w:bookmarkStart w:id="284" w:name="_Toc21435323"/>
      <w:bookmarkStart w:id="285" w:name="_Toc529872482"/>
      <w:bookmarkStart w:id="286" w:name="_Toc529872811"/>
      <w:bookmarkStart w:id="287" w:name="_Toc529876728"/>
      <w:bookmarkStart w:id="288" w:name="_Toc529877441"/>
      <w:r>
        <w:rPr>
          <w:rStyle w:val="CharSchNo"/>
        </w:rPr>
        <w:t>Schedule 4</w:t>
      </w:r>
      <w:r>
        <w:t> —</w:t>
      </w:r>
      <w:r>
        <w:rPr>
          <w:sz w:val="24"/>
        </w:rPr>
        <w:t> </w:t>
      </w:r>
      <w:r>
        <w:rPr>
          <w:rStyle w:val="CharSchText"/>
        </w:rPr>
        <w:t>Gnangara groundwater plan area</w:t>
      </w:r>
      <w:bookmarkEnd w:id="282"/>
      <w:bookmarkEnd w:id="283"/>
      <w:bookmarkEnd w:id="284"/>
      <w:bookmarkEnd w:id="285"/>
      <w:bookmarkEnd w:id="286"/>
      <w:bookmarkEnd w:id="287"/>
      <w:bookmarkEnd w:id="288"/>
    </w:p>
    <w:p>
      <w:pPr>
        <w:pStyle w:val="yShoulderClause"/>
      </w:pPr>
      <w:r>
        <w:t>[r. 41A]</w:t>
      </w:r>
    </w:p>
    <w:p>
      <w:pPr>
        <w:pStyle w:val="yFootnoteheading"/>
        <w:spacing w:after="80"/>
      </w:pPr>
      <w:r>
        <w:tab/>
        <w:t>[Heading inserted: Gazette 20 Feb 2018 p. 500.]</w:t>
      </w:r>
    </w:p>
    <w:p>
      <w:pPr>
        <w:pStyle w:val="yMiscellaneousBody"/>
        <w:jc w:val="center"/>
      </w:pPr>
      <w:r>
        <w:rPr>
          <w:noProof/>
        </w:rPr>
        <w:drawing>
          <wp:inline distT="0" distB="0" distL="0" distR="0">
            <wp:extent cx="3583962" cy="501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05648" cy="5041710"/>
                    </a:xfrm>
                    <a:prstGeom prst="rect">
                      <a:avLst/>
                    </a:prstGeom>
                  </pic:spPr>
                </pic:pic>
              </a:graphicData>
            </a:graphic>
          </wp:inline>
        </w:drawing>
      </w:r>
    </w:p>
    <w:p>
      <w:pPr>
        <w:pStyle w:val="yFootnotesection"/>
      </w:pPr>
      <w:r>
        <w:tab/>
        <w:t>[Schedule 4 inserted: Gazette 20 Feb 2018 p.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90" w:name="_Toc21355074"/>
      <w:bookmarkStart w:id="291" w:name="_Toc21356507"/>
      <w:bookmarkStart w:id="292" w:name="_Toc21435324"/>
      <w:bookmarkStart w:id="293" w:name="_Toc529872483"/>
      <w:bookmarkStart w:id="294" w:name="_Toc529872812"/>
      <w:bookmarkStart w:id="295" w:name="_Toc529876729"/>
      <w:bookmarkStart w:id="296" w:name="_Toc529877442"/>
      <w:r>
        <w:t>Notes</w:t>
      </w:r>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97" w:name="_Toc21435325"/>
      <w:bookmarkStart w:id="298" w:name="_Toc529877443"/>
      <w:r>
        <w:t>Compilation table</w:t>
      </w:r>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9"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9"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8"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9"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9"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9"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9"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8"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9"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9"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9"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rPr>
          <w:cantSplit/>
        </w:trPr>
        <w:tc>
          <w:tcPr>
            <w:tcW w:w="3119"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rPr>
          <w:cantSplit/>
        </w:trPr>
        <w:tc>
          <w:tcPr>
            <w:tcW w:w="3119" w:type="dxa"/>
            <w:shd w:val="clear" w:color="auto" w:fill="auto"/>
          </w:tcPr>
          <w:p>
            <w:pPr>
              <w:pStyle w:val="nTable"/>
              <w:spacing w:after="40"/>
              <w:ind w:right="113"/>
              <w:rPr>
                <w:i/>
              </w:rPr>
            </w:pPr>
            <w:r>
              <w:rPr>
                <w:i/>
              </w:rPr>
              <w:t>Rights in Water and Irrigation Amendment Regulations 2018</w:t>
            </w:r>
          </w:p>
        </w:tc>
        <w:tc>
          <w:tcPr>
            <w:tcW w:w="1276" w:type="dxa"/>
            <w:shd w:val="clear" w:color="auto" w:fill="auto"/>
          </w:tcPr>
          <w:p>
            <w:pPr>
              <w:pStyle w:val="nTable"/>
              <w:spacing w:after="40"/>
            </w:pPr>
            <w:r>
              <w:t>20 Feb 2018 p. 495</w:t>
            </w:r>
            <w:r>
              <w:noBreakHyphen/>
              <w:t>501</w:t>
            </w:r>
          </w:p>
        </w:tc>
        <w:tc>
          <w:tcPr>
            <w:tcW w:w="2693" w:type="dxa"/>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r>
        <w:trPr>
          <w:cantSplit/>
        </w:trPr>
        <w:tc>
          <w:tcPr>
            <w:tcW w:w="3119" w:type="dxa"/>
            <w:shd w:val="clear" w:color="auto" w:fill="auto"/>
          </w:tcPr>
          <w:p>
            <w:pPr>
              <w:pStyle w:val="nTable"/>
              <w:spacing w:after="40"/>
              <w:ind w:right="113"/>
              <w:rPr>
                <w:i/>
              </w:rPr>
            </w:pPr>
            <w:r>
              <w:rPr>
                <w:i/>
              </w:rPr>
              <w:t>Rights in Water and Irrigation Amendment Regulations (No. 2) 2018</w:t>
            </w:r>
          </w:p>
        </w:tc>
        <w:tc>
          <w:tcPr>
            <w:tcW w:w="1276" w:type="dxa"/>
            <w:shd w:val="clear" w:color="auto" w:fill="auto"/>
          </w:tcPr>
          <w:p>
            <w:pPr>
              <w:pStyle w:val="nTable"/>
              <w:spacing w:after="40"/>
            </w:pPr>
            <w:r>
              <w:t>30 Oct 2018 p. 4336</w:t>
            </w:r>
            <w:r>
              <w:noBreakHyphen/>
              <w:t>45</w:t>
            </w:r>
          </w:p>
        </w:tc>
        <w:tc>
          <w:tcPr>
            <w:tcW w:w="2693" w:type="dxa"/>
            <w:shd w:val="clear" w:color="auto" w:fill="auto"/>
          </w:tcPr>
          <w:p>
            <w:pPr>
              <w:pStyle w:val="nTable"/>
              <w:spacing w:after="40"/>
              <w:rPr>
                <w:bCs/>
                <w:snapToGrid w:val="0"/>
                <w:spacing w:val="-2"/>
              </w:rPr>
            </w:pPr>
            <w:r>
              <w:rPr>
                <w:bCs/>
                <w:snapToGrid w:val="0"/>
                <w:spacing w:val="-2"/>
              </w:rPr>
              <w:t>r. 1 and 2: 30 Oct 2018 (see r. 2(a));</w:t>
            </w:r>
            <w:r>
              <w:rPr>
                <w:bCs/>
                <w:snapToGrid w:val="0"/>
                <w:spacing w:val="-2"/>
              </w:rPr>
              <w:br/>
              <w:t>Regulations other than r. 1 and 2: 13 Nov 2018 (see r. 2(b))</w:t>
            </w:r>
          </w:p>
        </w:tc>
      </w:tr>
      <w:tr>
        <w:trPr>
          <w:cantSplit/>
          <w:ins w:id="299" w:author="Master Repository Process" w:date="2021-09-12T14:51:00Z"/>
        </w:trPr>
        <w:tc>
          <w:tcPr>
            <w:tcW w:w="3119" w:type="dxa"/>
            <w:tcBorders>
              <w:bottom w:val="single" w:sz="4" w:space="0" w:color="auto"/>
            </w:tcBorders>
            <w:shd w:val="clear" w:color="auto" w:fill="auto"/>
          </w:tcPr>
          <w:p>
            <w:pPr>
              <w:pStyle w:val="nTable"/>
              <w:spacing w:after="40"/>
              <w:ind w:right="113"/>
              <w:rPr>
                <w:ins w:id="300" w:author="Master Repository Process" w:date="2021-09-12T14:51:00Z"/>
                <w:i/>
              </w:rPr>
            </w:pPr>
            <w:ins w:id="301" w:author="Master Repository Process" w:date="2021-09-12T14:51:00Z">
              <w:r>
                <w:rPr>
                  <w:i/>
                </w:rPr>
                <w:t>Rights in Water and Irrigation Amendment Regulations 2019</w:t>
              </w:r>
            </w:ins>
          </w:p>
        </w:tc>
        <w:tc>
          <w:tcPr>
            <w:tcW w:w="1276" w:type="dxa"/>
            <w:tcBorders>
              <w:bottom w:val="single" w:sz="4" w:space="0" w:color="auto"/>
            </w:tcBorders>
            <w:shd w:val="clear" w:color="auto" w:fill="auto"/>
          </w:tcPr>
          <w:p>
            <w:pPr>
              <w:pStyle w:val="nTable"/>
              <w:spacing w:after="40"/>
              <w:rPr>
                <w:ins w:id="302" w:author="Master Repository Process" w:date="2021-09-12T14:51:00Z"/>
              </w:rPr>
            </w:pPr>
            <w:ins w:id="303" w:author="Master Repository Process" w:date="2021-09-12T14:51:00Z">
              <w:r>
                <w:t>8 Oct 2019 p. 3622</w:t>
              </w:r>
              <w:r>
                <w:noBreakHyphen/>
                <w:t>3</w:t>
              </w:r>
            </w:ins>
          </w:p>
        </w:tc>
        <w:tc>
          <w:tcPr>
            <w:tcW w:w="2693" w:type="dxa"/>
            <w:tcBorders>
              <w:bottom w:val="single" w:sz="4" w:space="0" w:color="auto"/>
            </w:tcBorders>
            <w:shd w:val="clear" w:color="auto" w:fill="auto"/>
          </w:tcPr>
          <w:p>
            <w:pPr>
              <w:pStyle w:val="nTable"/>
              <w:spacing w:after="40"/>
              <w:rPr>
                <w:ins w:id="304" w:author="Master Repository Process" w:date="2021-09-12T14:51:00Z"/>
                <w:bCs/>
                <w:snapToGrid w:val="0"/>
                <w:spacing w:val="-2"/>
              </w:rPr>
            </w:pPr>
            <w:ins w:id="305" w:author="Master Repository Process" w:date="2021-09-12T14:51:00Z">
              <w:r>
                <w:rPr>
                  <w:bCs/>
                  <w:snapToGrid w:val="0"/>
                  <w:spacing w:val="-2"/>
                </w:rPr>
                <w:t>r. 1 and 2: 8 Oct 2019 (see r. 2(a));</w:t>
              </w:r>
              <w:r>
                <w:rPr>
                  <w:bCs/>
                  <w:snapToGrid w:val="0"/>
                  <w:spacing w:val="-2"/>
                </w:rPr>
                <w:br/>
                <w:t>Regulations other than r. 1 and 2: 9 Oct 2019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9" w:name="Schedule"/>
    <w:bookmarkEnd w:id="2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B5F75"/>
    <w:multiLevelType w:val="hybridMultilevel"/>
    <w:tmpl w:val="AC3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07153424"/>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 w:name="WAFER_20181113110122" w:val="RemoveTocBookmarks,RemoveUnusedBookmarks,RemoveLanguageTags,UsedStyles,ResetPageSize"/>
    <w:docVar w:name="WAFER_20181113110122_GUID" w:val="085abe31-e330-4203-87b6-8ca64b704ec2"/>
    <w:docVar w:name="WAFER_20191007153424" w:val="RemoveTocBookmarks,RemoveUnusedBookmarks,RemoveLanguageTags,ResetPageSize,RunningHeaders,UpdateStyles,UsedStyles"/>
    <w:docVar w:name="WAFER_20191007153424_GUID" w:val="974543a9-cf8d-43ce-ad89-28447ca62d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AF8D48-75C0-4786-A090-BC90202C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DBCB-C71F-4561-8286-B97F15DA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13482</Words>
  <Characters>70511</Characters>
  <Application>Microsoft Office Word</Application>
  <DocSecurity>0</DocSecurity>
  <Lines>2431</Lines>
  <Paragraphs>1354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02-k0-02 - 02-l0-00</dc:title>
  <dc:subject/>
  <dc:creator/>
  <cp:keywords/>
  <dc:description/>
  <cp:lastModifiedBy>Master Repository Process</cp:lastModifiedBy>
  <cp:revision>2</cp:revision>
  <cp:lastPrinted>2018-11-13T03:34:00Z</cp:lastPrinted>
  <dcterms:created xsi:type="dcterms:W3CDTF">2021-09-12T06:51:00Z</dcterms:created>
  <dcterms:modified xsi:type="dcterms:W3CDTF">2021-09-12T06:51:00Z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CommencementDate">
    <vt:lpwstr>20191009</vt:lpwstr>
  </property>
  <property fmtid="{D5CDD505-2E9C-101B-9397-08002B2CF9AE}" pid="7" name="FromSuffix">
    <vt:lpwstr>02-k0-02</vt:lpwstr>
  </property>
  <property fmtid="{D5CDD505-2E9C-101B-9397-08002B2CF9AE}" pid="8" name="FromAsAtDate">
    <vt:lpwstr>13 Nov 2018</vt:lpwstr>
  </property>
  <property fmtid="{D5CDD505-2E9C-101B-9397-08002B2CF9AE}" pid="9" name="ToSuffix">
    <vt:lpwstr>02-l0-00</vt:lpwstr>
  </property>
  <property fmtid="{D5CDD505-2E9C-101B-9397-08002B2CF9AE}" pid="10" name="ToAsAtDate">
    <vt:lpwstr>09 Oct 2019</vt:lpwstr>
  </property>
</Properties>
</file>