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24 Oct 2019</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Auction Sales Act 1973 </w:t>
      </w:r>
    </w:p>
    <w:p>
      <w:pPr>
        <w:pStyle w:val="LongTitle"/>
        <w:rPr>
          <w:snapToGrid w:val="0"/>
        </w:rPr>
      </w:pPr>
      <w:r>
        <w:rPr>
          <w:snapToGrid w:val="0"/>
        </w:rPr>
        <w:t>A</w:t>
      </w:r>
      <w:bookmarkStart w:id="1" w:name="_GoBack"/>
      <w:bookmarkEnd w:id="1"/>
      <w:r>
        <w:rPr>
          <w:snapToGrid w:val="0"/>
        </w:rPr>
        <w:t xml:space="preserve">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pPr>
        <w:pStyle w:val="Heading5"/>
        <w:rPr>
          <w:snapToGrid w:val="0"/>
        </w:rPr>
      </w:pPr>
      <w:bookmarkStart w:id="2" w:name="_Toc377996618"/>
      <w:bookmarkStart w:id="3" w:name="_Toc22914878"/>
      <w:bookmarkStart w:id="4" w:name="_Toc486428987"/>
      <w:r>
        <w:rPr>
          <w:rStyle w:val="CharSectno"/>
        </w:rPr>
        <w:t>1</w:t>
      </w:r>
      <w:r>
        <w:rPr>
          <w:snapToGrid w:val="0"/>
        </w:rPr>
        <w:t>.</w:t>
      </w:r>
      <w:r>
        <w:rPr>
          <w:snapToGrid w:val="0"/>
        </w:rPr>
        <w:tab/>
      </w:r>
      <w:r>
        <w:t>Short</w:t>
      </w:r>
      <w:r>
        <w:rPr>
          <w:snapToGrid w:val="0"/>
        </w:rPr>
        <w:t xml:space="preserve">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5" w:name="_Toc377996619"/>
      <w:bookmarkStart w:id="6" w:name="_Toc22914879"/>
      <w:bookmarkStart w:id="7" w:name="_Toc48642898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 7(4)(f).]</w:t>
      </w:r>
    </w:p>
    <w:p>
      <w:pPr>
        <w:pStyle w:val="Heading5"/>
        <w:rPr>
          <w:snapToGrid w:val="0"/>
        </w:rPr>
      </w:pPr>
      <w:bookmarkStart w:id="8" w:name="_Toc377996620"/>
      <w:bookmarkStart w:id="9" w:name="_Toc22914880"/>
      <w:bookmarkStart w:id="10" w:name="_Toc486428989"/>
      <w:r>
        <w:rPr>
          <w:rStyle w:val="CharSectno"/>
        </w:rPr>
        <w:t>4</w:t>
      </w:r>
      <w:r>
        <w:rPr>
          <w:snapToGrid w:val="0"/>
        </w:rPr>
        <w:t>.</w:t>
      </w:r>
      <w:r>
        <w:rPr>
          <w:snapToGrid w:val="0"/>
        </w:rPr>
        <w:tab/>
        <w:t>Terms used in this Act</w:t>
      </w:r>
      <w:bookmarkEnd w:id="8"/>
      <w:bookmarkEnd w:id="9"/>
      <w:bookmarkEnd w:id="10"/>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lastRenderedPageBreak/>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pPr>
      <w:r>
        <w:rPr>
          <w:b/>
        </w:rPr>
        <w:tab/>
      </w:r>
      <w:r>
        <w:rPr>
          <w:rStyle w:val="CharDefText"/>
        </w:rPr>
        <w:t>sheep</w:t>
      </w:r>
      <w:r>
        <w:t xml:space="preserve"> means ewes, wethers, rams or lambs.</w:t>
      </w:r>
    </w:p>
    <w:p>
      <w:pPr>
        <w:pStyle w:val="Footnotesection"/>
        <w:spacing w:before="160"/>
        <w:ind w:left="890" w:hanging="890"/>
      </w:pPr>
      <w:r>
        <w:tab/>
        <w:t xml:space="preserve">[Section 4 amended: No. 10 of 1982 s. 28; No. 10 of 2001 s. 15; No. 6 of 2012 s. 37.] </w:t>
      </w:r>
    </w:p>
    <w:p>
      <w:pPr>
        <w:pStyle w:val="Heading5"/>
        <w:rPr>
          <w:snapToGrid w:val="0"/>
        </w:rPr>
      </w:pPr>
      <w:bookmarkStart w:id="11" w:name="_Toc377996621"/>
      <w:bookmarkStart w:id="12" w:name="_Toc22914881"/>
      <w:bookmarkStart w:id="13" w:name="_Toc486428990"/>
      <w:r>
        <w:rPr>
          <w:rStyle w:val="CharSectno"/>
        </w:rPr>
        <w:t>5</w:t>
      </w:r>
      <w:r>
        <w:rPr>
          <w:snapToGrid w:val="0"/>
        </w:rPr>
        <w:t>.</w:t>
      </w:r>
      <w:r>
        <w:rPr>
          <w:snapToGrid w:val="0"/>
        </w:rPr>
        <w:tab/>
        <w:t>Exemptions</w:t>
      </w:r>
      <w:bookmarkEnd w:id="11"/>
      <w:bookmarkEnd w:id="12"/>
      <w:bookmarkEnd w:id="13"/>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No. 73 of 1990 s. 45; No. 57 of 1997 s. 20; No. 31 of 1997 s. 141; No. 59 of 2004 s. 141.] </w:t>
      </w:r>
    </w:p>
    <w:p>
      <w:pPr>
        <w:pStyle w:val="Heading5"/>
        <w:spacing w:before="180"/>
        <w:rPr>
          <w:snapToGrid w:val="0"/>
        </w:rPr>
      </w:pPr>
      <w:bookmarkStart w:id="14" w:name="_Toc377996622"/>
      <w:bookmarkStart w:id="15" w:name="_Toc22914882"/>
      <w:bookmarkStart w:id="16" w:name="_Toc486428991"/>
      <w:r>
        <w:rPr>
          <w:rStyle w:val="CharSectno"/>
        </w:rPr>
        <w:t>6</w:t>
      </w:r>
      <w:r>
        <w:rPr>
          <w:snapToGrid w:val="0"/>
        </w:rPr>
        <w:t>.</w:t>
      </w:r>
      <w:r>
        <w:rPr>
          <w:snapToGrid w:val="0"/>
        </w:rPr>
        <w:tab/>
        <w:t>Auctioneers to be licensed</w:t>
      </w:r>
      <w:bookmarkEnd w:id="14"/>
      <w:bookmarkEnd w:id="15"/>
      <w:bookmarkEnd w:id="16"/>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No. 60 of 1975 s. 2.] </w:t>
      </w:r>
    </w:p>
    <w:p>
      <w:pPr>
        <w:pStyle w:val="Heading5"/>
        <w:rPr>
          <w:snapToGrid w:val="0"/>
        </w:rPr>
      </w:pPr>
      <w:bookmarkStart w:id="17" w:name="_Toc377996623"/>
      <w:bookmarkStart w:id="18" w:name="_Toc22914883"/>
      <w:bookmarkStart w:id="19" w:name="_Toc486428992"/>
      <w:r>
        <w:rPr>
          <w:rStyle w:val="CharSectno"/>
        </w:rPr>
        <w:t>7</w:t>
      </w:r>
      <w:r>
        <w:rPr>
          <w:snapToGrid w:val="0"/>
        </w:rPr>
        <w:t>.</w:t>
      </w:r>
      <w:r>
        <w:rPr>
          <w:snapToGrid w:val="0"/>
        </w:rPr>
        <w:tab/>
        <w:t>Kinds of licence</w:t>
      </w:r>
      <w:bookmarkEnd w:id="17"/>
      <w:bookmarkEnd w:id="18"/>
      <w:bookmarkEnd w:id="19"/>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20" w:name="_Toc377996624"/>
      <w:bookmarkStart w:id="21" w:name="_Toc22914884"/>
      <w:bookmarkStart w:id="22" w:name="_Toc486428993"/>
      <w:r>
        <w:rPr>
          <w:rStyle w:val="CharSectno"/>
        </w:rPr>
        <w:t>8</w:t>
      </w:r>
      <w:r>
        <w:rPr>
          <w:snapToGrid w:val="0"/>
        </w:rPr>
        <w:t>.</w:t>
      </w:r>
      <w:r>
        <w:rPr>
          <w:snapToGrid w:val="0"/>
        </w:rPr>
        <w:tab/>
        <w:t>Licences may be issued for the benefit of a firm or corporation</w:t>
      </w:r>
      <w:bookmarkEnd w:id="20"/>
      <w:bookmarkEnd w:id="21"/>
      <w:bookmarkEnd w:id="22"/>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Ednotesection"/>
      </w:pPr>
      <w:bookmarkStart w:id="23" w:name="_Toc377996625"/>
      <w:r>
        <w:t>[</w:t>
      </w:r>
      <w:r>
        <w:rPr>
          <w:b/>
        </w:rPr>
        <w:t>9.</w:t>
      </w:r>
      <w:r>
        <w:tab/>
        <w:t>Deleted: No. 44 of 2016 s. 4.]</w:t>
      </w:r>
    </w:p>
    <w:p>
      <w:pPr>
        <w:pStyle w:val="Heading5"/>
        <w:rPr>
          <w:snapToGrid w:val="0"/>
        </w:rPr>
      </w:pPr>
      <w:bookmarkStart w:id="24" w:name="_Toc377996626"/>
      <w:bookmarkStart w:id="25" w:name="_Toc22914885"/>
      <w:bookmarkStart w:id="26" w:name="_Toc486428994"/>
      <w:bookmarkEnd w:id="23"/>
      <w:r>
        <w:rPr>
          <w:rStyle w:val="CharSectno"/>
        </w:rPr>
        <w:t>10</w:t>
      </w:r>
      <w:r>
        <w:rPr>
          <w:snapToGrid w:val="0"/>
        </w:rPr>
        <w:t>.</w:t>
      </w:r>
      <w:r>
        <w:rPr>
          <w:snapToGrid w:val="0"/>
        </w:rPr>
        <w:tab/>
        <w:t>Classes of businesses</w:t>
      </w:r>
      <w:bookmarkEnd w:id="24"/>
      <w:bookmarkEnd w:id="25"/>
      <w:bookmarkEnd w:id="26"/>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27" w:name="_Toc377996627"/>
      <w:bookmarkStart w:id="28" w:name="_Toc22914886"/>
      <w:bookmarkStart w:id="29" w:name="_Toc486428995"/>
      <w:r>
        <w:rPr>
          <w:rStyle w:val="CharSectno"/>
        </w:rPr>
        <w:t>11</w:t>
      </w:r>
      <w:r>
        <w:rPr>
          <w:snapToGrid w:val="0"/>
        </w:rPr>
        <w:t>.</w:t>
      </w:r>
      <w:r>
        <w:rPr>
          <w:snapToGrid w:val="0"/>
        </w:rPr>
        <w:tab/>
        <w:t>Applications</w:t>
      </w:r>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w:t>
      </w:r>
      <w:r>
        <w:t>character testimonials</w:t>
      </w:r>
      <w:r>
        <w:rPr>
          <w:snapToGrid w:val="0"/>
        </w:rPr>
        <w:t xml:space="preserve">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Ednotesubsection"/>
      </w:pPr>
      <w:r>
        <w:tab/>
        <w:t>[(5),(5a)</w:t>
      </w:r>
      <w:r>
        <w:tab/>
        <w:t>deleted]</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No. 60 of 1975 s. 3; No. 46 of 1978 s. 2; No. 59 of 2004 s. 141; No. 44 of 2016 s. 5.] </w:t>
      </w:r>
    </w:p>
    <w:p>
      <w:pPr>
        <w:pStyle w:val="Ednotesection"/>
      </w:pPr>
      <w:r>
        <w:t>[</w:t>
      </w:r>
      <w:r>
        <w:rPr>
          <w:b/>
        </w:rPr>
        <w:t>12.</w:t>
      </w:r>
      <w:r>
        <w:tab/>
        <w:t>Deleted: No. 44 of 2016 s. 6.]</w:t>
      </w:r>
    </w:p>
    <w:p>
      <w:pPr>
        <w:pStyle w:val="Heading5"/>
        <w:rPr>
          <w:snapToGrid w:val="0"/>
        </w:rPr>
      </w:pPr>
      <w:bookmarkStart w:id="30" w:name="_Toc377996629"/>
      <w:bookmarkStart w:id="31" w:name="_Toc22914887"/>
      <w:bookmarkStart w:id="32" w:name="_Toc486428996"/>
      <w:r>
        <w:rPr>
          <w:rStyle w:val="CharSectno"/>
        </w:rPr>
        <w:t>13</w:t>
      </w:r>
      <w:r>
        <w:rPr>
          <w:snapToGrid w:val="0"/>
        </w:rPr>
        <w:t>.</w:t>
      </w:r>
      <w:r>
        <w:rPr>
          <w:snapToGrid w:val="0"/>
        </w:rPr>
        <w:tab/>
        <w:t>Occasional licences</w:t>
      </w:r>
      <w:bookmarkEnd w:id="30"/>
      <w:bookmarkEnd w:id="31"/>
      <w:bookmarkEnd w:id="32"/>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33" w:name="_Toc377996630"/>
      <w:bookmarkStart w:id="34" w:name="_Toc22914888"/>
      <w:bookmarkStart w:id="35" w:name="_Toc486428997"/>
      <w:r>
        <w:rPr>
          <w:rStyle w:val="CharSectno"/>
        </w:rPr>
        <w:t>14</w:t>
      </w:r>
      <w:r>
        <w:rPr>
          <w:snapToGrid w:val="0"/>
        </w:rPr>
        <w:t>.</w:t>
      </w:r>
      <w:r>
        <w:rPr>
          <w:snapToGrid w:val="0"/>
        </w:rPr>
        <w:tab/>
        <w:t>Interim licence</w:t>
      </w:r>
      <w:bookmarkEnd w:id="33"/>
      <w:bookmarkEnd w:id="34"/>
      <w:bookmarkEnd w:id="35"/>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36" w:name="_Toc377996631"/>
      <w:bookmarkStart w:id="37" w:name="_Toc22914889"/>
      <w:bookmarkStart w:id="38" w:name="_Toc486428998"/>
      <w:r>
        <w:rPr>
          <w:rStyle w:val="CharSectno"/>
        </w:rPr>
        <w:t>15</w:t>
      </w:r>
      <w:r>
        <w:rPr>
          <w:snapToGrid w:val="0"/>
        </w:rPr>
        <w:t>.</w:t>
      </w:r>
      <w:r>
        <w:rPr>
          <w:snapToGrid w:val="0"/>
        </w:rPr>
        <w:tab/>
        <w:t>Provisional licences</w:t>
      </w:r>
      <w:bookmarkEnd w:id="36"/>
      <w:bookmarkEnd w:id="37"/>
      <w:bookmarkEnd w:id="38"/>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39" w:name="_Toc377996632"/>
      <w:bookmarkStart w:id="40" w:name="_Toc22914890"/>
      <w:bookmarkStart w:id="41" w:name="_Toc486428999"/>
      <w:r>
        <w:rPr>
          <w:rStyle w:val="CharSectno"/>
        </w:rPr>
        <w:t>16</w:t>
      </w:r>
      <w:r>
        <w:rPr>
          <w:snapToGrid w:val="0"/>
        </w:rPr>
        <w:t>.</w:t>
      </w:r>
      <w:r>
        <w:rPr>
          <w:snapToGrid w:val="0"/>
        </w:rPr>
        <w:tab/>
        <w:t>Hearing of applications</w:t>
      </w:r>
      <w:bookmarkEnd w:id="39"/>
      <w:bookmarkEnd w:id="40"/>
      <w:bookmarkEnd w:id="41"/>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r>
      <w:r>
        <w:t>The</w:t>
      </w:r>
      <w:r>
        <w:rPr>
          <w:snapToGrid w:val="0"/>
        </w:rPr>
        <w:t xml:space="preserve"> prescribed fee shall be paid in full on the grant of a licence.</w:t>
      </w:r>
    </w:p>
    <w:p>
      <w:pPr>
        <w:pStyle w:val="Footnotesection"/>
      </w:pPr>
      <w:r>
        <w:tab/>
        <w:t>[Section 16 amended: No. 59 of 2004 s. 141; No. 44 of 2016 s. 7.]</w:t>
      </w:r>
    </w:p>
    <w:p>
      <w:pPr>
        <w:pStyle w:val="Heading5"/>
        <w:rPr>
          <w:snapToGrid w:val="0"/>
        </w:rPr>
      </w:pPr>
      <w:bookmarkStart w:id="42" w:name="_Toc377996633"/>
      <w:bookmarkStart w:id="43" w:name="_Toc22914891"/>
      <w:bookmarkStart w:id="44" w:name="_Toc486429000"/>
      <w:r>
        <w:rPr>
          <w:rStyle w:val="CharSectno"/>
        </w:rPr>
        <w:t>17</w:t>
      </w:r>
      <w:r>
        <w:rPr>
          <w:snapToGrid w:val="0"/>
        </w:rPr>
        <w:t>.</w:t>
      </w:r>
      <w:r>
        <w:rPr>
          <w:snapToGrid w:val="0"/>
        </w:rPr>
        <w:tab/>
        <w:t>Form of licence</w:t>
      </w:r>
      <w:bookmarkEnd w:id="42"/>
      <w:bookmarkEnd w:id="43"/>
      <w:bookmarkEnd w:id="44"/>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No. 59 of 2004 s. 141.] </w:t>
      </w:r>
    </w:p>
    <w:p>
      <w:pPr>
        <w:pStyle w:val="Heading5"/>
        <w:rPr>
          <w:snapToGrid w:val="0"/>
        </w:rPr>
      </w:pPr>
      <w:bookmarkStart w:id="45" w:name="_Toc377996634"/>
      <w:bookmarkStart w:id="46" w:name="_Toc22914892"/>
      <w:bookmarkStart w:id="47" w:name="_Toc486429001"/>
      <w:r>
        <w:rPr>
          <w:rStyle w:val="CharSectno"/>
        </w:rPr>
        <w:t>18</w:t>
      </w:r>
      <w:r>
        <w:rPr>
          <w:snapToGrid w:val="0"/>
        </w:rPr>
        <w:t>.</w:t>
      </w:r>
      <w:r>
        <w:rPr>
          <w:snapToGrid w:val="0"/>
        </w:rPr>
        <w:tab/>
        <w:t>Duplicate licences</w:t>
      </w:r>
      <w:bookmarkEnd w:id="45"/>
      <w:bookmarkEnd w:id="46"/>
      <w:bookmarkEnd w:id="47"/>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No. 59 of 2004 s. 141.] </w:t>
      </w:r>
    </w:p>
    <w:p>
      <w:pPr>
        <w:pStyle w:val="Heading5"/>
        <w:rPr>
          <w:snapToGrid w:val="0"/>
        </w:rPr>
      </w:pPr>
      <w:bookmarkStart w:id="48" w:name="_Toc377996635"/>
      <w:bookmarkStart w:id="49" w:name="_Toc22914893"/>
      <w:bookmarkStart w:id="50" w:name="_Toc486429002"/>
      <w:r>
        <w:rPr>
          <w:rStyle w:val="CharSectno"/>
        </w:rPr>
        <w:t>19</w:t>
      </w:r>
      <w:r>
        <w:rPr>
          <w:snapToGrid w:val="0"/>
        </w:rPr>
        <w:t>.</w:t>
      </w:r>
      <w:r>
        <w:rPr>
          <w:snapToGrid w:val="0"/>
        </w:rPr>
        <w:tab/>
        <w:t>Duration of general and restricted licences</w:t>
      </w:r>
      <w:bookmarkEnd w:id="48"/>
      <w:bookmarkEnd w:id="49"/>
      <w:bookmarkEnd w:id="50"/>
      <w:r>
        <w:rPr>
          <w:snapToGrid w:val="0"/>
        </w:rPr>
        <w:t xml:space="preserve"> </w:t>
      </w:r>
    </w:p>
    <w:p>
      <w:pPr>
        <w:pStyle w:val="Subsection"/>
      </w:pPr>
      <w:r>
        <w:tab/>
        <w:t>(1)</w:t>
      </w:r>
      <w:r>
        <w:tab/>
        <w:t>On granting a general or restricted licence, the magistrate shall fix the period, during which, subject to this Act, the licence is to have effect.</w:t>
      </w:r>
    </w:p>
    <w:p>
      <w:pPr>
        <w:pStyle w:val="Subsection"/>
      </w:pPr>
      <w:r>
        <w:tab/>
        <w:t>(2A)</w:t>
      </w:r>
      <w:r>
        <w:tab/>
        <w:t xml:space="preserve">The period fixed under subsection (1) shall be a period that is — </w:t>
      </w:r>
    </w:p>
    <w:p>
      <w:pPr>
        <w:pStyle w:val="Indenta"/>
      </w:pPr>
      <w:r>
        <w:tab/>
        <w:t>(a)</w:t>
      </w:r>
      <w:r>
        <w:tab/>
        <w:t>not less than 12 months; and</w:t>
      </w:r>
    </w:p>
    <w:p>
      <w:pPr>
        <w:pStyle w:val="Indenta"/>
      </w:pPr>
      <w:r>
        <w:tab/>
        <w:t>(b)</w:t>
      </w:r>
      <w:r>
        <w:tab/>
        <w:t>not more than the prescribed period.</w:t>
      </w:r>
    </w:p>
    <w:p>
      <w:pPr>
        <w:pStyle w:val="Subsection"/>
      </w:pPr>
      <w:r>
        <w:tab/>
        <w:t>(2B)</w:t>
      </w:r>
      <w:r>
        <w:tab/>
        <w:t>A general licence or a restricted licence may be renewed from time to time for the prescribed period.</w:t>
      </w:r>
    </w:p>
    <w:p>
      <w:pPr>
        <w:pStyle w:val="Subsection"/>
      </w:pPr>
      <w:r>
        <w:tab/>
        <w:t>(2C)</w:t>
      </w:r>
      <w:r>
        <w:tab/>
        <w:t>A period prescribed for the purposes of subsection (2A)(b) or (2B) cannot be less than 12 months.</w:t>
      </w:r>
    </w:p>
    <w:p>
      <w:pPr>
        <w:pStyle w:val="Subsection"/>
        <w:rPr>
          <w:snapToGrid w:val="0"/>
        </w:rPr>
      </w:pPr>
      <w:r>
        <w:tab/>
        <w:t>(2D)</w:t>
      </w:r>
      <w:r>
        <w:tab/>
        <w:t>Different periods may be prescribed for the purposes of subsection (2B) in relation to the renewal of licences of different prescribed types or descriptions.</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 xml:space="preserve">Where an application is made for the renewal of a general licence or a restricted licence after, but within 3 months of, the date on which that licence expired, the magistrate if satisfied that no other circumstances make it undesirable, </w:t>
      </w:r>
      <w:r>
        <w:t xml:space="preserve">and any amount prescribed by way of penalty for a late application is paid, </w:t>
      </w:r>
      <w:r>
        <w:rPr>
          <w:snapToGrid w:val="0"/>
        </w:rPr>
        <w:t>may renew that licence and in that event the renewal of the licence shall be deemed for all purposes to have taken effect on the day immediately succeeding the date on which the previous licence expired.</w:t>
      </w:r>
    </w:p>
    <w:p>
      <w:pPr>
        <w:pStyle w:val="Footnotesection"/>
      </w:pPr>
      <w:r>
        <w:tab/>
        <w:t>[Section 19 amended: No. 44 of 2016 s. 8.]</w:t>
      </w:r>
    </w:p>
    <w:p>
      <w:pPr>
        <w:pStyle w:val="Ednotesection"/>
      </w:pPr>
      <w:r>
        <w:t>[</w:t>
      </w:r>
      <w:r>
        <w:rPr>
          <w:b/>
          <w:bCs/>
        </w:rPr>
        <w:t>20.</w:t>
      </w:r>
      <w:r>
        <w:rPr>
          <w:b/>
          <w:bCs/>
        </w:rPr>
        <w:tab/>
      </w:r>
      <w:r>
        <w:t>Deleted: No. 59 of 2004 s. 141.]</w:t>
      </w:r>
    </w:p>
    <w:p>
      <w:pPr>
        <w:pStyle w:val="Heading5"/>
        <w:rPr>
          <w:snapToGrid w:val="0"/>
        </w:rPr>
      </w:pPr>
      <w:bookmarkStart w:id="51" w:name="_Toc377996636"/>
      <w:bookmarkStart w:id="52" w:name="_Toc22914894"/>
      <w:bookmarkStart w:id="53" w:name="_Toc486429003"/>
      <w:r>
        <w:rPr>
          <w:rStyle w:val="CharSectno"/>
        </w:rPr>
        <w:t>21</w:t>
      </w:r>
      <w:r>
        <w:rPr>
          <w:snapToGrid w:val="0"/>
        </w:rPr>
        <w:t>.</w:t>
      </w:r>
      <w:r>
        <w:rPr>
          <w:snapToGrid w:val="0"/>
        </w:rPr>
        <w:tab/>
        <w:t>Surrender of a licence</w:t>
      </w:r>
      <w:bookmarkEnd w:id="51"/>
      <w:bookmarkEnd w:id="52"/>
      <w:bookmarkEnd w:id="53"/>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w:t>
      </w:r>
      <w:smartTag w:uri="urn:schemas-microsoft-com:office:smarttags" w:element="Street">
        <w:smartTag w:uri="urn:schemas-microsoft-com:office:smarttags" w:element="address">
          <w:r>
            <w:t>Magistrates Court</w:t>
          </w:r>
        </w:smartTag>
      </w:smartTag>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No. 59 of 2004 s. 141.] </w:t>
      </w:r>
    </w:p>
    <w:p>
      <w:pPr>
        <w:pStyle w:val="Heading5"/>
        <w:rPr>
          <w:snapToGrid w:val="0"/>
        </w:rPr>
      </w:pPr>
      <w:bookmarkStart w:id="54" w:name="_Toc377996637"/>
      <w:bookmarkStart w:id="55" w:name="_Toc22914895"/>
      <w:bookmarkStart w:id="56" w:name="_Toc486429004"/>
      <w:r>
        <w:rPr>
          <w:rStyle w:val="CharSectno"/>
        </w:rPr>
        <w:t>22</w:t>
      </w:r>
      <w:r>
        <w:rPr>
          <w:snapToGrid w:val="0"/>
        </w:rPr>
        <w:t>.</w:t>
      </w:r>
      <w:r>
        <w:rPr>
          <w:snapToGrid w:val="0"/>
        </w:rPr>
        <w:tab/>
        <w:t>Suspension, cancellation and disqualification</w:t>
      </w:r>
      <w:bookmarkEnd w:id="54"/>
      <w:bookmarkEnd w:id="55"/>
      <w:bookmarkEnd w:id="56"/>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 xml:space="preserve">may apply to the </w:t>
      </w:r>
      <w:smartTag w:uri="urn:schemas-microsoft-com:office:smarttags" w:element="Street">
        <w:smartTag w:uri="urn:schemas-microsoft-com:office:smarttags" w:element="address">
          <w:r>
            <w:t>Magistrates Court</w:t>
          </w:r>
        </w:smartTag>
      </w:smartTag>
      <w:r>
        <w:t xml:space="preserve">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No. 59 of 2004 s. 141.] </w:t>
      </w:r>
    </w:p>
    <w:p>
      <w:pPr>
        <w:pStyle w:val="Heading5"/>
        <w:spacing w:before="120"/>
        <w:rPr>
          <w:snapToGrid w:val="0"/>
        </w:rPr>
      </w:pPr>
      <w:bookmarkStart w:id="57" w:name="_Toc377996638"/>
      <w:bookmarkStart w:id="58" w:name="_Toc22914896"/>
      <w:bookmarkStart w:id="59" w:name="_Toc486429005"/>
      <w:r>
        <w:rPr>
          <w:rStyle w:val="CharSectno"/>
        </w:rPr>
        <w:t>23</w:t>
      </w:r>
      <w:r>
        <w:rPr>
          <w:snapToGrid w:val="0"/>
        </w:rPr>
        <w:t>.</w:t>
      </w:r>
      <w:r>
        <w:rPr>
          <w:snapToGrid w:val="0"/>
        </w:rPr>
        <w:tab/>
        <w:t>Advertising</w:t>
      </w:r>
      <w:bookmarkEnd w:id="57"/>
      <w:bookmarkEnd w:id="58"/>
      <w:bookmarkEnd w:id="59"/>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rPr>
          <w:snapToGrid w:val="0"/>
        </w:rPr>
      </w:pPr>
      <w:bookmarkStart w:id="60" w:name="_Toc377996639"/>
      <w:bookmarkStart w:id="61" w:name="_Toc22914897"/>
      <w:bookmarkStart w:id="62" w:name="_Toc486429006"/>
      <w:r>
        <w:rPr>
          <w:rStyle w:val="CharSectno"/>
        </w:rPr>
        <w:t>24</w:t>
      </w:r>
      <w:r>
        <w:rPr>
          <w:snapToGrid w:val="0"/>
        </w:rPr>
        <w:t>.</w:t>
      </w:r>
      <w:r>
        <w:rPr>
          <w:snapToGrid w:val="0"/>
        </w:rPr>
        <w:tab/>
        <w:t>Misrepresentation</w:t>
      </w:r>
      <w:bookmarkEnd w:id="60"/>
      <w:bookmarkEnd w:id="61"/>
      <w:bookmarkEnd w:id="62"/>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No. 84 of 2004 s. 82.]</w:t>
      </w:r>
    </w:p>
    <w:p>
      <w:pPr>
        <w:pStyle w:val="Heading5"/>
        <w:rPr>
          <w:snapToGrid w:val="0"/>
        </w:rPr>
      </w:pPr>
      <w:bookmarkStart w:id="63" w:name="_Toc377996640"/>
      <w:bookmarkStart w:id="64" w:name="_Toc22914898"/>
      <w:bookmarkStart w:id="65" w:name="_Toc486429007"/>
      <w:r>
        <w:rPr>
          <w:rStyle w:val="CharSectno"/>
        </w:rPr>
        <w:t>25</w:t>
      </w:r>
      <w:r>
        <w:rPr>
          <w:snapToGrid w:val="0"/>
        </w:rPr>
        <w:t>.</w:t>
      </w:r>
      <w:r>
        <w:rPr>
          <w:snapToGrid w:val="0"/>
        </w:rPr>
        <w:tab/>
        <w:t>Mock auctions</w:t>
      </w:r>
      <w:bookmarkEnd w:id="63"/>
      <w:bookmarkEnd w:id="64"/>
      <w:bookmarkEnd w:id="65"/>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66" w:name="_Toc377996641"/>
      <w:bookmarkStart w:id="67" w:name="_Toc22914899"/>
      <w:bookmarkStart w:id="68" w:name="_Toc486429008"/>
      <w:r>
        <w:rPr>
          <w:rStyle w:val="CharSectno"/>
        </w:rPr>
        <w:t>26</w:t>
      </w:r>
      <w:r>
        <w:rPr>
          <w:snapToGrid w:val="0"/>
        </w:rPr>
        <w:t>.</w:t>
      </w:r>
      <w:r>
        <w:rPr>
          <w:snapToGrid w:val="0"/>
        </w:rPr>
        <w:tab/>
        <w:t>Records to be kept</w:t>
      </w:r>
      <w:bookmarkEnd w:id="66"/>
      <w:bookmarkEnd w:id="67"/>
      <w:bookmarkEnd w:id="68"/>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rPr>
          <w:snapToGrid w:val="0"/>
        </w:rPr>
      </w:pPr>
      <w:bookmarkStart w:id="69" w:name="_Toc377996642"/>
      <w:bookmarkStart w:id="70" w:name="_Toc22914900"/>
      <w:bookmarkStart w:id="71" w:name="_Toc486429009"/>
      <w:r>
        <w:rPr>
          <w:rStyle w:val="CharSectno"/>
        </w:rPr>
        <w:t>27</w:t>
      </w:r>
      <w:r>
        <w:rPr>
          <w:snapToGrid w:val="0"/>
        </w:rPr>
        <w:t>.</w:t>
      </w:r>
      <w:r>
        <w:rPr>
          <w:snapToGrid w:val="0"/>
        </w:rPr>
        <w:tab/>
        <w:t>Account to be rendered</w:t>
      </w:r>
      <w:bookmarkEnd w:id="69"/>
      <w:bookmarkEnd w:id="70"/>
      <w:bookmarkEnd w:id="71"/>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rPr>
          <w:snapToGrid w:val="0"/>
        </w:rPr>
      </w:pPr>
      <w:bookmarkStart w:id="72" w:name="_Toc377996643"/>
      <w:bookmarkStart w:id="73" w:name="_Toc22914901"/>
      <w:bookmarkStart w:id="74" w:name="_Toc486429010"/>
      <w:r>
        <w:rPr>
          <w:rStyle w:val="CharSectno"/>
        </w:rPr>
        <w:t>28</w:t>
      </w:r>
      <w:r>
        <w:rPr>
          <w:snapToGrid w:val="0"/>
        </w:rPr>
        <w:t>.</w:t>
      </w:r>
      <w:r>
        <w:rPr>
          <w:snapToGrid w:val="0"/>
        </w:rPr>
        <w:tab/>
        <w:t>Inspection of records</w:t>
      </w:r>
      <w:bookmarkEnd w:id="72"/>
      <w:bookmarkEnd w:id="73"/>
      <w:bookmarkEnd w:id="74"/>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No. 98 of 1985 s. 3; No. 77 of 2006 s. 17.] </w:t>
      </w:r>
    </w:p>
    <w:p>
      <w:pPr>
        <w:pStyle w:val="Heading5"/>
        <w:rPr>
          <w:snapToGrid w:val="0"/>
        </w:rPr>
      </w:pPr>
      <w:bookmarkStart w:id="75" w:name="_Toc377996644"/>
      <w:bookmarkStart w:id="76" w:name="_Toc22914902"/>
      <w:bookmarkStart w:id="77" w:name="_Toc486429011"/>
      <w:r>
        <w:rPr>
          <w:rStyle w:val="CharSectno"/>
        </w:rPr>
        <w:t>29</w:t>
      </w:r>
      <w:r>
        <w:rPr>
          <w:snapToGrid w:val="0"/>
        </w:rPr>
        <w:t>.</w:t>
      </w:r>
      <w:r>
        <w:rPr>
          <w:snapToGrid w:val="0"/>
        </w:rPr>
        <w:tab/>
        <w:t>Bidding by seller or auctioneer or person on their behalf</w:t>
      </w:r>
      <w:bookmarkEnd w:id="75"/>
      <w:bookmarkEnd w:id="76"/>
      <w:bookmarkEnd w:id="77"/>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rPr>
          <w:snapToGrid w:val="0"/>
        </w:rPr>
      </w:pPr>
      <w:bookmarkStart w:id="78" w:name="_Toc377996645"/>
      <w:bookmarkStart w:id="79" w:name="_Toc22914903"/>
      <w:bookmarkStart w:id="80" w:name="_Toc486429012"/>
      <w:r>
        <w:rPr>
          <w:rStyle w:val="CharSectno"/>
        </w:rPr>
        <w:t>30</w:t>
      </w:r>
      <w:r>
        <w:rPr>
          <w:snapToGrid w:val="0"/>
        </w:rPr>
        <w:t>.</w:t>
      </w:r>
      <w:r>
        <w:rPr>
          <w:snapToGrid w:val="0"/>
        </w:rPr>
        <w:tab/>
        <w:t>Sales of cattle, sheep, pigs or goats</w:t>
      </w:r>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r>
        <w:t>inspector appointed under the</w:t>
      </w:r>
      <w:r>
        <w:rPr>
          <w:iCs/>
        </w:rPr>
        <w:t xml:space="preserve"> </w:t>
      </w:r>
      <w:r>
        <w:rPr>
          <w:i/>
          <w:iCs/>
        </w:rPr>
        <w:t>Biosecurity and Agriculture Management Act 2007</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r>
        <w:t>An inspector appointed under the</w:t>
      </w:r>
      <w:r>
        <w:rPr>
          <w:iCs/>
        </w:rPr>
        <w:t xml:space="preserve"> </w:t>
      </w:r>
      <w:r>
        <w:rPr>
          <w:i/>
          <w:iCs/>
        </w:rPr>
        <w:t>Biosecurity and Agriculture Management Act 2007</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pPr>
      <w:r>
        <w:tab/>
        <w:t>[Section 30 amended: No. 24 of 2007 s. 77(2) and (3).]</w:t>
      </w:r>
    </w:p>
    <w:p>
      <w:pPr>
        <w:pStyle w:val="Heading5"/>
        <w:rPr>
          <w:snapToGrid w:val="0"/>
        </w:rPr>
      </w:pPr>
      <w:bookmarkStart w:id="81" w:name="_Toc377996646"/>
      <w:bookmarkStart w:id="82" w:name="_Toc22914904"/>
      <w:bookmarkStart w:id="83" w:name="_Toc486429013"/>
      <w:r>
        <w:rPr>
          <w:rStyle w:val="CharSectno"/>
        </w:rPr>
        <w:t>31</w:t>
      </w:r>
      <w:r>
        <w:rPr>
          <w:snapToGrid w:val="0"/>
        </w:rPr>
        <w:t>.</w:t>
      </w:r>
      <w:r>
        <w:rPr>
          <w:snapToGrid w:val="0"/>
        </w:rPr>
        <w:tab/>
        <w:t>Splitting of lots of livestock or farm produce</w:t>
      </w:r>
      <w:bookmarkEnd w:id="81"/>
      <w:bookmarkEnd w:id="82"/>
      <w:bookmarkEnd w:id="83"/>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84" w:name="_Toc377996647"/>
      <w:bookmarkStart w:id="85" w:name="_Toc22914905"/>
      <w:bookmarkStart w:id="86" w:name="_Toc486429014"/>
      <w:r>
        <w:rPr>
          <w:rStyle w:val="CharSectno"/>
        </w:rPr>
        <w:t>32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livestock</w:t>
      </w:r>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w:t>
      </w:r>
      <w:r>
        <w:t xml:space="preserve">issued under regulations made under the </w:t>
      </w:r>
      <w:r>
        <w:rPr>
          <w:i/>
          <w:iCs/>
        </w:rPr>
        <w:t>Biosecurity and Agriculture Management Act 2007</w:t>
      </w:r>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No. 46 of 1994 s. 40; No. 24 of 2007 s. 77(4).] </w:t>
      </w:r>
    </w:p>
    <w:p>
      <w:pPr>
        <w:pStyle w:val="Heading5"/>
        <w:rPr>
          <w:snapToGrid w:val="0"/>
        </w:rPr>
      </w:pPr>
      <w:bookmarkStart w:id="87" w:name="_Toc377996648"/>
      <w:bookmarkStart w:id="88" w:name="_Toc22914906"/>
      <w:bookmarkStart w:id="89" w:name="_Toc486429015"/>
      <w:r>
        <w:rPr>
          <w:rStyle w:val="CharSectno"/>
        </w:rPr>
        <w:t>33</w:t>
      </w:r>
      <w:r>
        <w:rPr>
          <w:snapToGrid w:val="0"/>
        </w:rPr>
        <w:t>.</w:t>
      </w:r>
      <w:r>
        <w:rPr>
          <w:snapToGrid w:val="0"/>
        </w:rPr>
        <w:tab/>
        <w:t>Liquor</w:t>
      </w:r>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No. 59 of 2004 s. 141; No. 73 of 2006 s. 115.] </w:t>
      </w:r>
    </w:p>
    <w:p>
      <w:pPr>
        <w:pStyle w:val="Heading5"/>
        <w:rPr>
          <w:snapToGrid w:val="0"/>
        </w:rPr>
      </w:pPr>
      <w:bookmarkStart w:id="90" w:name="_Toc377996649"/>
      <w:bookmarkStart w:id="91" w:name="_Toc22914907"/>
      <w:bookmarkStart w:id="92" w:name="_Toc486429016"/>
      <w:r>
        <w:rPr>
          <w:rStyle w:val="CharSectno"/>
        </w:rPr>
        <w:t>34</w:t>
      </w:r>
      <w:r>
        <w:rPr>
          <w:snapToGrid w:val="0"/>
        </w:rPr>
        <w:t>.</w:t>
      </w:r>
      <w:r>
        <w:rPr>
          <w:snapToGrid w:val="0"/>
        </w:rPr>
        <w:tab/>
        <w:t>Savings of other remedies or actions</w:t>
      </w:r>
      <w:bookmarkEnd w:id="90"/>
      <w:bookmarkEnd w:id="91"/>
      <w:bookmarkEnd w:id="92"/>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93" w:name="_Toc377996650"/>
      <w:bookmarkStart w:id="94" w:name="_Toc22914908"/>
      <w:bookmarkStart w:id="95" w:name="_Toc486429017"/>
      <w:r>
        <w:rPr>
          <w:rStyle w:val="CharSectno"/>
        </w:rPr>
        <w:t>35</w:t>
      </w:r>
      <w:r>
        <w:rPr>
          <w:snapToGrid w:val="0"/>
        </w:rPr>
        <w:t>.</w:t>
      </w:r>
      <w:r>
        <w:rPr>
          <w:snapToGrid w:val="0"/>
        </w:rPr>
        <w:tab/>
        <w:t>Offences</w:t>
      </w:r>
      <w:bookmarkEnd w:id="93"/>
      <w:bookmarkEnd w:id="94"/>
      <w:bookmarkEnd w:id="95"/>
      <w:r>
        <w:rPr>
          <w:snapToGrid w:val="0"/>
        </w:rPr>
        <w:t xml:space="preserve"> </w:t>
      </w:r>
    </w:p>
    <w:p>
      <w:pPr>
        <w:pStyle w:val="Subsection"/>
        <w:keepNext/>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No. 59 of 2004 s. 141.] </w:t>
      </w:r>
    </w:p>
    <w:p>
      <w:pPr>
        <w:pStyle w:val="Heading5"/>
        <w:rPr>
          <w:snapToGrid w:val="0"/>
        </w:rPr>
      </w:pPr>
      <w:bookmarkStart w:id="96" w:name="_Toc377996651"/>
      <w:bookmarkStart w:id="97" w:name="_Toc22914909"/>
      <w:bookmarkStart w:id="98" w:name="_Toc486429018"/>
      <w:r>
        <w:rPr>
          <w:rStyle w:val="CharSectno"/>
        </w:rPr>
        <w:t>36</w:t>
      </w:r>
      <w:r>
        <w:rPr>
          <w:snapToGrid w:val="0"/>
        </w:rPr>
        <w:t>.</w:t>
      </w:r>
      <w:r>
        <w:rPr>
          <w:snapToGrid w:val="0"/>
        </w:rPr>
        <w:tab/>
        <w:t>Enforcement</w:t>
      </w:r>
      <w:bookmarkEnd w:id="96"/>
      <w:bookmarkEnd w:id="97"/>
      <w:bookmarkEnd w:id="98"/>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99" w:name="_Toc377996652"/>
      <w:bookmarkStart w:id="100" w:name="_Toc22914910"/>
      <w:bookmarkStart w:id="101" w:name="_Toc486429019"/>
      <w:r>
        <w:rPr>
          <w:rStyle w:val="CharSectno"/>
        </w:rPr>
        <w:t>37</w:t>
      </w:r>
      <w:r>
        <w:rPr>
          <w:snapToGrid w:val="0"/>
        </w:rPr>
        <w:t>.</w:t>
      </w:r>
      <w:r>
        <w:rPr>
          <w:snapToGrid w:val="0"/>
        </w:rPr>
        <w:tab/>
        <w:t>Regulations</w:t>
      </w:r>
      <w:bookmarkEnd w:id="99"/>
      <w:bookmarkEnd w:id="100"/>
      <w:bookmarkEnd w:id="101"/>
      <w:r>
        <w:rPr>
          <w:snapToGrid w:val="0"/>
        </w:rPr>
        <w:t xml:space="preserve"> </w:t>
      </w:r>
    </w:p>
    <w:p>
      <w:pPr>
        <w:pStyle w:val="Subsection"/>
        <w:rPr>
          <w:snapToGrid w:val="0"/>
        </w:rPr>
      </w:pPr>
      <w:r>
        <w:tab/>
        <w:t>(1)</w:t>
      </w:r>
      <w:r>
        <w:tab/>
        <w:t xml:space="preserve">The </w:t>
      </w:r>
      <w:r>
        <w:rPr>
          <w:snapToGrid w:val="0"/>
        </w:rPr>
        <w:t>Governor may make regulations for or with respect to any matter or thing which is required to give effect to the provisions of this Act.</w:t>
      </w:r>
    </w:p>
    <w:p>
      <w:pPr>
        <w:pStyle w:val="Subsection"/>
        <w:rPr>
          <w:snapToGrid w:val="0"/>
        </w:rPr>
      </w:pPr>
      <w:r>
        <w:tab/>
        <w:t>(2)</w:t>
      </w:r>
      <w:r>
        <w:tab/>
        <w:t xml:space="preserve">The </w:t>
      </w:r>
      <w:r>
        <w:rPr>
          <w:i/>
        </w:rPr>
        <w:t>Interpretation Act 1984</w:t>
      </w:r>
      <w:r>
        <w:t xml:space="preserve"> section 45(1) and (2) applies in respect of fees prescribed under this Act despite sections 3(3) and 45(3) of that Act.</w:t>
      </w:r>
    </w:p>
    <w:p>
      <w:pPr>
        <w:pStyle w:val="Footnotesection"/>
      </w:pPr>
      <w:r>
        <w:tab/>
        <w:t>[Section 37 amended: No. 44 of 2016 s. 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2" w:name="_Toc377996653"/>
      <w:bookmarkStart w:id="103" w:name="_Toc412629056"/>
      <w:bookmarkStart w:id="104" w:name="_Toc412629094"/>
      <w:bookmarkStart w:id="105" w:name="_Toc468699666"/>
      <w:bookmarkStart w:id="106" w:name="_Toc468699774"/>
      <w:bookmarkStart w:id="107" w:name="_Toc486328208"/>
      <w:bookmarkStart w:id="108" w:name="_Toc486328349"/>
      <w:bookmarkStart w:id="109" w:name="_Toc486428886"/>
      <w:bookmarkStart w:id="110" w:name="_Toc486429020"/>
      <w:bookmarkStart w:id="111" w:name="_Toc22914911"/>
      <w:r>
        <w:t>Notes</w:t>
      </w:r>
      <w:bookmarkEnd w:id="102"/>
      <w:bookmarkEnd w:id="103"/>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2" w:name="_Toc377996654"/>
      <w:bookmarkStart w:id="113" w:name="_Toc22914912"/>
      <w:bookmarkStart w:id="114" w:name="_Toc486429021"/>
      <w:r>
        <w:rPr>
          <w:snapToGrid w:val="0"/>
        </w:rPr>
        <w:t>Compilation table</w:t>
      </w:r>
      <w:bookmarkEnd w:id="112"/>
      <w:bookmarkEnd w:id="113"/>
      <w:bookmarkEnd w:id="114"/>
    </w:p>
    <w:tbl>
      <w:tblPr>
        <w:tblW w:w="7106" w:type="dxa"/>
        <w:tblInd w:w="28" w:type="dxa"/>
        <w:tblLayout w:type="fixed"/>
        <w:tblCellMar>
          <w:left w:w="56" w:type="dxa"/>
          <w:right w:w="56" w:type="dxa"/>
        </w:tblCellMar>
        <w:tblLook w:val="0000" w:firstRow="0" w:lastRow="0" w:firstColumn="0" w:lastColumn="0" w:noHBand="0" w:noVBand="0"/>
      </w:tblPr>
      <w:tblGrid>
        <w:gridCol w:w="2268"/>
        <w:gridCol w:w="1137"/>
        <w:gridCol w:w="1136"/>
        <w:gridCol w:w="2546"/>
        <w:gridCol w:w="19"/>
      </w:tblGrid>
      <w:tr>
        <w:trPr>
          <w:gridAfter w:val="1"/>
          <w:wAfter w:w="19" w:type="dxa"/>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7"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46" w:type="dxa"/>
            <w:tcBorders>
              <w:top w:val="single" w:sz="8" w:space="0" w:color="auto"/>
              <w:bottom w:val="single" w:sz="8" w:space="0" w:color="auto"/>
            </w:tcBorders>
          </w:tcPr>
          <w:p>
            <w:pPr>
              <w:pStyle w:val="nTable"/>
              <w:spacing w:after="40"/>
              <w:rPr>
                <w:b/>
              </w:rPr>
            </w:pPr>
            <w:r>
              <w:rPr>
                <w:b/>
              </w:rPr>
              <w:t>Commencement</w:t>
            </w:r>
          </w:p>
        </w:tc>
      </w:tr>
      <w:tr>
        <w:trPr>
          <w:gridAfter w:val="1"/>
          <w:wAfter w:w="19" w:type="dxa"/>
          <w:cantSplit/>
        </w:trPr>
        <w:tc>
          <w:tcPr>
            <w:tcW w:w="2268" w:type="dxa"/>
          </w:tcPr>
          <w:p>
            <w:pPr>
              <w:pStyle w:val="nTable"/>
              <w:spacing w:after="40"/>
              <w:ind w:right="113"/>
            </w:pPr>
            <w:r>
              <w:rPr>
                <w:i/>
              </w:rPr>
              <w:t>Auction Sales Act 1973</w:t>
            </w:r>
          </w:p>
        </w:tc>
        <w:tc>
          <w:tcPr>
            <w:tcW w:w="1137" w:type="dxa"/>
          </w:tcPr>
          <w:p>
            <w:pPr>
              <w:pStyle w:val="nTable"/>
              <w:spacing w:after="40"/>
            </w:pPr>
            <w:r>
              <w:t>73 of 1973</w:t>
            </w:r>
          </w:p>
        </w:tc>
        <w:tc>
          <w:tcPr>
            <w:tcW w:w="1136" w:type="dxa"/>
          </w:tcPr>
          <w:p>
            <w:pPr>
              <w:pStyle w:val="nTable"/>
              <w:spacing w:after="40"/>
            </w:pPr>
            <w:r>
              <w:t>6 Dec 1973</w:t>
            </w:r>
          </w:p>
        </w:tc>
        <w:tc>
          <w:tcPr>
            <w:tcW w:w="2546"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rPr>
          <w:gridAfter w:val="1"/>
          <w:wAfter w:w="19" w:type="dxa"/>
          <w:cantSplit/>
        </w:trPr>
        <w:tc>
          <w:tcPr>
            <w:tcW w:w="2268" w:type="dxa"/>
          </w:tcPr>
          <w:p>
            <w:pPr>
              <w:pStyle w:val="nTable"/>
              <w:spacing w:after="40"/>
              <w:ind w:right="113"/>
            </w:pPr>
            <w:r>
              <w:rPr>
                <w:i/>
              </w:rPr>
              <w:t>Auction Sales Act Amendment Act 1975</w:t>
            </w:r>
          </w:p>
        </w:tc>
        <w:tc>
          <w:tcPr>
            <w:tcW w:w="1137" w:type="dxa"/>
          </w:tcPr>
          <w:p>
            <w:pPr>
              <w:pStyle w:val="nTable"/>
              <w:spacing w:after="40"/>
            </w:pPr>
            <w:r>
              <w:t>60 of 1975</w:t>
            </w:r>
          </w:p>
        </w:tc>
        <w:tc>
          <w:tcPr>
            <w:tcW w:w="1136" w:type="dxa"/>
          </w:tcPr>
          <w:p>
            <w:pPr>
              <w:pStyle w:val="nTable"/>
              <w:spacing w:after="40"/>
            </w:pPr>
            <w:r>
              <w:t>24 Oct 1975</w:t>
            </w:r>
          </w:p>
        </w:tc>
        <w:tc>
          <w:tcPr>
            <w:tcW w:w="2546" w:type="dxa"/>
          </w:tcPr>
          <w:p>
            <w:pPr>
              <w:pStyle w:val="nTable"/>
              <w:spacing w:after="40"/>
            </w:pPr>
            <w:r>
              <w:t>24 Oct 1975</w:t>
            </w:r>
          </w:p>
        </w:tc>
      </w:tr>
      <w:tr>
        <w:trPr>
          <w:gridAfter w:val="1"/>
          <w:wAfter w:w="19" w:type="dxa"/>
          <w:cantSplit/>
        </w:trPr>
        <w:tc>
          <w:tcPr>
            <w:tcW w:w="2268" w:type="dxa"/>
          </w:tcPr>
          <w:p>
            <w:pPr>
              <w:pStyle w:val="nTable"/>
              <w:spacing w:after="40"/>
              <w:ind w:right="113"/>
            </w:pPr>
            <w:r>
              <w:rPr>
                <w:i/>
              </w:rPr>
              <w:t>Auction Sales Act Amendment Act 1978</w:t>
            </w:r>
          </w:p>
        </w:tc>
        <w:tc>
          <w:tcPr>
            <w:tcW w:w="1137" w:type="dxa"/>
          </w:tcPr>
          <w:p>
            <w:pPr>
              <w:pStyle w:val="nTable"/>
              <w:spacing w:after="40"/>
            </w:pPr>
            <w:r>
              <w:t>46 of 1978</w:t>
            </w:r>
          </w:p>
        </w:tc>
        <w:tc>
          <w:tcPr>
            <w:tcW w:w="1136" w:type="dxa"/>
          </w:tcPr>
          <w:p>
            <w:pPr>
              <w:pStyle w:val="nTable"/>
              <w:spacing w:after="40"/>
            </w:pPr>
            <w:r>
              <w:t>29 Aug 1978</w:t>
            </w:r>
          </w:p>
        </w:tc>
        <w:tc>
          <w:tcPr>
            <w:tcW w:w="2546" w:type="dxa"/>
          </w:tcPr>
          <w:p>
            <w:pPr>
              <w:pStyle w:val="nTable"/>
              <w:spacing w:after="40"/>
            </w:pPr>
            <w:r>
              <w:t>29 Aug 1978</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rPr>
          <w:gridAfter w:val="1"/>
          <w:wAfter w:w="19" w:type="dxa"/>
          <w:cantSplit/>
        </w:trPr>
        <w:tc>
          <w:tcPr>
            <w:tcW w:w="2268" w:type="dxa"/>
          </w:tcPr>
          <w:p>
            <w:pPr>
              <w:pStyle w:val="nTable"/>
              <w:spacing w:after="40"/>
              <w:ind w:right="113"/>
            </w:pPr>
            <w:r>
              <w:rPr>
                <w:i/>
              </w:rPr>
              <w:t xml:space="preserve">Companies (Consequential Amendments) Act 1982 </w:t>
            </w:r>
            <w:r>
              <w:t>s. 28</w:t>
            </w:r>
          </w:p>
        </w:tc>
        <w:tc>
          <w:tcPr>
            <w:tcW w:w="1137" w:type="dxa"/>
          </w:tcPr>
          <w:p>
            <w:pPr>
              <w:pStyle w:val="nTable"/>
              <w:spacing w:after="40"/>
            </w:pPr>
            <w:r>
              <w:t>10 of 1982</w:t>
            </w:r>
          </w:p>
        </w:tc>
        <w:tc>
          <w:tcPr>
            <w:tcW w:w="1136" w:type="dxa"/>
          </w:tcPr>
          <w:p>
            <w:pPr>
              <w:pStyle w:val="nTable"/>
              <w:spacing w:after="40"/>
            </w:pPr>
            <w:r>
              <w:t>14 May 1982</w:t>
            </w:r>
          </w:p>
        </w:tc>
        <w:tc>
          <w:tcPr>
            <w:tcW w:w="2546" w:type="dxa"/>
          </w:tcPr>
          <w:p>
            <w:pPr>
              <w:pStyle w:val="nTable"/>
              <w:spacing w:after="40"/>
            </w:pPr>
            <w:r>
              <w:t xml:space="preserve">1 Jul 1982 (see s. 2(1) and </w:t>
            </w:r>
            <w:r>
              <w:rPr>
                <w:i/>
                <w:iCs/>
              </w:rPr>
              <w:t>Gazette</w:t>
            </w:r>
            <w:r>
              <w:t xml:space="preserve"> 25 Jun 1982 p. 2079)</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rPr>
          <w:gridAfter w:val="1"/>
          <w:wAfter w:w="19" w:type="dxa"/>
          <w:cantSplit/>
        </w:trPr>
        <w:tc>
          <w:tcPr>
            <w:tcW w:w="2268" w:type="dxa"/>
          </w:tcPr>
          <w:p>
            <w:pPr>
              <w:pStyle w:val="nTable"/>
              <w:spacing w:after="40"/>
              <w:ind w:right="113"/>
            </w:pPr>
            <w:r>
              <w:rPr>
                <w:i/>
              </w:rPr>
              <w:t xml:space="preserve">Acts Amendment (Financial Administration and Audit) Act 1985 </w:t>
            </w:r>
            <w:r>
              <w:t>s. 3</w:t>
            </w:r>
          </w:p>
        </w:tc>
        <w:tc>
          <w:tcPr>
            <w:tcW w:w="1137" w:type="dxa"/>
          </w:tcPr>
          <w:p>
            <w:pPr>
              <w:pStyle w:val="nTable"/>
              <w:spacing w:after="40"/>
            </w:pPr>
            <w:r>
              <w:t>98 of 1985</w:t>
            </w:r>
          </w:p>
        </w:tc>
        <w:tc>
          <w:tcPr>
            <w:tcW w:w="1136" w:type="dxa"/>
          </w:tcPr>
          <w:p>
            <w:pPr>
              <w:pStyle w:val="nTable"/>
              <w:spacing w:after="40"/>
            </w:pPr>
            <w:r>
              <w:t>4 Dec 1985</w:t>
            </w:r>
          </w:p>
        </w:tc>
        <w:tc>
          <w:tcPr>
            <w:tcW w:w="2546" w:type="dxa"/>
          </w:tcPr>
          <w:p>
            <w:pPr>
              <w:pStyle w:val="nTable"/>
              <w:spacing w:after="40"/>
            </w:pPr>
            <w:r>
              <w:t xml:space="preserve">1 Jul 1986 (see s. 2 and </w:t>
            </w:r>
            <w:r>
              <w:rPr>
                <w:i/>
              </w:rPr>
              <w:t>Gazette</w:t>
            </w:r>
            <w:r>
              <w:t xml:space="preserve"> 30 Jun 1986 p. 2255)</w:t>
            </w:r>
          </w:p>
        </w:tc>
      </w:tr>
      <w:tr>
        <w:trPr>
          <w:gridAfter w:val="1"/>
          <w:wAfter w:w="19" w:type="dxa"/>
          <w:cantSplit/>
        </w:trPr>
        <w:tc>
          <w:tcPr>
            <w:tcW w:w="2268" w:type="dxa"/>
          </w:tcPr>
          <w:p>
            <w:pPr>
              <w:pStyle w:val="nTable"/>
              <w:spacing w:after="40"/>
              <w:ind w:right="113"/>
            </w:pPr>
            <w:r>
              <w:rPr>
                <w:i/>
              </w:rPr>
              <w:t xml:space="preserve">R &amp; I Bank Act 1990 </w:t>
            </w:r>
            <w:r>
              <w:t>s. 45(1)</w:t>
            </w:r>
          </w:p>
        </w:tc>
        <w:tc>
          <w:tcPr>
            <w:tcW w:w="1137" w:type="dxa"/>
          </w:tcPr>
          <w:p>
            <w:pPr>
              <w:pStyle w:val="nTable"/>
              <w:spacing w:after="40"/>
            </w:pPr>
            <w:r>
              <w:t>73 of 1990</w:t>
            </w:r>
          </w:p>
        </w:tc>
        <w:tc>
          <w:tcPr>
            <w:tcW w:w="1136" w:type="dxa"/>
          </w:tcPr>
          <w:p>
            <w:pPr>
              <w:pStyle w:val="nTable"/>
              <w:spacing w:after="40"/>
            </w:pPr>
            <w:r>
              <w:t>20 Dec 1990</w:t>
            </w:r>
          </w:p>
        </w:tc>
        <w:tc>
          <w:tcPr>
            <w:tcW w:w="2546" w:type="dxa"/>
          </w:tcPr>
          <w:p>
            <w:pPr>
              <w:pStyle w:val="nTable"/>
              <w:spacing w:after="40"/>
            </w:pPr>
            <w:r>
              <w:t xml:space="preserve">1 Jan 1991 (see s. 2(2) and </w:t>
            </w:r>
            <w:r>
              <w:rPr>
                <w:i/>
              </w:rPr>
              <w:t>Gazette</w:t>
            </w:r>
            <w:r>
              <w:t xml:space="preserve"> 28 Dec 1990 p. 6369)</w:t>
            </w:r>
          </w:p>
        </w:tc>
      </w:tr>
      <w:tr>
        <w:trPr>
          <w:gridAfter w:val="1"/>
          <w:wAfter w:w="19" w:type="dxa"/>
          <w:cantSplit/>
        </w:trPr>
        <w:tc>
          <w:tcPr>
            <w:tcW w:w="2268" w:type="dxa"/>
          </w:tcPr>
          <w:p>
            <w:pPr>
              <w:pStyle w:val="nTable"/>
              <w:spacing w:after="40"/>
              <w:ind w:right="113"/>
            </w:pPr>
            <w:r>
              <w:rPr>
                <w:i/>
              </w:rPr>
              <w:t xml:space="preserve">Stock (Brands and Movement) Amendment Act 1994 </w:t>
            </w:r>
            <w:r>
              <w:t>s. 40</w:t>
            </w:r>
          </w:p>
        </w:tc>
        <w:tc>
          <w:tcPr>
            <w:tcW w:w="1137" w:type="dxa"/>
          </w:tcPr>
          <w:p>
            <w:pPr>
              <w:pStyle w:val="nTable"/>
              <w:spacing w:after="40"/>
            </w:pPr>
            <w:r>
              <w:t>46 of 1994</w:t>
            </w:r>
          </w:p>
        </w:tc>
        <w:tc>
          <w:tcPr>
            <w:tcW w:w="1136" w:type="dxa"/>
          </w:tcPr>
          <w:p>
            <w:pPr>
              <w:pStyle w:val="nTable"/>
              <w:spacing w:after="40"/>
            </w:pPr>
            <w:r>
              <w:t>27 Sep 1994</w:t>
            </w:r>
          </w:p>
        </w:tc>
        <w:tc>
          <w:tcPr>
            <w:tcW w:w="2546" w:type="dxa"/>
          </w:tcPr>
          <w:p>
            <w:pPr>
              <w:pStyle w:val="nTable"/>
              <w:spacing w:after="40"/>
            </w:pPr>
            <w:r>
              <w:t xml:space="preserve">17 May 1995 (see s. 2 and </w:t>
            </w:r>
            <w:r>
              <w:rPr>
                <w:i/>
              </w:rPr>
              <w:t>Gazette</w:t>
            </w:r>
            <w:r>
              <w:t xml:space="preserve"> 16 May 1995 p. 1839)</w:t>
            </w:r>
          </w:p>
        </w:tc>
      </w:tr>
      <w:tr>
        <w:trPr>
          <w:gridAfter w:val="1"/>
          <w:wAfter w:w="19" w:type="dxa"/>
          <w:cantSplit/>
        </w:trPr>
        <w:tc>
          <w:tcPr>
            <w:tcW w:w="2268" w:type="dxa"/>
          </w:tcPr>
          <w:p>
            <w:pPr>
              <w:pStyle w:val="nTable"/>
              <w:spacing w:after="40"/>
              <w:ind w:right="113"/>
            </w:pPr>
            <w:r>
              <w:rPr>
                <w:i/>
              </w:rPr>
              <w:t>Acts Amendment (Land Administration) Act 1997</w:t>
            </w:r>
            <w:r>
              <w:br/>
              <w:t>s. 141</w:t>
            </w:r>
          </w:p>
        </w:tc>
        <w:tc>
          <w:tcPr>
            <w:tcW w:w="1137" w:type="dxa"/>
          </w:tcPr>
          <w:p>
            <w:pPr>
              <w:pStyle w:val="nTable"/>
              <w:spacing w:after="40"/>
            </w:pPr>
            <w:r>
              <w:t>31 of 1997</w:t>
            </w:r>
          </w:p>
        </w:tc>
        <w:tc>
          <w:tcPr>
            <w:tcW w:w="1136" w:type="dxa"/>
          </w:tcPr>
          <w:p>
            <w:pPr>
              <w:pStyle w:val="nTable"/>
              <w:spacing w:after="40"/>
            </w:pPr>
            <w:r>
              <w:t>3 Oct 1997</w:t>
            </w:r>
          </w:p>
        </w:tc>
        <w:tc>
          <w:tcPr>
            <w:tcW w:w="2546" w:type="dxa"/>
          </w:tcPr>
          <w:p>
            <w:pPr>
              <w:pStyle w:val="nTable"/>
              <w:spacing w:after="40"/>
            </w:pPr>
            <w:r>
              <w:t xml:space="preserve">30 Mar 1998 (see s. 2 and </w:t>
            </w:r>
            <w:r>
              <w:rPr>
                <w:i/>
              </w:rPr>
              <w:t>Gazette</w:t>
            </w:r>
            <w:r>
              <w:t xml:space="preserve"> 27 Mar 1998 p. 1765)</w:t>
            </w:r>
          </w:p>
        </w:tc>
      </w:tr>
      <w:tr>
        <w:trPr>
          <w:gridAfter w:val="1"/>
          <w:wAfter w:w="19" w:type="dxa"/>
          <w:cantSplit/>
        </w:trPr>
        <w:tc>
          <w:tcPr>
            <w:tcW w:w="2268" w:type="dxa"/>
          </w:tcPr>
          <w:p>
            <w:pPr>
              <w:pStyle w:val="nTable"/>
              <w:spacing w:after="40"/>
              <w:ind w:right="113"/>
            </w:pPr>
            <w:r>
              <w:rPr>
                <w:i/>
              </w:rPr>
              <w:t xml:space="preserve">Statutes (Repeals and Minor Amendments) Act 1997 </w:t>
            </w:r>
            <w:r>
              <w:t>s. 20</w:t>
            </w:r>
          </w:p>
        </w:tc>
        <w:tc>
          <w:tcPr>
            <w:tcW w:w="1137" w:type="dxa"/>
          </w:tcPr>
          <w:p>
            <w:pPr>
              <w:pStyle w:val="nTable"/>
              <w:spacing w:after="40"/>
            </w:pPr>
            <w:r>
              <w:t>57 of 1997</w:t>
            </w:r>
          </w:p>
        </w:tc>
        <w:tc>
          <w:tcPr>
            <w:tcW w:w="1136" w:type="dxa"/>
          </w:tcPr>
          <w:p>
            <w:pPr>
              <w:pStyle w:val="nTable"/>
              <w:spacing w:after="40"/>
            </w:pPr>
            <w:r>
              <w:t>15 Dec 1997</w:t>
            </w:r>
          </w:p>
        </w:tc>
        <w:tc>
          <w:tcPr>
            <w:tcW w:w="2546" w:type="dxa"/>
          </w:tcPr>
          <w:p>
            <w:pPr>
              <w:pStyle w:val="nTable"/>
              <w:spacing w:after="40"/>
            </w:pPr>
            <w:r>
              <w:t>15 Dec 1997 (see s. 2(1))</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rPr>
          <w:gridAfter w:val="1"/>
          <w:wAfter w:w="19" w:type="dxa"/>
          <w:cantSplit/>
        </w:trPr>
        <w:tc>
          <w:tcPr>
            <w:tcW w:w="2268" w:type="dxa"/>
          </w:tcPr>
          <w:p>
            <w:pPr>
              <w:pStyle w:val="nTable"/>
              <w:spacing w:after="40"/>
              <w:ind w:right="113"/>
            </w:pPr>
            <w:r>
              <w:rPr>
                <w:i/>
              </w:rPr>
              <w:t xml:space="preserve">Corporations (Consequential Amendments) Act 2001 </w:t>
            </w:r>
            <w:r>
              <w:t>Pt. 5</w:t>
            </w:r>
          </w:p>
        </w:tc>
        <w:tc>
          <w:tcPr>
            <w:tcW w:w="1137" w:type="dxa"/>
          </w:tcPr>
          <w:p>
            <w:pPr>
              <w:pStyle w:val="nTable"/>
              <w:spacing w:after="40"/>
            </w:pPr>
            <w:r>
              <w:t>10 of 2001</w:t>
            </w:r>
          </w:p>
        </w:tc>
        <w:tc>
          <w:tcPr>
            <w:tcW w:w="1136" w:type="dxa"/>
          </w:tcPr>
          <w:p>
            <w:pPr>
              <w:pStyle w:val="nTable"/>
              <w:spacing w:after="40"/>
            </w:pPr>
            <w:r>
              <w:t>28 Jun 2001</w:t>
            </w:r>
          </w:p>
        </w:tc>
        <w:tc>
          <w:tcPr>
            <w:tcW w:w="2546"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9" w:type="dxa"/>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7" w:type="dxa"/>
          </w:tcPr>
          <w:p>
            <w:pPr>
              <w:pStyle w:val="nTable"/>
              <w:spacing w:after="40"/>
            </w:pPr>
            <w:r>
              <w:rPr>
                <w:snapToGrid w:val="0"/>
              </w:rPr>
              <w:t>59 of 2004</w:t>
            </w:r>
          </w:p>
        </w:tc>
        <w:tc>
          <w:tcPr>
            <w:tcW w:w="1136" w:type="dxa"/>
          </w:tcPr>
          <w:p>
            <w:pPr>
              <w:pStyle w:val="nTable"/>
              <w:spacing w:after="40"/>
            </w:pPr>
            <w:r>
              <w:t>23 Nov 2004</w:t>
            </w:r>
          </w:p>
        </w:tc>
        <w:tc>
          <w:tcPr>
            <w:tcW w:w="2546" w:type="dxa"/>
          </w:tcPr>
          <w:p>
            <w:pPr>
              <w:pStyle w:val="nTable"/>
              <w:spacing w:after="40"/>
            </w:pPr>
            <w:r>
              <w:t xml:space="preserve">1 May 2005 (see s. 2 and </w:t>
            </w:r>
            <w:r>
              <w:rPr>
                <w:i/>
                <w:iCs/>
              </w:rPr>
              <w:t>Gazette</w:t>
            </w:r>
            <w:r>
              <w:t xml:space="preserve"> 31 Dec 2004 p. 7128)</w:t>
            </w:r>
          </w:p>
        </w:tc>
      </w:tr>
      <w:tr>
        <w:trPr>
          <w:gridAfter w:val="1"/>
          <w:wAfter w:w="19" w:type="dxa"/>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7"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46"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9" w:type="dxa"/>
          <w:cantSplit/>
        </w:trPr>
        <w:tc>
          <w:tcPr>
            <w:tcW w:w="2268"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7" w:type="dxa"/>
          </w:tcPr>
          <w:p>
            <w:pPr>
              <w:pStyle w:val="nTable"/>
              <w:spacing w:after="40"/>
              <w:rPr>
                <w:snapToGrid w:val="0"/>
              </w:rPr>
            </w:pPr>
            <w:r>
              <w:rPr>
                <w:snapToGrid w:val="0"/>
              </w:rPr>
              <w:t>73 of 2006</w:t>
            </w:r>
          </w:p>
        </w:tc>
        <w:tc>
          <w:tcPr>
            <w:tcW w:w="1136" w:type="dxa"/>
          </w:tcPr>
          <w:p>
            <w:pPr>
              <w:pStyle w:val="nTable"/>
              <w:spacing w:after="40"/>
            </w:pPr>
            <w:r>
              <w:rPr>
                <w:snapToGrid w:val="0"/>
              </w:rPr>
              <w:t>13 Dec 2006</w:t>
            </w:r>
          </w:p>
        </w:tc>
        <w:tc>
          <w:tcPr>
            <w:tcW w:w="2546" w:type="dxa"/>
          </w:tcPr>
          <w:p>
            <w:pPr>
              <w:pStyle w:val="nTable"/>
              <w:spacing w:after="40"/>
              <w:rPr>
                <w:snapToGrid w:val="0"/>
              </w:rPr>
            </w:pPr>
            <w:r>
              <w:t xml:space="preserve">7 May 2007 (see s. 2(2) and </w:t>
            </w:r>
            <w:r>
              <w:rPr>
                <w:i/>
                <w:iCs/>
              </w:rPr>
              <w:t xml:space="preserve">Gazette </w:t>
            </w:r>
            <w:r>
              <w:t>1 May 2007 p. 1893)</w:t>
            </w:r>
          </w:p>
        </w:tc>
      </w:tr>
      <w:tr>
        <w:trPr>
          <w:gridAfter w:val="1"/>
          <w:wAfter w:w="19" w:type="dxa"/>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7"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4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9" w:type="dxa"/>
          <w:cantSplit/>
        </w:trPr>
        <w:tc>
          <w:tcPr>
            <w:tcW w:w="7087"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c>
          <w:tcPr>
            <w:tcW w:w="2268" w:type="dxa"/>
          </w:tcPr>
          <w:p>
            <w:pPr>
              <w:pStyle w:val="nTable"/>
              <w:spacing w:before="100"/>
              <w:rPr>
                <w:i/>
                <w:iCs/>
                <w:snapToGrid w:val="0"/>
              </w:rPr>
            </w:pPr>
            <w:r>
              <w:rPr>
                <w:i/>
                <w:snapToGrid w:val="0"/>
              </w:rPr>
              <w:t>Biosecurity and Agriculture Management (Repeal and Consequential Provisions) Act 2007</w:t>
            </w:r>
            <w:r>
              <w:rPr>
                <w:iCs/>
                <w:snapToGrid w:val="0"/>
              </w:rPr>
              <w:t xml:space="preserve"> s. 77</w:t>
            </w:r>
          </w:p>
        </w:tc>
        <w:tc>
          <w:tcPr>
            <w:tcW w:w="1137" w:type="dxa"/>
          </w:tcPr>
          <w:p>
            <w:pPr>
              <w:pStyle w:val="nTable"/>
              <w:spacing w:before="100"/>
              <w:rPr>
                <w:snapToGrid w:val="0"/>
              </w:rPr>
            </w:pPr>
            <w:r>
              <w:rPr>
                <w:snapToGrid w:val="0"/>
              </w:rPr>
              <w:t>24 of 2007</w:t>
            </w:r>
          </w:p>
        </w:tc>
        <w:tc>
          <w:tcPr>
            <w:tcW w:w="1136" w:type="dxa"/>
          </w:tcPr>
          <w:p>
            <w:pPr>
              <w:pStyle w:val="nTable"/>
              <w:spacing w:before="100"/>
            </w:pPr>
            <w:r>
              <w:rPr>
                <w:snapToGrid w:val="0"/>
              </w:rPr>
              <w:t>12 Oct 2007</w:t>
            </w:r>
          </w:p>
        </w:tc>
        <w:tc>
          <w:tcPr>
            <w:tcW w:w="2565" w:type="dxa"/>
            <w:gridSpan w:val="2"/>
          </w:tcPr>
          <w:p>
            <w:pPr>
              <w:pStyle w:val="nTable"/>
              <w:spacing w:before="10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9" w:type="dxa"/>
          <w:cantSplit/>
        </w:trPr>
        <w:tc>
          <w:tcPr>
            <w:tcW w:w="2268" w:type="dxa"/>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7" w:type="dxa"/>
          </w:tcPr>
          <w:p>
            <w:pPr>
              <w:pStyle w:val="nTable"/>
              <w:spacing w:after="40"/>
              <w:rPr>
                <w:snapToGrid w:val="0"/>
              </w:rPr>
            </w:pPr>
            <w:r>
              <w:rPr>
                <w:snapToGrid w:val="0"/>
              </w:rPr>
              <w:t>6 of 2012</w:t>
            </w:r>
          </w:p>
        </w:tc>
        <w:tc>
          <w:tcPr>
            <w:tcW w:w="1136" w:type="dxa"/>
          </w:tcPr>
          <w:p>
            <w:pPr>
              <w:pStyle w:val="nTable"/>
              <w:spacing w:after="40"/>
            </w:pPr>
            <w:r>
              <w:rPr>
                <w:snapToGrid w:val="0"/>
              </w:rPr>
              <w:t>10 Apr 2012</w:t>
            </w:r>
          </w:p>
        </w:tc>
        <w:tc>
          <w:tcPr>
            <w:tcW w:w="2546" w:type="dxa"/>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rPr>
          <w:gridAfter w:val="1"/>
          <w:wAfter w:w="19" w:type="dxa"/>
          <w:cantSplit/>
        </w:trPr>
        <w:tc>
          <w:tcPr>
            <w:tcW w:w="2268" w:type="dxa"/>
            <w:tcBorders>
              <w:bottom w:val="single" w:sz="4" w:space="0" w:color="auto"/>
            </w:tcBorders>
          </w:tcPr>
          <w:p>
            <w:pPr>
              <w:pStyle w:val="nTable"/>
              <w:spacing w:after="40"/>
              <w:ind w:right="113"/>
              <w:rPr>
                <w:i/>
                <w:snapToGrid w:val="0"/>
              </w:rPr>
            </w:pPr>
            <w:r>
              <w:rPr>
                <w:i/>
              </w:rPr>
              <w:t>Licensing Provisions Amendment Act 2016</w:t>
            </w:r>
            <w:r>
              <w:t xml:space="preserve"> Pt. 2</w:t>
            </w:r>
          </w:p>
        </w:tc>
        <w:tc>
          <w:tcPr>
            <w:tcW w:w="1137" w:type="dxa"/>
            <w:tcBorders>
              <w:bottom w:val="single" w:sz="4" w:space="0" w:color="auto"/>
            </w:tcBorders>
          </w:tcPr>
          <w:p>
            <w:pPr>
              <w:pStyle w:val="nTable"/>
              <w:spacing w:after="40"/>
              <w:rPr>
                <w:snapToGrid w:val="0"/>
              </w:rPr>
            </w:pPr>
            <w:r>
              <w:t>44 of 2016</w:t>
            </w:r>
          </w:p>
        </w:tc>
        <w:tc>
          <w:tcPr>
            <w:tcW w:w="1136" w:type="dxa"/>
            <w:tcBorders>
              <w:bottom w:val="single" w:sz="4" w:space="0" w:color="auto"/>
            </w:tcBorders>
          </w:tcPr>
          <w:p>
            <w:pPr>
              <w:pStyle w:val="nTable"/>
              <w:spacing w:after="40"/>
              <w:rPr>
                <w:snapToGrid w:val="0"/>
              </w:rPr>
            </w:pPr>
            <w:r>
              <w:t>1 Dec 2016</w:t>
            </w:r>
          </w:p>
        </w:tc>
        <w:tc>
          <w:tcPr>
            <w:tcW w:w="2546" w:type="dxa"/>
            <w:tcBorders>
              <w:bottom w:val="single" w:sz="4" w:space="0" w:color="auto"/>
            </w:tcBorders>
          </w:tcPr>
          <w:p>
            <w:pPr>
              <w:pStyle w:val="nTable"/>
              <w:spacing w:after="40"/>
              <w:rPr>
                <w:snapToGrid w:val="0"/>
              </w:rPr>
            </w:pPr>
            <w:r>
              <w:rPr>
                <w:snapToGrid w:val="0"/>
              </w:rPr>
              <w:t xml:space="preserve">1 Jul 2017 (see s. 2(b) and </w:t>
            </w:r>
            <w:r>
              <w:rPr>
                <w:i/>
                <w:snapToGrid w:val="0"/>
              </w:rPr>
              <w:t>Gazette</w:t>
            </w:r>
            <w:r>
              <w:rPr>
                <w:snapToGrid w:val="0"/>
              </w:rPr>
              <w:t xml:space="preserve"> 27 Jun 2017 p. 3407)</w:t>
            </w:r>
          </w:p>
        </w:tc>
      </w:tr>
    </w:tbl>
    <w:p>
      <w:pPr>
        <w:pStyle w:val="nSubsection"/>
        <w:widowControl w:val="0"/>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 w:name="_Toc377996655"/>
      <w:bookmarkStart w:id="116" w:name="_Toc22914913"/>
      <w:bookmarkStart w:id="117" w:name="_Toc486429022"/>
      <w:r>
        <w:t>Provisions that have not come into operation</w:t>
      </w:r>
      <w:bookmarkEnd w:id="115"/>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trPr>
        <w:tc>
          <w:tcPr>
            <w:tcW w:w="2273" w:type="dxa"/>
            <w:tcBorders>
              <w:top w:val="single" w:sz="4" w:space="0" w:color="auto"/>
              <w:bottom w:val="single" w:sz="4" w:space="0" w:color="auto"/>
            </w:tcBorders>
          </w:tcPr>
          <w:p>
            <w:pPr>
              <w:pStyle w:val="nTable"/>
              <w:keepNext/>
              <w:spacing w:after="40"/>
              <w:ind w:right="113"/>
              <w:rPr>
                <w:b/>
              </w:rPr>
            </w:pPr>
            <w:r>
              <w:rPr>
                <w:b/>
              </w:rPr>
              <w:t>Short title</w:t>
            </w:r>
          </w:p>
        </w:tc>
        <w:tc>
          <w:tcPr>
            <w:tcW w:w="1139" w:type="dxa"/>
            <w:tcBorders>
              <w:top w:val="single" w:sz="4" w:space="0" w:color="auto"/>
              <w:bottom w:val="single" w:sz="4" w:space="0" w:color="auto"/>
            </w:tcBorders>
          </w:tcPr>
          <w:p>
            <w:pPr>
              <w:pStyle w:val="nTable"/>
              <w:keepNext/>
              <w:spacing w:after="40"/>
              <w:rPr>
                <w:b/>
              </w:rPr>
            </w:pPr>
            <w:r>
              <w:rPr>
                <w:b/>
              </w:rPr>
              <w:t>Number and year</w:t>
            </w:r>
          </w:p>
        </w:tc>
        <w:tc>
          <w:tcPr>
            <w:tcW w:w="1138" w:type="dxa"/>
            <w:tcBorders>
              <w:top w:val="single" w:sz="4" w:space="0" w:color="auto"/>
              <w:bottom w:val="single" w:sz="4" w:space="0" w:color="auto"/>
            </w:tcBorders>
          </w:tcPr>
          <w:p>
            <w:pPr>
              <w:pStyle w:val="nTable"/>
              <w:keepNext/>
              <w:spacing w:after="40"/>
              <w:rPr>
                <w:b/>
              </w:rPr>
            </w:pPr>
            <w:r>
              <w:rPr>
                <w:b/>
              </w:rPr>
              <w:t>Assent</w:t>
            </w:r>
          </w:p>
        </w:tc>
        <w:tc>
          <w:tcPr>
            <w:tcW w:w="2556" w:type="dxa"/>
            <w:tcBorders>
              <w:top w:val="single" w:sz="4"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tcBorders>
          </w:tcPr>
          <w:p>
            <w:pPr>
              <w:pStyle w:val="nTable"/>
              <w:spacing w:after="40"/>
              <w:rPr>
                <w:vertAlign w:val="superscript"/>
              </w:rPr>
            </w:pPr>
            <w:r>
              <w:rPr>
                <w:i/>
                <w:snapToGrid w:val="0"/>
              </w:rPr>
              <w:t xml:space="preserve">Business </w:t>
            </w:r>
            <w:r>
              <w:rPr>
                <w:i/>
                <w:iCs/>
                <w:snapToGrid w:val="0"/>
              </w:rPr>
              <w:t>Licensing</w:t>
            </w:r>
            <w:r>
              <w:rPr>
                <w:i/>
                <w:snapToGrid w:val="0"/>
              </w:rPr>
              <w:t xml:space="preserve"> Amendment Act 1995 </w:t>
            </w:r>
            <w:r>
              <w:rPr>
                <w:snapToGrid w:val="0"/>
              </w:rPr>
              <w:t>Pt. 2 </w:t>
            </w:r>
            <w:r>
              <w:rPr>
                <w:snapToGrid w:val="0"/>
                <w:vertAlign w:val="superscript"/>
              </w:rPr>
              <w:t>4</w:t>
            </w:r>
          </w:p>
        </w:tc>
        <w:tc>
          <w:tcPr>
            <w:tcW w:w="1139" w:type="dxa"/>
            <w:tcBorders>
              <w:top w:val="single" w:sz="4" w:space="0" w:color="auto"/>
            </w:tcBorders>
          </w:tcPr>
          <w:p>
            <w:pPr>
              <w:pStyle w:val="nTable"/>
              <w:spacing w:after="40"/>
            </w:pPr>
            <w:r>
              <w:t>56 of 1995</w:t>
            </w:r>
          </w:p>
        </w:tc>
        <w:tc>
          <w:tcPr>
            <w:tcW w:w="1138" w:type="dxa"/>
            <w:tcBorders>
              <w:top w:val="single" w:sz="4" w:space="0" w:color="auto"/>
            </w:tcBorders>
          </w:tcPr>
          <w:p>
            <w:pPr>
              <w:pStyle w:val="nTable"/>
              <w:spacing w:after="40"/>
            </w:pPr>
            <w:r>
              <w:t>20 Dec 1995</w:t>
            </w:r>
          </w:p>
        </w:tc>
        <w:tc>
          <w:tcPr>
            <w:tcW w:w="2556" w:type="dxa"/>
            <w:tcBorders>
              <w:top w:val="single" w:sz="4" w:space="0" w:color="auto"/>
            </w:tcBorders>
          </w:tcPr>
          <w:p>
            <w:pPr>
              <w:pStyle w:val="nTable"/>
              <w:spacing w:after="40"/>
              <w:rPr>
                <w:snapToGrid w:val="0"/>
              </w:rPr>
            </w:pPr>
            <w:r>
              <w:rPr>
                <w:snapToGrid w:val="0"/>
              </w:rPr>
              <w:t>To be proclaimed (see s. 2(2))</w:t>
            </w:r>
          </w:p>
        </w:tc>
      </w:tr>
      <w:tr>
        <w:trPr>
          <w:cantSplit/>
          <w:ins w:id="118" w:author="svcMRProcess" w:date="2019-10-25T17:02:00Z"/>
        </w:trPr>
        <w:tc>
          <w:tcPr>
            <w:tcW w:w="2273" w:type="dxa"/>
            <w:tcBorders>
              <w:bottom w:val="single" w:sz="4" w:space="0" w:color="auto"/>
            </w:tcBorders>
          </w:tcPr>
          <w:p>
            <w:pPr>
              <w:pStyle w:val="nTable"/>
              <w:spacing w:after="40"/>
              <w:rPr>
                <w:ins w:id="119" w:author="svcMRProcess" w:date="2019-10-25T17:02:00Z"/>
                <w:snapToGrid w:val="0"/>
                <w:vertAlign w:val="superscript"/>
              </w:rPr>
            </w:pPr>
            <w:ins w:id="120" w:author="svcMRProcess" w:date="2019-10-25T17:02:00Z">
              <w:r>
                <w:rPr>
                  <w:i/>
                </w:rPr>
                <w:t xml:space="preserve">Consumer Protection Legislation Amendment Act 2019 </w:t>
              </w:r>
              <w:r>
                <w:t>Pt. 2 </w:t>
              </w:r>
              <w:r>
                <w:rPr>
                  <w:vertAlign w:val="superscript"/>
                </w:rPr>
                <w:t>5</w:t>
              </w:r>
            </w:ins>
          </w:p>
        </w:tc>
        <w:tc>
          <w:tcPr>
            <w:tcW w:w="1139" w:type="dxa"/>
            <w:tcBorders>
              <w:bottom w:val="single" w:sz="4" w:space="0" w:color="auto"/>
            </w:tcBorders>
          </w:tcPr>
          <w:p>
            <w:pPr>
              <w:pStyle w:val="nTable"/>
              <w:spacing w:after="40"/>
              <w:rPr>
                <w:ins w:id="121" w:author="svcMRProcess" w:date="2019-10-25T17:02:00Z"/>
              </w:rPr>
            </w:pPr>
            <w:ins w:id="122" w:author="svcMRProcess" w:date="2019-10-25T17:02:00Z">
              <w:r>
                <w:t>25 of 2019</w:t>
              </w:r>
            </w:ins>
          </w:p>
        </w:tc>
        <w:tc>
          <w:tcPr>
            <w:tcW w:w="1138" w:type="dxa"/>
            <w:tcBorders>
              <w:bottom w:val="single" w:sz="4" w:space="0" w:color="auto"/>
            </w:tcBorders>
          </w:tcPr>
          <w:p>
            <w:pPr>
              <w:pStyle w:val="nTable"/>
              <w:spacing w:after="40"/>
              <w:rPr>
                <w:ins w:id="123" w:author="svcMRProcess" w:date="2019-10-25T17:02:00Z"/>
              </w:rPr>
            </w:pPr>
            <w:ins w:id="124" w:author="svcMRProcess" w:date="2019-10-25T17:02:00Z">
              <w:r>
                <w:t>24 Oct 2019</w:t>
              </w:r>
            </w:ins>
          </w:p>
        </w:tc>
        <w:tc>
          <w:tcPr>
            <w:tcW w:w="2556" w:type="dxa"/>
            <w:tcBorders>
              <w:bottom w:val="single" w:sz="4" w:space="0" w:color="auto"/>
            </w:tcBorders>
          </w:tcPr>
          <w:p>
            <w:pPr>
              <w:pStyle w:val="nTable"/>
              <w:spacing w:after="40"/>
              <w:rPr>
                <w:ins w:id="125" w:author="svcMRProcess" w:date="2019-10-25T17:02:00Z"/>
                <w:snapToGrid w:val="0"/>
              </w:rPr>
            </w:pPr>
            <w:ins w:id="126" w:author="svcMRProcess" w:date="2019-10-25T17:02:00Z">
              <w:r>
                <w:rPr>
                  <w:snapToGrid w:val="0"/>
                </w:rPr>
                <w:t>To be proclaimed (see s. 2(b))</w:t>
              </w:r>
            </w:ins>
          </w:p>
        </w:tc>
      </w:tr>
    </w:tbl>
    <w:p>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r>
        <w:rPr>
          <w:vertAlign w:val="superscript"/>
        </w:rPr>
        <w:t>3</w:t>
      </w:r>
      <w:r>
        <w:tab/>
        <w:t xml:space="preserve">Repealed by the </w:t>
      </w:r>
      <w:r>
        <w:rPr>
          <w:i/>
        </w:rPr>
        <w:t>Liquor Licensing Act 1988</w:t>
      </w:r>
      <w:r>
        <w:t xml:space="preserve"> s.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1995 </w:t>
      </w:r>
      <w:r>
        <w:t xml:space="preserve">Pt. 2 </w:t>
      </w:r>
      <w:r>
        <w:rPr>
          <w:snapToGrid w:val="0"/>
        </w:rPr>
        <w:t>had not come into operation. It reads as follows:</w:t>
      </w:r>
    </w:p>
    <w:p>
      <w:pPr>
        <w:pStyle w:val="MiscOpen"/>
      </w:pPr>
      <w:r>
        <w:t>“</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ind w:right="859"/>
      </w:pPr>
      <w:r>
        <w:rPr>
          <w:b/>
        </w:rPr>
        <w:tab/>
      </w: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spacing w:before="60"/>
      </w:pPr>
      <w:r>
        <w:t>5.</w:t>
      </w:r>
      <w:r>
        <w:tab/>
        <w:t>Section 37 amended</w:t>
      </w:r>
    </w:p>
    <w:p>
      <w:pPr>
        <w:pStyle w:val="nzSubsection"/>
        <w:keepNext/>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keepNext/>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rPr>
          <w:ins w:id="127" w:author="svcMRProcess" w:date="2019-10-25T17:02:00Z"/>
          <w:snapToGrid w:val="0"/>
        </w:rPr>
      </w:pPr>
      <w:ins w:id="128" w:author="svcMRProcess" w:date="2019-10-25T17:02:00Z">
        <w:r>
          <w:rPr>
            <w:vertAlign w:val="superscript"/>
          </w:rPr>
          <w:t>5</w:t>
        </w:r>
        <w:r>
          <w:tab/>
          <w:t>On the date as at which this compilation was prepared</w:t>
        </w:r>
        <w:r>
          <w:rPr>
            <w:i/>
          </w:rPr>
          <w:t xml:space="preserve"> </w:t>
        </w:r>
        <w:r>
          <w:t xml:space="preserve">the </w:t>
        </w:r>
        <w:r>
          <w:rPr>
            <w:i/>
          </w:rPr>
          <w:t xml:space="preserve">Consumer Protection Legislation Amendment Act 2019 </w:t>
        </w:r>
        <w:r>
          <w:t xml:space="preserve">Pt. 2 </w:t>
        </w:r>
        <w:r>
          <w:rPr>
            <w:snapToGrid w:val="0"/>
          </w:rPr>
          <w:t>had not come into operation.  It reads as follows:</w:t>
        </w:r>
      </w:ins>
    </w:p>
    <w:p>
      <w:pPr>
        <w:pStyle w:val="BlankOpen"/>
        <w:rPr>
          <w:ins w:id="129" w:author="svcMRProcess" w:date="2019-10-25T17:02:00Z"/>
        </w:rPr>
      </w:pPr>
    </w:p>
    <w:p>
      <w:pPr>
        <w:pStyle w:val="nzHeading2"/>
        <w:rPr>
          <w:ins w:id="130" w:author="svcMRProcess" w:date="2019-10-25T17:02:00Z"/>
        </w:rPr>
      </w:pPr>
      <w:ins w:id="131" w:author="svcMRProcess" w:date="2019-10-25T17:02:00Z">
        <w:r>
          <w:rPr>
            <w:rStyle w:val="CharPartNo"/>
          </w:rPr>
          <w:t>Part 2</w:t>
        </w:r>
        <w:r>
          <w:rPr>
            <w:rStyle w:val="CharDivNo"/>
          </w:rPr>
          <w:t> </w:t>
        </w:r>
        <w:r>
          <w:t>—</w:t>
        </w:r>
        <w:r>
          <w:rPr>
            <w:rStyle w:val="CharDivText"/>
          </w:rPr>
          <w:t> </w:t>
        </w:r>
        <w:r>
          <w:rPr>
            <w:rStyle w:val="CharPartText"/>
            <w:i/>
          </w:rPr>
          <w:t>Auction Sales Act 1973</w:t>
        </w:r>
        <w:r>
          <w:rPr>
            <w:rStyle w:val="CharPartText"/>
          </w:rPr>
          <w:t xml:space="preserve"> amended</w:t>
        </w:r>
      </w:ins>
    </w:p>
    <w:p>
      <w:pPr>
        <w:pStyle w:val="nzHeading5"/>
        <w:rPr>
          <w:ins w:id="132" w:author="svcMRProcess" w:date="2019-10-25T17:02:00Z"/>
          <w:snapToGrid w:val="0"/>
        </w:rPr>
      </w:pPr>
      <w:ins w:id="133" w:author="svcMRProcess" w:date="2019-10-25T17:02:00Z">
        <w:r>
          <w:rPr>
            <w:rStyle w:val="CharSectno"/>
          </w:rPr>
          <w:t>3</w:t>
        </w:r>
        <w:r>
          <w:rPr>
            <w:snapToGrid w:val="0"/>
          </w:rPr>
          <w:t>.</w:t>
        </w:r>
        <w:r>
          <w:rPr>
            <w:snapToGrid w:val="0"/>
          </w:rPr>
          <w:tab/>
          <w:t>Act amended</w:t>
        </w:r>
      </w:ins>
    </w:p>
    <w:p>
      <w:pPr>
        <w:pStyle w:val="nzSubsection"/>
        <w:rPr>
          <w:ins w:id="134" w:author="svcMRProcess" w:date="2019-10-25T17:02:00Z"/>
        </w:rPr>
      </w:pPr>
      <w:ins w:id="135" w:author="svcMRProcess" w:date="2019-10-25T17:02:00Z">
        <w:r>
          <w:tab/>
        </w:r>
        <w:r>
          <w:tab/>
          <w:t xml:space="preserve">This Part amends the </w:t>
        </w:r>
        <w:r>
          <w:rPr>
            <w:i/>
          </w:rPr>
          <w:t>Auction Sales Act 1973</w:t>
        </w:r>
        <w:r>
          <w:t>.</w:t>
        </w:r>
      </w:ins>
    </w:p>
    <w:p>
      <w:pPr>
        <w:pStyle w:val="nzHeading5"/>
        <w:rPr>
          <w:ins w:id="136" w:author="svcMRProcess" w:date="2019-10-25T17:02:00Z"/>
        </w:rPr>
      </w:pPr>
      <w:ins w:id="137" w:author="svcMRProcess" w:date="2019-10-25T17:02:00Z">
        <w:r>
          <w:rPr>
            <w:rStyle w:val="CharSectno"/>
          </w:rPr>
          <w:t>4</w:t>
        </w:r>
        <w:r>
          <w:t>.</w:t>
        </w:r>
        <w:r>
          <w:tab/>
          <w:t>Section 28 amended</w:t>
        </w:r>
      </w:ins>
    </w:p>
    <w:p>
      <w:pPr>
        <w:pStyle w:val="nzSubsection"/>
        <w:rPr>
          <w:ins w:id="138" w:author="svcMRProcess" w:date="2019-10-25T17:02:00Z"/>
        </w:rPr>
      </w:pPr>
      <w:ins w:id="139" w:author="svcMRProcess" w:date="2019-10-25T17:02:00Z">
        <w:r>
          <w:tab/>
          <w:t>(1)</w:t>
        </w:r>
        <w:r>
          <w:tab/>
          <w:t>At the end of section 28(5) insert:</w:t>
        </w:r>
      </w:ins>
    </w:p>
    <w:p>
      <w:pPr>
        <w:pStyle w:val="BlankOpen"/>
        <w:rPr>
          <w:ins w:id="140" w:author="svcMRProcess" w:date="2019-10-25T17:02:00Z"/>
        </w:rPr>
      </w:pPr>
    </w:p>
    <w:p>
      <w:pPr>
        <w:pStyle w:val="nzPenstart"/>
        <w:rPr>
          <w:ins w:id="141" w:author="svcMRProcess" w:date="2019-10-25T17:02:00Z"/>
        </w:rPr>
      </w:pPr>
      <w:ins w:id="142" w:author="svcMRProcess" w:date="2019-10-25T17:02:00Z">
        <w:r>
          <w:tab/>
        </w:r>
        <w:r>
          <w:rPr>
            <w:snapToGrid w:val="0"/>
          </w:rPr>
          <w:t>Penalty for this subsection: a fine of $25 000.</w:t>
        </w:r>
      </w:ins>
    </w:p>
    <w:p>
      <w:pPr>
        <w:pStyle w:val="BlankClose"/>
        <w:rPr>
          <w:ins w:id="143" w:author="svcMRProcess" w:date="2019-10-25T17:02:00Z"/>
        </w:rPr>
      </w:pPr>
    </w:p>
    <w:p>
      <w:pPr>
        <w:pStyle w:val="nzSubsection"/>
        <w:rPr>
          <w:ins w:id="144" w:author="svcMRProcess" w:date="2019-10-25T17:02:00Z"/>
        </w:rPr>
      </w:pPr>
      <w:ins w:id="145" w:author="svcMRProcess" w:date="2019-10-25T17:02:00Z">
        <w:r>
          <w:tab/>
          <w:t>(2)</w:t>
        </w:r>
        <w:r>
          <w:tab/>
          <w:t>Delete section 28(9).</w:t>
        </w:r>
      </w:ins>
    </w:p>
    <w:p>
      <w:pPr>
        <w:pStyle w:val="nzHeading5"/>
        <w:rPr>
          <w:ins w:id="146" w:author="svcMRProcess" w:date="2019-10-25T17:02:00Z"/>
        </w:rPr>
      </w:pPr>
      <w:ins w:id="147" w:author="svcMRProcess" w:date="2019-10-25T17:02:00Z">
        <w:r>
          <w:rPr>
            <w:rStyle w:val="CharSectno"/>
          </w:rPr>
          <w:t>5</w:t>
        </w:r>
        <w:r>
          <w:t>.</w:t>
        </w:r>
        <w:r>
          <w:tab/>
          <w:t>Section 35 amended</w:t>
        </w:r>
      </w:ins>
    </w:p>
    <w:p>
      <w:pPr>
        <w:pStyle w:val="nzSubsection"/>
        <w:rPr>
          <w:ins w:id="148" w:author="svcMRProcess" w:date="2019-10-25T17:02:00Z"/>
        </w:rPr>
      </w:pPr>
      <w:ins w:id="149" w:author="svcMRProcess" w:date="2019-10-25T17:02:00Z">
        <w:r>
          <w:tab/>
        </w:r>
        <w:r>
          <w:tab/>
          <w:t>Delete section 35(1) and (2).</w:t>
        </w:r>
      </w:ins>
    </w:p>
    <w:p>
      <w:pPr>
        <w:pStyle w:val="nzHeading5"/>
        <w:rPr>
          <w:ins w:id="150" w:author="svcMRProcess" w:date="2019-10-25T17:02:00Z"/>
        </w:rPr>
      </w:pPr>
      <w:ins w:id="151" w:author="svcMRProcess" w:date="2019-10-25T17:02:00Z">
        <w:r>
          <w:rPr>
            <w:rStyle w:val="CharSectno"/>
          </w:rPr>
          <w:t>6</w:t>
        </w:r>
        <w:r>
          <w:t>.</w:t>
        </w:r>
        <w:r>
          <w:tab/>
          <w:t>Various provisions amended</w:t>
        </w:r>
      </w:ins>
    </w:p>
    <w:p>
      <w:pPr>
        <w:pStyle w:val="nzSubsection"/>
        <w:rPr>
          <w:ins w:id="152" w:author="svcMRProcess" w:date="2019-10-25T17:02:00Z"/>
        </w:rPr>
      </w:pPr>
      <w:ins w:id="153" w:author="svcMRProcess" w:date="2019-10-25T17:02:00Z">
        <w:r>
          <w:tab/>
        </w:r>
        <w:r>
          <w:tab/>
          <w:t>At the end of the provisions listed in the Table insert:</w:t>
        </w:r>
      </w:ins>
    </w:p>
    <w:p>
      <w:pPr>
        <w:pStyle w:val="BlankOpen"/>
        <w:rPr>
          <w:ins w:id="154" w:author="svcMRProcess" w:date="2019-10-25T17:02:00Z"/>
        </w:rPr>
      </w:pPr>
    </w:p>
    <w:p>
      <w:pPr>
        <w:pStyle w:val="nzPenstart"/>
        <w:rPr>
          <w:ins w:id="155" w:author="svcMRProcess" w:date="2019-10-25T17:02:00Z"/>
          <w:snapToGrid w:val="0"/>
        </w:rPr>
      </w:pPr>
      <w:ins w:id="156" w:author="svcMRProcess" w:date="2019-10-25T17:02:00Z">
        <w:r>
          <w:tab/>
        </w:r>
        <w:r>
          <w:rPr>
            <w:snapToGrid w:val="0"/>
          </w:rPr>
          <w:t>Penalty for this subsection: a fine of $25 000.</w:t>
        </w:r>
      </w:ins>
    </w:p>
    <w:p>
      <w:pPr>
        <w:pStyle w:val="BlankClose"/>
        <w:rPr>
          <w:ins w:id="157" w:author="svcMRProcess" w:date="2019-10-25T17:02:00Z"/>
        </w:rPr>
      </w:pPr>
    </w:p>
    <w:p>
      <w:pPr>
        <w:pStyle w:val="nzTHeading"/>
        <w:rPr>
          <w:ins w:id="158" w:author="svcMRProcess" w:date="2019-10-25T17:02:00Z"/>
        </w:rPr>
      </w:pPr>
      <w:ins w:id="159" w:author="svcMRProcess" w:date="2019-10-25T17:02: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9"/>
      </w:tblGrid>
      <w:tr>
        <w:trPr>
          <w:ins w:id="160" w:author="svcMRProcess" w:date="2019-10-25T17:02:00Z"/>
        </w:trPr>
        <w:tc>
          <w:tcPr>
            <w:tcW w:w="2608" w:type="dxa"/>
          </w:tcPr>
          <w:p>
            <w:pPr>
              <w:pStyle w:val="nzTableAm"/>
              <w:rPr>
                <w:ins w:id="161" w:author="svcMRProcess" w:date="2019-10-25T17:02:00Z"/>
              </w:rPr>
            </w:pPr>
            <w:ins w:id="162" w:author="svcMRProcess" w:date="2019-10-25T17:02:00Z">
              <w:r>
                <w:t>s. 22(3)</w:t>
              </w:r>
            </w:ins>
          </w:p>
        </w:tc>
        <w:tc>
          <w:tcPr>
            <w:tcW w:w="2609" w:type="dxa"/>
          </w:tcPr>
          <w:p>
            <w:pPr>
              <w:pStyle w:val="nzTableAm"/>
              <w:rPr>
                <w:ins w:id="163" w:author="svcMRProcess" w:date="2019-10-25T17:02:00Z"/>
              </w:rPr>
            </w:pPr>
            <w:ins w:id="164" w:author="svcMRProcess" w:date="2019-10-25T17:02:00Z">
              <w:r>
                <w:t>s. 23(1)</w:t>
              </w:r>
            </w:ins>
          </w:p>
        </w:tc>
      </w:tr>
      <w:tr>
        <w:trPr>
          <w:ins w:id="165" w:author="svcMRProcess" w:date="2019-10-25T17:02:00Z"/>
        </w:trPr>
        <w:tc>
          <w:tcPr>
            <w:tcW w:w="2608" w:type="dxa"/>
          </w:tcPr>
          <w:p>
            <w:pPr>
              <w:pStyle w:val="nzTableAm"/>
              <w:rPr>
                <w:ins w:id="166" w:author="svcMRProcess" w:date="2019-10-25T17:02:00Z"/>
              </w:rPr>
            </w:pPr>
            <w:ins w:id="167" w:author="svcMRProcess" w:date="2019-10-25T17:02:00Z">
              <w:r>
                <w:t>s. 24(1)</w:t>
              </w:r>
            </w:ins>
          </w:p>
        </w:tc>
        <w:tc>
          <w:tcPr>
            <w:tcW w:w="2609" w:type="dxa"/>
          </w:tcPr>
          <w:p>
            <w:pPr>
              <w:pStyle w:val="nzTableAm"/>
              <w:rPr>
                <w:ins w:id="168" w:author="svcMRProcess" w:date="2019-10-25T17:02:00Z"/>
              </w:rPr>
            </w:pPr>
            <w:ins w:id="169" w:author="svcMRProcess" w:date="2019-10-25T17:02:00Z">
              <w:r>
                <w:t>s. 26(1) and (2)</w:t>
              </w:r>
            </w:ins>
          </w:p>
        </w:tc>
      </w:tr>
      <w:tr>
        <w:trPr>
          <w:ins w:id="170" w:author="svcMRProcess" w:date="2019-10-25T17:02:00Z"/>
        </w:trPr>
        <w:tc>
          <w:tcPr>
            <w:tcW w:w="2608" w:type="dxa"/>
          </w:tcPr>
          <w:p>
            <w:pPr>
              <w:pStyle w:val="nzTableAm"/>
              <w:rPr>
                <w:ins w:id="171" w:author="svcMRProcess" w:date="2019-10-25T17:02:00Z"/>
              </w:rPr>
            </w:pPr>
            <w:ins w:id="172" w:author="svcMRProcess" w:date="2019-10-25T17:02:00Z">
              <w:r>
                <w:t>s. 27(1)</w:t>
              </w:r>
            </w:ins>
          </w:p>
        </w:tc>
        <w:tc>
          <w:tcPr>
            <w:tcW w:w="2609" w:type="dxa"/>
          </w:tcPr>
          <w:p>
            <w:pPr>
              <w:pStyle w:val="nzTableAm"/>
              <w:rPr>
                <w:ins w:id="173" w:author="svcMRProcess" w:date="2019-10-25T17:02:00Z"/>
              </w:rPr>
            </w:pPr>
            <w:ins w:id="174" w:author="svcMRProcess" w:date="2019-10-25T17:02:00Z">
              <w:r>
                <w:t>s. 29(2)</w:t>
              </w:r>
            </w:ins>
          </w:p>
        </w:tc>
      </w:tr>
      <w:tr>
        <w:trPr>
          <w:ins w:id="175" w:author="svcMRProcess" w:date="2019-10-25T17:02:00Z"/>
        </w:trPr>
        <w:tc>
          <w:tcPr>
            <w:tcW w:w="2608" w:type="dxa"/>
          </w:tcPr>
          <w:p>
            <w:pPr>
              <w:pStyle w:val="nzTableAm"/>
              <w:rPr>
                <w:ins w:id="176" w:author="svcMRProcess" w:date="2019-10-25T17:02:00Z"/>
              </w:rPr>
            </w:pPr>
            <w:ins w:id="177" w:author="svcMRProcess" w:date="2019-10-25T17:02:00Z">
              <w:r>
                <w:t>s. 31(1), (2), (3), (4), (6) and (7)</w:t>
              </w:r>
            </w:ins>
          </w:p>
        </w:tc>
        <w:tc>
          <w:tcPr>
            <w:tcW w:w="2609" w:type="dxa"/>
          </w:tcPr>
          <w:p>
            <w:pPr>
              <w:pStyle w:val="nzTableAm"/>
              <w:rPr>
                <w:ins w:id="178" w:author="svcMRProcess" w:date="2019-10-25T17:02:00Z"/>
              </w:rPr>
            </w:pPr>
          </w:p>
        </w:tc>
      </w:tr>
    </w:tbl>
    <w:p>
      <w:pPr>
        <w:pStyle w:val="BlankClose"/>
        <w:rPr>
          <w:ins w:id="179" w:author="svcMRProcess" w:date="2019-10-25T17:02:00Z"/>
        </w:rPr>
      </w:pPr>
    </w:p>
    <w:p>
      <w:pPr>
        <w:pStyle w:val="nzHeading5"/>
        <w:rPr>
          <w:ins w:id="180" w:author="svcMRProcess" w:date="2019-10-25T17:02:00Z"/>
        </w:rPr>
      </w:pPr>
      <w:ins w:id="181" w:author="svcMRProcess" w:date="2019-10-25T17:02:00Z">
        <w:r>
          <w:rPr>
            <w:rStyle w:val="CharSectno"/>
          </w:rPr>
          <w:t>7</w:t>
        </w:r>
        <w:r>
          <w:t>.</w:t>
        </w:r>
        <w:r>
          <w:tab/>
          <w:t>Various penalties amended</w:t>
        </w:r>
      </w:ins>
    </w:p>
    <w:p>
      <w:pPr>
        <w:pStyle w:val="nzSubsection"/>
        <w:rPr>
          <w:ins w:id="182" w:author="svcMRProcess" w:date="2019-10-25T17:02:00Z"/>
        </w:rPr>
      </w:pPr>
      <w:ins w:id="183" w:author="svcMRProcess" w:date="2019-10-25T17:02:00Z">
        <w:r>
          <w:tab/>
        </w:r>
        <w:r>
          <w:tab/>
          <w:t>Amend the provisions listed in the Table as set out in the Table.</w:t>
        </w:r>
      </w:ins>
    </w:p>
    <w:p>
      <w:pPr>
        <w:pStyle w:val="nzTHeading"/>
        <w:rPr>
          <w:ins w:id="184" w:author="svcMRProcess" w:date="2019-10-25T17:02:00Z"/>
        </w:rPr>
      </w:pPr>
      <w:ins w:id="185" w:author="svcMRProcess" w:date="2019-10-25T17:02:00Z">
        <w:r>
          <w:t>Table</w:t>
        </w:r>
      </w:ins>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268"/>
      </w:tblGrid>
      <w:tr>
        <w:trPr>
          <w:trHeight w:val="23"/>
          <w:tblHeader/>
          <w:ins w:id="186" w:author="svcMRProcess" w:date="2019-10-25T17:02:00Z"/>
        </w:trPr>
        <w:tc>
          <w:tcPr>
            <w:tcW w:w="2230" w:type="dxa"/>
          </w:tcPr>
          <w:p>
            <w:pPr>
              <w:pStyle w:val="nzTableAm"/>
              <w:jc w:val="center"/>
              <w:rPr>
                <w:ins w:id="187" w:author="svcMRProcess" w:date="2019-10-25T17:02:00Z"/>
                <w:b/>
              </w:rPr>
            </w:pPr>
            <w:ins w:id="188" w:author="svcMRProcess" w:date="2019-10-25T17:02:00Z">
              <w:r>
                <w:rPr>
                  <w:b/>
                </w:rPr>
                <w:t>Provision</w:t>
              </w:r>
            </w:ins>
          </w:p>
        </w:tc>
        <w:tc>
          <w:tcPr>
            <w:tcW w:w="2268" w:type="dxa"/>
          </w:tcPr>
          <w:p>
            <w:pPr>
              <w:pStyle w:val="nzTableAm"/>
              <w:jc w:val="center"/>
              <w:rPr>
                <w:ins w:id="189" w:author="svcMRProcess" w:date="2019-10-25T17:02:00Z"/>
                <w:b/>
              </w:rPr>
            </w:pPr>
            <w:ins w:id="190" w:author="svcMRProcess" w:date="2019-10-25T17:02:00Z">
              <w:r>
                <w:rPr>
                  <w:b/>
                </w:rPr>
                <w:t>Delete</w:t>
              </w:r>
            </w:ins>
          </w:p>
        </w:tc>
        <w:tc>
          <w:tcPr>
            <w:tcW w:w="2268" w:type="dxa"/>
          </w:tcPr>
          <w:p>
            <w:pPr>
              <w:pStyle w:val="nzTableAm"/>
              <w:jc w:val="center"/>
              <w:rPr>
                <w:ins w:id="191" w:author="svcMRProcess" w:date="2019-10-25T17:02:00Z"/>
                <w:b/>
              </w:rPr>
            </w:pPr>
            <w:ins w:id="192" w:author="svcMRProcess" w:date="2019-10-25T17:02:00Z">
              <w:r>
                <w:rPr>
                  <w:b/>
                </w:rPr>
                <w:t>Insert</w:t>
              </w:r>
            </w:ins>
          </w:p>
        </w:tc>
      </w:tr>
      <w:tr>
        <w:trPr>
          <w:trHeight w:val="23"/>
          <w:ins w:id="193" w:author="svcMRProcess" w:date="2019-10-25T17:02:00Z"/>
        </w:trPr>
        <w:tc>
          <w:tcPr>
            <w:tcW w:w="2230" w:type="dxa"/>
          </w:tcPr>
          <w:p>
            <w:pPr>
              <w:pStyle w:val="nzTableAm"/>
              <w:rPr>
                <w:ins w:id="194" w:author="svcMRProcess" w:date="2019-10-25T17:02:00Z"/>
              </w:rPr>
            </w:pPr>
            <w:ins w:id="195" w:author="svcMRProcess" w:date="2019-10-25T17:02:00Z">
              <w:r>
                <w:t>s. 6(6)</w:t>
              </w:r>
            </w:ins>
          </w:p>
        </w:tc>
        <w:tc>
          <w:tcPr>
            <w:tcW w:w="2268" w:type="dxa"/>
          </w:tcPr>
          <w:p>
            <w:pPr>
              <w:pStyle w:val="nzTableAm"/>
              <w:rPr>
                <w:ins w:id="196" w:author="svcMRProcess" w:date="2019-10-25T17:02:00Z"/>
                <w:sz w:val="22"/>
              </w:rPr>
            </w:pPr>
            <w:ins w:id="197" w:author="svcMRProcess" w:date="2019-10-25T17:02:00Z">
              <w:r>
                <w:rPr>
                  <w:snapToGrid w:val="0"/>
                </w:rPr>
                <w:t>Penalty: $500.</w:t>
              </w:r>
            </w:ins>
          </w:p>
        </w:tc>
        <w:tc>
          <w:tcPr>
            <w:tcW w:w="2268" w:type="dxa"/>
          </w:tcPr>
          <w:p>
            <w:pPr>
              <w:pStyle w:val="nzTableAm"/>
              <w:rPr>
                <w:ins w:id="198" w:author="svcMRProcess" w:date="2019-10-25T17:02:00Z"/>
                <w:snapToGrid w:val="0"/>
              </w:rPr>
            </w:pPr>
            <w:ins w:id="199" w:author="svcMRProcess" w:date="2019-10-25T17:02:00Z">
              <w:r>
                <w:rPr>
                  <w:snapToGrid w:val="0"/>
                </w:rPr>
                <w:t>Penalty for this subsection: a fine of $50 000.</w:t>
              </w:r>
            </w:ins>
          </w:p>
        </w:tc>
      </w:tr>
      <w:tr>
        <w:trPr>
          <w:trHeight w:val="23"/>
          <w:ins w:id="200" w:author="svcMRProcess" w:date="2019-10-25T17:02:00Z"/>
        </w:trPr>
        <w:tc>
          <w:tcPr>
            <w:tcW w:w="2230" w:type="dxa"/>
          </w:tcPr>
          <w:p>
            <w:pPr>
              <w:pStyle w:val="nzTableAm"/>
              <w:rPr>
                <w:ins w:id="201" w:author="svcMRProcess" w:date="2019-10-25T17:02:00Z"/>
              </w:rPr>
            </w:pPr>
            <w:ins w:id="202" w:author="svcMRProcess" w:date="2019-10-25T17:02:00Z">
              <w:r>
                <w:t>s. 25(1)</w:t>
              </w:r>
            </w:ins>
          </w:p>
        </w:tc>
        <w:tc>
          <w:tcPr>
            <w:tcW w:w="2268" w:type="dxa"/>
          </w:tcPr>
          <w:p>
            <w:pPr>
              <w:pStyle w:val="nzTableAm"/>
              <w:rPr>
                <w:ins w:id="203" w:author="svcMRProcess" w:date="2019-10-25T17:02:00Z"/>
                <w:sz w:val="22"/>
              </w:rPr>
            </w:pPr>
            <w:ins w:id="204" w:author="svcMRProcess" w:date="2019-10-25T17:02:00Z">
              <w:r>
                <w:rPr>
                  <w:snapToGrid w:val="0"/>
                </w:rPr>
                <w:t>Penalty: $1 000 or imprisonment for 12 months.</w:t>
              </w:r>
            </w:ins>
          </w:p>
        </w:tc>
        <w:tc>
          <w:tcPr>
            <w:tcW w:w="2268" w:type="dxa"/>
          </w:tcPr>
          <w:p>
            <w:pPr>
              <w:pStyle w:val="nzTableAm"/>
              <w:rPr>
                <w:ins w:id="205" w:author="svcMRProcess" w:date="2019-10-25T17:02:00Z"/>
                <w:snapToGrid w:val="0"/>
              </w:rPr>
            </w:pPr>
            <w:ins w:id="206" w:author="svcMRProcess" w:date="2019-10-25T17:02:00Z">
              <w:r>
                <w:rPr>
                  <w:snapToGrid w:val="0"/>
                </w:rPr>
                <w:t>Penalty for this subsection: a fine of $50 000 or imprisonment for 12 months.</w:t>
              </w:r>
            </w:ins>
          </w:p>
        </w:tc>
      </w:tr>
      <w:tr>
        <w:trPr>
          <w:trHeight w:val="23"/>
          <w:ins w:id="207" w:author="svcMRProcess" w:date="2019-10-25T17:02:00Z"/>
        </w:trPr>
        <w:tc>
          <w:tcPr>
            <w:tcW w:w="2230" w:type="dxa"/>
          </w:tcPr>
          <w:p>
            <w:pPr>
              <w:pStyle w:val="nzTableAm"/>
              <w:rPr>
                <w:ins w:id="208" w:author="svcMRProcess" w:date="2019-10-25T17:02:00Z"/>
              </w:rPr>
            </w:pPr>
            <w:ins w:id="209" w:author="svcMRProcess" w:date="2019-10-25T17:02:00Z">
              <w:r>
                <w:t>s. 30(2)</w:t>
              </w:r>
            </w:ins>
          </w:p>
        </w:tc>
        <w:tc>
          <w:tcPr>
            <w:tcW w:w="2268" w:type="dxa"/>
          </w:tcPr>
          <w:p>
            <w:pPr>
              <w:pStyle w:val="nzTableAm"/>
              <w:rPr>
                <w:ins w:id="210" w:author="svcMRProcess" w:date="2019-10-25T17:02:00Z"/>
                <w:sz w:val="22"/>
              </w:rPr>
            </w:pPr>
            <w:ins w:id="211" w:author="svcMRProcess" w:date="2019-10-25T17:02:00Z">
              <w:r>
                <w:rPr>
                  <w:snapToGrid w:val="0"/>
                </w:rPr>
                <w:t>Penalty: $500.</w:t>
              </w:r>
            </w:ins>
          </w:p>
        </w:tc>
        <w:tc>
          <w:tcPr>
            <w:tcW w:w="2268" w:type="dxa"/>
          </w:tcPr>
          <w:p>
            <w:pPr>
              <w:pStyle w:val="nzTableAm"/>
              <w:rPr>
                <w:ins w:id="212" w:author="svcMRProcess" w:date="2019-10-25T17:02:00Z"/>
                <w:snapToGrid w:val="0"/>
              </w:rPr>
            </w:pPr>
            <w:ins w:id="213" w:author="svcMRProcess" w:date="2019-10-25T17:02:00Z">
              <w:r>
                <w:rPr>
                  <w:snapToGrid w:val="0"/>
                </w:rPr>
                <w:t>Penalty for this subsection: a fine of $10 000.</w:t>
              </w:r>
            </w:ins>
          </w:p>
        </w:tc>
      </w:tr>
      <w:tr>
        <w:trPr>
          <w:trHeight w:val="23"/>
          <w:ins w:id="214" w:author="svcMRProcess" w:date="2019-10-25T17:02:00Z"/>
        </w:trPr>
        <w:tc>
          <w:tcPr>
            <w:tcW w:w="2230" w:type="dxa"/>
          </w:tcPr>
          <w:p>
            <w:pPr>
              <w:pStyle w:val="nzTableAm"/>
              <w:rPr>
                <w:ins w:id="215" w:author="svcMRProcess" w:date="2019-10-25T17:02:00Z"/>
              </w:rPr>
            </w:pPr>
            <w:ins w:id="216" w:author="svcMRProcess" w:date="2019-10-25T17:02:00Z">
              <w:r>
                <w:t>s. 30(5)</w:t>
              </w:r>
            </w:ins>
          </w:p>
        </w:tc>
        <w:tc>
          <w:tcPr>
            <w:tcW w:w="2268" w:type="dxa"/>
          </w:tcPr>
          <w:p>
            <w:pPr>
              <w:pStyle w:val="nzTableAm"/>
              <w:rPr>
                <w:ins w:id="217" w:author="svcMRProcess" w:date="2019-10-25T17:02:00Z"/>
                <w:sz w:val="22"/>
              </w:rPr>
            </w:pPr>
            <w:ins w:id="218" w:author="svcMRProcess" w:date="2019-10-25T17:02:00Z">
              <w:r>
                <w:rPr>
                  <w:snapToGrid w:val="0"/>
                </w:rPr>
                <w:t>Penalty: A fine of not more than $1 000, or imprisonment for a term of not more than one year, or both such fine and imprisonment.</w:t>
              </w:r>
            </w:ins>
          </w:p>
        </w:tc>
        <w:tc>
          <w:tcPr>
            <w:tcW w:w="2268" w:type="dxa"/>
          </w:tcPr>
          <w:p>
            <w:pPr>
              <w:pStyle w:val="nzTableAm"/>
              <w:rPr>
                <w:ins w:id="219" w:author="svcMRProcess" w:date="2019-10-25T17:02:00Z"/>
              </w:rPr>
            </w:pPr>
            <w:ins w:id="220" w:author="svcMRProcess" w:date="2019-10-25T17:02:00Z">
              <w:r>
                <w:rPr>
                  <w:snapToGrid w:val="0"/>
                </w:rPr>
                <w:t>Penalty for this subsection: a fine of $50 000 or imprisonment for 12 months, or both.</w:t>
              </w:r>
            </w:ins>
          </w:p>
        </w:tc>
      </w:tr>
    </w:tbl>
    <w:p>
      <w:pPr>
        <w:rPr>
          <w:ins w:id="221" w:author="svcMRProcess" w:date="2019-10-25T17:02: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lvlText w:val="%1."/>
      <w:lvlJc w:val="left"/>
      <w:pPr>
        <w:tabs>
          <w:tab w:val="num" w:pos="1800"/>
        </w:tabs>
        <w:ind w:left="1800" w:hanging="360"/>
      </w:pPr>
    </w:lvl>
  </w:abstractNum>
  <w:abstractNum w:abstractNumId="1">
    <w:nsid w:val="FFFFFF7D"/>
    <w:multiLevelType w:val="singleLevel"/>
    <w:tmpl w:val="D2E68276"/>
    <w:lvl w:ilvl="0">
      <w:start w:val="1"/>
      <w:numFmt w:val="decimal"/>
      <w:lvlText w:val="%1."/>
      <w:lvlJc w:val="left"/>
      <w:pPr>
        <w:tabs>
          <w:tab w:val="num" w:pos="1440"/>
        </w:tabs>
        <w:ind w:left="1440" w:hanging="360"/>
      </w:pPr>
    </w:lvl>
  </w:abstractNum>
  <w:abstractNum w:abstractNumId="2">
    <w:nsid w:val="FFFFFF7E"/>
    <w:multiLevelType w:val="singleLevel"/>
    <w:tmpl w:val="335A7EDA"/>
    <w:lvl w:ilvl="0">
      <w:start w:val="1"/>
      <w:numFmt w:val="decimal"/>
      <w:lvlText w:val="%1."/>
      <w:lvlJc w:val="left"/>
      <w:pPr>
        <w:tabs>
          <w:tab w:val="num" w:pos="1080"/>
        </w:tabs>
        <w:ind w:left="1080" w:hanging="360"/>
      </w:pPr>
    </w:lvl>
  </w:abstractNum>
  <w:abstractNum w:abstractNumId="3">
    <w:nsid w:val="FFFFFF7F"/>
    <w:multiLevelType w:val="singleLevel"/>
    <w:tmpl w:val="27FEC95A"/>
    <w:lvl w:ilvl="0">
      <w:start w:val="1"/>
      <w:numFmt w:val="decimal"/>
      <w:lvlText w:val="%1."/>
      <w:lvlJc w:val="left"/>
      <w:pPr>
        <w:tabs>
          <w:tab w:val="num" w:pos="720"/>
        </w:tabs>
        <w:ind w:left="720" w:hanging="360"/>
      </w:pPr>
    </w:lvl>
  </w:abstractNum>
  <w:abstractNum w:abstractNumId="4">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lvlText w:val="%1."/>
      <w:lvlJc w:val="left"/>
      <w:pPr>
        <w:tabs>
          <w:tab w:val="num" w:pos="360"/>
        </w:tabs>
        <w:ind w:left="360" w:hanging="360"/>
      </w:pPr>
    </w:lvl>
  </w:abstractNum>
  <w:abstractNum w:abstractNumId="9">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000"/>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nzTableAm">
    <w:name w:val="nzTableAm"/>
    <w:basedOn w:val="TableAm"/>
    <w:pPr>
      <w:tabs>
        <w:tab w:val="left" w:pos="567"/>
      </w:tabs>
    </w:pPr>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nzTableAm">
    <w:name w:val="nzTableAm"/>
    <w:basedOn w:val="TableAm"/>
    <w:pPr>
      <w:tabs>
        <w:tab w:val="left" w:pos="567"/>
      </w:tabs>
    </w:pPr>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10818</Words>
  <Characters>49115</Characters>
  <Application>Microsoft Office Word</Application>
  <DocSecurity>0</DocSecurity>
  <Lines>1327</Lines>
  <Paragraphs>651</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59282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04-g0-01 - 04-h0-00</dc:title>
  <dc:subject/>
  <dc:creator/>
  <cp:keywords/>
  <dc:description/>
  <cp:lastModifiedBy>svcMRProcess</cp:lastModifiedBy>
  <cp:revision>2</cp:revision>
  <cp:lastPrinted>2007-05-30T02:03:00Z</cp:lastPrinted>
  <dcterms:created xsi:type="dcterms:W3CDTF">2019-10-25T09:02:00Z</dcterms:created>
  <dcterms:modified xsi:type="dcterms:W3CDTF">2019-10-25T09:02:00Z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DocumentType">
    <vt:lpwstr>Act</vt:lpwstr>
  </property>
  <property fmtid="{D5CDD505-2E9C-101B-9397-08002B2CF9AE}" pid="4" name="OwlsUID">
    <vt:i4>57</vt:i4>
  </property>
  <property fmtid="{D5CDD505-2E9C-101B-9397-08002B2CF9AE}" pid="5" name="ReprintedAsAt">
    <vt:filetime>2007-05-17T16:00:00Z</vt:filetime>
  </property>
  <property fmtid="{D5CDD505-2E9C-101B-9397-08002B2CF9AE}" pid="6" name="ReprintNo">
    <vt:lpwstr>4</vt:lpwstr>
  </property>
  <property fmtid="{D5CDD505-2E9C-101B-9397-08002B2CF9AE}" pid="7" name="CommencementDate">
    <vt:lpwstr>20191024</vt:lpwstr>
  </property>
  <property fmtid="{D5CDD505-2E9C-101B-9397-08002B2CF9AE}" pid="8" name="FromSuffix">
    <vt:lpwstr>04-g0-01</vt:lpwstr>
  </property>
  <property fmtid="{D5CDD505-2E9C-101B-9397-08002B2CF9AE}" pid="9" name="FromAsAtDate">
    <vt:lpwstr>01 Jul 2017</vt:lpwstr>
  </property>
  <property fmtid="{D5CDD505-2E9C-101B-9397-08002B2CF9AE}" pid="10" name="ToSuffix">
    <vt:lpwstr>04-h0-00</vt:lpwstr>
  </property>
  <property fmtid="{D5CDD505-2E9C-101B-9397-08002B2CF9AE}" pid="11" name="ToAsAtDate">
    <vt:lpwstr>24 Oct 2019</vt:lpwstr>
  </property>
</Properties>
</file>