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2019</w:t>
      </w:r>
      <w:r>
        <w:fldChar w:fldCharType="end"/>
      </w:r>
      <w:r>
        <w:t xml:space="preserve">, </w:t>
      </w:r>
      <w:r>
        <w:fldChar w:fldCharType="begin"/>
      </w:r>
      <w:r>
        <w:instrText xml:space="preserve"> DocProperty FromSuffix </w:instrText>
      </w:r>
      <w:r>
        <w:fldChar w:fldCharType="separate"/>
      </w:r>
      <w:r>
        <w:t>09-f0-03</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09-g0-02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560"/>
      </w:pPr>
      <w:r>
        <w:t xml:space="preserve">Bail Act 1982 </w:t>
      </w:r>
    </w:p>
    <w:p>
      <w:pPr>
        <w:pStyle w:val="LongTitle"/>
        <w:outlineLvl w:val="0"/>
        <w:rPr>
          <w:snapToGrid w:val="0"/>
        </w:rPr>
      </w:pPr>
      <w:r>
        <w:rPr>
          <w:snapToGrid w:val="0"/>
        </w:rPr>
        <w:t>A</w:t>
      </w:r>
      <w:bookmarkStart w:id="1" w:name="_GoBack"/>
      <w:bookmarkEnd w:id="1"/>
      <w:r>
        <w:rPr>
          <w:snapToGrid w:val="0"/>
        </w:rPr>
        <w:t xml:space="preserve">n Act to make better provision for bail in criminal proceedings. </w:t>
      </w:r>
    </w:p>
    <w:p>
      <w:pPr>
        <w:pStyle w:val="Heading2"/>
      </w:pPr>
      <w:bookmarkStart w:id="2" w:name="_Toc32232772"/>
      <w:bookmarkStart w:id="3" w:name="_Toc32232924"/>
      <w:bookmarkStart w:id="4" w:name="_Toc24637413"/>
      <w:bookmarkStart w:id="5" w:name="_Toc2566916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2232925"/>
      <w:bookmarkStart w:id="7" w:name="_Toc25669170"/>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del w:id="8" w:author="svcMRProcess" w:date="2020-02-11T14:00:00Z">
        <w:r>
          <w:rPr>
            <w:snapToGrid w:val="0"/>
          </w:rPr>
          <w:delText xml:space="preserve"> </w:delText>
        </w:r>
        <w:r>
          <w:rPr>
            <w:snapToGrid w:val="0"/>
            <w:vertAlign w:val="superscript"/>
          </w:rPr>
          <w:delText>1</w:delText>
        </w:r>
      </w:del>
      <w:r>
        <w:rPr>
          <w:snapToGrid w:val="0"/>
        </w:rPr>
        <w:t>.</w:t>
      </w:r>
    </w:p>
    <w:p>
      <w:pPr>
        <w:pStyle w:val="Heading5"/>
        <w:rPr>
          <w:snapToGrid w:val="0"/>
        </w:rPr>
      </w:pPr>
      <w:bookmarkStart w:id="9" w:name="_Toc32232926"/>
      <w:bookmarkStart w:id="10" w:name="_Toc25669171"/>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del w:id="11" w:author="svcMRProcess" w:date="2020-02-11T14:00:00Z">
        <w:r>
          <w:rPr>
            <w:snapToGrid w:val="0"/>
            <w:vertAlign w:val="superscript"/>
          </w:rPr>
          <w:delText xml:space="preserve"> 1</w:delText>
        </w:r>
      </w:del>
      <w:r>
        <w:rPr>
          <w:snapToGrid w:val="0"/>
        </w:rPr>
        <w:t>.</w:t>
      </w:r>
    </w:p>
    <w:p>
      <w:pPr>
        <w:pStyle w:val="Heading5"/>
        <w:rPr>
          <w:snapToGrid w:val="0"/>
        </w:rPr>
      </w:pPr>
      <w:bookmarkStart w:id="12" w:name="_Toc32232927"/>
      <w:bookmarkStart w:id="13" w:name="_Toc25669172"/>
      <w:r>
        <w:rPr>
          <w:rStyle w:val="CharSectno"/>
        </w:rPr>
        <w:t>3</w:t>
      </w:r>
      <w:r>
        <w:rPr>
          <w:snapToGrid w:val="0"/>
        </w:rPr>
        <w:t>.</w:t>
      </w:r>
      <w:r>
        <w:rPr>
          <w:snapToGrid w:val="0"/>
        </w:rPr>
        <w:tab/>
        <w:t>Terms used</w:t>
      </w:r>
      <w:bookmarkEnd w:id="12"/>
      <w:bookmarkEnd w:id="1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lastRenderedPageBreak/>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rPr>
          <w:ins w:id="14" w:author="svcMRProcess" w:date="2020-02-11T14:00:00Z"/>
        </w:rPr>
      </w:pPr>
      <w:ins w:id="15" w:author="svcMRProcess" w:date="2020-02-11T14:00:00Z">
        <w:r>
          <w:tab/>
        </w:r>
        <w:r>
          <w:rPr>
            <w:rStyle w:val="CharDefText"/>
          </w:rPr>
          <w:t>Commonwealth Criminal Code</w:t>
        </w:r>
        <w:r>
          <w:t xml:space="preserve"> means the Criminal Code set out in the Schedule to the </w:t>
        </w:r>
        <w:r>
          <w:rPr>
            <w:i/>
          </w:rPr>
          <w:t>Criminal Code Act 1995</w:t>
        </w:r>
        <w:r>
          <w:t xml:space="preserve"> (Commonwealth);</w:t>
        </w:r>
      </w:ins>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rPr>
          <w:ins w:id="16" w:author="svcMRProcess" w:date="2020-02-11T14:00:00Z"/>
        </w:rPr>
      </w:pPr>
      <w:ins w:id="17" w:author="svcMRProcess" w:date="2020-02-11T14:00:00Z">
        <w:r>
          <w:tab/>
        </w:r>
        <w:r>
          <w:rPr>
            <w:rStyle w:val="CharDefText"/>
          </w:rPr>
          <w:t>confirmed control order</w:t>
        </w:r>
        <w:r>
          <w:t xml:space="preserve"> has the meaning given in the Commonwealth Criminal Code section 100.1(1); </w:t>
        </w:r>
      </w:ins>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del w:id="18" w:author="svcMRProcess" w:date="2020-02-11T14:00:00Z">
        <w:r>
          <w:rPr>
            <w:vertAlign w:val="superscript"/>
          </w:rPr>
          <w:delText> 2</w:delText>
        </w:r>
      </w:del>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rPr>
          <w:ins w:id="19" w:author="svcMRProcess" w:date="2020-02-11T14:00:00Z"/>
        </w:rPr>
      </w:pPr>
      <w:ins w:id="20" w:author="svcMRProcess" w:date="2020-02-11T14:00:00Z">
        <w:r>
          <w:tab/>
        </w:r>
        <w:r>
          <w:rPr>
            <w:rStyle w:val="CharDefText"/>
          </w:rPr>
          <w:t>interim control order</w:t>
        </w:r>
        <w:r>
          <w:t xml:space="preserve"> has the meaning given in the Commonwealth Criminal Code section 100.1(1);</w:t>
        </w:r>
      </w:ins>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rPr>
          <w:ins w:id="21" w:author="svcMRProcess" w:date="2020-02-11T14:00:00Z"/>
        </w:rPr>
      </w:pPr>
      <w:ins w:id="22" w:author="svcMRProcess" w:date="2020-02-11T14:00:00Z">
        <w:r>
          <w:tab/>
        </w:r>
        <w:r>
          <w:rPr>
            <w:rStyle w:val="CharDefText"/>
          </w:rPr>
          <w:t>person linked to terrorism</w:t>
        </w:r>
        <w:r>
          <w:t xml:space="preserve"> means a person who — </w:t>
        </w:r>
      </w:ins>
    </w:p>
    <w:p>
      <w:pPr>
        <w:pStyle w:val="Defpara"/>
        <w:rPr>
          <w:ins w:id="23" w:author="svcMRProcess" w:date="2020-02-11T14:00:00Z"/>
        </w:rPr>
      </w:pPr>
      <w:ins w:id="24" w:author="svcMRProcess" w:date="2020-02-11T14:00:00Z">
        <w:r>
          <w:tab/>
          <w:t>(a)</w:t>
        </w:r>
        <w:r>
          <w:tab/>
          <w:t>is charged with, or has been convicted of, a terrorism offence; or</w:t>
        </w:r>
      </w:ins>
    </w:p>
    <w:p>
      <w:pPr>
        <w:pStyle w:val="Defpara"/>
        <w:rPr>
          <w:ins w:id="25" w:author="svcMRProcess" w:date="2020-02-11T14:00:00Z"/>
        </w:rPr>
      </w:pPr>
      <w:ins w:id="26" w:author="svcMRProcess" w:date="2020-02-11T14:00:00Z">
        <w:r>
          <w:tab/>
          <w:t>(b)</w:t>
        </w:r>
        <w:r>
          <w:tab/>
          <w:t>is the subject of an interim control order or confirmed control order, or has been the subject of a confirmed control order within the last 10 years;</w:t>
        </w:r>
      </w:ins>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rPr>
          <w:ins w:id="27" w:author="svcMRProcess" w:date="2020-02-11T14:00:00Z"/>
        </w:rPr>
      </w:pPr>
      <w:ins w:id="28" w:author="svcMRProcess" w:date="2020-02-11T14:00:00Z">
        <w:r>
          <w:tab/>
        </w:r>
        <w:r>
          <w:rPr>
            <w:rStyle w:val="CharDefText"/>
          </w:rPr>
          <w:t>terrorism offence</w:t>
        </w:r>
        <w:r>
          <w:rPr>
            <w:b/>
          </w:rPr>
          <w:t xml:space="preserve"> </w:t>
        </w:r>
        <w:r>
          <w:t xml:space="preserve">means — </w:t>
        </w:r>
      </w:ins>
    </w:p>
    <w:p>
      <w:pPr>
        <w:pStyle w:val="Defpara"/>
        <w:rPr>
          <w:ins w:id="29" w:author="svcMRProcess" w:date="2020-02-11T14:00:00Z"/>
        </w:rPr>
      </w:pPr>
      <w:ins w:id="30" w:author="svcMRProcess" w:date="2020-02-11T14:00:00Z">
        <w:r>
          <w:tab/>
          <w:t>(a)</w:t>
        </w:r>
        <w:r>
          <w:tab/>
          <w:t>an offence against the Commonwealth Criminal Code Division 72 Subdivision A; or</w:t>
        </w:r>
      </w:ins>
    </w:p>
    <w:p>
      <w:pPr>
        <w:pStyle w:val="Defpara"/>
        <w:rPr>
          <w:ins w:id="31" w:author="svcMRProcess" w:date="2020-02-11T14:00:00Z"/>
        </w:rPr>
      </w:pPr>
      <w:ins w:id="32" w:author="svcMRProcess" w:date="2020-02-11T14:00:00Z">
        <w:r>
          <w:tab/>
          <w:t>(b)</w:t>
        </w:r>
        <w:r>
          <w:tab/>
          <w:t>an offence against the Commonwealth Criminal Code Division 80 Subdivision B; or</w:t>
        </w:r>
      </w:ins>
    </w:p>
    <w:p>
      <w:pPr>
        <w:pStyle w:val="Defpara"/>
        <w:rPr>
          <w:ins w:id="33" w:author="svcMRProcess" w:date="2020-02-11T14:00:00Z"/>
        </w:rPr>
      </w:pPr>
      <w:ins w:id="34" w:author="svcMRProcess" w:date="2020-02-11T14:00:00Z">
        <w:r>
          <w:tab/>
          <w:t>(c)</w:t>
        </w:r>
        <w:r>
          <w:tab/>
          <w:t>an offence against the Commonwealth Criminal Code Part 5.3, except an offence against section 104.22, 104.27, 104.27A, 105.41 or 105.45; or</w:t>
        </w:r>
      </w:ins>
    </w:p>
    <w:p>
      <w:pPr>
        <w:pStyle w:val="Defpara"/>
        <w:rPr>
          <w:ins w:id="35" w:author="svcMRProcess" w:date="2020-02-11T14:00:00Z"/>
        </w:rPr>
      </w:pPr>
      <w:ins w:id="36" w:author="svcMRProcess" w:date="2020-02-11T14:00:00Z">
        <w:r>
          <w:tab/>
          <w:t>(d)</w:t>
        </w:r>
        <w:r>
          <w:tab/>
          <w:t>an offence against the Commonwealth Criminal Code Part 5.5; or</w:t>
        </w:r>
      </w:ins>
    </w:p>
    <w:p>
      <w:pPr>
        <w:pStyle w:val="Defpara"/>
        <w:rPr>
          <w:ins w:id="37" w:author="svcMRProcess" w:date="2020-02-11T14:00:00Z"/>
        </w:rPr>
      </w:pPr>
      <w:ins w:id="38" w:author="svcMRProcess" w:date="2020-02-11T14:00:00Z">
        <w:r>
          <w:tab/>
          <w:t>(e)</w:t>
        </w:r>
        <w:r>
          <w:tab/>
          <w:t xml:space="preserve">an offence against either of the following provisions of the </w:t>
        </w:r>
        <w:r>
          <w:rPr>
            <w:i/>
          </w:rPr>
          <w:t xml:space="preserve">Charter of the United Nations Act 1945 </w:t>
        </w:r>
        <w:r>
          <w:t xml:space="preserve">(Commonwealth) — </w:t>
        </w:r>
      </w:ins>
    </w:p>
    <w:p>
      <w:pPr>
        <w:pStyle w:val="Defsubpara"/>
        <w:rPr>
          <w:ins w:id="39" w:author="svcMRProcess" w:date="2020-02-11T14:00:00Z"/>
        </w:rPr>
      </w:pPr>
      <w:ins w:id="40" w:author="svcMRProcess" w:date="2020-02-11T14:00:00Z">
        <w:r>
          <w:tab/>
          <w:t>(i)</w:t>
        </w:r>
        <w:r>
          <w:tab/>
          <w:t>Part 4; or</w:t>
        </w:r>
      </w:ins>
    </w:p>
    <w:p>
      <w:pPr>
        <w:pStyle w:val="Defsubpara"/>
        <w:rPr>
          <w:ins w:id="41" w:author="svcMRProcess" w:date="2020-02-11T14:00:00Z"/>
        </w:rPr>
      </w:pPr>
      <w:ins w:id="42" w:author="svcMRProcess" w:date="2020-02-11T14:00:00Z">
        <w:r>
          <w:tab/>
          <w:t>(ii)</w:t>
        </w:r>
        <w:r>
          <w:tab/>
          <w:t xml:space="preserve">Part 5, to the extent that it relates to the </w:t>
        </w:r>
        <w:r>
          <w:rPr>
            <w:i/>
          </w:rPr>
          <w:t>Charter of the United Nations (Sanctions — Al</w:t>
        </w:r>
        <w:r>
          <w:rPr>
            <w:i/>
          </w:rPr>
          <w:noBreakHyphen/>
          <w:t>Qaida) Regulations 2008</w:t>
        </w:r>
        <w:r>
          <w:t xml:space="preserve"> (Commonwealth);</w:t>
        </w:r>
      </w:ins>
    </w:p>
    <w:p>
      <w:pPr>
        <w:pStyle w:val="Defpara"/>
        <w:rPr>
          <w:ins w:id="43" w:author="svcMRProcess" w:date="2020-02-11T14:00:00Z"/>
        </w:rPr>
      </w:pPr>
      <w:ins w:id="44" w:author="svcMRProcess" w:date="2020-02-11T14:00:00Z">
        <w:r>
          <w:tab/>
        </w:r>
        <w:r>
          <w:tab/>
          <w:t>or</w:t>
        </w:r>
      </w:ins>
    </w:p>
    <w:p>
      <w:pPr>
        <w:pStyle w:val="Defpara"/>
        <w:rPr>
          <w:ins w:id="45" w:author="svcMRProcess" w:date="2020-02-11T14:00:00Z"/>
        </w:rPr>
      </w:pPr>
      <w:ins w:id="46" w:author="svcMRProcess" w:date="2020-02-11T14:00:00Z">
        <w:r>
          <w:tab/>
          <w:t>(f)</w:t>
        </w:r>
        <w:r>
          <w:tab/>
          <w:t xml:space="preserve">an offence against the </w:t>
        </w:r>
        <w:r>
          <w:rPr>
            <w:i/>
          </w:rPr>
          <w:t xml:space="preserve">Crimes (Foreign Incursions and Recruitment) Act 1978 </w:t>
        </w:r>
        <w:r>
          <w:t>(Commonwealth) (repealed); or</w:t>
        </w:r>
      </w:ins>
    </w:p>
    <w:p>
      <w:pPr>
        <w:pStyle w:val="Defpara"/>
        <w:rPr>
          <w:ins w:id="47" w:author="svcMRProcess" w:date="2020-02-11T14:00:00Z"/>
        </w:rPr>
      </w:pPr>
      <w:ins w:id="48" w:author="svcMRProcess" w:date="2020-02-11T14:00:00Z">
        <w:r>
          <w:tab/>
          <w:t>(g)</w:t>
        </w:r>
        <w:r>
          <w:tab/>
          <w:t xml:space="preserve">an offence against the </w:t>
        </w:r>
        <w:r>
          <w:rPr>
            <w:i/>
          </w:rPr>
          <w:t xml:space="preserve">Crimes (Internationally Protected Persons) Act 1976 </w:t>
        </w:r>
        <w:r>
          <w:t>(Commonwealth) section 8; or</w:t>
        </w:r>
      </w:ins>
    </w:p>
    <w:p>
      <w:pPr>
        <w:pStyle w:val="Defpara"/>
        <w:rPr>
          <w:ins w:id="49" w:author="svcMRProcess" w:date="2020-02-11T14:00:00Z"/>
        </w:rPr>
      </w:pPr>
      <w:ins w:id="50" w:author="svcMRProcess" w:date="2020-02-11T14:00:00Z">
        <w:r>
          <w:tab/>
          <w:t>(h)</w:t>
        </w:r>
        <w:r>
          <w:tab/>
          <w:t>an offence under a written law or a law of the Commonwealth, another State, a Territory or another country, that substantially corresponds to an offence in paragraphs (a) to (e) and (g); or</w:t>
        </w:r>
      </w:ins>
    </w:p>
    <w:p>
      <w:pPr>
        <w:pStyle w:val="Defpara"/>
        <w:rPr>
          <w:ins w:id="51" w:author="svcMRProcess" w:date="2020-02-11T14:00:00Z"/>
        </w:rPr>
      </w:pPr>
      <w:ins w:id="52" w:author="svcMRProcess" w:date="2020-02-11T14:00:00Z">
        <w:r>
          <w:tab/>
          <w:t>(i)</w:t>
        </w:r>
        <w:r>
          <w:tab/>
          <w:t>an offence of attempting, inciting or conspiring to commit an offence referred to in paragraphs (a) to (h);</w:t>
        </w:r>
      </w:ins>
    </w:p>
    <w:p>
      <w:pPr>
        <w:pStyle w:val="Defstart"/>
        <w:rPr>
          <w:ins w:id="53" w:author="svcMRProcess" w:date="2020-02-11T14:00:00Z"/>
        </w:rPr>
      </w:pPr>
      <w:ins w:id="54" w:author="svcMRProcess" w:date="2020-02-11T14:00:00Z">
        <w:r>
          <w:tab/>
        </w:r>
        <w:r>
          <w:rPr>
            <w:rStyle w:val="CharDefText"/>
          </w:rPr>
          <w:t>terrorist act</w:t>
        </w:r>
        <w:r>
          <w:t xml:space="preserve"> has the meaning given in the </w:t>
        </w:r>
        <w:r>
          <w:rPr>
            <w:i/>
          </w:rPr>
          <w:t>Terrorism (Commonwealth Powers) Act 2002</w:t>
        </w:r>
        <w:r>
          <w:t xml:space="preserve"> section 3;</w:t>
        </w:r>
      </w:ins>
    </w:p>
    <w:p>
      <w:pPr>
        <w:pStyle w:val="Defstart"/>
        <w:rPr>
          <w:ins w:id="55" w:author="svcMRProcess" w:date="2020-02-11T14:00:00Z"/>
        </w:rPr>
      </w:pPr>
      <w:ins w:id="56" w:author="svcMRProcess" w:date="2020-02-11T14:00:00Z">
        <w:r>
          <w:tab/>
        </w:r>
        <w:r>
          <w:rPr>
            <w:rStyle w:val="CharDefText"/>
          </w:rPr>
          <w:t>terrorist intelligence information</w:t>
        </w:r>
        <w:r>
          <w:t xml:space="preserve"> means information relating to an actual or suspected terrorist act (whether in this State or elsewhere) the disclosure of which could reasonably be expected — </w:t>
        </w:r>
      </w:ins>
    </w:p>
    <w:p>
      <w:pPr>
        <w:pStyle w:val="Defpara"/>
        <w:rPr>
          <w:ins w:id="57" w:author="svcMRProcess" w:date="2020-02-11T14:00:00Z"/>
        </w:rPr>
      </w:pPr>
      <w:ins w:id="58" w:author="svcMRProcess" w:date="2020-02-11T14:00:00Z">
        <w:r>
          <w:tab/>
          <w:t>(a)</w:t>
        </w:r>
        <w:r>
          <w:tab/>
          <w:t>to prejudice national security; or</w:t>
        </w:r>
      </w:ins>
    </w:p>
    <w:p>
      <w:pPr>
        <w:pStyle w:val="Defpara"/>
        <w:rPr>
          <w:ins w:id="59" w:author="svcMRProcess" w:date="2020-02-11T14:00:00Z"/>
        </w:rPr>
      </w:pPr>
      <w:ins w:id="60" w:author="svcMRProcess" w:date="2020-02-11T14:00:00Z">
        <w:r>
          <w:tab/>
          <w:t>(b)</w:t>
        </w:r>
        <w:r>
          <w:tab/>
          <w:t>to endanger a person’s life or physical safety; or</w:t>
        </w:r>
      </w:ins>
    </w:p>
    <w:p>
      <w:pPr>
        <w:pStyle w:val="Defpara"/>
        <w:rPr>
          <w:ins w:id="61" w:author="svcMRProcess" w:date="2020-02-11T14:00:00Z"/>
        </w:rPr>
      </w:pPr>
      <w:ins w:id="62" w:author="svcMRProcess" w:date="2020-02-11T14:00:00Z">
        <w:r>
          <w:tab/>
          <w:t>(c)</w:t>
        </w:r>
        <w:r>
          <w:tab/>
          <w:t>to threaten significant damage to infrastructure or property; or</w:t>
        </w:r>
      </w:ins>
    </w:p>
    <w:p>
      <w:pPr>
        <w:pStyle w:val="Defpara"/>
        <w:rPr>
          <w:ins w:id="63" w:author="svcMRProcess" w:date="2020-02-11T14:00:00Z"/>
        </w:rPr>
      </w:pPr>
      <w:ins w:id="64" w:author="svcMRProcess" w:date="2020-02-11T14:00:00Z">
        <w:r>
          <w:tab/>
          <w:t>(d)</w:t>
        </w:r>
        <w:r>
          <w:tab/>
          <w:t>to prejudice a criminal investigation; or</w:t>
        </w:r>
      </w:ins>
    </w:p>
    <w:p>
      <w:pPr>
        <w:pStyle w:val="Defpara"/>
        <w:rPr>
          <w:ins w:id="65" w:author="svcMRProcess" w:date="2020-02-11T14:00:00Z"/>
        </w:rPr>
      </w:pPr>
      <w:ins w:id="66" w:author="svcMRProcess" w:date="2020-02-11T14:00:00Z">
        <w:r>
          <w:tab/>
          <w:t>(e)</w:t>
        </w:r>
        <w:r>
          <w:tab/>
          <w:t>to reveal intelligence</w:t>
        </w:r>
        <w:r>
          <w:noBreakHyphen/>
          <w:t>gathering methodologies, investigative techniques or technologies or covert practices; or</w:t>
        </w:r>
      </w:ins>
    </w:p>
    <w:p>
      <w:pPr>
        <w:pStyle w:val="Defpara"/>
        <w:rPr>
          <w:ins w:id="67" w:author="svcMRProcess" w:date="2020-02-11T14:00:00Z"/>
        </w:rPr>
      </w:pPr>
      <w:ins w:id="68" w:author="svcMRProcess" w:date="2020-02-11T14:00:00Z">
        <w:r>
          <w:tab/>
          <w:t>(f)</w:t>
        </w:r>
        <w:r>
          <w:tab/>
          <w:t xml:space="preserve">to enable the discovery of the existence or identity of a confidential source of information relevant to law enforcement; </w:t>
        </w:r>
      </w:ins>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w:t>
      </w:r>
      <w:del w:id="69" w:author="svcMRProcess" w:date="2020-02-11T14:00:00Z">
        <w:r>
          <w:delText>22</w:delText>
        </w:r>
      </w:del>
      <w:ins w:id="70" w:author="svcMRProcess" w:date="2020-02-11T14:00:00Z">
        <w:r>
          <w:t>22; No. 15 of 2019 s. 4</w:t>
        </w:r>
      </w:ins>
      <w:r>
        <w:t xml:space="preserve">.]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71" w:name="_Toc32232928"/>
      <w:bookmarkStart w:id="72" w:name="_Toc25669173"/>
      <w:r>
        <w:rPr>
          <w:rStyle w:val="CharSectno"/>
        </w:rPr>
        <w:t>4</w:t>
      </w:r>
      <w:r>
        <w:rPr>
          <w:snapToGrid w:val="0"/>
        </w:rPr>
        <w:t>.</w:t>
      </w:r>
      <w:r>
        <w:rPr>
          <w:snapToGrid w:val="0"/>
        </w:rPr>
        <w:tab/>
        <w:t>Application of this Act</w:t>
      </w:r>
      <w:bookmarkEnd w:id="71"/>
      <w:bookmarkEnd w:id="72"/>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73" w:name="_Toc32232929"/>
      <w:bookmarkStart w:id="74" w:name="_Toc25669174"/>
      <w:r>
        <w:rPr>
          <w:rStyle w:val="CharSectno"/>
        </w:rPr>
        <w:t>4AB</w:t>
      </w:r>
      <w:r>
        <w:t>.</w:t>
      </w:r>
      <w:r>
        <w:tab/>
      </w:r>
      <w:r>
        <w:rPr>
          <w:i/>
        </w:rPr>
        <w:t>Courts and Tribunals (Electronic Processes Facilitation) Act 2013</w:t>
      </w:r>
      <w:r>
        <w:t xml:space="preserve"> Part 2 applies</w:t>
      </w:r>
      <w:bookmarkEnd w:id="73"/>
      <w:bookmarkEnd w:id="7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75" w:name="_Toc32232930"/>
      <w:bookmarkStart w:id="76" w:name="_Toc25669175"/>
      <w:r>
        <w:rPr>
          <w:rStyle w:val="CharSectno"/>
        </w:rPr>
        <w:t>4A</w:t>
      </w:r>
      <w:r>
        <w:t>.</w:t>
      </w:r>
      <w:r>
        <w:tab/>
        <w:t>Accused appearing on summons or court hearing notice, detention and bail of</w:t>
      </w:r>
      <w:bookmarkEnd w:id="75"/>
      <w:bookmarkEnd w:id="76"/>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77" w:name="_Toc32232779"/>
      <w:bookmarkStart w:id="78" w:name="_Toc32232931"/>
      <w:bookmarkStart w:id="79" w:name="_Toc24637420"/>
      <w:bookmarkStart w:id="80" w:name="_Toc25669176"/>
      <w:r>
        <w:rPr>
          <w:rStyle w:val="CharPartNo"/>
        </w:rPr>
        <w:t>Part II</w:t>
      </w:r>
      <w:r>
        <w:rPr>
          <w:rStyle w:val="CharDivNo"/>
        </w:rPr>
        <w:t> </w:t>
      </w:r>
      <w:r>
        <w:t>—</w:t>
      </w:r>
      <w:r>
        <w:rPr>
          <w:rStyle w:val="CharDivText"/>
        </w:rPr>
        <w:t> </w:t>
      </w:r>
      <w:r>
        <w:rPr>
          <w:rStyle w:val="CharPartText"/>
        </w:rPr>
        <w:t>Rights of accused in relation to bail</w:t>
      </w:r>
      <w:bookmarkEnd w:id="77"/>
      <w:bookmarkEnd w:id="78"/>
      <w:bookmarkEnd w:id="79"/>
      <w:bookmarkEnd w:id="80"/>
      <w:r>
        <w:rPr>
          <w:rStyle w:val="CharPartText"/>
        </w:rPr>
        <w:t xml:space="preserve"> </w:t>
      </w:r>
    </w:p>
    <w:p>
      <w:pPr>
        <w:pStyle w:val="Footnoteheading"/>
      </w:pPr>
      <w:r>
        <w:tab/>
        <w:t xml:space="preserve">[Heading amended: No. 84 of 2004 s. 82.] </w:t>
      </w:r>
    </w:p>
    <w:p>
      <w:pPr>
        <w:pStyle w:val="Heading5"/>
        <w:rPr>
          <w:snapToGrid w:val="0"/>
        </w:rPr>
      </w:pPr>
      <w:bookmarkStart w:id="81" w:name="_Toc32232932"/>
      <w:bookmarkStart w:id="82" w:name="_Toc25669177"/>
      <w:r>
        <w:rPr>
          <w:rStyle w:val="CharSectno"/>
        </w:rPr>
        <w:t>5</w:t>
      </w:r>
      <w:r>
        <w:rPr>
          <w:snapToGrid w:val="0"/>
        </w:rPr>
        <w:t>.</w:t>
      </w:r>
      <w:r>
        <w:rPr>
          <w:snapToGrid w:val="0"/>
        </w:rPr>
        <w:tab/>
        <w:t>Accused’s rights to have bail considered</w:t>
      </w:r>
      <w:bookmarkEnd w:id="81"/>
      <w:bookmarkEnd w:id="82"/>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83" w:name="_Toc32232933"/>
      <w:bookmarkStart w:id="84" w:name="_Toc25669178"/>
      <w:r>
        <w:rPr>
          <w:rStyle w:val="CharSectno"/>
        </w:rPr>
        <w:t>6</w:t>
      </w:r>
      <w:r>
        <w:t>.</w:t>
      </w:r>
      <w:r>
        <w:tab/>
        <w:t>Arresting officer’s duty to consider bail</w:t>
      </w:r>
      <w:bookmarkEnd w:id="83"/>
      <w:bookmarkEnd w:id="84"/>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w:t>
      </w:r>
      <w:ins w:id="85" w:author="svcMRProcess" w:date="2020-02-11T14:00:00Z">
        <w:r>
          <w:t>), (10</w:t>
        </w:r>
      </w:ins>
      <w:r>
        <w:t>) or (</w:t>
      </w:r>
      <w:del w:id="86" w:author="svcMRProcess" w:date="2020-02-11T14:00:00Z">
        <w:r>
          <w:delText>10</w:delText>
        </w:r>
      </w:del>
      <w:ins w:id="87" w:author="svcMRProcess" w:date="2020-02-11T14:00:00Z">
        <w:r>
          <w:t>11</w:t>
        </w:r>
      </w:ins>
      <w:r>
        <w:t>)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rPr>
          <w:ins w:id="88" w:author="svcMRProcess" w:date="2020-02-11T14:00:00Z"/>
        </w:rPr>
      </w:pPr>
      <w:ins w:id="89" w:author="svcMRProcess" w:date="2020-02-11T14:00:00Z">
        <w:r>
          <w:tab/>
          <w:t>(11)</w:t>
        </w:r>
        <w:r>
          <w:tab/>
          <w:t>If section 16B applies, the arrester must bring the accused or cause the accused to be brought before a court constituted by a judicial officer other than a justice, who must consider the accused’s case for bail as soon as is practicable.</w:t>
        </w:r>
      </w:ins>
    </w:p>
    <w:p>
      <w:pPr>
        <w:pStyle w:val="Footnotesection"/>
        <w:ind w:left="890" w:hanging="890"/>
      </w:pPr>
      <w:r>
        <w:tab/>
        <w:t>[Section 6 inserted: No. 59 of 2006 s. 4(1); amended: No. 21 of 2017 s. </w:t>
      </w:r>
      <w:del w:id="90" w:author="svcMRProcess" w:date="2020-02-11T14:00:00Z">
        <w:r>
          <w:delText>4</w:delText>
        </w:r>
      </w:del>
      <w:ins w:id="91" w:author="svcMRProcess" w:date="2020-02-11T14:00:00Z">
        <w:r>
          <w:t>4; No. 15 of 2019 s. 5</w:t>
        </w:r>
      </w:ins>
      <w:r>
        <w:t xml:space="preserve">.] </w:t>
      </w:r>
    </w:p>
    <w:p>
      <w:pPr>
        <w:pStyle w:val="Heading5"/>
        <w:spacing w:before="180"/>
      </w:pPr>
      <w:bookmarkStart w:id="92" w:name="_Toc32232934"/>
      <w:bookmarkStart w:id="93" w:name="_Toc25669179"/>
      <w:r>
        <w:rPr>
          <w:rStyle w:val="CharSectno"/>
        </w:rPr>
        <w:t>6A</w:t>
      </w:r>
      <w:r>
        <w:t>.</w:t>
      </w:r>
      <w:r>
        <w:tab/>
        <w:t>Officials considering bail may order release without bail</w:t>
      </w:r>
      <w:bookmarkEnd w:id="92"/>
      <w:bookmarkEnd w:id="93"/>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94" w:name="_Toc32232935"/>
      <w:bookmarkStart w:id="95" w:name="_Toc25669180"/>
      <w:r>
        <w:rPr>
          <w:rStyle w:val="CharSectno"/>
        </w:rPr>
        <w:t>7</w:t>
      </w:r>
      <w:r>
        <w:rPr>
          <w:snapToGrid w:val="0"/>
        </w:rPr>
        <w:t>.</w:t>
      </w:r>
      <w:r>
        <w:rPr>
          <w:snapToGrid w:val="0"/>
        </w:rPr>
        <w:tab/>
        <w:t>Unconvicted accused, court to consider bail for</w:t>
      </w:r>
      <w:bookmarkEnd w:id="94"/>
      <w:bookmarkEnd w:id="95"/>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w:t>
      </w:r>
      <w:ins w:id="96" w:author="svcMRProcess" w:date="2020-02-11T14:00:00Z">
        <w:r>
          <w:t>, 3D</w:t>
        </w:r>
      </w:ins>
      <w:r>
        <w:t xml:space="preserve"> and </w:t>
      </w:r>
      <w:del w:id="97" w:author="svcMRProcess" w:date="2020-02-11T14:00:00Z">
        <w:r>
          <w:delText>3D</w:delText>
        </w:r>
      </w:del>
      <w:ins w:id="98" w:author="svcMRProcess" w:date="2020-02-11T14:00:00Z">
        <w:r>
          <w:t>3E</w:t>
        </w:r>
      </w:ins>
      <w:r>
        <w:t>.</w:t>
      </w:r>
    </w:p>
    <w:p>
      <w:pPr>
        <w:pStyle w:val="Footnotesection"/>
        <w:keepLines w:val="0"/>
        <w:spacing w:before="100"/>
        <w:ind w:left="890" w:hanging="890"/>
      </w:pPr>
      <w:r>
        <w:tab/>
        <w:t>[Section 7 amended: No. 74 of 1984 s. 5; No. 49 of 1988 s. 80; No. 45 of 1993 s. 6; No. 84 of 2004 s. 82; No. 59 of 2006 s. 4(2); No. 6 of 2008 s. 8; No. 21 of 2017 s. </w:t>
      </w:r>
      <w:del w:id="99" w:author="svcMRProcess" w:date="2020-02-11T14:00:00Z">
        <w:r>
          <w:delText>5</w:delText>
        </w:r>
      </w:del>
      <w:ins w:id="100" w:author="svcMRProcess" w:date="2020-02-11T14:00:00Z">
        <w:r>
          <w:t>5; No. 15 of 2019 s. 6</w:t>
        </w:r>
      </w:ins>
      <w:r>
        <w:t xml:space="preserve">.] </w:t>
      </w:r>
    </w:p>
    <w:p>
      <w:pPr>
        <w:pStyle w:val="Heading5"/>
      </w:pPr>
      <w:bookmarkStart w:id="101" w:name="_Toc32232936"/>
      <w:bookmarkStart w:id="102" w:name="_Toc25669181"/>
      <w:r>
        <w:rPr>
          <w:rStyle w:val="CharSectno"/>
        </w:rPr>
        <w:t>7A</w:t>
      </w:r>
      <w:r>
        <w:rPr>
          <w:snapToGrid w:val="0"/>
        </w:rPr>
        <w:t>.</w:t>
      </w:r>
      <w:r>
        <w:rPr>
          <w:snapToGrid w:val="0"/>
        </w:rPr>
        <w:tab/>
        <w:t>Bail may be dispensed with by court</w:t>
      </w:r>
      <w:bookmarkEnd w:id="101"/>
      <w:bookmarkEnd w:id="102"/>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103" w:name="_Toc32232937"/>
      <w:bookmarkStart w:id="104" w:name="_Toc25669182"/>
      <w:r>
        <w:rPr>
          <w:rStyle w:val="CharSectno"/>
        </w:rPr>
        <w:t>7B</w:t>
      </w:r>
      <w:r>
        <w:rPr>
          <w:snapToGrid w:val="0"/>
        </w:rPr>
        <w:t>.</w:t>
      </w:r>
      <w:r>
        <w:rPr>
          <w:snapToGrid w:val="0"/>
        </w:rPr>
        <w:tab/>
        <w:t>Adult accused of murder</w:t>
      </w:r>
      <w:bookmarkEnd w:id="103"/>
      <w:bookmarkEnd w:id="104"/>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105" w:name="_Toc32232938"/>
      <w:bookmarkStart w:id="106" w:name="_Toc25669183"/>
      <w:r>
        <w:rPr>
          <w:rStyle w:val="CharSectno"/>
        </w:rPr>
        <w:t>7C</w:t>
      </w:r>
      <w:r>
        <w:t>.</w:t>
      </w:r>
      <w:r>
        <w:tab/>
        <w:t>C</w:t>
      </w:r>
      <w:r>
        <w:rPr>
          <w:snapToGrid w:val="0"/>
        </w:rPr>
        <w:t>hild accused of murder</w:t>
      </w:r>
      <w:bookmarkEnd w:id="105"/>
      <w:bookmarkEnd w:id="106"/>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107" w:name="_Toc32232939"/>
      <w:bookmarkStart w:id="108" w:name="_Toc25669184"/>
      <w:r>
        <w:rPr>
          <w:rStyle w:val="CharSectno"/>
        </w:rPr>
        <w:t>7D</w:t>
      </w:r>
      <w:r>
        <w:rPr>
          <w:snapToGrid w:val="0"/>
        </w:rPr>
        <w:t>.</w:t>
      </w:r>
      <w:r>
        <w:rPr>
          <w:snapToGrid w:val="0"/>
        </w:rPr>
        <w:tab/>
        <w:t>Bail after initial decision by court, court’s duty as to</w:t>
      </w:r>
      <w:bookmarkEnd w:id="107"/>
      <w:bookmarkEnd w:id="108"/>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109" w:name="_Toc32232940"/>
      <w:bookmarkStart w:id="110" w:name="_Toc25669185"/>
      <w:r>
        <w:rPr>
          <w:rStyle w:val="CharSectno"/>
        </w:rPr>
        <w:t>7E</w:t>
      </w:r>
      <w:r>
        <w:rPr>
          <w:snapToGrid w:val="0"/>
        </w:rPr>
        <w:t>.</w:t>
      </w:r>
      <w:r>
        <w:rPr>
          <w:snapToGrid w:val="0"/>
        </w:rPr>
        <w:tab/>
      </w:r>
      <w:r>
        <w:t>Bail refused for trial, court’s duty during trial</w:t>
      </w:r>
      <w:bookmarkEnd w:id="109"/>
      <w:bookmarkEnd w:id="11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111" w:name="_Toc32232941"/>
      <w:bookmarkStart w:id="112" w:name="_Toc25669186"/>
      <w:r>
        <w:rPr>
          <w:rStyle w:val="CharSectno"/>
        </w:rPr>
        <w:t>7F</w:t>
      </w:r>
      <w:r>
        <w:t>.</w:t>
      </w:r>
      <w:r>
        <w:tab/>
        <w:t>Appeal from court of summary jurisdiction, bail in case of</w:t>
      </w:r>
      <w:bookmarkEnd w:id="111"/>
      <w:bookmarkEnd w:id="112"/>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113" w:name="_Toc32232942"/>
      <w:bookmarkStart w:id="114" w:name="_Toc25669187"/>
      <w:r>
        <w:rPr>
          <w:rStyle w:val="CharSectno"/>
        </w:rPr>
        <w:t>8</w:t>
      </w:r>
      <w:r>
        <w:rPr>
          <w:snapToGrid w:val="0"/>
        </w:rPr>
        <w:t>.</w:t>
      </w:r>
      <w:r>
        <w:rPr>
          <w:snapToGrid w:val="0"/>
        </w:rPr>
        <w:tab/>
        <w:t>Accused to be given information, approved forms etc.</w:t>
      </w:r>
      <w:bookmarkEnd w:id="113"/>
      <w:bookmarkEnd w:id="114"/>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115" w:name="_Toc32232943"/>
      <w:bookmarkStart w:id="116" w:name="_Toc25669188"/>
      <w:r>
        <w:rPr>
          <w:rStyle w:val="CharSectno"/>
        </w:rPr>
        <w:t>9</w:t>
      </w:r>
      <w:r>
        <w:rPr>
          <w:snapToGrid w:val="0"/>
        </w:rPr>
        <w:t>.</w:t>
      </w:r>
      <w:r>
        <w:rPr>
          <w:snapToGrid w:val="0"/>
        </w:rPr>
        <w:tab/>
        <w:t>Bail decision may be deferred until more information obtained</w:t>
      </w:r>
      <w:bookmarkEnd w:id="115"/>
      <w:bookmarkEnd w:id="11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w:t>
      </w:r>
    </w:p>
    <w:p>
      <w:pPr>
        <w:pStyle w:val="Heading5"/>
        <w:spacing w:before="180"/>
        <w:rPr>
          <w:snapToGrid w:val="0"/>
        </w:rPr>
      </w:pPr>
      <w:bookmarkStart w:id="117" w:name="_Toc32232944"/>
      <w:bookmarkStart w:id="118" w:name="_Toc25669189"/>
      <w:r>
        <w:rPr>
          <w:rStyle w:val="CharSectno"/>
        </w:rPr>
        <w:t>10</w:t>
      </w:r>
      <w:r>
        <w:rPr>
          <w:snapToGrid w:val="0"/>
        </w:rPr>
        <w:t>.</w:t>
      </w:r>
      <w:r>
        <w:rPr>
          <w:snapToGrid w:val="0"/>
        </w:rPr>
        <w:tab/>
        <w:t>Sections 5, 6 and 7 do not apply if accused imprisoned for other cause</w:t>
      </w:r>
      <w:bookmarkEnd w:id="117"/>
      <w:bookmarkEnd w:id="118"/>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119" w:name="_Toc32232945"/>
      <w:bookmarkStart w:id="120" w:name="_Toc25669190"/>
      <w:r>
        <w:rPr>
          <w:rStyle w:val="CharSectno"/>
        </w:rPr>
        <w:t>11</w:t>
      </w:r>
      <w:r>
        <w:rPr>
          <w:snapToGrid w:val="0"/>
        </w:rPr>
        <w:t>.</w:t>
      </w:r>
      <w:r>
        <w:rPr>
          <w:snapToGrid w:val="0"/>
        </w:rPr>
        <w:tab/>
        <w:t>Accused’s rights following grant of bail</w:t>
      </w:r>
      <w:bookmarkEnd w:id="119"/>
      <w:bookmarkEnd w:id="120"/>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121" w:name="_Toc32232946"/>
      <w:bookmarkStart w:id="122" w:name="_Toc25669191"/>
      <w:r>
        <w:rPr>
          <w:rStyle w:val="CharSectno"/>
        </w:rPr>
        <w:t>12</w:t>
      </w:r>
      <w:r>
        <w:rPr>
          <w:snapToGrid w:val="0"/>
        </w:rPr>
        <w:t>.</w:t>
      </w:r>
      <w:r>
        <w:rPr>
          <w:snapToGrid w:val="0"/>
        </w:rPr>
        <w:tab/>
        <w:t>Rights in s. 7A(2) and 11, limitations on</w:t>
      </w:r>
      <w:bookmarkEnd w:id="121"/>
      <w:bookmarkEnd w:id="122"/>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123" w:name="_Toc32232795"/>
      <w:bookmarkStart w:id="124" w:name="_Toc32232947"/>
      <w:bookmarkStart w:id="125" w:name="_Toc24637436"/>
      <w:bookmarkStart w:id="126" w:name="_Toc25669192"/>
      <w:r>
        <w:rPr>
          <w:rStyle w:val="CharPartNo"/>
        </w:rPr>
        <w:t>Part III</w:t>
      </w:r>
      <w:r>
        <w:rPr>
          <w:rStyle w:val="CharDivNo"/>
        </w:rPr>
        <w:t> </w:t>
      </w:r>
      <w:r>
        <w:t>—</w:t>
      </w:r>
      <w:r>
        <w:rPr>
          <w:rStyle w:val="CharDivText"/>
        </w:rPr>
        <w:t> </w:t>
      </w:r>
      <w:r>
        <w:rPr>
          <w:rStyle w:val="CharPartText"/>
        </w:rPr>
        <w:t>Jurisdiction relating to bail</w:t>
      </w:r>
      <w:bookmarkEnd w:id="123"/>
      <w:bookmarkEnd w:id="124"/>
      <w:bookmarkEnd w:id="125"/>
      <w:bookmarkEnd w:id="126"/>
    </w:p>
    <w:p>
      <w:pPr>
        <w:pStyle w:val="Footnoteheading"/>
      </w:pPr>
      <w:r>
        <w:tab/>
        <w:t>[Heading inserted: No. 6 of 2008 s. 13.]</w:t>
      </w:r>
    </w:p>
    <w:p>
      <w:pPr>
        <w:pStyle w:val="Heading5"/>
        <w:rPr>
          <w:snapToGrid w:val="0"/>
        </w:rPr>
      </w:pPr>
      <w:bookmarkStart w:id="127" w:name="_Toc32232948"/>
      <w:bookmarkStart w:id="128" w:name="_Toc25669193"/>
      <w:r>
        <w:rPr>
          <w:rStyle w:val="CharSectno"/>
        </w:rPr>
        <w:t>13</w:t>
      </w:r>
      <w:r>
        <w:rPr>
          <w:snapToGrid w:val="0"/>
        </w:rPr>
        <w:t>.</w:t>
      </w:r>
      <w:r>
        <w:rPr>
          <w:snapToGrid w:val="0"/>
        </w:rPr>
        <w:tab/>
        <w:t>Jurisdiction to grant bail, who has and exercise of (Sch. 1)</w:t>
      </w:r>
      <w:bookmarkEnd w:id="127"/>
      <w:bookmarkEnd w:id="128"/>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129" w:name="_Toc32232949"/>
      <w:bookmarkStart w:id="130" w:name="_Toc25669194"/>
      <w:r>
        <w:rPr>
          <w:rStyle w:val="CharSectno"/>
        </w:rPr>
        <w:t>13A</w:t>
      </w:r>
      <w:r>
        <w:rPr>
          <w:snapToGrid w:val="0"/>
        </w:rPr>
        <w:t>.</w:t>
      </w:r>
      <w:r>
        <w:rPr>
          <w:snapToGrid w:val="0"/>
        </w:rPr>
        <w:tab/>
        <w:t>Jurisdiction in s. 7A to dispense with bail, who has and exercise of</w:t>
      </w:r>
      <w:bookmarkEnd w:id="129"/>
      <w:bookmarkEnd w:id="130"/>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131" w:name="_Toc32232950"/>
      <w:bookmarkStart w:id="132" w:name="_Toc25669195"/>
      <w:r>
        <w:rPr>
          <w:rStyle w:val="CharSectno"/>
        </w:rPr>
        <w:t>13B</w:t>
      </w:r>
      <w:r>
        <w:rPr>
          <w:snapToGrid w:val="0"/>
        </w:rPr>
        <w:t>.</w:t>
      </w:r>
      <w:r>
        <w:rPr>
          <w:snapToGrid w:val="0"/>
        </w:rPr>
        <w:tab/>
        <w:t>Notices under s. 13A(3), service and proof of</w:t>
      </w:r>
      <w:bookmarkEnd w:id="131"/>
      <w:bookmarkEnd w:id="132"/>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w:t>
      </w:r>
    </w:p>
    <w:p>
      <w:pPr>
        <w:pStyle w:val="Heading5"/>
        <w:rPr>
          <w:snapToGrid w:val="0"/>
        </w:rPr>
      </w:pPr>
      <w:bookmarkStart w:id="133" w:name="_Toc32232951"/>
      <w:bookmarkStart w:id="134" w:name="_Toc25669196"/>
      <w:r>
        <w:rPr>
          <w:rStyle w:val="CharSectno"/>
        </w:rPr>
        <w:t>14</w:t>
      </w:r>
      <w:r>
        <w:rPr>
          <w:snapToGrid w:val="0"/>
        </w:rPr>
        <w:t>.</w:t>
      </w:r>
      <w:r>
        <w:rPr>
          <w:snapToGrid w:val="0"/>
        </w:rPr>
        <w:tab/>
        <w:t>Judges, jurisdiction of</w:t>
      </w:r>
      <w:bookmarkEnd w:id="133"/>
      <w:bookmarkEnd w:id="134"/>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135" w:name="_Toc32232952"/>
      <w:bookmarkStart w:id="136" w:name="_Toc25669197"/>
      <w:r>
        <w:rPr>
          <w:rStyle w:val="CharSectno"/>
        </w:rPr>
        <w:t>15</w:t>
      </w:r>
      <w:r>
        <w:rPr>
          <w:snapToGrid w:val="0"/>
        </w:rPr>
        <w:t>.</w:t>
      </w:r>
      <w:r>
        <w:rPr>
          <w:snapToGrid w:val="0"/>
        </w:rPr>
        <w:tab/>
        <w:t>Accused charged with murder, jurisdiction as to bail for</w:t>
      </w:r>
      <w:bookmarkEnd w:id="135"/>
      <w:bookmarkEnd w:id="136"/>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137" w:name="_Toc32232953"/>
      <w:bookmarkStart w:id="138" w:name="_Toc25669198"/>
      <w:r>
        <w:rPr>
          <w:rStyle w:val="CharSectno"/>
        </w:rPr>
        <w:t>15A</w:t>
      </w:r>
      <w:r>
        <w:rPr>
          <w:snapToGrid w:val="0"/>
        </w:rPr>
        <w:t>.</w:t>
      </w:r>
      <w:r>
        <w:rPr>
          <w:snapToGrid w:val="0"/>
        </w:rPr>
        <w:tab/>
        <w:t>Appeal against judge’s decision on bail, commencement and conduct</w:t>
      </w:r>
      <w:bookmarkEnd w:id="137"/>
      <w:bookmarkEnd w:id="138"/>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139" w:name="_Toc32232954"/>
      <w:bookmarkStart w:id="140" w:name="_Toc25669199"/>
      <w:r>
        <w:rPr>
          <w:rStyle w:val="CharSectno"/>
        </w:rPr>
        <w:t>15B</w:t>
      </w:r>
      <w:r>
        <w:rPr>
          <w:snapToGrid w:val="0"/>
        </w:rPr>
        <w:t>.</w:t>
      </w:r>
      <w:r>
        <w:rPr>
          <w:snapToGrid w:val="0"/>
        </w:rPr>
        <w:tab/>
        <w:t>Appeal under s. 15A, determination</w:t>
      </w:r>
      <w:bookmarkEnd w:id="139"/>
      <w:bookmarkEnd w:id="140"/>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141" w:name="_Toc32232955"/>
      <w:bookmarkStart w:id="142" w:name="_Toc25669200"/>
      <w:r>
        <w:rPr>
          <w:rStyle w:val="CharSectno"/>
        </w:rPr>
        <w:t>16</w:t>
      </w:r>
      <w:r>
        <w:rPr>
          <w:snapToGrid w:val="0"/>
        </w:rPr>
        <w:t>.</w:t>
      </w:r>
      <w:r>
        <w:rPr>
          <w:snapToGrid w:val="0"/>
        </w:rPr>
        <w:tab/>
        <w:t>Person arrested on warrant, bail of</w:t>
      </w:r>
      <w:bookmarkEnd w:id="141"/>
      <w:bookmarkEnd w:id="142"/>
      <w:r>
        <w:rPr>
          <w:snapToGrid w:val="0"/>
        </w:rPr>
        <w:t xml:space="preserve"> </w:t>
      </w:r>
    </w:p>
    <w:p>
      <w:pPr>
        <w:pStyle w:val="Subsection"/>
        <w:rPr>
          <w:snapToGrid w:val="0"/>
        </w:rPr>
      </w:pPr>
      <w:r>
        <w:rPr>
          <w:snapToGrid w:val="0"/>
        </w:rPr>
        <w:tab/>
        <w:t>(1)</w:t>
      </w:r>
      <w:r>
        <w:rPr>
          <w:snapToGrid w:val="0"/>
        </w:rPr>
        <w:tab/>
        <w:t>Subject to sections </w:t>
      </w:r>
      <w:r>
        <w:t>14</w:t>
      </w:r>
      <w:ins w:id="143" w:author="svcMRProcess" w:date="2020-02-11T14:00:00Z">
        <w:r>
          <w:t>, 15</w:t>
        </w:r>
      </w:ins>
      <w:r>
        <w:t xml:space="preserve"> and </w:t>
      </w:r>
      <w:del w:id="144" w:author="svcMRProcess" w:date="2020-02-11T14:00:00Z">
        <w:r>
          <w:rPr>
            <w:snapToGrid w:val="0"/>
          </w:rPr>
          <w:delText>15</w:delText>
        </w:r>
      </w:del>
      <w:ins w:id="145" w:author="svcMRProcess" w:date="2020-02-11T14:00:00Z">
        <w:r>
          <w:t>16B</w:t>
        </w:r>
      </w:ins>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w:t>
      </w:r>
      <w:del w:id="146" w:author="svcMRProcess" w:date="2020-02-11T14:00:00Z">
        <w:r>
          <w:delText>).]</w:delText>
        </w:r>
      </w:del>
      <w:ins w:id="147" w:author="svcMRProcess" w:date="2020-02-11T14:00:00Z">
        <w:r>
          <w:t>); No. 15 of 2019 s. 7.]</w:t>
        </w:r>
      </w:ins>
    </w:p>
    <w:p>
      <w:pPr>
        <w:pStyle w:val="Heading5"/>
        <w:keepLines w:val="0"/>
        <w:spacing w:before="180"/>
      </w:pPr>
      <w:bookmarkStart w:id="148" w:name="_Toc32232956"/>
      <w:bookmarkStart w:id="149" w:name="_Toc25669201"/>
      <w:r>
        <w:rPr>
          <w:rStyle w:val="CharSectno"/>
        </w:rPr>
        <w:t>16A</w:t>
      </w:r>
      <w:r>
        <w:t>.</w:t>
      </w:r>
      <w:r>
        <w:tab/>
        <w:t>Person arrested in urban area, restrictions on who can grant bail for in some cases</w:t>
      </w:r>
      <w:bookmarkEnd w:id="148"/>
      <w:bookmarkEnd w:id="149"/>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family violence restraining orders or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w:t>
      </w:r>
    </w:p>
    <w:p>
      <w:pPr>
        <w:pStyle w:val="Heading5"/>
        <w:rPr>
          <w:ins w:id="150" w:author="svcMRProcess" w:date="2020-02-11T14:00:00Z"/>
        </w:rPr>
      </w:pPr>
      <w:bookmarkStart w:id="151" w:name="_Toc32232957"/>
      <w:ins w:id="152" w:author="svcMRProcess" w:date="2020-02-11T14:00:00Z">
        <w:r>
          <w:rPr>
            <w:rStyle w:val="CharSectno"/>
          </w:rPr>
          <w:t>16B</w:t>
        </w:r>
        <w:r>
          <w:t>.</w:t>
        </w:r>
        <w:r>
          <w:tab/>
          <w:t>Person linked to terrorism</w:t>
        </w:r>
        <w:bookmarkEnd w:id="151"/>
      </w:ins>
    </w:p>
    <w:p>
      <w:pPr>
        <w:pStyle w:val="Subsection"/>
        <w:rPr>
          <w:ins w:id="153" w:author="svcMRProcess" w:date="2020-02-11T14:00:00Z"/>
        </w:rPr>
      </w:pPr>
      <w:ins w:id="154" w:author="svcMRProcess" w:date="2020-02-11T14:00:00Z">
        <w:r>
          <w:tab/>
          <w:t>(1)</w:t>
        </w:r>
        <w:r>
          <w:tab/>
          <w:t>This section applies if a person linked to terrorism is in custody —</w:t>
        </w:r>
      </w:ins>
    </w:p>
    <w:p>
      <w:pPr>
        <w:pStyle w:val="Indenta"/>
        <w:rPr>
          <w:ins w:id="155" w:author="svcMRProcess" w:date="2020-02-11T14:00:00Z"/>
        </w:rPr>
      </w:pPr>
      <w:ins w:id="156" w:author="svcMRProcess" w:date="2020-02-11T14:00:00Z">
        <w:r>
          <w:tab/>
          <w:t>(a)</w:t>
        </w:r>
        <w:r>
          <w:tab/>
          <w:t>awaiting an appearance in court before conviction for an offence; or</w:t>
        </w:r>
      </w:ins>
    </w:p>
    <w:p>
      <w:pPr>
        <w:pStyle w:val="Indenta"/>
        <w:rPr>
          <w:ins w:id="157" w:author="svcMRProcess" w:date="2020-02-11T14:00:00Z"/>
        </w:rPr>
      </w:pPr>
      <w:ins w:id="158" w:author="svcMRProcess" w:date="2020-02-11T14:00:00Z">
        <w:r>
          <w:tab/>
          <w:t>(b)</w:t>
        </w:r>
        <w:r>
          <w:tab/>
          <w:t>waiting to be sentenced or otherwise dealt with for an offence of which the person has been convicted.</w:t>
        </w:r>
      </w:ins>
    </w:p>
    <w:p>
      <w:pPr>
        <w:pStyle w:val="Subsection"/>
        <w:rPr>
          <w:ins w:id="159" w:author="svcMRProcess" w:date="2020-02-11T14:00:00Z"/>
        </w:rPr>
      </w:pPr>
      <w:ins w:id="160" w:author="svcMRProcess" w:date="2020-02-11T14:00:00Z">
        <w:r>
          <w:tab/>
          <w:t>(2)</w:t>
        </w:r>
        <w:r>
          <w:tab/>
          <w:t>The power to grant bail to the person can be exercised only by a court constituted by a judicial officer other than a justice.</w:t>
        </w:r>
      </w:ins>
    </w:p>
    <w:p>
      <w:pPr>
        <w:pStyle w:val="Footnotesection"/>
        <w:rPr>
          <w:ins w:id="161" w:author="svcMRProcess" w:date="2020-02-11T14:00:00Z"/>
        </w:rPr>
      </w:pPr>
      <w:ins w:id="162" w:author="svcMRProcess" w:date="2020-02-11T14:00:00Z">
        <w:r>
          <w:tab/>
        </w:r>
        <w:r>
          <w:rPr>
            <w:snapToGrid/>
          </w:rPr>
          <w:t>[Section 16B inserted: No. 15 of 2019 s. 8.]</w:t>
        </w:r>
      </w:ins>
    </w:p>
    <w:p>
      <w:pPr>
        <w:pStyle w:val="Heading5"/>
        <w:rPr>
          <w:snapToGrid w:val="0"/>
        </w:rPr>
      </w:pPr>
      <w:bookmarkStart w:id="163" w:name="_Toc32232958"/>
      <w:bookmarkStart w:id="164" w:name="_Toc25669202"/>
      <w:r>
        <w:rPr>
          <w:rStyle w:val="CharSectno"/>
        </w:rPr>
        <w:t>17</w:t>
      </w:r>
      <w:r>
        <w:rPr>
          <w:snapToGrid w:val="0"/>
        </w:rPr>
        <w:t>.</w:t>
      </w:r>
      <w:r>
        <w:rPr>
          <w:snapToGrid w:val="0"/>
        </w:rPr>
        <w:tab/>
        <w:t>Conditions on bail which may be imposed</w:t>
      </w:r>
      <w:bookmarkEnd w:id="163"/>
      <w:bookmarkEnd w:id="164"/>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165" w:name="_Toc32232959"/>
      <w:bookmarkStart w:id="166" w:name="_Toc25669203"/>
      <w:r>
        <w:rPr>
          <w:rStyle w:val="CharSectno"/>
        </w:rPr>
        <w:t>17A</w:t>
      </w:r>
      <w:r>
        <w:rPr>
          <w:snapToGrid w:val="0"/>
        </w:rPr>
        <w:t>.</w:t>
      </w:r>
      <w:r>
        <w:rPr>
          <w:snapToGrid w:val="0"/>
        </w:rPr>
        <w:tab/>
        <w:t>Child on bail, changing responsible person for (Sch. 1 Pt. C cl. 2)</w:t>
      </w:r>
      <w:bookmarkEnd w:id="165"/>
      <w:bookmarkEnd w:id="166"/>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167" w:name="_Toc32232808"/>
      <w:bookmarkStart w:id="168" w:name="_Toc32232960"/>
      <w:bookmarkStart w:id="169" w:name="_Toc24637448"/>
      <w:bookmarkStart w:id="170" w:name="_Toc25669204"/>
      <w:r>
        <w:rPr>
          <w:rStyle w:val="CharPartNo"/>
        </w:rPr>
        <w:t>Part IV</w:t>
      </w:r>
      <w:r>
        <w:rPr>
          <w:rStyle w:val="CharDivNo"/>
        </w:rPr>
        <w:t> </w:t>
      </w:r>
      <w:r>
        <w:t>—</w:t>
      </w:r>
      <w:r>
        <w:rPr>
          <w:rStyle w:val="CharDivText"/>
        </w:rPr>
        <w:t> </w:t>
      </w:r>
      <w:r>
        <w:rPr>
          <w:rStyle w:val="CharPartText"/>
        </w:rPr>
        <w:t>Hearing of case for bail, parties, and evidence</w:t>
      </w:r>
      <w:bookmarkEnd w:id="167"/>
      <w:bookmarkEnd w:id="168"/>
      <w:bookmarkEnd w:id="169"/>
      <w:bookmarkEnd w:id="170"/>
      <w:r>
        <w:rPr>
          <w:rStyle w:val="CharPartText"/>
        </w:rPr>
        <w:t xml:space="preserve"> </w:t>
      </w:r>
    </w:p>
    <w:p>
      <w:pPr>
        <w:pStyle w:val="Heading5"/>
        <w:spacing w:before="160"/>
        <w:rPr>
          <w:snapToGrid w:val="0"/>
        </w:rPr>
      </w:pPr>
      <w:bookmarkStart w:id="171" w:name="_Toc32232961"/>
      <w:bookmarkStart w:id="172" w:name="_Toc25669205"/>
      <w:r>
        <w:rPr>
          <w:rStyle w:val="CharSectno"/>
        </w:rPr>
        <w:t>20</w:t>
      </w:r>
      <w:r>
        <w:rPr>
          <w:snapToGrid w:val="0"/>
        </w:rPr>
        <w:t>.</w:t>
      </w:r>
      <w:r>
        <w:rPr>
          <w:snapToGrid w:val="0"/>
        </w:rPr>
        <w:tab/>
        <w:t>Bail hearing for indictable offence, court may restrict publication or hold in private</w:t>
      </w:r>
      <w:bookmarkEnd w:id="171"/>
      <w:bookmarkEnd w:id="172"/>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173" w:name="_Toc32232962"/>
      <w:bookmarkStart w:id="174" w:name="_Toc25669206"/>
      <w:r>
        <w:rPr>
          <w:rStyle w:val="CharSectno"/>
        </w:rPr>
        <w:t>21</w:t>
      </w:r>
      <w:r>
        <w:rPr>
          <w:snapToGrid w:val="0"/>
        </w:rPr>
        <w:t>.</w:t>
      </w:r>
      <w:r>
        <w:rPr>
          <w:snapToGrid w:val="0"/>
        </w:rPr>
        <w:tab/>
        <w:t>Parties to bail proceedings</w:t>
      </w:r>
      <w:bookmarkEnd w:id="173"/>
      <w:bookmarkEnd w:id="174"/>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175" w:name="_Toc32232963"/>
      <w:bookmarkStart w:id="176" w:name="_Toc25669207"/>
      <w:r>
        <w:rPr>
          <w:rStyle w:val="CharSectno"/>
        </w:rPr>
        <w:t>22</w:t>
      </w:r>
      <w:r>
        <w:rPr>
          <w:snapToGrid w:val="0"/>
        </w:rPr>
        <w:t>.</w:t>
      </w:r>
      <w:r>
        <w:rPr>
          <w:snapToGrid w:val="0"/>
        </w:rPr>
        <w:tab/>
        <w:t>Evidence at bail hearings</w:t>
      </w:r>
      <w:bookmarkEnd w:id="175"/>
      <w:bookmarkEnd w:id="17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77" w:name="_Toc32232964"/>
      <w:bookmarkStart w:id="178" w:name="_Toc25669208"/>
      <w:r>
        <w:rPr>
          <w:rStyle w:val="CharSectno"/>
        </w:rPr>
        <w:t>23</w:t>
      </w:r>
      <w:r>
        <w:rPr>
          <w:snapToGrid w:val="0"/>
        </w:rPr>
        <w:t>.</w:t>
      </w:r>
      <w:r>
        <w:rPr>
          <w:snapToGrid w:val="0"/>
        </w:rPr>
        <w:tab/>
        <w:t>Accused not bound to supply information</w:t>
      </w:r>
      <w:bookmarkEnd w:id="177"/>
      <w:bookmarkEnd w:id="178"/>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179" w:name="_Toc32232965"/>
      <w:bookmarkStart w:id="180" w:name="_Toc25669209"/>
      <w:r>
        <w:rPr>
          <w:rStyle w:val="CharSectno"/>
        </w:rPr>
        <w:t>24</w:t>
      </w:r>
      <w:r>
        <w:rPr>
          <w:snapToGrid w:val="0"/>
        </w:rPr>
        <w:t>.</w:t>
      </w:r>
      <w:r>
        <w:rPr>
          <w:snapToGrid w:val="0"/>
        </w:rPr>
        <w:tab/>
        <w:t>Court or authorised officer may ask police to verify accused’s information or make report</w:t>
      </w:r>
      <w:bookmarkEnd w:id="179"/>
      <w:bookmarkEnd w:id="180"/>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181" w:name="_Toc32232966"/>
      <w:bookmarkStart w:id="182" w:name="_Toc25669210"/>
      <w:r>
        <w:rPr>
          <w:rStyle w:val="CharSectno"/>
        </w:rPr>
        <w:t>24A</w:t>
      </w:r>
      <w:r>
        <w:rPr>
          <w:snapToGrid w:val="0"/>
        </w:rPr>
        <w:t>.</w:t>
      </w:r>
      <w:r>
        <w:rPr>
          <w:snapToGrid w:val="0"/>
        </w:rPr>
        <w:tab/>
        <w:t>Court may ask community corrections officer to verify accused’s information or make report</w:t>
      </w:r>
      <w:bookmarkEnd w:id="181"/>
      <w:bookmarkEnd w:id="182"/>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No. 61 of 1990 s. 7; amended: No. 31 of 1993 s. 9; No. 84 of 2004 s. 82; No. 65 of 2006 s. 53.] </w:t>
      </w:r>
    </w:p>
    <w:p>
      <w:pPr>
        <w:pStyle w:val="Heading5"/>
        <w:rPr>
          <w:snapToGrid w:val="0"/>
        </w:rPr>
      </w:pPr>
      <w:bookmarkStart w:id="183" w:name="_Toc32232967"/>
      <w:bookmarkStart w:id="184" w:name="_Toc25669211"/>
      <w:r>
        <w:rPr>
          <w:rStyle w:val="CharSectno"/>
        </w:rPr>
        <w:t>25</w:t>
      </w:r>
      <w:r>
        <w:rPr>
          <w:snapToGrid w:val="0"/>
        </w:rPr>
        <w:t>.</w:t>
      </w:r>
      <w:r>
        <w:rPr>
          <w:snapToGrid w:val="0"/>
        </w:rPr>
        <w:tab/>
        <w:t>Information given by accused for bail purposes not admissible at trial</w:t>
      </w:r>
      <w:bookmarkEnd w:id="183"/>
      <w:bookmarkEnd w:id="184"/>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185" w:name="_Toc32232968"/>
      <w:bookmarkStart w:id="186" w:name="_Toc25669212"/>
      <w:r>
        <w:rPr>
          <w:rStyle w:val="CharSectno"/>
        </w:rPr>
        <w:t>26</w:t>
      </w:r>
      <w:r>
        <w:rPr>
          <w:snapToGrid w:val="0"/>
        </w:rPr>
        <w:t>.</w:t>
      </w:r>
      <w:r>
        <w:rPr>
          <w:snapToGrid w:val="0"/>
        </w:rPr>
        <w:tab/>
        <w:t>Record of bail decision and reasons</w:t>
      </w:r>
      <w:bookmarkEnd w:id="185"/>
      <w:bookmarkEnd w:id="186"/>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w:t>
      </w:r>
      <w:ins w:id="187" w:author="svcMRProcess" w:date="2020-02-11T14:00:00Z">
        <w:r>
          <w:t>, 3D</w:t>
        </w:r>
      </w:ins>
      <w:r>
        <w:t xml:space="preserve"> or </w:t>
      </w:r>
      <w:del w:id="188" w:author="svcMRProcess" w:date="2020-02-11T14:00:00Z">
        <w:r>
          <w:delText>3D</w:delText>
        </w:r>
      </w:del>
      <w:ins w:id="189" w:author="svcMRProcess" w:date="2020-02-11T14:00:00Z">
        <w:r>
          <w:t>3E</w:t>
        </w:r>
      </w:ins>
      <w:r>
        <w:t xml:space="preserve">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rPr>
          <w:ins w:id="190" w:author="svcMRProcess" w:date="2020-02-11T14:00:00Z"/>
        </w:rPr>
      </w:pPr>
      <w:ins w:id="191" w:author="svcMRProcess" w:date="2020-02-11T14:00:00Z">
        <w:r>
          <w:tab/>
          <w:t>(5)</w:t>
        </w:r>
        <w:r>
          <w:tab/>
          <w:t>A bail record form, or the record of a decision and reasons for it, must not include information that is terrorist intelligence information.</w:t>
        </w:r>
      </w:ins>
    </w:p>
    <w:p>
      <w:pPr>
        <w:pStyle w:val="Footnotesection"/>
      </w:pPr>
      <w:r>
        <w:tab/>
        <w:t>[Section 26 inserted: No. 15 of 1988 s. 10; amended: No. 49 of 1988 s. 85; No. 45 of 1993 s. 12; No. 59 of 2004 s. 141; No. 84 of 2004 s. 82; No. 6 of 2008 s. 17 and 43(1); No. 21 of 2017 s. </w:t>
      </w:r>
      <w:del w:id="192" w:author="svcMRProcess" w:date="2020-02-11T14:00:00Z">
        <w:r>
          <w:delText>6</w:delText>
        </w:r>
      </w:del>
      <w:ins w:id="193" w:author="svcMRProcess" w:date="2020-02-11T14:00:00Z">
        <w:r>
          <w:t>6; No. 15 of 2019 s. 9</w:t>
        </w:r>
      </w:ins>
      <w:r>
        <w:t xml:space="preserve">.] </w:t>
      </w:r>
    </w:p>
    <w:p>
      <w:pPr>
        <w:pStyle w:val="Heading5"/>
        <w:rPr>
          <w:snapToGrid w:val="0"/>
        </w:rPr>
      </w:pPr>
      <w:bookmarkStart w:id="194" w:name="_Toc32232969"/>
      <w:bookmarkStart w:id="195" w:name="_Toc25669213"/>
      <w:r>
        <w:rPr>
          <w:rStyle w:val="CharSectno"/>
        </w:rPr>
        <w:t>27</w:t>
      </w:r>
      <w:r>
        <w:rPr>
          <w:snapToGrid w:val="0"/>
        </w:rPr>
        <w:t>.</w:t>
      </w:r>
      <w:r>
        <w:rPr>
          <w:snapToGrid w:val="0"/>
        </w:rPr>
        <w:tab/>
        <w:t>Relevant papers to be made available to court where accused to appear</w:t>
      </w:r>
      <w:bookmarkEnd w:id="194"/>
      <w:bookmarkEnd w:id="195"/>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196" w:name="_Toc32232970"/>
      <w:bookmarkStart w:id="197" w:name="_Toc25669214"/>
      <w:r>
        <w:rPr>
          <w:rStyle w:val="CharSectno"/>
        </w:rPr>
        <w:t>27A</w:t>
      </w:r>
      <w:r>
        <w:rPr>
          <w:snapToGrid w:val="0"/>
        </w:rPr>
        <w:t>.</w:t>
      </w:r>
      <w:r>
        <w:rPr>
          <w:snapToGrid w:val="0"/>
        </w:rPr>
        <w:tab/>
        <w:t xml:space="preserve">Bail with home detention, papers to be sent to CEO </w:t>
      </w:r>
      <w:r>
        <w:t>(corrections)</w:t>
      </w:r>
      <w:bookmarkEnd w:id="196"/>
      <w:bookmarkEnd w:id="19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198" w:name="_Toc32232819"/>
      <w:bookmarkStart w:id="199" w:name="_Toc32232971"/>
      <w:bookmarkStart w:id="200" w:name="_Toc24637459"/>
      <w:bookmarkStart w:id="201" w:name="_Toc25669215"/>
      <w:r>
        <w:rPr>
          <w:rStyle w:val="CharPartNo"/>
        </w:rPr>
        <w:t>Part V</w:t>
      </w:r>
      <w:r>
        <w:rPr>
          <w:rStyle w:val="CharDivNo"/>
        </w:rPr>
        <w:t> </w:t>
      </w:r>
      <w:r>
        <w:t>—</w:t>
      </w:r>
      <w:r>
        <w:rPr>
          <w:rStyle w:val="CharDivText"/>
        </w:rPr>
        <w:t> </w:t>
      </w:r>
      <w:r>
        <w:rPr>
          <w:rStyle w:val="CharPartText"/>
        </w:rPr>
        <w:t>Bail undertakings</w:t>
      </w:r>
      <w:bookmarkEnd w:id="198"/>
      <w:bookmarkEnd w:id="199"/>
      <w:bookmarkEnd w:id="200"/>
      <w:bookmarkEnd w:id="201"/>
      <w:r>
        <w:rPr>
          <w:rStyle w:val="CharPartText"/>
        </w:rPr>
        <w:t xml:space="preserve"> </w:t>
      </w:r>
    </w:p>
    <w:p>
      <w:pPr>
        <w:pStyle w:val="Heading5"/>
        <w:rPr>
          <w:snapToGrid w:val="0"/>
        </w:rPr>
      </w:pPr>
      <w:bookmarkStart w:id="202" w:name="_Toc32232972"/>
      <w:bookmarkStart w:id="203" w:name="_Toc25669216"/>
      <w:r>
        <w:rPr>
          <w:rStyle w:val="CharSectno"/>
        </w:rPr>
        <w:t>28</w:t>
      </w:r>
      <w:r>
        <w:rPr>
          <w:snapToGrid w:val="0"/>
        </w:rPr>
        <w:t>.</w:t>
      </w:r>
      <w:r>
        <w:rPr>
          <w:snapToGrid w:val="0"/>
        </w:rPr>
        <w:tab/>
        <w:t>Bail undertaking, when required and nature of</w:t>
      </w:r>
      <w:bookmarkEnd w:id="202"/>
      <w:bookmarkEnd w:id="203"/>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204" w:name="_Toc32232973"/>
      <w:bookmarkStart w:id="205" w:name="_Toc25669217"/>
      <w:r>
        <w:rPr>
          <w:rStyle w:val="CharSectno"/>
        </w:rPr>
        <w:t>29</w:t>
      </w:r>
      <w:r>
        <w:rPr>
          <w:snapToGrid w:val="0"/>
        </w:rPr>
        <w:t>.</w:t>
      </w:r>
      <w:r>
        <w:rPr>
          <w:snapToGrid w:val="0"/>
        </w:rPr>
        <w:tab/>
        <w:t>Before whom bail undertaking may be entered into</w:t>
      </w:r>
      <w:bookmarkEnd w:id="204"/>
      <w:bookmarkEnd w:id="205"/>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206" w:name="_Toc32232974"/>
      <w:bookmarkStart w:id="207" w:name="_Toc25669218"/>
      <w:r>
        <w:rPr>
          <w:rStyle w:val="CharSectno"/>
        </w:rPr>
        <w:t>30</w:t>
      </w:r>
      <w:r>
        <w:rPr>
          <w:snapToGrid w:val="0"/>
        </w:rPr>
        <w:t>.</w:t>
      </w:r>
      <w:r>
        <w:rPr>
          <w:snapToGrid w:val="0"/>
        </w:rPr>
        <w:tab/>
      </w:r>
      <w:r>
        <w:rPr>
          <w:snapToGrid w:val="0"/>
          <w:spacing w:val="-4"/>
        </w:rPr>
        <w:t>Duties of person before whom bail undertaking is entered into</w:t>
      </w:r>
      <w:bookmarkEnd w:id="206"/>
      <w:bookmarkEnd w:id="207"/>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208" w:name="_Toc32232975"/>
      <w:bookmarkStart w:id="209" w:name="_Toc25669219"/>
      <w:r>
        <w:rPr>
          <w:rStyle w:val="CharSectno"/>
        </w:rPr>
        <w:t>31</w:t>
      </w:r>
      <w:r>
        <w:rPr>
          <w:snapToGrid w:val="0"/>
        </w:rPr>
        <w:t>.</w:t>
      </w:r>
      <w:r>
        <w:rPr>
          <w:snapToGrid w:val="0"/>
        </w:rPr>
        <w:tab/>
        <w:t>Different time and place for appearance, substituting</w:t>
      </w:r>
      <w:bookmarkEnd w:id="208"/>
      <w:bookmarkEnd w:id="209"/>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210" w:name="_Toc32232976"/>
      <w:bookmarkStart w:id="211" w:name="_Toc25669220"/>
      <w:r>
        <w:rPr>
          <w:rStyle w:val="CharSectno"/>
        </w:rPr>
        <w:t>31A</w:t>
      </w:r>
      <w:r>
        <w:rPr>
          <w:snapToGrid w:val="0"/>
        </w:rPr>
        <w:t>.</w:t>
      </w:r>
      <w:r>
        <w:rPr>
          <w:snapToGrid w:val="0"/>
        </w:rPr>
        <w:tab/>
        <w:t>C</w:t>
      </w:r>
      <w:r>
        <w:t>onditions on bail, amending during trial</w:t>
      </w:r>
      <w:bookmarkEnd w:id="210"/>
      <w:bookmarkEnd w:id="211"/>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212" w:name="_Toc32232977"/>
      <w:bookmarkStart w:id="213" w:name="_Toc25669221"/>
      <w:r>
        <w:rPr>
          <w:rStyle w:val="CharSectno"/>
        </w:rPr>
        <w:t>32</w:t>
      </w:r>
      <w:r>
        <w:rPr>
          <w:snapToGrid w:val="0"/>
        </w:rPr>
        <w:t>.</w:t>
      </w:r>
      <w:r>
        <w:rPr>
          <w:snapToGrid w:val="0"/>
        </w:rPr>
        <w:tab/>
        <w:t>Notices under s. 31, service and proof of</w:t>
      </w:r>
      <w:bookmarkEnd w:id="212"/>
      <w:bookmarkEnd w:id="213"/>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w:t>
      </w:r>
    </w:p>
    <w:p>
      <w:pPr>
        <w:pStyle w:val="Heading5"/>
        <w:rPr>
          <w:snapToGrid w:val="0"/>
        </w:rPr>
      </w:pPr>
      <w:bookmarkStart w:id="214" w:name="_Toc32232978"/>
      <w:bookmarkStart w:id="215" w:name="_Toc25669222"/>
      <w:r>
        <w:rPr>
          <w:rStyle w:val="CharSectno"/>
        </w:rPr>
        <w:t>33</w:t>
      </w:r>
      <w:r>
        <w:rPr>
          <w:snapToGrid w:val="0"/>
        </w:rPr>
        <w:t>.</w:t>
      </w:r>
      <w:r>
        <w:rPr>
          <w:snapToGrid w:val="0"/>
        </w:rPr>
        <w:tab/>
        <w:t>Judicial officer may order accused to enter into bail undertaking</w:t>
      </w:r>
      <w:bookmarkEnd w:id="214"/>
      <w:bookmarkEnd w:id="215"/>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216" w:name="_Toc32232979"/>
      <w:bookmarkStart w:id="217" w:name="_Toc25669223"/>
      <w:r>
        <w:rPr>
          <w:rStyle w:val="CharSectno"/>
        </w:rPr>
        <w:t>34</w:t>
      </w:r>
      <w:r>
        <w:rPr>
          <w:snapToGrid w:val="0"/>
        </w:rPr>
        <w:t>.</w:t>
      </w:r>
      <w:r>
        <w:rPr>
          <w:snapToGrid w:val="0"/>
        </w:rPr>
        <w:tab/>
        <w:t>When bail undertaking ceases to have effect</w:t>
      </w:r>
      <w:bookmarkEnd w:id="216"/>
      <w:bookmarkEnd w:id="217"/>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218" w:name="_Toc32232828"/>
      <w:bookmarkStart w:id="219" w:name="_Toc32232980"/>
      <w:bookmarkStart w:id="220" w:name="_Toc24637468"/>
      <w:bookmarkStart w:id="221" w:name="_Toc25669224"/>
      <w:r>
        <w:rPr>
          <w:rStyle w:val="CharPartNo"/>
        </w:rPr>
        <w:t>Part VI</w:t>
      </w:r>
      <w:r>
        <w:rPr>
          <w:rStyle w:val="CharDivNo"/>
        </w:rPr>
        <w:t> </w:t>
      </w:r>
      <w:r>
        <w:t>—</w:t>
      </w:r>
      <w:r>
        <w:rPr>
          <w:rStyle w:val="CharDivText"/>
        </w:rPr>
        <w:t> </w:t>
      </w:r>
      <w:r>
        <w:rPr>
          <w:rStyle w:val="CharPartText"/>
        </w:rPr>
        <w:t>Sureties and surety undertakings</w:t>
      </w:r>
      <w:bookmarkEnd w:id="218"/>
      <w:bookmarkEnd w:id="219"/>
      <w:bookmarkEnd w:id="220"/>
      <w:bookmarkEnd w:id="221"/>
      <w:r>
        <w:rPr>
          <w:rStyle w:val="CharPartText"/>
        </w:rPr>
        <w:t xml:space="preserve"> </w:t>
      </w:r>
    </w:p>
    <w:p>
      <w:pPr>
        <w:pStyle w:val="Heading5"/>
        <w:rPr>
          <w:snapToGrid w:val="0"/>
        </w:rPr>
      </w:pPr>
      <w:bookmarkStart w:id="222" w:name="_Toc32232981"/>
      <w:bookmarkStart w:id="223" w:name="_Toc25669225"/>
      <w:r>
        <w:rPr>
          <w:rStyle w:val="CharSectno"/>
        </w:rPr>
        <w:t>35</w:t>
      </w:r>
      <w:r>
        <w:rPr>
          <w:snapToGrid w:val="0"/>
        </w:rPr>
        <w:t>.</w:t>
      </w:r>
      <w:r>
        <w:rPr>
          <w:snapToGrid w:val="0"/>
        </w:rPr>
        <w:tab/>
        <w:t>Surety and surety undertaking</w:t>
      </w:r>
      <w:bookmarkEnd w:id="222"/>
      <w:bookmarkEnd w:id="223"/>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224" w:name="_Toc32232982"/>
      <w:bookmarkStart w:id="225" w:name="_Toc25669226"/>
      <w:r>
        <w:rPr>
          <w:rStyle w:val="CharSectno"/>
        </w:rPr>
        <w:t>36</w:t>
      </w:r>
      <w:r>
        <w:rPr>
          <w:snapToGrid w:val="0"/>
        </w:rPr>
        <w:t>.</w:t>
      </w:r>
      <w:r>
        <w:rPr>
          <w:snapToGrid w:val="0"/>
        </w:rPr>
        <w:tab/>
        <w:t>Sureties, who may approve</w:t>
      </w:r>
      <w:bookmarkEnd w:id="224"/>
      <w:bookmarkEnd w:id="225"/>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226" w:name="_Toc32232983"/>
      <w:bookmarkStart w:id="227" w:name="_Toc25669227"/>
      <w:r>
        <w:rPr>
          <w:rStyle w:val="CharSectno"/>
        </w:rPr>
        <w:t>37</w:t>
      </w:r>
      <w:r>
        <w:rPr>
          <w:snapToGrid w:val="0"/>
        </w:rPr>
        <w:t>.</w:t>
      </w:r>
      <w:r>
        <w:rPr>
          <w:snapToGrid w:val="0"/>
        </w:rPr>
        <w:tab/>
        <w:t>Proposed surety to receive certain information and form</w:t>
      </w:r>
      <w:bookmarkEnd w:id="226"/>
      <w:bookmarkEnd w:id="227"/>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228" w:name="_Toc32232984"/>
      <w:bookmarkStart w:id="229" w:name="_Toc25669228"/>
      <w:r>
        <w:rPr>
          <w:rStyle w:val="CharSectno"/>
        </w:rPr>
        <w:t>38</w:t>
      </w:r>
      <w:r>
        <w:rPr>
          <w:snapToGrid w:val="0"/>
        </w:rPr>
        <w:t>.</w:t>
      </w:r>
      <w:r>
        <w:rPr>
          <w:snapToGrid w:val="0"/>
        </w:rPr>
        <w:tab/>
        <w:t>Persons disqualified from being sureties</w:t>
      </w:r>
      <w:bookmarkEnd w:id="228"/>
      <w:bookmarkEnd w:id="229"/>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230" w:name="_Toc32232985"/>
      <w:bookmarkStart w:id="231" w:name="_Toc25669229"/>
      <w:r>
        <w:rPr>
          <w:rStyle w:val="CharSectno"/>
        </w:rPr>
        <w:t>39</w:t>
      </w:r>
      <w:r>
        <w:rPr>
          <w:snapToGrid w:val="0"/>
        </w:rPr>
        <w:t>.</w:t>
      </w:r>
      <w:r>
        <w:rPr>
          <w:snapToGrid w:val="0"/>
        </w:rPr>
        <w:tab/>
        <w:t>Matters to be regarded when approving sureties</w:t>
      </w:r>
      <w:bookmarkEnd w:id="230"/>
      <w:bookmarkEnd w:id="231"/>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232" w:name="_Toc32232986"/>
      <w:bookmarkStart w:id="233" w:name="_Toc25669230"/>
      <w:r>
        <w:rPr>
          <w:rStyle w:val="CharSectno"/>
        </w:rPr>
        <w:t>40</w:t>
      </w:r>
      <w:r>
        <w:rPr>
          <w:snapToGrid w:val="0"/>
        </w:rPr>
        <w:t>.</w:t>
      </w:r>
      <w:r>
        <w:rPr>
          <w:snapToGrid w:val="0"/>
        </w:rPr>
        <w:tab/>
        <w:t>Decision on application by proposed surety</w:t>
      </w:r>
      <w:bookmarkEnd w:id="232"/>
      <w:bookmarkEnd w:id="233"/>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No. 15 of 1988 s. 15; No. 84 of 2004 s. 82; No. 6 of 2008 s. 24(5).] </w:t>
      </w:r>
    </w:p>
    <w:p>
      <w:pPr>
        <w:pStyle w:val="Heading5"/>
        <w:keepLines w:val="0"/>
        <w:spacing w:before="240"/>
        <w:rPr>
          <w:snapToGrid w:val="0"/>
        </w:rPr>
      </w:pPr>
      <w:bookmarkStart w:id="234" w:name="_Toc32232987"/>
      <w:bookmarkStart w:id="235" w:name="_Toc25669231"/>
      <w:r>
        <w:rPr>
          <w:rStyle w:val="CharSectno"/>
        </w:rPr>
        <w:t>41</w:t>
      </w:r>
      <w:r>
        <w:rPr>
          <w:snapToGrid w:val="0"/>
        </w:rPr>
        <w:t>.</w:t>
      </w:r>
      <w:r>
        <w:rPr>
          <w:snapToGrid w:val="0"/>
        </w:rPr>
        <w:tab/>
        <w:t>Finality of decision to refuse approval of surety</w:t>
      </w:r>
      <w:bookmarkEnd w:id="234"/>
      <w:bookmarkEnd w:id="235"/>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236" w:name="_Toc32232988"/>
      <w:bookmarkStart w:id="237" w:name="_Toc25669232"/>
      <w:r>
        <w:rPr>
          <w:rStyle w:val="CharSectno"/>
        </w:rPr>
        <w:t>42</w:t>
      </w:r>
      <w:r>
        <w:rPr>
          <w:snapToGrid w:val="0"/>
        </w:rPr>
        <w:t>.</w:t>
      </w:r>
      <w:r>
        <w:rPr>
          <w:snapToGrid w:val="0"/>
        </w:rPr>
        <w:tab/>
        <w:t>Before whom surety undertaking may be entered into</w:t>
      </w:r>
      <w:bookmarkEnd w:id="236"/>
      <w:bookmarkEnd w:id="237"/>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238" w:name="_Toc32232989"/>
      <w:bookmarkStart w:id="239" w:name="_Toc25669233"/>
      <w:r>
        <w:rPr>
          <w:rStyle w:val="CharSectno"/>
        </w:rPr>
        <w:t>43</w:t>
      </w:r>
      <w:r>
        <w:rPr>
          <w:snapToGrid w:val="0"/>
        </w:rPr>
        <w:t>.</w:t>
      </w:r>
      <w:r>
        <w:rPr>
          <w:snapToGrid w:val="0"/>
        </w:rPr>
        <w:tab/>
        <w:t>Duties of person before whom surety undertaking is entered into</w:t>
      </w:r>
      <w:bookmarkEnd w:id="238"/>
      <w:bookmarkEnd w:id="239"/>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240" w:name="_Toc32232990"/>
      <w:bookmarkStart w:id="241" w:name="_Toc25669234"/>
      <w:r>
        <w:rPr>
          <w:rStyle w:val="CharSectno"/>
        </w:rPr>
        <w:t>43A</w:t>
      </w:r>
      <w:r>
        <w:t>.</w:t>
      </w:r>
      <w:r>
        <w:tab/>
        <w:t>Entering into surety undertaking where proposed surety interstate</w:t>
      </w:r>
      <w:bookmarkEnd w:id="240"/>
      <w:bookmarkEnd w:id="241"/>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Heading5"/>
        <w:spacing w:before="180"/>
      </w:pPr>
      <w:bookmarkStart w:id="242" w:name="_Toc32232991"/>
      <w:bookmarkStart w:id="243" w:name="_Toc25669235"/>
      <w:r>
        <w:rPr>
          <w:rStyle w:val="CharSectno"/>
        </w:rPr>
        <w:t>44</w:t>
      </w:r>
      <w:r>
        <w:rPr>
          <w:snapToGrid w:val="0"/>
        </w:rPr>
        <w:t>.</w:t>
      </w:r>
      <w:r>
        <w:rPr>
          <w:snapToGrid w:val="0"/>
        </w:rPr>
        <w:tab/>
        <w:t>When surety undertaking extends to different time or different time and place substituted under s. 31</w:t>
      </w:r>
      <w:bookmarkEnd w:id="242"/>
      <w:bookmarkEnd w:id="243"/>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pageBreakBefore/>
        <w:spacing w:before="0"/>
        <w:rPr>
          <w:snapToGrid w:val="0"/>
        </w:rPr>
      </w:pPr>
      <w:bookmarkStart w:id="244" w:name="_Toc32232992"/>
      <w:bookmarkStart w:id="245" w:name="_Toc25669236"/>
      <w:r>
        <w:rPr>
          <w:rStyle w:val="CharSectno"/>
        </w:rPr>
        <w:t>45</w:t>
      </w:r>
      <w:r>
        <w:rPr>
          <w:snapToGrid w:val="0"/>
        </w:rPr>
        <w:t>.</w:t>
      </w:r>
      <w:r>
        <w:rPr>
          <w:snapToGrid w:val="0"/>
        </w:rPr>
        <w:tab/>
        <w:t>Notices under s. 44, service and proof of</w:t>
      </w:r>
      <w:bookmarkEnd w:id="244"/>
      <w:bookmarkEnd w:id="245"/>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w:t>
      </w:r>
    </w:p>
    <w:p>
      <w:pPr>
        <w:pStyle w:val="Heading5"/>
        <w:rPr>
          <w:snapToGrid w:val="0"/>
        </w:rPr>
      </w:pPr>
      <w:bookmarkStart w:id="246" w:name="_Toc32232993"/>
      <w:bookmarkStart w:id="247" w:name="_Toc25669237"/>
      <w:r>
        <w:rPr>
          <w:rStyle w:val="CharSectno"/>
        </w:rPr>
        <w:t>46</w:t>
      </w:r>
      <w:r>
        <w:rPr>
          <w:snapToGrid w:val="0"/>
        </w:rPr>
        <w:t>.</w:t>
      </w:r>
      <w:r>
        <w:rPr>
          <w:snapToGrid w:val="0"/>
        </w:rPr>
        <w:tab/>
        <w:t>Surety’s power to arrest accused</w:t>
      </w:r>
      <w:bookmarkEnd w:id="246"/>
      <w:bookmarkEnd w:id="247"/>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248" w:name="_Toc32232994"/>
      <w:bookmarkStart w:id="249" w:name="_Toc25669238"/>
      <w:r>
        <w:rPr>
          <w:rStyle w:val="CharSectno"/>
        </w:rPr>
        <w:t>47</w:t>
      </w:r>
      <w:r>
        <w:rPr>
          <w:snapToGrid w:val="0"/>
        </w:rPr>
        <w:t>.</w:t>
      </w:r>
      <w:r>
        <w:rPr>
          <w:snapToGrid w:val="0"/>
        </w:rPr>
        <w:tab/>
        <w:t>When surety undertaking ceases to have effect</w:t>
      </w:r>
      <w:bookmarkEnd w:id="248"/>
      <w:bookmarkEnd w:id="24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250" w:name="_Toc32232995"/>
      <w:bookmarkStart w:id="251" w:name="_Toc25669239"/>
      <w:r>
        <w:rPr>
          <w:rStyle w:val="CharSectno"/>
        </w:rPr>
        <w:t>48</w:t>
      </w:r>
      <w:r>
        <w:rPr>
          <w:snapToGrid w:val="0"/>
        </w:rPr>
        <w:t>.</w:t>
      </w:r>
      <w:r>
        <w:rPr>
          <w:snapToGrid w:val="0"/>
        </w:rPr>
        <w:tab/>
        <w:t>Surety may apply for cancellation of his undertaking</w:t>
      </w:r>
      <w:bookmarkEnd w:id="250"/>
      <w:bookmarkEnd w:id="251"/>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252" w:name="_Toc32232996"/>
      <w:bookmarkStart w:id="253" w:name="_Toc25669240"/>
      <w:r>
        <w:rPr>
          <w:rStyle w:val="CharSectno"/>
        </w:rPr>
        <w:t>49</w:t>
      </w:r>
      <w:r>
        <w:rPr>
          <w:snapToGrid w:val="0"/>
        </w:rPr>
        <w:t>.</w:t>
      </w:r>
      <w:r>
        <w:rPr>
          <w:snapToGrid w:val="0"/>
        </w:rPr>
        <w:tab/>
        <w:t>Surety’s undertaking to pay money, enforcing</w:t>
      </w:r>
      <w:bookmarkEnd w:id="252"/>
      <w:bookmarkEnd w:id="253"/>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254" w:name="_Toc32232997"/>
      <w:bookmarkStart w:id="255" w:name="_Toc25669241"/>
      <w:r>
        <w:rPr>
          <w:rStyle w:val="CharSectno"/>
        </w:rPr>
        <w:t>50</w:t>
      </w:r>
      <w:r>
        <w:rPr>
          <w:snapToGrid w:val="0"/>
        </w:rPr>
        <w:t>.</w:t>
      </w:r>
      <w:r>
        <w:rPr>
          <w:snapToGrid w:val="0"/>
        </w:rPr>
        <w:tab/>
        <w:t>Indemnifying surety, offence</w:t>
      </w:r>
      <w:bookmarkEnd w:id="254"/>
      <w:bookmarkEnd w:id="255"/>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256" w:name="_Toc32232846"/>
      <w:bookmarkStart w:id="257" w:name="_Toc32232998"/>
      <w:bookmarkStart w:id="258" w:name="_Toc24637486"/>
      <w:bookmarkStart w:id="259" w:name="_Toc25669242"/>
      <w:r>
        <w:rPr>
          <w:rStyle w:val="CharPartNo"/>
        </w:rPr>
        <w:t>Part VIA</w:t>
      </w:r>
      <w:r>
        <w:rPr>
          <w:rStyle w:val="CharDivNo"/>
        </w:rPr>
        <w:t> </w:t>
      </w:r>
      <w:r>
        <w:t>—</w:t>
      </w:r>
      <w:r>
        <w:rPr>
          <w:rStyle w:val="CharDivText"/>
        </w:rPr>
        <w:t> </w:t>
      </w:r>
      <w:r>
        <w:rPr>
          <w:rStyle w:val="CharPartText"/>
        </w:rPr>
        <w:t>Administration of home detention conditions</w:t>
      </w:r>
      <w:bookmarkEnd w:id="256"/>
      <w:bookmarkEnd w:id="257"/>
      <w:bookmarkEnd w:id="258"/>
      <w:bookmarkEnd w:id="259"/>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260" w:name="_Toc32232999"/>
      <w:bookmarkStart w:id="261" w:name="_Toc25669243"/>
      <w:r>
        <w:rPr>
          <w:rStyle w:val="CharSectno"/>
        </w:rPr>
        <w:t>50A</w:t>
      </w:r>
      <w:r>
        <w:rPr>
          <w:snapToGrid w:val="0"/>
        </w:rPr>
        <w:t>.</w:t>
      </w:r>
      <w:r>
        <w:rPr>
          <w:snapToGrid w:val="0"/>
        </w:rPr>
        <w:tab/>
        <w:t xml:space="preserve">Powers of CEO </w:t>
      </w:r>
      <w:r>
        <w:t>(corrections)</w:t>
      </w:r>
      <w:bookmarkEnd w:id="260"/>
      <w:bookmarkEnd w:id="26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262" w:name="_Toc32233000"/>
      <w:bookmarkStart w:id="263" w:name="_Toc25669244"/>
      <w:r>
        <w:rPr>
          <w:rStyle w:val="CharSectno"/>
        </w:rPr>
        <w:t>50C</w:t>
      </w:r>
      <w:r>
        <w:rPr>
          <w:snapToGrid w:val="0"/>
        </w:rPr>
        <w:t>.</w:t>
      </w:r>
      <w:r>
        <w:rPr>
          <w:snapToGrid w:val="0"/>
        </w:rPr>
        <w:tab/>
        <w:t>Powers and duties of community corrections officers</w:t>
      </w:r>
      <w:bookmarkEnd w:id="262"/>
      <w:bookmarkEnd w:id="26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264" w:name="_Toc32233001"/>
      <w:bookmarkStart w:id="265" w:name="_Toc25669245"/>
      <w:r>
        <w:rPr>
          <w:rStyle w:val="CharSectno"/>
        </w:rPr>
        <w:t>50D</w:t>
      </w:r>
      <w:r>
        <w:rPr>
          <w:snapToGrid w:val="0"/>
        </w:rPr>
        <w:t>.</w:t>
      </w:r>
      <w:r>
        <w:rPr>
          <w:snapToGrid w:val="0"/>
        </w:rPr>
        <w:tab/>
        <w:t>Powers of members of Police Force</w:t>
      </w:r>
      <w:bookmarkEnd w:id="264"/>
      <w:bookmarkEnd w:id="265"/>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266" w:name="_Toc32233002"/>
      <w:bookmarkStart w:id="267" w:name="_Toc25669246"/>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266"/>
      <w:bookmarkEnd w:id="267"/>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268" w:name="_Toc32233003"/>
      <w:bookmarkStart w:id="269" w:name="_Toc25669247"/>
      <w:r>
        <w:rPr>
          <w:rStyle w:val="CharSectno"/>
        </w:rPr>
        <w:t>50F</w:t>
      </w:r>
      <w:r>
        <w:rPr>
          <w:snapToGrid w:val="0"/>
        </w:rPr>
        <w:t>.</w:t>
      </w:r>
      <w:r>
        <w:rPr>
          <w:snapToGrid w:val="0"/>
        </w:rPr>
        <w:tab/>
        <w:t>CEO</w:t>
      </w:r>
      <w:r>
        <w:t xml:space="preserve"> (corrections)</w:t>
      </w:r>
      <w:r>
        <w:rPr>
          <w:snapToGrid w:val="0"/>
        </w:rPr>
        <w:t xml:space="preserve"> may revoke bail</w:t>
      </w:r>
      <w:bookmarkEnd w:id="268"/>
      <w:bookmarkEnd w:id="269"/>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270" w:name="_Toc32233004"/>
      <w:bookmarkStart w:id="271" w:name="_Toc25669248"/>
      <w:r>
        <w:rPr>
          <w:rStyle w:val="CharSectno"/>
        </w:rPr>
        <w:t>50G</w:t>
      </w:r>
      <w:r>
        <w:rPr>
          <w:snapToGrid w:val="0"/>
        </w:rPr>
        <w:t>.</w:t>
      </w:r>
      <w:r>
        <w:rPr>
          <w:snapToGrid w:val="0"/>
        </w:rPr>
        <w:tab/>
        <w:t>Procedure on arrest after revocation under s. 50F</w:t>
      </w:r>
      <w:bookmarkEnd w:id="270"/>
      <w:bookmarkEnd w:id="271"/>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272" w:name="_Toc32233005"/>
      <w:bookmarkStart w:id="273" w:name="_Toc25669249"/>
      <w:r>
        <w:rPr>
          <w:rStyle w:val="CharSectno"/>
        </w:rPr>
        <w:t>50H</w:t>
      </w:r>
      <w:r>
        <w:rPr>
          <w:snapToGrid w:val="0"/>
        </w:rPr>
        <w:t>.</w:t>
      </w:r>
      <w:r>
        <w:rPr>
          <w:snapToGrid w:val="0"/>
        </w:rPr>
        <w:tab/>
        <w:t>Rules of natural justice excluded</w:t>
      </w:r>
      <w:bookmarkEnd w:id="272"/>
      <w:bookmarkEnd w:id="273"/>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274" w:name="_Toc32233006"/>
      <w:bookmarkStart w:id="275" w:name="_Toc25669250"/>
      <w:r>
        <w:rPr>
          <w:rStyle w:val="CharSectno"/>
        </w:rPr>
        <w:t>50J</w:t>
      </w:r>
      <w:r>
        <w:rPr>
          <w:snapToGrid w:val="0"/>
        </w:rPr>
        <w:t>.</w:t>
      </w:r>
      <w:r>
        <w:rPr>
          <w:snapToGrid w:val="0"/>
        </w:rPr>
        <w:tab/>
        <w:t>Delegation by CEO</w:t>
      </w:r>
      <w:r>
        <w:t xml:space="preserve"> (corrections)</w:t>
      </w:r>
      <w:bookmarkEnd w:id="274"/>
      <w:bookmarkEnd w:id="275"/>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Heading5"/>
        <w:spacing w:before="180"/>
        <w:rPr>
          <w:snapToGrid w:val="0"/>
        </w:rPr>
      </w:pPr>
      <w:bookmarkStart w:id="276" w:name="_Toc32233007"/>
      <w:bookmarkStart w:id="277" w:name="_Toc25669251"/>
      <w:r>
        <w:rPr>
          <w:rStyle w:val="CharSectno"/>
        </w:rPr>
        <w:t>50K</w:t>
      </w:r>
      <w:r>
        <w:rPr>
          <w:snapToGrid w:val="0"/>
        </w:rPr>
        <w:t>.</w:t>
      </w:r>
      <w:r>
        <w:rPr>
          <w:snapToGrid w:val="0"/>
        </w:rPr>
        <w:tab/>
        <w:t>Monitoring equipment, retrieving</w:t>
      </w:r>
      <w:bookmarkEnd w:id="276"/>
      <w:bookmarkEnd w:id="277"/>
      <w:r>
        <w:rPr>
          <w:snapToGrid w:val="0"/>
        </w:rPr>
        <w:t xml:space="preserve"> </w:t>
      </w:r>
    </w:p>
    <w:p>
      <w:pPr>
        <w:pStyle w:val="Subsection"/>
        <w:spacing w:before="12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spacing w:before="60"/>
        <w:ind w:left="890" w:hanging="890"/>
      </w:pPr>
      <w:r>
        <w:tab/>
        <w:t xml:space="preserve">[Section 50K inserted: No. 78 of 1995 s. 8; amended: No. 50 of 2003 s. 29(3); No. 84 of 2004 s. 82.] </w:t>
      </w:r>
    </w:p>
    <w:p>
      <w:pPr>
        <w:pStyle w:val="Heading5"/>
        <w:rPr>
          <w:snapToGrid w:val="0"/>
        </w:rPr>
      </w:pPr>
      <w:bookmarkStart w:id="278" w:name="_Toc32233008"/>
      <w:bookmarkStart w:id="279" w:name="_Toc25669252"/>
      <w:r>
        <w:rPr>
          <w:rStyle w:val="CharSectno"/>
        </w:rPr>
        <w:t>50L</w:t>
      </w:r>
      <w:r>
        <w:rPr>
          <w:snapToGrid w:val="0"/>
        </w:rPr>
        <w:t>.</w:t>
      </w:r>
      <w:r>
        <w:rPr>
          <w:snapToGrid w:val="0"/>
        </w:rPr>
        <w:tab/>
        <w:t>Rules for this Part</w:t>
      </w:r>
      <w:bookmarkEnd w:id="278"/>
      <w:bookmarkEnd w:id="279"/>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w:t>
      </w:r>
    </w:p>
    <w:p>
      <w:pPr>
        <w:pStyle w:val="Heading2"/>
      </w:pPr>
      <w:bookmarkStart w:id="280" w:name="_Toc32232857"/>
      <w:bookmarkStart w:id="281" w:name="_Toc32233009"/>
      <w:bookmarkStart w:id="282" w:name="_Toc24637497"/>
      <w:bookmarkStart w:id="283" w:name="_Toc25669253"/>
      <w:r>
        <w:rPr>
          <w:rStyle w:val="CharPartNo"/>
        </w:rPr>
        <w:t>Part VII</w:t>
      </w:r>
      <w:r>
        <w:rPr>
          <w:rStyle w:val="CharDivNo"/>
        </w:rPr>
        <w:t> </w:t>
      </w:r>
      <w:r>
        <w:t>—</w:t>
      </w:r>
      <w:r>
        <w:rPr>
          <w:rStyle w:val="CharDivText"/>
        </w:rPr>
        <w:t> </w:t>
      </w:r>
      <w:r>
        <w:rPr>
          <w:rStyle w:val="CharPartText"/>
        </w:rPr>
        <w:t>Enforcement of bail undertakings</w:t>
      </w:r>
      <w:bookmarkEnd w:id="280"/>
      <w:bookmarkEnd w:id="281"/>
      <w:bookmarkEnd w:id="282"/>
      <w:bookmarkEnd w:id="283"/>
      <w:r>
        <w:rPr>
          <w:rStyle w:val="CharPartText"/>
        </w:rPr>
        <w:t xml:space="preserve"> </w:t>
      </w:r>
    </w:p>
    <w:p>
      <w:pPr>
        <w:pStyle w:val="Heading5"/>
        <w:rPr>
          <w:snapToGrid w:val="0"/>
        </w:rPr>
      </w:pPr>
      <w:bookmarkStart w:id="284" w:name="_Toc32233010"/>
      <w:bookmarkStart w:id="285" w:name="_Toc25669254"/>
      <w:r>
        <w:rPr>
          <w:rStyle w:val="CharSectno"/>
        </w:rPr>
        <w:t>51</w:t>
      </w:r>
      <w:r>
        <w:rPr>
          <w:snapToGrid w:val="0"/>
        </w:rPr>
        <w:t>.</w:t>
      </w:r>
      <w:r>
        <w:rPr>
          <w:snapToGrid w:val="0"/>
        </w:rPr>
        <w:tab/>
        <w:t>Failing to comply with bail undertaking, offence</w:t>
      </w:r>
      <w:bookmarkEnd w:id="284"/>
      <w:bookmarkEnd w:id="285"/>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286" w:name="_Toc32233011"/>
      <w:bookmarkStart w:id="287" w:name="_Toc25669255"/>
      <w:r>
        <w:rPr>
          <w:rStyle w:val="CharSectno"/>
        </w:rPr>
        <w:t>51A</w:t>
      </w:r>
      <w:r>
        <w:t>.</w:t>
      </w:r>
      <w:r>
        <w:tab/>
      </w:r>
      <w:r>
        <w:rPr>
          <w:snapToGrid w:val="0"/>
        </w:rPr>
        <w:t>Prosecuting s. 51 offence for non-appearance in court of summary jurisdiction</w:t>
      </w:r>
      <w:bookmarkEnd w:id="286"/>
      <w:bookmarkEnd w:id="287"/>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288" w:name="_Toc32233012"/>
      <w:bookmarkStart w:id="289" w:name="_Toc25669256"/>
      <w:r>
        <w:rPr>
          <w:rStyle w:val="CharSectno"/>
        </w:rPr>
        <w:t>52</w:t>
      </w:r>
      <w:r>
        <w:rPr>
          <w:snapToGrid w:val="0"/>
        </w:rPr>
        <w:t>.</w:t>
      </w:r>
      <w:r>
        <w:rPr>
          <w:snapToGrid w:val="0"/>
        </w:rPr>
        <w:tab/>
        <w:t>Prosecuting s. 51 offence for non-appearance in superior court</w:t>
      </w:r>
      <w:bookmarkEnd w:id="288"/>
      <w:bookmarkEnd w:id="28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290" w:name="_Toc32233013"/>
      <w:bookmarkStart w:id="291" w:name="_Toc25669257"/>
      <w:r>
        <w:rPr>
          <w:rStyle w:val="CharSectno"/>
        </w:rPr>
        <w:t>53</w:t>
      </w:r>
      <w:r>
        <w:t>.</w:t>
      </w:r>
      <w:r>
        <w:tab/>
        <w:t>Appeal against decision made under s. 52</w:t>
      </w:r>
      <w:bookmarkEnd w:id="290"/>
      <w:bookmarkEnd w:id="29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292" w:name="_Toc32233014"/>
      <w:bookmarkStart w:id="293" w:name="_Toc25669258"/>
      <w:r>
        <w:rPr>
          <w:rStyle w:val="CharSectno"/>
        </w:rPr>
        <w:t>54</w:t>
      </w:r>
      <w:r>
        <w:rPr>
          <w:snapToGrid w:val="0"/>
        </w:rPr>
        <w:t>.</w:t>
      </w:r>
      <w:r>
        <w:rPr>
          <w:snapToGrid w:val="0"/>
        </w:rPr>
        <w:tab/>
        <w:t>Bailed accused may be taken before judicial officer to show cause against variation or revocation of bail</w:t>
      </w:r>
      <w:bookmarkEnd w:id="292"/>
      <w:bookmarkEnd w:id="293"/>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w:t>
      </w:r>
      <w:del w:id="294" w:author="svcMRProcess" w:date="2020-02-11T14:00:00Z">
        <w:r>
          <w:rPr>
            <w:snapToGrid w:val="0"/>
          </w:rPr>
          <w:delText>.</w:delText>
        </w:r>
      </w:del>
      <w:ins w:id="295" w:author="svcMRProcess" w:date="2020-02-11T14:00:00Z">
        <w:r>
          <w:t>; or</w:t>
        </w:r>
      </w:ins>
    </w:p>
    <w:p>
      <w:pPr>
        <w:pStyle w:val="Indenti"/>
        <w:rPr>
          <w:ins w:id="296" w:author="svcMRProcess" w:date="2020-02-11T14:00:00Z"/>
        </w:rPr>
      </w:pPr>
      <w:ins w:id="297" w:author="svcMRProcess" w:date="2020-02-11T14:00:00Z">
        <w:r>
          <w:tab/>
          <w:t>(iv)</w:t>
        </w:r>
        <w:r>
          <w:tab/>
          <w:t>new facts have been discovered, new circumstances have arisen or the circumstances have changed since bail was granted (including that the accused is, or has become, a person linked to terrorism).</w:t>
        </w:r>
      </w:ins>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(4</w:t>
      </w:r>
      <w:del w:id="298" w:author="svcMRProcess" w:date="2020-02-11T14:00:00Z">
        <w:r>
          <w:delText>).]</w:delText>
        </w:r>
      </w:del>
      <w:ins w:id="299" w:author="svcMRProcess" w:date="2020-02-11T14:00:00Z">
        <w:r>
          <w:t>); No. 15 of 2019 s. 10.]</w:t>
        </w:r>
      </w:ins>
      <w:r>
        <w:t xml:space="preserve"> </w:t>
      </w:r>
    </w:p>
    <w:p>
      <w:pPr>
        <w:pStyle w:val="Heading5"/>
      </w:pPr>
      <w:bookmarkStart w:id="300" w:name="_Toc32233015"/>
      <w:bookmarkStart w:id="301" w:name="_Toc25669259"/>
      <w:r>
        <w:rPr>
          <w:rStyle w:val="CharSectno"/>
        </w:rPr>
        <w:t>54A</w:t>
      </w:r>
      <w:r>
        <w:rPr>
          <w:snapToGrid w:val="0"/>
        </w:rPr>
        <w:t>.</w:t>
      </w:r>
      <w:r>
        <w:rPr>
          <w:snapToGrid w:val="0"/>
        </w:rPr>
        <w:tab/>
        <w:t>Accused on committal may be taken for purposes of s. 54 before judicial officer by which committed</w:t>
      </w:r>
      <w:bookmarkEnd w:id="300"/>
      <w:bookmarkEnd w:id="301"/>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302" w:name="_Toc32233016"/>
      <w:bookmarkStart w:id="303" w:name="_Toc25669260"/>
      <w:r>
        <w:rPr>
          <w:rStyle w:val="CharSectno"/>
        </w:rPr>
        <w:t>55</w:t>
      </w:r>
      <w:r>
        <w:rPr>
          <w:snapToGrid w:val="0"/>
        </w:rPr>
        <w:t>.</w:t>
      </w:r>
      <w:r>
        <w:rPr>
          <w:snapToGrid w:val="0"/>
        </w:rPr>
        <w:tab/>
        <w:t>Accused before court under s. 54, judicial officer may revoke bail of etc.</w:t>
      </w:r>
      <w:bookmarkEnd w:id="302"/>
      <w:bookmarkEnd w:id="30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304" w:name="_Toc32233017"/>
      <w:bookmarkStart w:id="305" w:name="_Toc25669261"/>
      <w:r>
        <w:rPr>
          <w:rStyle w:val="CharSectno"/>
        </w:rPr>
        <w:t>57</w:t>
      </w:r>
      <w:r>
        <w:rPr>
          <w:snapToGrid w:val="0"/>
        </w:rPr>
        <w:t>.</w:t>
      </w:r>
      <w:r>
        <w:rPr>
          <w:snapToGrid w:val="0"/>
        </w:rPr>
        <w:tab/>
        <w:t>Offence under s. 51, court to order forfeiture of money under bail undertaking</w:t>
      </w:r>
      <w:bookmarkEnd w:id="304"/>
      <w:bookmarkEnd w:id="305"/>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306" w:name="_Toc32233018"/>
      <w:bookmarkStart w:id="307" w:name="_Toc25669262"/>
      <w:r>
        <w:rPr>
          <w:rStyle w:val="CharSectno"/>
        </w:rPr>
        <w:t>58</w:t>
      </w:r>
      <w:r>
        <w:rPr>
          <w:snapToGrid w:val="0"/>
        </w:rPr>
        <w:t>.</w:t>
      </w:r>
      <w:r>
        <w:rPr>
          <w:snapToGrid w:val="0"/>
        </w:rPr>
        <w:tab/>
        <w:t>Automatic forfeiture of money on expiration of one year after absconding</w:t>
      </w:r>
      <w:bookmarkEnd w:id="306"/>
      <w:bookmarkEnd w:id="30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308" w:name="_Toc32232867"/>
      <w:bookmarkStart w:id="309" w:name="_Toc32233019"/>
      <w:bookmarkStart w:id="310" w:name="_Toc24637507"/>
      <w:bookmarkStart w:id="311" w:name="_Toc25669263"/>
      <w:r>
        <w:rPr>
          <w:rStyle w:val="CharPartNo"/>
        </w:rPr>
        <w:t>Part VIII</w:t>
      </w:r>
      <w:r>
        <w:rPr>
          <w:rStyle w:val="CharDivNo"/>
        </w:rPr>
        <w:t> </w:t>
      </w:r>
      <w:r>
        <w:t>—</w:t>
      </w:r>
      <w:r>
        <w:rPr>
          <w:rStyle w:val="CharDivText"/>
        </w:rPr>
        <w:t> </w:t>
      </w:r>
      <w:r>
        <w:rPr>
          <w:rStyle w:val="CharPartText"/>
        </w:rPr>
        <w:t>Miscellaneous</w:t>
      </w:r>
      <w:bookmarkEnd w:id="308"/>
      <w:bookmarkEnd w:id="309"/>
      <w:bookmarkEnd w:id="310"/>
      <w:bookmarkEnd w:id="311"/>
      <w:r>
        <w:rPr>
          <w:rStyle w:val="CharPartText"/>
        </w:rPr>
        <w:t xml:space="preserve"> </w:t>
      </w:r>
    </w:p>
    <w:p>
      <w:pPr>
        <w:pStyle w:val="Heading5"/>
        <w:rPr>
          <w:snapToGrid w:val="0"/>
        </w:rPr>
      </w:pPr>
      <w:bookmarkStart w:id="312" w:name="_Toc32233020"/>
      <w:bookmarkStart w:id="313" w:name="_Toc25669264"/>
      <w:r>
        <w:rPr>
          <w:rStyle w:val="CharSectno"/>
        </w:rPr>
        <w:t>59</w:t>
      </w:r>
      <w:r>
        <w:rPr>
          <w:snapToGrid w:val="0"/>
        </w:rPr>
        <w:t>.</w:t>
      </w:r>
      <w:r>
        <w:rPr>
          <w:snapToGrid w:val="0"/>
        </w:rPr>
        <w:tab/>
        <w:t>Order for forfeiture, court’s additional powers as to</w:t>
      </w:r>
      <w:bookmarkEnd w:id="312"/>
      <w:bookmarkEnd w:id="313"/>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314" w:name="_Toc32233021"/>
      <w:bookmarkStart w:id="315" w:name="_Toc25669265"/>
      <w:r>
        <w:rPr>
          <w:rStyle w:val="CharSectno"/>
        </w:rPr>
        <w:t>59A</w:t>
      </w:r>
      <w:r>
        <w:rPr>
          <w:snapToGrid w:val="0"/>
        </w:rPr>
        <w:t>.</w:t>
      </w:r>
      <w:r>
        <w:rPr>
          <w:snapToGrid w:val="0"/>
        </w:rPr>
        <w:tab/>
        <w:t>If bail dispensed with, accused may be taken before judicial officer for reconsideration of matter</w:t>
      </w:r>
      <w:bookmarkEnd w:id="314"/>
      <w:bookmarkEnd w:id="315"/>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316" w:name="_Toc32233022"/>
      <w:bookmarkStart w:id="317" w:name="_Toc25669266"/>
      <w:r>
        <w:rPr>
          <w:rStyle w:val="CharSectno"/>
        </w:rPr>
        <w:t>59B</w:t>
      </w:r>
      <w:r>
        <w:rPr>
          <w:snapToGrid w:val="0"/>
        </w:rPr>
        <w:t>.</w:t>
      </w:r>
      <w:r>
        <w:rPr>
          <w:snapToGrid w:val="0"/>
        </w:rPr>
        <w:tab/>
        <w:t>Absconding accused, warrant for arrest of</w:t>
      </w:r>
      <w:bookmarkEnd w:id="316"/>
      <w:bookmarkEnd w:id="31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318" w:name="_Toc32233023"/>
      <w:bookmarkStart w:id="319" w:name="_Toc25669267"/>
      <w:r>
        <w:rPr>
          <w:rStyle w:val="CharSectno"/>
        </w:rPr>
        <w:t>60</w:t>
      </w:r>
      <w:r>
        <w:rPr>
          <w:snapToGrid w:val="0"/>
        </w:rPr>
        <w:t>.</w:t>
      </w:r>
      <w:r>
        <w:rPr>
          <w:snapToGrid w:val="0"/>
        </w:rPr>
        <w:tab/>
        <w:t>Change of address, accused and surety to notify</w:t>
      </w:r>
      <w:bookmarkEnd w:id="318"/>
      <w:bookmarkEnd w:id="319"/>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320" w:name="_Toc32233024"/>
      <w:bookmarkStart w:id="321" w:name="_Toc25669268"/>
      <w:r>
        <w:rPr>
          <w:rStyle w:val="CharSectno"/>
        </w:rPr>
        <w:t>61</w:t>
      </w:r>
      <w:r>
        <w:rPr>
          <w:snapToGrid w:val="0"/>
        </w:rPr>
        <w:t>.</w:t>
      </w:r>
      <w:r>
        <w:rPr>
          <w:snapToGrid w:val="0"/>
        </w:rPr>
        <w:tab/>
        <w:t>Failing to bring arrested person before court or person able to grant bail, offence</w:t>
      </w:r>
      <w:bookmarkEnd w:id="320"/>
      <w:bookmarkEnd w:id="321"/>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322" w:name="_Toc32233025"/>
      <w:bookmarkStart w:id="323" w:name="_Toc25669269"/>
      <w:r>
        <w:rPr>
          <w:rStyle w:val="CharSectno"/>
        </w:rPr>
        <w:t>62</w:t>
      </w:r>
      <w:r>
        <w:rPr>
          <w:snapToGrid w:val="0"/>
        </w:rPr>
        <w:t>.</w:t>
      </w:r>
      <w:r>
        <w:rPr>
          <w:snapToGrid w:val="0"/>
        </w:rPr>
        <w:tab/>
        <w:t>Giving false information for bail purposes, offence</w:t>
      </w:r>
      <w:bookmarkEnd w:id="322"/>
      <w:bookmarkEnd w:id="323"/>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324" w:name="_Toc32233026"/>
      <w:bookmarkStart w:id="325" w:name="_Toc25669270"/>
      <w:r>
        <w:rPr>
          <w:rStyle w:val="CharSectno"/>
        </w:rPr>
        <w:t>63</w:t>
      </w:r>
      <w:r>
        <w:rPr>
          <w:snapToGrid w:val="0"/>
        </w:rPr>
        <w:t>.</w:t>
      </w:r>
      <w:r>
        <w:rPr>
          <w:snapToGrid w:val="0"/>
        </w:rPr>
        <w:tab/>
        <w:t>Protection from personal liability</w:t>
      </w:r>
      <w:bookmarkEnd w:id="324"/>
      <w:bookmarkEnd w:id="325"/>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326" w:name="_Toc32233027"/>
      <w:bookmarkStart w:id="327" w:name="_Toc25669271"/>
      <w:r>
        <w:rPr>
          <w:rStyle w:val="CharSectno"/>
        </w:rPr>
        <w:t>64</w:t>
      </w:r>
      <w:r>
        <w:rPr>
          <w:snapToGrid w:val="0"/>
        </w:rPr>
        <w:t>.</w:t>
      </w:r>
      <w:r>
        <w:rPr>
          <w:snapToGrid w:val="0"/>
        </w:rPr>
        <w:tab/>
        <w:t>Proving appearance or non</w:t>
      </w:r>
      <w:r>
        <w:rPr>
          <w:snapToGrid w:val="0"/>
        </w:rPr>
        <w:noBreakHyphen/>
        <w:t>appearance by accused</w:t>
      </w:r>
      <w:bookmarkEnd w:id="326"/>
      <w:bookmarkEnd w:id="327"/>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328" w:name="_Toc32233028"/>
      <w:bookmarkStart w:id="329" w:name="_Toc25669272"/>
      <w:r>
        <w:rPr>
          <w:rStyle w:val="CharSectno"/>
        </w:rPr>
        <w:t>65</w:t>
      </w:r>
      <w:r>
        <w:rPr>
          <w:snapToGrid w:val="0"/>
        </w:rPr>
        <w:t>.</w:t>
      </w:r>
      <w:r>
        <w:rPr>
          <w:snapToGrid w:val="0"/>
        </w:rPr>
        <w:tab/>
        <w:t>Bail undertakings by child, effect of</w:t>
      </w:r>
      <w:bookmarkEnd w:id="328"/>
      <w:bookmarkEnd w:id="329"/>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330" w:name="_Toc32233029"/>
      <w:bookmarkStart w:id="331" w:name="_Toc25669273"/>
      <w:r>
        <w:rPr>
          <w:rStyle w:val="CharSectno"/>
        </w:rPr>
        <w:t>66</w:t>
      </w:r>
      <w:r>
        <w:rPr>
          <w:snapToGrid w:val="0"/>
        </w:rPr>
        <w:t>.</w:t>
      </w:r>
      <w:r>
        <w:rPr>
          <w:snapToGrid w:val="0"/>
        </w:rPr>
        <w:tab/>
        <w:t>Other powers or duties to grant bail abolished</w:t>
      </w:r>
      <w:bookmarkEnd w:id="330"/>
      <w:bookmarkEnd w:id="331"/>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332" w:name="_Toc32233030"/>
      <w:bookmarkStart w:id="333" w:name="_Toc25669274"/>
      <w:r>
        <w:rPr>
          <w:rStyle w:val="CharSectno"/>
        </w:rPr>
        <w:t>66A</w:t>
      </w:r>
      <w:r>
        <w:rPr>
          <w:snapToGrid w:val="0"/>
        </w:rPr>
        <w:t>.</w:t>
      </w:r>
      <w:r>
        <w:rPr>
          <w:snapToGrid w:val="0"/>
        </w:rPr>
        <w:tab/>
        <w:t>Delegation by registrar of court</w:t>
      </w:r>
      <w:bookmarkEnd w:id="332"/>
      <w:bookmarkEnd w:id="333"/>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334" w:name="_Toc32233031"/>
      <w:bookmarkStart w:id="335" w:name="_Toc25669275"/>
      <w:r>
        <w:rPr>
          <w:rStyle w:val="CharSectno"/>
        </w:rPr>
        <w:t>66B</w:t>
      </w:r>
      <w:r>
        <w:t>.</w:t>
      </w:r>
      <w:r>
        <w:tab/>
        <w:t>Video link or audio link, use of in bail proceedings</w:t>
      </w:r>
      <w:bookmarkEnd w:id="334"/>
      <w:bookmarkEnd w:id="335"/>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rPr>
          <w:ins w:id="336" w:author="svcMRProcess" w:date="2020-02-11T14:00:00Z"/>
        </w:rPr>
      </w:pPr>
      <w:bookmarkStart w:id="337" w:name="_Toc32233032"/>
      <w:ins w:id="338" w:author="svcMRProcess" w:date="2020-02-11T14:00:00Z">
        <w:r>
          <w:rPr>
            <w:rStyle w:val="CharSectno"/>
          </w:rPr>
          <w:t>66C</w:t>
        </w:r>
        <w:r>
          <w:t>.</w:t>
        </w:r>
        <w:r>
          <w:tab/>
          <w:t>Protection of terrorist intelligence information in bail proceedings</w:t>
        </w:r>
        <w:bookmarkEnd w:id="337"/>
      </w:ins>
    </w:p>
    <w:p>
      <w:pPr>
        <w:pStyle w:val="Subsection"/>
        <w:rPr>
          <w:ins w:id="339" w:author="svcMRProcess" w:date="2020-02-11T14:00:00Z"/>
        </w:rPr>
      </w:pPr>
      <w:ins w:id="340" w:author="svcMRProcess" w:date="2020-02-11T14:00:00Z">
        <w:r>
          <w:tab/>
          <w:t>(1)</w:t>
        </w:r>
        <w:r>
          <w:tab/>
          <w:t xml:space="preserve">In proceedings on a case for bail, the judicial officer must take all reasonable steps to maintain the confidentiality of information that the judicial officer considers is terrorist intelligence information, including steps — </w:t>
        </w:r>
      </w:ins>
    </w:p>
    <w:p>
      <w:pPr>
        <w:pStyle w:val="Indenta"/>
        <w:rPr>
          <w:ins w:id="341" w:author="svcMRProcess" w:date="2020-02-11T14:00:00Z"/>
        </w:rPr>
      </w:pPr>
      <w:ins w:id="342" w:author="svcMRProcess" w:date="2020-02-11T14:00:00Z">
        <w:r>
          <w:tab/>
          <w:t>(a)</w:t>
        </w:r>
        <w:r>
          <w:tab/>
          <w:t>to receive evidence and hear argument about the information in private and in the absence of any person other than the prosecutor and any other person to whose presence the prosecutor consents; and</w:t>
        </w:r>
      </w:ins>
    </w:p>
    <w:p>
      <w:pPr>
        <w:pStyle w:val="Indenta"/>
        <w:rPr>
          <w:ins w:id="343" w:author="svcMRProcess" w:date="2020-02-11T14:00:00Z"/>
        </w:rPr>
      </w:pPr>
      <w:ins w:id="344" w:author="svcMRProcess" w:date="2020-02-11T14:00:00Z">
        <w:r>
          <w:tab/>
          <w:t>(b)</w:t>
        </w:r>
        <w:r>
          <w:tab/>
          <w:t>to prohibit the publication of, or a reference to, terrorist intelligence information; and</w:t>
        </w:r>
      </w:ins>
    </w:p>
    <w:p>
      <w:pPr>
        <w:pStyle w:val="Indenta"/>
        <w:rPr>
          <w:ins w:id="345" w:author="svcMRProcess" w:date="2020-02-11T14:00:00Z"/>
        </w:rPr>
      </w:pPr>
      <w:ins w:id="346" w:author="svcMRProcess" w:date="2020-02-11T14:00:00Z">
        <w:r>
          <w:tab/>
          <w:t>(c)</w:t>
        </w:r>
        <w:r>
          <w:tab/>
          <w:t xml:space="preserve">to order that the following documents must be provided in a redacted form — </w:t>
        </w:r>
      </w:ins>
    </w:p>
    <w:p>
      <w:pPr>
        <w:pStyle w:val="Indenti"/>
        <w:rPr>
          <w:ins w:id="347" w:author="svcMRProcess" w:date="2020-02-11T14:00:00Z"/>
        </w:rPr>
      </w:pPr>
      <w:ins w:id="348" w:author="svcMRProcess" w:date="2020-02-11T14:00:00Z">
        <w:r>
          <w:tab/>
          <w:t>(i)</w:t>
        </w:r>
        <w:r>
          <w:tab/>
          <w:t>an approved form given under section 8;</w:t>
        </w:r>
      </w:ins>
    </w:p>
    <w:p>
      <w:pPr>
        <w:pStyle w:val="Indenti"/>
        <w:rPr>
          <w:ins w:id="349" w:author="svcMRProcess" w:date="2020-02-11T14:00:00Z"/>
        </w:rPr>
      </w:pPr>
      <w:ins w:id="350" w:author="svcMRProcess" w:date="2020-02-11T14:00:00Z">
        <w:r>
          <w:tab/>
          <w:t>(ii)</w:t>
        </w:r>
        <w:r>
          <w:tab/>
          <w:t>a report made in accordance with section 24 or 24A.</w:t>
        </w:r>
      </w:ins>
    </w:p>
    <w:p>
      <w:pPr>
        <w:pStyle w:val="Subsection"/>
        <w:rPr>
          <w:ins w:id="351" w:author="svcMRProcess" w:date="2020-02-11T14:00:00Z"/>
        </w:rPr>
      </w:pPr>
      <w:ins w:id="352" w:author="svcMRProcess" w:date="2020-02-11T14:00:00Z">
        <w:r>
          <w:tab/>
          <w:t>(2)</w:t>
        </w:r>
        <w:r>
          <w:tab/>
          <w:t xml:space="preserve">If the judicial officer considers that the information is not terrorist intelligence information, the judicial officer must — </w:t>
        </w:r>
      </w:ins>
    </w:p>
    <w:p>
      <w:pPr>
        <w:pStyle w:val="Indenta"/>
        <w:rPr>
          <w:ins w:id="353" w:author="svcMRProcess" w:date="2020-02-11T14:00:00Z"/>
        </w:rPr>
      </w:pPr>
      <w:ins w:id="354" w:author="svcMRProcess" w:date="2020-02-11T14:00:00Z">
        <w:r>
          <w:tab/>
          <w:t>(a)</w:t>
        </w:r>
        <w:r>
          <w:tab/>
          <w:t>give the prosecutor the opportunity to withdraw the information from consideration; and</w:t>
        </w:r>
      </w:ins>
    </w:p>
    <w:p>
      <w:pPr>
        <w:pStyle w:val="Indenta"/>
        <w:rPr>
          <w:ins w:id="355" w:author="svcMRProcess" w:date="2020-02-11T14:00:00Z"/>
        </w:rPr>
      </w:pPr>
      <w:ins w:id="356" w:author="svcMRProcess" w:date="2020-02-11T14:00:00Z">
        <w:r>
          <w:tab/>
          <w:t>(b)</w:t>
        </w:r>
        <w:r>
          <w:tab/>
          <w:t>if the information is withdrawn, prohibit the publication of, or a reference to, the information.</w:t>
        </w:r>
      </w:ins>
    </w:p>
    <w:p>
      <w:pPr>
        <w:pStyle w:val="Subsection"/>
        <w:rPr>
          <w:ins w:id="357" w:author="svcMRProcess" w:date="2020-02-11T14:00:00Z"/>
        </w:rPr>
      </w:pPr>
      <w:ins w:id="358" w:author="svcMRProcess" w:date="2020-02-11T14:00:00Z">
        <w:r>
          <w:tab/>
          <w:t>(3)</w:t>
        </w:r>
        <w:r>
          <w:tab/>
          <w:t xml:space="preserve">Despite subsections (1) and (2), the judicial officer may disclose terrorist intelligence information or information withdrawn under subsection (2) to any of the following — </w:t>
        </w:r>
      </w:ins>
    </w:p>
    <w:p>
      <w:pPr>
        <w:pStyle w:val="Indenta"/>
        <w:rPr>
          <w:ins w:id="359" w:author="svcMRProcess" w:date="2020-02-11T14:00:00Z"/>
        </w:rPr>
      </w:pPr>
      <w:ins w:id="360" w:author="svcMRProcess" w:date="2020-02-11T14:00:00Z">
        <w:r>
          <w:tab/>
          <w:t>(a)</w:t>
        </w:r>
        <w:r>
          <w:tab/>
          <w:t>the Attorney General;</w:t>
        </w:r>
      </w:ins>
    </w:p>
    <w:p>
      <w:pPr>
        <w:pStyle w:val="Indenta"/>
        <w:rPr>
          <w:ins w:id="361" w:author="svcMRProcess" w:date="2020-02-11T14:00:00Z"/>
        </w:rPr>
      </w:pPr>
      <w:ins w:id="362" w:author="svcMRProcess" w:date="2020-02-11T14:00:00Z">
        <w:r>
          <w:tab/>
          <w:t>(b)</w:t>
        </w:r>
        <w:r>
          <w:tab/>
          <w:t>a court;</w:t>
        </w:r>
      </w:ins>
    </w:p>
    <w:p>
      <w:pPr>
        <w:pStyle w:val="Indenta"/>
        <w:rPr>
          <w:ins w:id="363" w:author="svcMRProcess" w:date="2020-02-11T14:00:00Z"/>
        </w:rPr>
      </w:pPr>
      <w:ins w:id="364" w:author="svcMRProcess" w:date="2020-02-11T14:00:00Z">
        <w:r>
          <w:tab/>
          <w:t>(c)</w:t>
        </w:r>
        <w:r>
          <w:tab/>
          <w:t>a person to whom the prosecutor authorises disclosure.</w:t>
        </w:r>
      </w:ins>
    </w:p>
    <w:p>
      <w:pPr>
        <w:pStyle w:val="Footnotesection"/>
        <w:rPr>
          <w:ins w:id="365" w:author="svcMRProcess" w:date="2020-02-11T14:00:00Z"/>
        </w:rPr>
      </w:pPr>
      <w:ins w:id="366" w:author="svcMRProcess" w:date="2020-02-11T14:00:00Z">
        <w:r>
          <w:tab/>
          <w:t>[Section 66C inserted: No. 15 of 2019 s. 11.]</w:t>
        </w:r>
      </w:ins>
    </w:p>
    <w:p>
      <w:pPr>
        <w:pStyle w:val="Heading5"/>
        <w:rPr>
          <w:ins w:id="367" w:author="svcMRProcess" w:date="2020-02-11T14:00:00Z"/>
        </w:rPr>
      </w:pPr>
      <w:bookmarkStart w:id="368" w:name="_Toc32233033"/>
      <w:ins w:id="369" w:author="svcMRProcess" w:date="2020-02-11T14:00:00Z">
        <w:r>
          <w:rPr>
            <w:rStyle w:val="CharSectno"/>
          </w:rPr>
          <w:t>66D</w:t>
        </w:r>
        <w:r>
          <w:t>.</w:t>
        </w:r>
        <w:r>
          <w:tab/>
          <w:t>Annual report to include information about application of s. 66C</w:t>
        </w:r>
        <w:bookmarkEnd w:id="368"/>
      </w:ins>
    </w:p>
    <w:p>
      <w:pPr>
        <w:pStyle w:val="Subsection"/>
        <w:rPr>
          <w:ins w:id="370" w:author="svcMRProcess" w:date="2020-02-11T14:00:00Z"/>
        </w:rPr>
      </w:pPr>
      <w:ins w:id="371" w:author="svcMRProcess" w:date="2020-02-11T14:00:00Z">
        <w:r>
          <w:tab/>
          <w:t>(1)</w:t>
        </w:r>
        <w:r>
          <w:tab/>
          <w:t xml:space="preserve">In this section — </w:t>
        </w:r>
      </w:ins>
    </w:p>
    <w:p>
      <w:pPr>
        <w:pStyle w:val="Defstart"/>
        <w:rPr>
          <w:ins w:id="372" w:author="svcMRProcess" w:date="2020-02-11T14:00:00Z"/>
        </w:rPr>
      </w:pPr>
      <w:ins w:id="373" w:author="svcMRProcess" w:date="2020-02-11T14:00:00Z">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ins>
    </w:p>
    <w:p>
      <w:pPr>
        <w:pStyle w:val="Defstart"/>
        <w:rPr>
          <w:ins w:id="374" w:author="svcMRProcess" w:date="2020-02-11T14:00:00Z"/>
        </w:rPr>
      </w:pPr>
      <w:ins w:id="375" w:author="svcMRProcess" w:date="2020-02-11T14:00:00Z">
        <w:r>
          <w:tab/>
        </w:r>
        <w:r>
          <w:rPr>
            <w:rStyle w:val="CharDefText"/>
          </w:rPr>
          <w:t>protected information</w:t>
        </w:r>
        <w:r>
          <w:t xml:space="preserve"> means information the disclosure of which would contravene a written law or an order of a court;</w:t>
        </w:r>
      </w:ins>
    </w:p>
    <w:p>
      <w:pPr>
        <w:pStyle w:val="Defstart"/>
        <w:rPr>
          <w:ins w:id="376" w:author="svcMRProcess" w:date="2020-02-11T14:00:00Z"/>
        </w:rPr>
      </w:pPr>
      <w:ins w:id="377" w:author="svcMRProcess" w:date="2020-02-11T14:00:00Z">
        <w:r>
          <w:tab/>
        </w:r>
        <w:r>
          <w:rPr>
            <w:rStyle w:val="CharDefText"/>
          </w:rPr>
          <w:t>sensitive information</w:t>
        </w:r>
        <w:r>
          <w:t xml:space="preserve"> means information the disclosure of which could reasonably be expected — </w:t>
        </w:r>
      </w:ins>
    </w:p>
    <w:p>
      <w:pPr>
        <w:pStyle w:val="Defpara"/>
        <w:rPr>
          <w:ins w:id="378" w:author="svcMRProcess" w:date="2020-02-11T14:00:00Z"/>
        </w:rPr>
      </w:pPr>
      <w:ins w:id="379" w:author="svcMRProcess" w:date="2020-02-11T14:00:00Z">
        <w:r>
          <w:tab/>
          <w:t>(a)</w:t>
        </w:r>
        <w:r>
          <w:tab/>
          <w:t>to prejudice national security; or</w:t>
        </w:r>
      </w:ins>
    </w:p>
    <w:p>
      <w:pPr>
        <w:pStyle w:val="Defpara"/>
        <w:rPr>
          <w:ins w:id="380" w:author="svcMRProcess" w:date="2020-02-11T14:00:00Z"/>
        </w:rPr>
      </w:pPr>
      <w:ins w:id="381" w:author="svcMRProcess" w:date="2020-02-11T14:00:00Z">
        <w:r>
          <w:tab/>
          <w:t>(b)</w:t>
        </w:r>
        <w:r>
          <w:tab/>
          <w:t>to endanger a person’s life or physical safety; or</w:t>
        </w:r>
      </w:ins>
    </w:p>
    <w:p>
      <w:pPr>
        <w:pStyle w:val="Defpara"/>
        <w:rPr>
          <w:ins w:id="382" w:author="svcMRProcess" w:date="2020-02-11T14:00:00Z"/>
        </w:rPr>
      </w:pPr>
      <w:ins w:id="383" w:author="svcMRProcess" w:date="2020-02-11T14:00:00Z">
        <w:r>
          <w:tab/>
          <w:t>(c)</w:t>
        </w:r>
        <w:r>
          <w:tab/>
          <w:t>to threaten significant damage to infrastructure or property; or</w:t>
        </w:r>
      </w:ins>
    </w:p>
    <w:p>
      <w:pPr>
        <w:pStyle w:val="Defpara"/>
        <w:rPr>
          <w:ins w:id="384" w:author="svcMRProcess" w:date="2020-02-11T14:00:00Z"/>
        </w:rPr>
      </w:pPr>
      <w:ins w:id="385" w:author="svcMRProcess" w:date="2020-02-11T14:00:00Z">
        <w:r>
          <w:tab/>
          <w:t>(d)</w:t>
        </w:r>
        <w:r>
          <w:tab/>
          <w:t>to prejudice a criminal investigation; or</w:t>
        </w:r>
      </w:ins>
    </w:p>
    <w:p>
      <w:pPr>
        <w:pStyle w:val="Defpara"/>
        <w:rPr>
          <w:ins w:id="386" w:author="svcMRProcess" w:date="2020-02-11T14:00:00Z"/>
        </w:rPr>
      </w:pPr>
      <w:ins w:id="387" w:author="svcMRProcess" w:date="2020-02-11T14:00:00Z">
        <w:r>
          <w:tab/>
          <w:t>(e)</w:t>
        </w:r>
        <w:r>
          <w:tab/>
          <w:t>to reveal intelligence gathering methodologies, investigative techniques or technologies or covert practices; or</w:t>
        </w:r>
      </w:ins>
    </w:p>
    <w:p>
      <w:pPr>
        <w:pStyle w:val="Defpara"/>
        <w:rPr>
          <w:ins w:id="388" w:author="svcMRProcess" w:date="2020-02-11T14:00:00Z"/>
        </w:rPr>
      </w:pPr>
      <w:ins w:id="389" w:author="svcMRProcess" w:date="2020-02-11T14:00:00Z">
        <w:r>
          <w:tab/>
          <w:t>(f)</w:t>
        </w:r>
        <w:r>
          <w:tab/>
          <w:t>to enable the discovery of the existence or identity of a confidential source of information relevant to law enforcement.</w:t>
        </w:r>
      </w:ins>
    </w:p>
    <w:p>
      <w:pPr>
        <w:pStyle w:val="Subsection"/>
        <w:rPr>
          <w:ins w:id="390" w:author="svcMRProcess" w:date="2020-02-11T14:00:00Z"/>
        </w:rPr>
      </w:pPr>
      <w:ins w:id="391" w:author="svcMRProcess" w:date="2020-02-11T14:00:00Z">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ins>
    </w:p>
    <w:p>
      <w:pPr>
        <w:pStyle w:val="Subsection"/>
        <w:rPr>
          <w:ins w:id="392" w:author="svcMRProcess" w:date="2020-02-11T14:00:00Z"/>
        </w:rPr>
      </w:pPr>
      <w:ins w:id="393" w:author="svcMRProcess" w:date="2020-02-11T14:00:00Z">
        <w:r>
          <w:tab/>
          <w:t>(3)</w:t>
        </w:r>
        <w:r>
          <w:tab/>
          <w:t xml:space="preserve">Reportable information must, without disclosing terrorist intelligence information, specify — </w:t>
        </w:r>
      </w:ins>
    </w:p>
    <w:p>
      <w:pPr>
        <w:pStyle w:val="Indenta"/>
        <w:rPr>
          <w:ins w:id="394" w:author="svcMRProcess" w:date="2020-02-11T14:00:00Z"/>
        </w:rPr>
      </w:pPr>
      <w:ins w:id="395" w:author="svcMRProcess" w:date="2020-02-11T14:00:00Z">
        <w:r>
          <w:tab/>
          <w:t>(a)</w:t>
        </w:r>
        <w:r>
          <w:tab/>
          <w:t>the number of proceedings in which action was taken under section 66C(1); and</w:t>
        </w:r>
      </w:ins>
    </w:p>
    <w:p>
      <w:pPr>
        <w:pStyle w:val="Indenta"/>
        <w:rPr>
          <w:ins w:id="396" w:author="svcMRProcess" w:date="2020-02-11T14:00:00Z"/>
        </w:rPr>
      </w:pPr>
      <w:ins w:id="397" w:author="svcMRProcess" w:date="2020-02-11T14:00:00Z">
        <w:r>
          <w:tab/>
          <w:t>(b)</w:t>
        </w:r>
        <w:r>
          <w:tab/>
          <w:t xml:space="preserve">in each of those proceedings whether the accused had access to the terrorist intelligence information received by the judicial officer and whether — </w:t>
        </w:r>
      </w:ins>
    </w:p>
    <w:p>
      <w:pPr>
        <w:pStyle w:val="Indenti"/>
        <w:rPr>
          <w:ins w:id="398" w:author="svcMRProcess" w:date="2020-02-11T14:00:00Z"/>
        </w:rPr>
      </w:pPr>
      <w:ins w:id="399" w:author="svcMRProcess" w:date="2020-02-11T14:00:00Z">
        <w:r>
          <w:tab/>
          <w:t>(i)</w:t>
        </w:r>
        <w:r>
          <w:tab/>
          <w:t>evidence by or on behalf of the accused was received; and</w:t>
        </w:r>
      </w:ins>
    </w:p>
    <w:p>
      <w:pPr>
        <w:pStyle w:val="Indenti"/>
        <w:rPr>
          <w:ins w:id="400" w:author="svcMRProcess" w:date="2020-02-11T14:00:00Z"/>
        </w:rPr>
      </w:pPr>
      <w:ins w:id="401" w:author="svcMRProcess" w:date="2020-02-11T14:00:00Z">
        <w:r>
          <w:tab/>
          <w:t>(ii)</w:t>
        </w:r>
        <w:r>
          <w:tab/>
          <w:t>argument by or on behalf of the accused was heard.</w:t>
        </w:r>
      </w:ins>
    </w:p>
    <w:p>
      <w:pPr>
        <w:pStyle w:val="Subsection"/>
        <w:rPr>
          <w:ins w:id="402" w:author="svcMRProcess" w:date="2020-02-11T14:00:00Z"/>
        </w:rPr>
      </w:pPr>
      <w:ins w:id="403" w:author="svcMRProcess" w:date="2020-02-11T14:00:00Z">
        <w:r>
          <w:tab/>
          <w:t>(4)</w:t>
        </w:r>
        <w:r>
          <w:tab/>
          <w:t>Prior to submitting an annual report, the accountable authority must give a copy of the reportable information they propose to include in the annual report to the Attorney General and the Commissioner of Police.</w:t>
        </w:r>
      </w:ins>
    </w:p>
    <w:p>
      <w:pPr>
        <w:pStyle w:val="Subsection"/>
        <w:rPr>
          <w:ins w:id="404" w:author="svcMRProcess" w:date="2020-02-11T14:00:00Z"/>
        </w:rPr>
      </w:pPr>
      <w:ins w:id="405" w:author="svcMRProcess" w:date="2020-02-11T14:00:00Z">
        <w:r>
          <w:tab/>
          <w:t>(5)</w:t>
        </w:r>
        <w:r>
          <w:tab/>
          <w:t>The Commissioner of Police must advise the Attorney General whether any of the reportable information, in the Commissioner’s opinion, is or is likely to be sensitive information.</w:t>
        </w:r>
      </w:ins>
    </w:p>
    <w:p>
      <w:pPr>
        <w:pStyle w:val="Subsection"/>
        <w:rPr>
          <w:ins w:id="406" w:author="svcMRProcess" w:date="2020-02-11T14:00:00Z"/>
        </w:rPr>
      </w:pPr>
      <w:ins w:id="407" w:author="svcMRProcess" w:date="2020-02-11T14:00:00Z">
        <w:r>
          <w:tab/>
          <w:t>(6)</w:t>
        </w:r>
        <w:r>
          <w:tab/>
          <w:t>A judicial officer may advise the Attorney General of any reportable information that, in the judicial officer’s opinion, is or is likely to be protected information.</w:t>
        </w:r>
      </w:ins>
    </w:p>
    <w:p>
      <w:pPr>
        <w:pStyle w:val="Subsection"/>
        <w:rPr>
          <w:ins w:id="408" w:author="svcMRProcess" w:date="2020-02-11T14:00:00Z"/>
        </w:rPr>
      </w:pPr>
      <w:ins w:id="409" w:author="svcMRProcess" w:date="2020-02-11T14:00:00Z">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ins>
    </w:p>
    <w:p>
      <w:pPr>
        <w:pStyle w:val="Indenta"/>
        <w:rPr>
          <w:ins w:id="410" w:author="svcMRProcess" w:date="2020-02-11T14:00:00Z"/>
        </w:rPr>
      </w:pPr>
      <w:ins w:id="411" w:author="svcMRProcess" w:date="2020-02-11T14:00:00Z">
        <w:r>
          <w:tab/>
          <w:t>(a)</w:t>
        </w:r>
        <w:r>
          <w:tab/>
          <w:t>exclude the information from the annual report; and</w:t>
        </w:r>
      </w:ins>
    </w:p>
    <w:p>
      <w:pPr>
        <w:pStyle w:val="Indenta"/>
        <w:rPr>
          <w:ins w:id="412" w:author="svcMRProcess" w:date="2020-02-11T14:00:00Z"/>
        </w:rPr>
      </w:pPr>
      <w:ins w:id="413" w:author="svcMRProcess" w:date="2020-02-11T14:00:00Z">
        <w:r>
          <w:tab/>
          <w:t>(b)</w:t>
        </w:r>
        <w:r>
          <w:tab/>
          <w:t>insert a statement in the annual report to the effect that information has been excluded from the report under this section.</w:t>
        </w:r>
      </w:ins>
    </w:p>
    <w:p>
      <w:pPr>
        <w:pStyle w:val="Subsection"/>
        <w:rPr>
          <w:ins w:id="414" w:author="svcMRProcess" w:date="2020-02-11T14:00:00Z"/>
        </w:rPr>
      </w:pPr>
      <w:ins w:id="415" w:author="svcMRProcess" w:date="2020-02-11T14:00:00Z">
        <w:r>
          <w:tab/>
          <w:t>(8)</w:t>
        </w:r>
        <w:r>
          <w:tab/>
          <w:t>The accountable authority must comply with a direction under subsection (7).</w:t>
        </w:r>
      </w:ins>
    </w:p>
    <w:p>
      <w:pPr>
        <w:pStyle w:val="Footnotesection"/>
        <w:rPr>
          <w:ins w:id="416" w:author="svcMRProcess" w:date="2020-02-11T14:00:00Z"/>
        </w:rPr>
      </w:pPr>
      <w:ins w:id="417" w:author="svcMRProcess" w:date="2020-02-11T14:00:00Z">
        <w:r>
          <w:tab/>
          <w:t>[Section 66D inserted: No. 15 of 2019 s. 11.]</w:t>
        </w:r>
      </w:ins>
    </w:p>
    <w:p>
      <w:pPr>
        <w:pStyle w:val="Heading5"/>
        <w:rPr>
          <w:snapToGrid w:val="0"/>
        </w:rPr>
      </w:pPr>
      <w:bookmarkStart w:id="418" w:name="_Toc32233034"/>
      <w:bookmarkStart w:id="419" w:name="_Toc25669276"/>
      <w:r>
        <w:rPr>
          <w:rStyle w:val="CharSectno"/>
        </w:rPr>
        <w:t>67</w:t>
      </w:r>
      <w:r>
        <w:rPr>
          <w:snapToGrid w:val="0"/>
        </w:rPr>
        <w:t>.</w:t>
      </w:r>
      <w:r>
        <w:rPr>
          <w:snapToGrid w:val="0"/>
        </w:rPr>
        <w:tab/>
        <w:t>Regulations</w:t>
      </w:r>
      <w:bookmarkEnd w:id="418"/>
      <w:bookmarkEnd w:id="41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rPr>
          <w:ins w:id="420" w:author="svcMRProcess" w:date="2020-02-11T14:00:00Z"/>
        </w:rPr>
      </w:pPr>
      <w:bookmarkStart w:id="421" w:name="_Toc32233035"/>
      <w:ins w:id="422" w:author="svcMRProcess" w:date="2020-02-11T14:00:00Z">
        <w:r>
          <w:rPr>
            <w:rStyle w:val="CharSectno"/>
          </w:rPr>
          <w:t>67A</w:t>
        </w:r>
        <w:r>
          <w:t>.</w:t>
        </w:r>
        <w:r>
          <w:tab/>
          <w:t xml:space="preserve">Review of amendments made by </w:t>
        </w:r>
        <w:r>
          <w:rPr>
            <w:i/>
          </w:rPr>
          <w:t>Bail Amendment (Persons Linked to Terrorism) Act 2019</w:t>
        </w:r>
        <w:bookmarkEnd w:id="421"/>
      </w:ins>
    </w:p>
    <w:p>
      <w:pPr>
        <w:pStyle w:val="Subsection"/>
        <w:rPr>
          <w:ins w:id="423" w:author="svcMRProcess" w:date="2020-02-11T14:00:00Z"/>
        </w:rPr>
      </w:pPr>
      <w:ins w:id="424" w:author="svcMRProcess" w:date="2020-02-11T14:00:00Z">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ins>
    </w:p>
    <w:p>
      <w:pPr>
        <w:pStyle w:val="Indenta"/>
        <w:rPr>
          <w:ins w:id="425" w:author="svcMRProcess" w:date="2020-02-11T14:00:00Z"/>
        </w:rPr>
      </w:pPr>
      <w:ins w:id="426" w:author="svcMRProcess" w:date="2020-02-11T14:00:00Z">
        <w:r>
          <w:tab/>
          <w:t>(a)</w:t>
        </w:r>
        <w:r>
          <w:tab/>
          <w:t xml:space="preserve">as soon as practicable after the 3rd anniversary of the day on which the </w:t>
        </w:r>
        <w:r>
          <w:rPr>
            <w:i/>
          </w:rPr>
          <w:t>Bail Amendment (Persons Linked to Terrorism) Act 2019</w:t>
        </w:r>
        <w:r>
          <w:t xml:space="preserve"> section 12 comes into operation; and</w:t>
        </w:r>
      </w:ins>
    </w:p>
    <w:p>
      <w:pPr>
        <w:pStyle w:val="Indenta"/>
        <w:rPr>
          <w:ins w:id="427" w:author="svcMRProcess" w:date="2020-02-11T14:00:00Z"/>
        </w:rPr>
      </w:pPr>
      <w:ins w:id="428" w:author="svcMRProcess" w:date="2020-02-11T14:00:00Z">
        <w:r>
          <w:tab/>
          <w:t>(b)</w:t>
        </w:r>
        <w:r>
          <w:tab/>
          <w:t>after that, at intervals of not more than 3 years.</w:t>
        </w:r>
      </w:ins>
    </w:p>
    <w:p>
      <w:pPr>
        <w:pStyle w:val="Subsection"/>
        <w:rPr>
          <w:ins w:id="429" w:author="svcMRProcess" w:date="2020-02-11T14:00:00Z"/>
        </w:rPr>
      </w:pPr>
      <w:ins w:id="430" w:author="svcMRProcess" w:date="2020-02-11T14:00:00Z">
        <w:r>
          <w:tab/>
          <w:t>(2)</w:t>
        </w:r>
        <w:r>
          <w:tab/>
          <w:t>The Minister must cause the report to be laid before each House of Parliament as soon as practicable after it is prepared, but not later than 90 days after the 3rd anniversary or the expiry of the period of 3 years, as the case may be.</w:t>
        </w:r>
      </w:ins>
    </w:p>
    <w:p>
      <w:pPr>
        <w:pStyle w:val="Footnotesection"/>
        <w:rPr>
          <w:ins w:id="431" w:author="svcMRProcess" w:date="2020-02-11T14:00:00Z"/>
        </w:rPr>
      </w:pPr>
      <w:ins w:id="432" w:author="svcMRProcess" w:date="2020-02-11T14:00:00Z">
        <w:r>
          <w:t xml:space="preserve"> </w:t>
        </w:r>
        <w:r>
          <w:tab/>
          <w:t>[Section 67A inserted: No. 15 of 2019 s. 12.]</w:t>
        </w:r>
      </w:ins>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33" w:name="_Toc32232884"/>
      <w:bookmarkStart w:id="434" w:name="_Toc32233036"/>
      <w:bookmarkStart w:id="435" w:name="_Toc24637521"/>
      <w:bookmarkStart w:id="436" w:name="_Toc25669277"/>
      <w:r>
        <w:rPr>
          <w:rStyle w:val="CharSchNo"/>
        </w:rPr>
        <w:t>Schedule 1</w:t>
      </w:r>
      <w:r>
        <w:t> — </w:t>
      </w:r>
      <w:r>
        <w:rPr>
          <w:rStyle w:val="CharSchText"/>
        </w:rPr>
        <w:t>Jurisdiction as to bail and related matters</w:t>
      </w:r>
      <w:bookmarkEnd w:id="433"/>
      <w:bookmarkEnd w:id="434"/>
      <w:bookmarkEnd w:id="435"/>
      <w:bookmarkEnd w:id="436"/>
    </w:p>
    <w:p>
      <w:pPr>
        <w:pStyle w:val="yShoulderClause"/>
      </w:pPr>
      <w:r>
        <w:t>[s. 13, 17]</w:t>
      </w:r>
    </w:p>
    <w:p>
      <w:pPr>
        <w:pStyle w:val="yFootnoteheading"/>
      </w:pPr>
      <w:r>
        <w:tab/>
        <w:t>[Heading inserted: No. 6 of 2008 s. 41(1).]</w:t>
      </w:r>
    </w:p>
    <w:p>
      <w:pPr>
        <w:pStyle w:val="yHeading3"/>
        <w:outlineLvl w:val="0"/>
      </w:pPr>
      <w:bookmarkStart w:id="437" w:name="_Toc32232885"/>
      <w:bookmarkStart w:id="438" w:name="_Toc32233037"/>
      <w:bookmarkStart w:id="439" w:name="_Toc24637522"/>
      <w:bookmarkStart w:id="440" w:name="_Toc25669278"/>
      <w:r>
        <w:rPr>
          <w:rStyle w:val="CharSDivNo"/>
        </w:rPr>
        <w:t>Part A</w:t>
      </w:r>
      <w:r>
        <w:rPr>
          <w:b w:val="0"/>
        </w:rPr>
        <w:t> — </w:t>
      </w:r>
      <w:r>
        <w:rPr>
          <w:rStyle w:val="CharSDivText"/>
        </w:rPr>
        <w:t>Jurisdiction relating to bail</w:t>
      </w:r>
      <w:bookmarkEnd w:id="437"/>
      <w:bookmarkEnd w:id="438"/>
      <w:bookmarkEnd w:id="439"/>
      <w:bookmarkEnd w:id="440"/>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441" w:name="_Toc32233038"/>
            <w:bookmarkStart w:id="442" w:name="_Toc25669279"/>
            <w:r>
              <w:rPr>
                <w:rStyle w:val="CharSClsNo"/>
                <w:bCs/>
              </w:rPr>
              <w:t>1</w:t>
            </w:r>
            <w:r>
              <w:t xml:space="preserve">. </w:t>
            </w:r>
            <w:r>
              <w:rPr>
                <w:b w:val="0"/>
              </w:rPr>
              <w:tab/>
            </w:r>
            <w:r>
              <w:t>Initial appearance</w:t>
            </w:r>
            <w:bookmarkEnd w:id="441"/>
            <w:bookmarkEnd w:id="442"/>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443" w:name="_Toc32233039"/>
            <w:bookmarkStart w:id="444" w:name="_Toc25669280"/>
            <w:r>
              <w:rPr>
                <w:rStyle w:val="CharSClsNo"/>
                <w:bCs/>
              </w:rPr>
              <w:t>2</w:t>
            </w:r>
            <w:r>
              <w:t xml:space="preserve">. </w:t>
            </w:r>
            <w:r>
              <w:rPr>
                <w:b w:val="0"/>
              </w:rPr>
              <w:tab/>
            </w:r>
            <w:r>
              <w:rPr>
                <w:rStyle w:val="CharSClsNo"/>
                <w:bCs/>
              </w:rPr>
              <w:t>Appearance after adjournment</w:t>
            </w:r>
            <w:bookmarkEnd w:id="443"/>
            <w:bookmarkEnd w:id="444"/>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445" w:name="_Toc32233040"/>
            <w:bookmarkStart w:id="446" w:name="_Toc25669281"/>
            <w:r>
              <w:rPr>
                <w:rStyle w:val="CharSClsNo"/>
                <w:bCs/>
              </w:rPr>
              <w:t>3.</w:t>
            </w:r>
            <w:r>
              <w:t xml:space="preserve"> </w:t>
            </w:r>
            <w:r>
              <w:rPr>
                <w:b w:val="0"/>
              </w:rPr>
              <w:tab/>
            </w:r>
            <w:r>
              <w:rPr>
                <w:rStyle w:val="CharSClsNo"/>
                <w:bCs/>
              </w:rPr>
              <w:t>Appearance on committal to Supreme Court or District Court</w:t>
            </w:r>
            <w:bookmarkEnd w:id="445"/>
            <w:bookmarkEnd w:id="446"/>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447" w:name="_Toc32233041"/>
            <w:bookmarkStart w:id="448" w:name="_Toc25669282"/>
            <w:r>
              <w:rPr>
                <w:rStyle w:val="CharSClsNo"/>
                <w:bCs/>
              </w:rPr>
              <w:t>4</w:t>
            </w:r>
            <w:r>
              <w:t xml:space="preserve">. </w:t>
            </w:r>
            <w:r>
              <w:tab/>
            </w:r>
            <w:r>
              <w:rPr>
                <w:rStyle w:val="CharSClsNo"/>
                <w:bCs/>
              </w:rPr>
              <w:t>Appearance in connection with appeal, rehearing etc.</w:t>
            </w:r>
            <w:bookmarkEnd w:id="447"/>
            <w:bookmarkEnd w:id="448"/>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449" w:name="_Toc32233042"/>
            <w:bookmarkStart w:id="450" w:name="_Toc25669283"/>
            <w:r>
              <w:rPr>
                <w:rStyle w:val="CharSClsNo"/>
                <w:bCs/>
              </w:rPr>
              <w:t>5</w:t>
            </w:r>
            <w:r>
              <w:t xml:space="preserve">. </w:t>
            </w:r>
            <w:r>
              <w:tab/>
            </w:r>
            <w:r>
              <w:rPr>
                <w:rStyle w:val="CharSClsNo"/>
                <w:bCs/>
              </w:rPr>
              <w:t>Appearance prescribed by regulation</w:t>
            </w:r>
            <w:bookmarkEnd w:id="449"/>
            <w:bookmarkEnd w:id="450"/>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451" w:name="_Toc32233043"/>
            <w:bookmarkStart w:id="452" w:name="_Toc25669284"/>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451"/>
            <w:bookmarkEnd w:id="452"/>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453" w:name="_Toc32233044"/>
      <w:bookmarkStart w:id="454" w:name="_Toc25669285"/>
      <w:r>
        <w:rPr>
          <w:rStyle w:val="CharSClsNo"/>
        </w:rPr>
        <w:t>7</w:t>
      </w:r>
      <w:r>
        <w:t>.</w:t>
      </w:r>
      <w:r>
        <w:rPr>
          <w:b w:val="0"/>
        </w:rPr>
        <w:tab/>
      </w:r>
      <w:r>
        <w:t>Term used: proceedings for an offence</w:t>
      </w:r>
      <w:bookmarkEnd w:id="453"/>
      <w:bookmarkEnd w:id="454"/>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455" w:name="_Toc32232893"/>
      <w:bookmarkStart w:id="456" w:name="_Toc32233045"/>
      <w:bookmarkStart w:id="457" w:name="_Toc24637530"/>
      <w:bookmarkStart w:id="458" w:name="_Toc25669286"/>
      <w:r>
        <w:rPr>
          <w:rStyle w:val="CharSDivNo"/>
        </w:rPr>
        <w:t>Part B</w:t>
      </w:r>
      <w:r>
        <w:rPr>
          <w:b w:val="0"/>
        </w:rPr>
        <w:t> — </w:t>
      </w:r>
      <w:r>
        <w:rPr>
          <w:rStyle w:val="CharSDivText"/>
        </w:rPr>
        <w:t>Cessation of powers relating to bail</w:t>
      </w:r>
      <w:bookmarkEnd w:id="455"/>
      <w:bookmarkEnd w:id="456"/>
      <w:bookmarkEnd w:id="457"/>
      <w:bookmarkEnd w:id="458"/>
    </w:p>
    <w:p>
      <w:pPr>
        <w:pStyle w:val="yFootnoteheading"/>
        <w:keepNext/>
        <w:keepLines/>
      </w:pPr>
      <w:r>
        <w:tab/>
        <w:t>[Heading inserted: No. 6 of 2008 s. 41(3)(a).]</w:t>
      </w:r>
    </w:p>
    <w:p>
      <w:pPr>
        <w:pStyle w:val="yHeading5"/>
        <w:outlineLvl w:val="0"/>
        <w:rPr>
          <w:snapToGrid w:val="0"/>
        </w:rPr>
      </w:pPr>
      <w:bookmarkStart w:id="459" w:name="_Toc32233046"/>
      <w:bookmarkStart w:id="460" w:name="_Toc25669287"/>
      <w:r>
        <w:rPr>
          <w:rStyle w:val="CharSClsNo"/>
        </w:rPr>
        <w:t>1</w:t>
      </w:r>
      <w:r>
        <w:rPr>
          <w:snapToGrid w:val="0"/>
        </w:rPr>
        <w:t>.</w:t>
      </w:r>
      <w:r>
        <w:rPr>
          <w:snapToGrid w:val="0"/>
        </w:rPr>
        <w:tab/>
        <w:t>Upon decision by judge, power of other officers ceases</w:t>
      </w:r>
      <w:bookmarkEnd w:id="459"/>
      <w:bookmarkEnd w:id="460"/>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461" w:name="_Toc32233047"/>
      <w:bookmarkStart w:id="462" w:name="_Toc25669288"/>
      <w:r>
        <w:rPr>
          <w:rStyle w:val="CharSClsNo"/>
        </w:rPr>
        <w:t>1A</w:t>
      </w:r>
      <w:r>
        <w:rPr>
          <w:snapToGrid w:val="0"/>
        </w:rPr>
        <w:t>.</w:t>
      </w:r>
      <w:r>
        <w:rPr>
          <w:b w:val="0"/>
          <w:snapToGrid w:val="0"/>
        </w:rPr>
        <w:tab/>
      </w:r>
      <w:r>
        <w:rPr>
          <w:snapToGrid w:val="0"/>
        </w:rPr>
        <w:t>Upon decision by Court of Appeal, other powers cease</w:t>
      </w:r>
      <w:bookmarkEnd w:id="461"/>
      <w:bookmarkEnd w:id="462"/>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463" w:name="_Toc32233048"/>
      <w:bookmarkStart w:id="464" w:name="_Toc25669289"/>
      <w:r>
        <w:rPr>
          <w:rStyle w:val="CharSClsNo"/>
        </w:rPr>
        <w:t>2</w:t>
      </w:r>
      <w:r>
        <w:rPr>
          <w:snapToGrid w:val="0"/>
        </w:rPr>
        <w:t>.</w:t>
      </w:r>
      <w:r>
        <w:rPr>
          <w:snapToGrid w:val="0"/>
        </w:rPr>
        <w:tab/>
        <w:t>Upon decision by judicial officer, his power and that of his peers ceases</w:t>
      </w:r>
      <w:bookmarkEnd w:id="463"/>
      <w:bookmarkEnd w:id="464"/>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465" w:name="_Toc32233049"/>
      <w:bookmarkStart w:id="466" w:name="_Toc25669290"/>
      <w:r>
        <w:rPr>
          <w:rStyle w:val="CharSClsNo"/>
        </w:rPr>
        <w:t>3</w:t>
      </w:r>
      <w:r>
        <w:rPr>
          <w:snapToGrid w:val="0"/>
        </w:rPr>
        <w:t>.</w:t>
      </w:r>
      <w:r>
        <w:rPr>
          <w:snapToGrid w:val="0"/>
        </w:rPr>
        <w:tab/>
        <w:t>Upon refusal of bail for initial appearance, certain powers cease</w:t>
      </w:r>
      <w:bookmarkEnd w:id="465"/>
      <w:bookmarkEnd w:id="466"/>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467" w:name="_Toc32233050"/>
      <w:bookmarkStart w:id="468" w:name="_Toc25669291"/>
      <w:r>
        <w:rPr>
          <w:rStyle w:val="CharSClsNo"/>
        </w:rPr>
        <w:t>4</w:t>
      </w:r>
      <w:r>
        <w:rPr>
          <w:snapToGrid w:val="0"/>
        </w:rPr>
        <w:t>.</w:t>
      </w:r>
      <w:r>
        <w:rPr>
          <w:snapToGrid w:val="0"/>
        </w:rPr>
        <w:tab/>
        <w:t>Judicial officer’s powers if accused proves new facts or changed circumstances</w:t>
      </w:r>
      <w:bookmarkEnd w:id="467"/>
      <w:bookmarkEnd w:id="468"/>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469" w:name="_Toc32232899"/>
      <w:bookmarkStart w:id="470" w:name="_Toc32233051"/>
      <w:bookmarkStart w:id="471" w:name="_Toc24637536"/>
      <w:bookmarkStart w:id="472" w:name="_Toc25669292"/>
      <w:r>
        <w:rPr>
          <w:rStyle w:val="CharSDivNo"/>
        </w:rPr>
        <w:t>Part C</w:t>
      </w:r>
      <w:r>
        <w:t> — </w:t>
      </w:r>
      <w:r>
        <w:rPr>
          <w:rStyle w:val="CharSDivText"/>
        </w:rPr>
        <w:t>Manner in which jurisdiction to be exercised</w:t>
      </w:r>
      <w:bookmarkEnd w:id="469"/>
      <w:bookmarkEnd w:id="470"/>
      <w:bookmarkEnd w:id="471"/>
      <w:bookmarkEnd w:id="472"/>
    </w:p>
    <w:p>
      <w:pPr>
        <w:pStyle w:val="yFootnoteheading"/>
      </w:pPr>
      <w:r>
        <w:tab/>
        <w:t>[Heading deleted: No. 6 of 2008 s. 41(4)(a).]</w:t>
      </w:r>
    </w:p>
    <w:p>
      <w:pPr>
        <w:pStyle w:val="yHeading5"/>
        <w:spacing w:before="160"/>
        <w:rPr>
          <w:snapToGrid w:val="0"/>
        </w:rPr>
      </w:pPr>
      <w:bookmarkStart w:id="473" w:name="_Toc32233052"/>
      <w:bookmarkStart w:id="474" w:name="_Toc25669293"/>
      <w:r>
        <w:rPr>
          <w:rStyle w:val="CharSClsNo"/>
        </w:rPr>
        <w:t>1</w:t>
      </w:r>
      <w:r>
        <w:rPr>
          <w:snapToGrid w:val="0"/>
        </w:rPr>
        <w:t>.</w:t>
      </w:r>
      <w:r>
        <w:rPr>
          <w:snapToGrid w:val="0"/>
        </w:rPr>
        <w:tab/>
        <w:t>Bail before conviction at discretion of court or judicial officer except for child</w:t>
      </w:r>
      <w:bookmarkEnd w:id="473"/>
      <w:bookmarkEnd w:id="474"/>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clauses 3A, 3C</w:t>
      </w:r>
      <w:ins w:id="475" w:author="svcMRProcess" w:date="2020-02-11T14:00:00Z">
        <w:r>
          <w:rPr>
            <w:szCs w:val="22"/>
          </w:rPr>
          <w:t>, 3D</w:t>
        </w:r>
      </w:ins>
      <w:r>
        <w:rPr>
          <w:szCs w:val="22"/>
        </w:rPr>
        <w:t xml:space="preserve"> and </w:t>
      </w:r>
      <w:del w:id="476" w:author="svcMRProcess" w:date="2020-02-11T14:00:00Z">
        <w:r>
          <w:rPr>
            <w:szCs w:val="22"/>
          </w:rPr>
          <w:delText>3D</w:delText>
        </w:r>
      </w:del>
      <w:ins w:id="477" w:author="svcMRProcess" w:date="2020-02-11T14:00:00Z">
        <w:r>
          <w:rPr>
            <w:szCs w:val="22"/>
          </w:rPr>
          <w:t>3E</w:t>
        </w:r>
      </w:ins>
      <w:r>
        <w:rPr>
          <w:szCs w:val="22"/>
        </w:rPr>
        <w:t xml:space="preserve">,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w:t>
      </w:r>
      <w:del w:id="478" w:author="svcMRProcess" w:date="2020-02-11T14:00:00Z">
        <w:r>
          <w:delText>7.]</w:delText>
        </w:r>
      </w:del>
      <w:ins w:id="479" w:author="svcMRProcess" w:date="2020-02-11T14:00:00Z">
        <w:r>
          <w:t>7; No. 15 of 2019 s. 13(1).]</w:t>
        </w:r>
      </w:ins>
    </w:p>
    <w:p>
      <w:pPr>
        <w:pStyle w:val="yHeading5"/>
        <w:spacing w:before="240"/>
        <w:rPr>
          <w:snapToGrid w:val="0"/>
        </w:rPr>
      </w:pPr>
      <w:bookmarkStart w:id="480" w:name="_Toc32233053"/>
      <w:bookmarkStart w:id="481" w:name="_Toc25669294"/>
      <w:r>
        <w:rPr>
          <w:rStyle w:val="CharSClsNo"/>
        </w:rPr>
        <w:t>2</w:t>
      </w:r>
      <w:r>
        <w:rPr>
          <w:snapToGrid w:val="0"/>
        </w:rPr>
        <w:t>.</w:t>
      </w:r>
      <w:r>
        <w:rPr>
          <w:snapToGrid w:val="0"/>
        </w:rPr>
        <w:tab/>
        <w:t>Child to have qualified right to bail</w:t>
      </w:r>
      <w:bookmarkEnd w:id="480"/>
      <w:bookmarkEnd w:id="481"/>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w:t>
      </w:r>
      <w:ins w:id="482" w:author="svcMRProcess" w:date="2020-02-11T14:00:00Z">
        <w:r>
          <w:t>, 3D</w:t>
        </w:r>
      </w:ins>
      <w:r>
        <w:t xml:space="preserve"> and </w:t>
      </w:r>
      <w:del w:id="483" w:author="svcMRProcess" w:date="2020-02-11T14:00:00Z">
        <w:r>
          <w:delText>3D</w:delText>
        </w:r>
      </w:del>
      <w:ins w:id="484" w:author="svcMRProcess" w:date="2020-02-11T14:00:00Z">
        <w:r>
          <w:t>3E</w:t>
        </w:r>
      </w:ins>
      <w:r>
        <w:t>;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w:t>
      </w:r>
      <w:del w:id="485" w:author="svcMRProcess" w:date="2020-02-11T14:00:00Z">
        <w:r>
          <w:delText>8.]</w:delText>
        </w:r>
      </w:del>
      <w:ins w:id="486" w:author="svcMRProcess" w:date="2020-02-11T14:00:00Z">
        <w:r>
          <w:t>8; No. 15 of 2019 s. 13(2).]</w:t>
        </w:r>
      </w:ins>
    </w:p>
    <w:p>
      <w:pPr>
        <w:pStyle w:val="yHeading5"/>
        <w:keepNext w:val="0"/>
        <w:keepLines w:val="0"/>
        <w:pageBreakBefore/>
        <w:spacing w:before="0"/>
        <w:rPr>
          <w:snapToGrid w:val="0"/>
        </w:rPr>
      </w:pPr>
      <w:bookmarkStart w:id="487" w:name="_Toc32233054"/>
      <w:bookmarkStart w:id="488" w:name="_Toc25669295"/>
      <w:r>
        <w:rPr>
          <w:rStyle w:val="CharSClsNo"/>
        </w:rPr>
        <w:t>3</w:t>
      </w:r>
      <w:r>
        <w:rPr>
          <w:snapToGrid w:val="0"/>
        </w:rPr>
        <w:t>.</w:t>
      </w:r>
      <w:r>
        <w:rPr>
          <w:snapToGrid w:val="0"/>
        </w:rPr>
        <w:tab/>
        <w:t>Matters relevant to cl. 1(a)</w:t>
      </w:r>
      <w:bookmarkEnd w:id="487"/>
      <w:bookmarkEnd w:id="488"/>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489" w:name="_Toc32233055"/>
      <w:bookmarkStart w:id="490" w:name="_Toc25669296"/>
      <w:r>
        <w:rPr>
          <w:rStyle w:val="CharSClsNo"/>
        </w:rPr>
        <w:t>3A</w:t>
      </w:r>
      <w:r>
        <w:rPr>
          <w:snapToGrid w:val="0"/>
        </w:rPr>
        <w:t>.</w:t>
      </w:r>
      <w:r>
        <w:rPr>
          <w:snapToGrid w:val="0"/>
        </w:rPr>
        <w:tab/>
        <w:t>Bail for accused charged with serious offence committed while on bail or early release for another serious offence</w:t>
      </w:r>
      <w:bookmarkEnd w:id="489"/>
      <w:bookmarkEnd w:id="490"/>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491" w:name="_Toc32233056"/>
      <w:bookmarkStart w:id="492" w:name="_Toc25669297"/>
      <w:r>
        <w:rPr>
          <w:rStyle w:val="CharSClsNo"/>
        </w:rPr>
        <w:t>3B</w:t>
      </w:r>
      <w:r>
        <w:t>.</w:t>
      </w:r>
      <w:r>
        <w:tab/>
        <w:t>Exceptional reasons under cl. 3A(1), determining</w:t>
      </w:r>
      <w:bookmarkEnd w:id="491"/>
      <w:bookmarkEnd w:id="492"/>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del w:id="493" w:author="svcMRProcess" w:date="2020-02-11T14:00:00Z">
        <w:r>
          <w:rPr>
            <w:iCs/>
            <w:vertAlign w:val="superscript"/>
          </w:rPr>
          <w:delText>3</w:delText>
        </w:r>
      </w:del>
      <w:ins w:id="494" w:author="svcMRProcess" w:date="2020-02-11T14:00:00Z">
        <w:r>
          <w:rPr>
            <w:iCs/>
            <w:vertAlign w:val="superscript"/>
          </w:rPr>
          <w:t>2</w:t>
        </w:r>
      </w:ins>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495" w:name="_Toc32233057"/>
      <w:bookmarkStart w:id="496" w:name="_Toc25669298"/>
      <w:r>
        <w:rPr>
          <w:rStyle w:val="CharSClsNo"/>
        </w:rPr>
        <w:t>3C</w:t>
      </w:r>
      <w:r>
        <w:rPr>
          <w:snapToGrid w:val="0"/>
        </w:rPr>
        <w:t>.</w:t>
      </w:r>
      <w:r>
        <w:rPr>
          <w:snapToGrid w:val="0"/>
        </w:rPr>
        <w:tab/>
        <w:t>Bail in murder cases</w:t>
      </w:r>
      <w:bookmarkEnd w:id="495"/>
      <w:bookmarkEnd w:id="496"/>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497" w:name="_Toc32233058"/>
      <w:bookmarkStart w:id="498" w:name="_Toc25669299"/>
      <w:r>
        <w:rPr>
          <w:rStyle w:val="CharSClsNo"/>
        </w:rPr>
        <w:t>3D</w:t>
      </w:r>
      <w:r>
        <w:t>.</w:t>
      </w:r>
      <w:r>
        <w:tab/>
        <w:t xml:space="preserve">Bail in cases of offence under </w:t>
      </w:r>
      <w:r>
        <w:rPr>
          <w:i/>
        </w:rPr>
        <w:t>Dangerous Sexual Offenders Act 2006</w:t>
      </w:r>
      <w:r>
        <w:t xml:space="preserve"> section 40A</w:t>
      </w:r>
      <w:bookmarkEnd w:id="497"/>
      <w:bookmarkEnd w:id="498"/>
    </w:p>
    <w:p>
      <w:pPr>
        <w:pStyle w:val="ySubsection"/>
      </w:pPr>
      <w:r>
        <w:tab/>
        <w:t>(1)</w:t>
      </w:r>
      <w:r>
        <w:tab/>
        <w:t xml:space="preserve">In this clause — </w:t>
      </w:r>
    </w:p>
    <w:p>
      <w:pPr>
        <w:pStyle w:val="yDefstart"/>
      </w:pPr>
      <w:r>
        <w:tab/>
      </w:r>
      <w:r>
        <w:rPr>
          <w:rStyle w:val="CharDefText"/>
        </w:rPr>
        <w:t>section 40A offence</w:t>
      </w:r>
      <w:r>
        <w:t xml:space="preserve"> means the offence under the </w:t>
      </w:r>
      <w:r>
        <w:rPr>
          <w:i/>
        </w:rPr>
        <w:t>Dangerous Sexual Offenders Act 2006</w:t>
      </w:r>
      <w:r>
        <w:t xml:space="preserve"> section 40A of contravening a requirement of a supervision order;</w:t>
      </w:r>
    </w:p>
    <w:p>
      <w:pPr>
        <w:pStyle w:val="yDefstart"/>
      </w:pPr>
      <w:r>
        <w:tab/>
      </w:r>
      <w:r>
        <w:rPr>
          <w:rStyle w:val="CharDefText"/>
        </w:rPr>
        <w:t>victim</w:t>
      </w:r>
      <w:r>
        <w:t xml:space="preserve"> has the meaning given in the </w:t>
      </w:r>
      <w:r>
        <w:rPr>
          <w:i/>
        </w:rPr>
        <w:t>Dangerous Sexual Offenders Act 2006</w:t>
      </w:r>
      <w:r>
        <w:t xml:space="preserve"> section 3(1).</w:t>
      </w:r>
    </w:p>
    <w:p>
      <w:pPr>
        <w:pStyle w:val="ySubsection"/>
      </w:pPr>
      <w:r>
        <w:tab/>
        <w:t>(2)</w:t>
      </w:r>
      <w:r>
        <w:tab/>
        <w:t xml:space="preserve">This clause applies where an accused is in custody — </w:t>
      </w:r>
    </w:p>
    <w:p>
      <w:pPr>
        <w:pStyle w:val="yIndenta"/>
      </w:pPr>
      <w:r>
        <w:tab/>
        <w:t>(a)</w:t>
      </w:r>
      <w:r>
        <w:tab/>
        <w:t>awaiting an appearance in court before conviction for a section 40A offence; or</w:t>
      </w:r>
    </w:p>
    <w:p>
      <w:pPr>
        <w:pStyle w:val="yIndenta"/>
      </w:pPr>
      <w:r>
        <w:tab/>
        <w:t>(b)</w:t>
      </w:r>
      <w:r>
        <w:tab/>
        <w:t>waiting to be sentenced or otherwise dealt with for a section 40A offence 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w:t>
      </w:r>
    </w:p>
    <w:p>
      <w:pPr>
        <w:pStyle w:val="yHeading5"/>
        <w:rPr>
          <w:ins w:id="499" w:author="svcMRProcess" w:date="2020-02-11T14:00:00Z"/>
        </w:rPr>
      </w:pPr>
      <w:bookmarkStart w:id="500" w:name="_Toc32233059"/>
      <w:ins w:id="501" w:author="svcMRProcess" w:date="2020-02-11T14:00:00Z">
        <w:r>
          <w:rPr>
            <w:rStyle w:val="CharSClsNo"/>
          </w:rPr>
          <w:t>3E</w:t>
        </w:r>
        <w:r>
          <w:t>.</w:t>
        </w:r>
        <w:r>
          <w:tab/>
          <w:t>Bail in cases of person linked to terrorism</w:t>
        </w:r>
        <w:bookmarkEnd w:id="500"/>
      </w:ins>
    </w:p>
    <w:p>
      <w:pPr>
        <w:pStyle w:val="ySubsection"/>
        <w:rPr>
          <w:ins w:id="502" w:author="svcMRProcess" w:date="2020-02-11T14:00:00Z"/>
        </w:rPr>
      </w:pPr>
      <w:ins w:id="503" w:author="svcMRProcess" w:date="2020-02-11T14:00:00Z">
        <w:r>
          <w:tab/>
          <w:t>(1)</w:t>
        </w:r>
        <w:r>
          <w:tab/>
          <w:t xml:space="preserve">This clause applies where an accused who is a person linked to terrorism is in custody — </w:t>
        </w:r>
      </w:ins>
    </w:p>
    <w:p>
      <w:pPr>
        <w:pStyle w:val="yIndenta"/>
        <w:rPr>
          <w:ins w:id="504" w:author="svcMRProcess" w:date="2020-02-11T14:00:00Z"/>
        </w:rPr>
      </w:pPr>
      <w:ins w:id="505" w:author="svcMRProcess" w:date="2020-02-11T14:00:00Z">
        <w:r>
          <w:tab/>
          <w:t>(a)</w:t>
        </w:r>
        <w:r>
          <w:tab/>
          <w:t>awaiting an appearance in court before conviction for an offence; or</w:t>
        </w:r>
      </w:ins>
    </w:p>
    <w:p>
      <w:pPr>
        <w:pStyle w:val="yIndenta"/>
        <w:rPr>
          <w:ins w:id="506" w:author="svcMRProcess" w:date="2020-02-11T14:00:00Z"/>
        </w:rPr>
      </w:pPr>
      <w:ins w:id="507" w:author="svcMRProcess" w:date="2020-02-11T14:00:00Z">
        <w:r>
          <w:tab/>
          <w:t>(b)</w:t>
        </w:r>
        <w:r>
          <w:tab/>
          <w:t>waiting to be sentenced or otherwise dealt with for an offence of which the accused has been convicted.</w:t>
        </w:r>
      </w:ins>
    </w:p>
    <w:p>
      <w:pPr>
        <w:pStyle w:val="ySubsection"/>
        <w:rPr>
          <w:ins w:id="508" w:author="svcMRProcess" w:date="2020-02-11T14:00:00Z"/>
        </w:rPr>
      </w:pPr>
      <w:ins w:id="509" w:author="svcMRProcess" w:date="2020-02-11T14:00:00Z">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ins>
    </w:p>
    <w:p>
      <w:pPr>
        <w:pStyle w:val="yIndenta"/>
        <w:rPr>
          <w:ins w:id="510" w:author="svcMRProcess" w:date="2020-02-11T14:00:00Z"/>
        </w:rPr>
      </w:pPr>
      <w:ins w:id="511" w:author="svcMRProcess" w:date="2020-02-11T14:00:00Z">
        <w:r>
          <w:tab/>
          <w:t>(a)</w:t>
        </w:r>
        <w:r>
          <w:tab/>
          <w:t>there are exceptional reasons why the accused should not be kept in custody; and</w:t>
        </w:r>
      </w:ins>
    </w:p>
    <w:p>
      <w:pPr>
        <w:pStyle w:val="yIndenta"/>
        <w:rPr>
          <w:ins w:id="512" w:author="svcMRProcess" w:date="2020-02-11T14:00:00Z"/>
        </w:rPr>
      </w:pPr>
      <w:ins w:id="513" w:author="svcMRProcess" w:date="2020-02-11T14:00:00Z">
        <w:r>
          <w:tab/>
          <w:t>(b)</w:t>
        </w:r>
        <w:r>
          <w:tab/>
          <w:t>bail may properly be granted having regard to the provisions of clauses 1 and 3 or, in the case of a child, clauses 2 and 3.</w:t>
        </w:r>
      </w:ins>
    </w:p>
    <w:p>
      <w:pPr>
        <w:pStyle w:val="ySubsection"/>
        <w:rPr>
          <w:ins w:id="514" w:author="svcMRProcess" w:date="2020-02-11T14:00:00Z"/>
        </w:rPr>
      </w:pPr>
      <w:ins w:id="515" w:author="svcMRProcess" w:date="2020-02-11T14:00:00Z">
        <w:r>
          <w:tab/>
          <w:t>(3)</w:t>
        </w:r>
        <w:r>
          <w:tab/>
          <w:t xml:space="preserve">The judicial officer must, in making any decision for the purposes of subclause (2)(a) — </w:t>
        </w:r>
      </w:ins>
    </w:p>
    <w:p>
      <w:pPr>
        <w:pStyle w:val="yIndenta"/>
        <w:rPr>
          <w:ins w:id="516" w:author="svcMRProcess" w:date="2020-02-11T14:00:00Z"/>
        </w:rPr>
      </w:pPr>
      <w:ins w:id="517" w:author="svcMRProcess" w:date="2020-02-11T14:00:00Z">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ins>
    </w:p>
    <w:p>
      <w:pPr>
        <w:pStyle w:val="yIndenta"/>
        <w:rPr>
          <w:ins w:id="518" w:author="svcMRProcess" w:date="2020-02-11T14:00:00Z"/>
        </w:rPr>
      </w:pPr>
      <w:ins w:id="519" w:author="svcMRProcess" w:date="2020-02-11T14:00:00Z">
        <w:r>
          <w:tab/>
          <w:t>(b)</w:t>
        </w:r>
        <w:r>
          <w:tab/>
          <w:t xml:space="preserve">have regard to the conduct of the accused since the accused was — </w:t>
        </w:r>
      </w:ins>
    </w:p>
    <w:p>
      <w:pPr>
        <w:pStyle w:val="yIndenti0"/>
        <w:rPr>
          <w:ins w:id="520" w:author="svcMRProcess" w:date="2020-02-11T14:00:00Z"/>
        </w:rPr>
      </w:pPr>
      <w:ins w:id="521" w:author="svcMRProcess" w:date="2020-02-11T14:00:00Z">
        <w:r>
          <w:tab/>
          <w:t>(i)</w:t>
        </w:r>
        <w:r>
          <w:tab/>
          <w:t xml:space="preserve">charged with or convicted of a terrorism offence; or </w:t>
        </w:r>
      </w:ins>
    </w:p>
    <w:p>
      <w:pPr>
        <w:pStyle w:val="yIndenti0"/>
        <w:rPr>
          <w:ins w:id="522" w:author="svcMRProcess" w:date="2020-02-11T14:00:00Z"/>
        </w:rPr>
      </w:pPr>
      <w:ins w:id="523" w:author="svcMRProcess" w:date="2020-02-11T14:00:00Z">
        <w:r>
          <w:tab/>
          <w:t>(ii)</w:t>
        </w:r>
        <w:r>
          <w:tab/>
          <w:t>made the subject of the relevant interim control order or confirmed control order;</w:t>
        </w:r>
      </w:ins>
    </w:p>
    <w:p>
      <w:pPr>
        <w:pStyle w:val="yIndenta"/>
        <w:rPr>
          <w:ins w:id="524" w:author="svcMRProcess" w:date="2020-02-11T14:00:00Z"/>
        </w:rPr>
      </w:pPr>
      <w:ins w:id="525" w:author="svcMRProcess" w:date="2020-02-11T14:00:00Z">
        <w:r>
          <w:tab/>
        </w:r>
        <w:r>
          <w:tab/>
          <w:t>and</w:t>
        </w:r>
      </w:ins>
    </w:p>
    <w:p>
      <w:pPr>
        <w:pStyle w:val="yIndenta"/>
        <w:rPr>
          <w:ins w:id="526" w:author="svcMRProcess" w:date="2020-02-11T14:00:00Z"/>
        </w:rPr>
      </w:pPr>
      <w:ins w:id="527" w:author="svcMRProcess" w:date="2020-02-11T14:00:00Z">
        <w:r>
          <w:tab/>
          <w:t>(c)</w:t>
        </w:r>
        <w:r>
          <w:tab/>
          <w:t xml:space="preserve">consider whether it would be appropriate to refuse bail and make a hospital order under the </w:t>
        </w:r>
        <w:r>
          <w:rPr>
            <w:i/>
          </w:rPr>
          <w:t>Criminal Law (Mentally Impaired Accused) Act 1996</w:t>
        </w:r>
        <w:r>
          <w:t xml:space="preserve"> section 5; and</w:t>
        </w:r>
      </w:ins>
    </w:p>
    <w:p>
      <w:pPr>
        <w:pStyle w:val="yIndenta"/>
        <w:rPr>
          <w:ins w:id="528" w:author="svcMRProcess" w:date="2020-02-11T14:00:00Z"/>
        </w:rPr>
      </w:pPr>
      <w:ins w:id="529" w:author="svcMRProcess" w:date="2020-02-11T14:00:00Z">
        <w:r>
          <w:tab/>
          <w:t>(d)</w:t>
        </w:r>
        <w:r>
          <w:tab/>
          <w:t xml:space="preserve">in the case of a child, consider the </w:t>
        </w:r>
        <w:r>
          <w:rPr>
            <w:i/>
          </w:rPr>
          <w:t>Young Offenders Act 1994</w:t>
        </w:r>
        <w:r>
          <w:t xml:space="preserve"> section 6(d) as an objective of this Act with the safety of the community being an overriding objective.</w:t>
        </w:r>
      </w:ins>
    </w:p>
    <w:p>
      <w:pPr>
        <w:pStyle w:val="ySubsection"/>
        <w:rPr>
          <w:ins w:id="530" w:author="svcMRProcess" w:date="2020-02-11T14:00:00Z"/>
        </w:rPr>
      </w:pPr>
      <w:ins w:id="531" w:author="svcMRProcess" w:date="2020-02-11T14:00:00Z">
        <w:r>
          <w:tab/>
          <w:t>(4)</w:t>
        </w:r>
        <w:r>
          <w:tab/>
          <w:t>Subclause (3) does not limit the matters that the judicial officer may take into account for the purposes of subclause (2)(a).</w:t>
        </w:r>
      </w:ins>
    </w:p>
    <w:p>
      <w:pPr>
        <w:pStyle w:val="ySubsection"/>
        <w:rPr>
          <w:ins w:id="532" w:author="svcMRProcess" w:date="2020-02-11T14:00:00Z"/>
        </w:rPr>
      </w:pPr>
      <w:ins w:id="533" w:author="svcMRProcess" w:date="2020-02-11T14:00:00Z">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ins>
    </w:p>
    <w:p>
      <w:pPr>
        <w:pStyle w:val="yIndenta"/>
        <w:rPr>
          <w:ins w:id="534" w:author="svcMRProcess" w:date="2020-02-11T14:00:00Z"/>
        </w:rPr>
      </w:pPr>
      <w:ins w:id="535" w:author="svcMRProcess" w:date="2020-02-11T14:00:00Z">
        <w:r>
          <w:tab/>
          <w:t>(a)</w:t>
        </w:r>
        <w:r>
          <w:tab/>
          <w:t>new facts have been discovered, new circumstances have arisen or the circumstances have changed since bail was refused; or</w:t>
        </w:r>
      </w:ins>
    </w:p>
    <w:p>
      <w:pPr>
        <w:pStyle w:val="yIndenta"/>
        <w:rPr>
          <w:ins w:id="536" w:author="svcMRProcess" w:date="2020-02-11T14:00:00Z"/>
        </w:rPr>
      </w:pPr>
      <w:ins w:id="537" w:author="svcMRProcess" w:date="2020-02-11T14:00:00Z">
        <w:r>
          <w:tab/>
          <w:t>(b)</w:t>
        </w:r>
        <w:r>
          <w:tab/>
          <w:t>the accused failed adequately to present the case for bail on the occasion of that refusal.</w:t>
        </w:r>
      </w:ins>
    </w:p>
    <w:p>
      <w:pPr>
        <w:pStyle w:val="ySubsection"/>
        <w:rPr>
          <w:ins w:id="538" w:author="svcMRProcess" w:date="2020-02-11T14:00:00Z"/>
        </w:rPr>
      </w:pPr>
      <w:ins w:id="539" w:author="svcMRProcess" w:date="2020-02-11T14:00:00Z">
        <w:r>
          <w:tab/>
          <w:t>(6)</w:t>
        </w:r>
        <w:r>
          <w:tab/>
          <w:t>Where an accused is granted bail under subclause (2), on any subsequent appearance in the same case a judicial officer may order that bail is to continue on the same terms and conditions.</w:t>
        </w:r>
      </w:ins>
    </w:p>
    <w:p>
      <w:pPr>
        <w:pStyle w:val="ySubsection"/>
        <w:rPr>
          <w:ins w:id="540" w:author="svcMRProcess" w:date="2020-02-11T14:00:00Z"/>
        </w:rPr>
      </w:pPr>
      <w:ins w:id="541" w:author="svcMRProcess" w:date="2020-02-11T14:00:00Z">
        <w:r>
          <w:tab/>
          <w:t>(7)</w:t>
        </w:r>
        <w:r>
          <w:tab/>
          <w:t xml:space="preserve">Where a child accused is refused bail under subclause (2), the child accused shall be dealt with in accordance with the </w:t>
        </w:r>
        <w:r>
          <w:rPr>
            <w:i/>
          </w:rPr>
          <w:t xml:space="preserve">Young Offenders Act 1994 </w:t>
        </w:r>
        <w:r>
          <w:t>section 19(2).</w:t>
        </w:r>
      </w:ins>
    </w:p>
    <w:p>
      <w:pPr>
        <w:pStyle w:val="PermNoteHeading"/>
        <w:rPr>
          <w:ins w:id="542" w:author="svcMRProcess" w:date="2020-02-11T14:00:00Z"/>
        </w:rPr>
      </w:pPr>
      <w:ins w:id="543" w:author="svcMRProcess" w:date="2020-02-11T14:00:00Z">
        <w:r>
          <w:tab/>
          <w:t xml:space="preserve">Note for this clause: </w:t>
        </w:r>
      </w:ins>
    </w:p>
    <w:p>
      <w:pPr>
        <w:pStyle w:val="PermNoteHeading"/>
        <w:rPr>
          <w:ins w:id="544" w:author="svcMRProcess" w:date="2020-02-11T14:00:00Z"/>
        </w:rPr>
      </w:pPr>
      <w:ins w:id="545" w:author="svcMRProcess" w:date="2020-02-11T14:00:00Z">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ins>
    </w:p>
    <w:p>
      <w:pPr>
        <w:pStyle w:val="yFootnotesection"/>
        <w:rPr>
          <w:ins w:id="546" w:author="svcMRProcess" w:date="2020-02-11T14:00:00Z"/>
        </w:rPr>
      </w:pPr>
      <w:ins w:id="547" w:author="svcMRProcess" w:date="2020-02-11T14:00:00Z">
        <w:r>
          <w:tab/>
          <w:t>[Clause 3E inserted: No. 15 of 2019 s. 13(3).]</w:t>
        </w:r>
      </w:ins>
    </w:p>
    <w:p>
      <w:pPr>
        <w:pStyle w:val="yHeading5"/>
        <w:spacing w:before="180"/>
      </w:pPr>
      <w:bookmarkStart w:id="548" w:name="_Toc32233060"/>
      <w:bookmarkStart w:id="549" w:name="_Toc25669300"/>
      <w:r>
        <w:rPr>
          <w:rStyle w:val="CharSClsNo"/>
        </w:rPr>
        <w:t>4</w:t>
      </w:r>
      <w:r>
        <w:t>.</w:t>
      </w:r>
      <w:r>
        <w:rPr>
          <w:b w:val="0"/>
        </w:rPr>
        <w:tab/>
      </w:r>
      <w:r>
        <w:t>Bail after conviction for accused awaiting sentence</w:t>
      </w:r>
      <w:bookmarkEnd w:id="548"/>
      <w:bookmarkEnd w:id="549"/>
    </w:p>
    <w:p>
      <w:pPr>
        <w:pStyle w:val="ySubsection"/>
      </w:pPr>
      <w:r>
        <w:tab/>
        <w:t>(1)</w:t>
      </w:r>
      <w:r>
        <w:tab/>
        <w:t xml:space="preserve">Subject to </w:t>
      </w:r>
      <w:r>
        <w:rPr>
          <w:szCs w:val="22"/>
        </w:rPr>
        <w:t>clauses 3A, 3C</w:t>
      </w:r>
      <w:ins w:id="550" w:author="svcMRProcess" w:date="2020-02-11T14:00:00Z">
        <w:r>
          <w:rPr>
            <w:szCs w:val="22"/>
          </w:rPr>
          <w:t>, 3D</w:t>
        </w:r>
      </w:ins>
      <w:r>
        <w:rPr>
          <w:szCs w:val="22"/>
        </w:rPr>
        <w:t xml:space="preserve"> and </w:t>
      </w:r>
      <w:del w:id="551" w:author="svcMRProcess" w:date="2020-02-11T14:00:00Z">
        <w:r>
          <w:rPr>
            <w:szCs w:val="22"/>
          </w:rPr>
          <w:delText>3D</w:delText>
        </w:r>
      </w:del>
      <w:ins w:id="552" w:author="svcMRProcess" w:date="2020-02-11T14:00:00Z">
        <w:r>
          <w:rPr>
            <w:szCs w:val="22"/>
          </w:rPr>
          <w:t>3E</w:t>
        </w:r>
      </w:ins>
      <w:r>
        <w:rPr>
          <w:szCs w:val="22"/>
        </w:rPr>
        <w:t xml:space="preserve">,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w:t>
      </w:r>
      <w:del w:id="553" w:author="svcMRProcess" w:date="2020-02-11T14:00:00Z">
        <w:r>
          <w:delText>10.]</w:delText>
        </w:r>
      </w:del>
      <w:ins w:id="554" w:author="svcMRProcess" w:date="2020-02-11T14:00:00Z">
        <w:r>
          <w:t>10; No. 15 of 2019 s. 13(4).]</w:t>
        </w:r>
      </w:ins>
    </w:p>
    <w:p>
      <w:pPr>
        <w:pStyle w:val="yHeading5"/>
        <w:spacing w:before="240"/>
      </w:pPr>
      <w:bookmarkStart w:id="555" w:name="_Toc32233061"/>
      <w:bookmarkStart w:id="556" w:name="_Toc25669301"/>
      <w:r>
        <w:rPr>
          <w:rStyle w:val="CharSClsNo"/>
        </w:rPr>
        <w:t>4A</w:t>
      </w:r>
      <w:r>
        <w:t>.</w:t>
      </w:r>
      <w:r>
        <w:rPr>
          <w:b w:val="0"/>
        </w:rPr>
        <w:tab/>
      </w:r>
      <w:r>
        <w:t>Bail after conviction for accused awaiting disposal of appeal</w:t>
      </w:r>
      <w:bookmarkEnd w:id="555"/>
      <w:bookmarkEnd w:id="556"/>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557" w:name="_Toc32233062"/>
      <w:bookmarkStart w:id="558" w:name="_Toc25669302"/>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557"/>
      <w:bookmarkEnd w:id="558"/>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559" w:name="_Toc32233063"/>
      <w:bookmarkStart w:id="560" w:name="_Toc25669303"/>
      <w:r>
        <w:rPr>
          <w:rStyle w:val="CharSClsNo"/>
        </w:rPr>
        <w:t>6</w:t>
      </w:r>
      <w:r>
        <w:rPr>
          <w:snapToGrid w:val="0"/>
        </w:rPr>
        <w:t>.</w:t>
      </w:r>
      <w:r>
        <w:rPr>
          <w:snapToGrid w:val="0"/>
        </w:rPr>
        <w:tab/>
        <w:t>Bail of people on community or similar orders</w:t>
      </w:r>
      <w:bookmarkEnd w:id="559"/>
      <w:bookmarkEnd w:id="560"/>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561" w:name="_Toc32233064"/>
      <w:bookmarkStart w:id="562" w:name="_Toc25669304"/>
      <w:r>
        <w:rPr>
          <w:rStyle w:val="CharSClsNo"/>
        </w:rPr>
        <w:t>7</w:t>
      </w:r>
      <w:r>
        <w:rPr>
          <w:snapToGrid w:val="0"/>
        </w:rPr>
        <w:t>.</w:t>
      </w:r>
      <w:r>
        <w:rPr>
          <w:snapToGrid w:val="0"/>
        </w:rPr>
        <w:tab/>
        <w:t>Bail for initial appearance to be for not more than 30 days</w:t>
      </w:r>
      <w:bookmarkEnd w:id="561"/>
      <w:bookmarkEnd w:id="562"/>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563" w:name="_Toc32233065"/>
      <w:bookmarkStart w:id="564" w:name="_Toc25669305"/>
      <w:r>
        <w:rPr>
          <w:rStyle w:val="CharSClsNo"/>
        </w:rPr>
        <w:t>8</w:t>
      </w:r>
      <w:r>
        <w:rPr>
          <w:snapToGrid w:val="0"/>
        </w:rPr>
        <w:t>.</w:t>
      </w:r>
      <w:r>
        <w:rPr>
          <w:snapToGrid w:val="0"/>
        </w:rPr>
        <w:tab/>
        <w:t>Bail on adjournment in court of summary jurisdiction to be for not more than 30 days except by consent</w:t>
      </w:r>
      <w:bookmarkEnd w:id="563"/>
      <w:bookmarkEnd w:id="564"/>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565" w:name="_Toc32233066"/>
      <w:bookmarkStart w:id="566" w:name="_Toc25669306"/>
      <w:r>
        <w:rPr>
          <w:rStyle w:val="CharSClsNo"/>
        </w:rPr>
        <w:t>9</w:t>
      </w:r>
      <w:r>
        <w:rPr>
          <w:snapToGrid w:val="0"/>
        </w:rPr>
        <w:t>.</w:t>
      </w:r>
      <w:r>
        <w:rPr>
          <w:snapToGrid w:val="0"/>
        </w:rPr>
        <w:tab/>
        <w:t>Calculating periods for cl. 7 and 8</w:t>
      </w:r>
      <w:bookmarkEnd w:id="565"/>
      <w:bookmarkEnd w:id="566"/>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567" w:name="_Toc32232915"/>
      <w:bookmarkStart w:id="568" w:name="_Toc32233067"/>
      <w:bookmarkStart w:id="569" w:name="_Toc24637551"/>
      <w:bookmarkStart w:id="570" w:name="_Toc25669307"/>
      <w:r>
        <w:rPr>
          <w:rStyle w:val="CharSDivNo"/>
        </w:rPr>
        <w:t>Part D</w:t>
      </w:r>
      <w:r>
        <w:t> — </w:t>
      </w:r>
      <w:r>
        <w:rPr>
          <w:rStyle w:val="CharSDivText"/>
        </w:rPr>
        <w:t>Conditions which may be imposed on a grant of bail</w:t>
      </w:r>
      <w:bookmarkEnd w:id="567"/>
      <w:bookmarkEnd w:id="568"/>
      <w:bookmarkEnd w:id="569"/>
      <w:bookmarkEnd w:id="570"/>
    </w:p>
    <w:p>
      <w:pPr>
        <w:pStyle w:val="yHeading5"/>
        <w:keepNext w:val="0"/>
        <w:keepLines w:val="0"/>
        <w:spacing w:before="240"/>
        <w:outlineLvl w:val="0"/>
        <w:rPr>
          <w:snapToGrid w:val="0"/>
        </w:rPr>
      </w:pPr>
      <w:bookmarkStart w:id="571" w:name="_Toc32233068"/>
      <w:bookmarkStart w:id="572" w:name="_Toc25669308"/>
      <w:r>
        <w:rPr>
          <w:rStyle w:val="CharSClsNo"/>
        </w:rPr>
        <w:t>1</w:t>
      </w:r>
      <w:r>
        <w:rPr>
          <w:snapToGrid w:val="0"/>
        </w:rPr>
        <w:t>.</w:t>
      </w:r>
      <w:r>
        <w:rPr>
          <w:snapToGrid w:val="0"/>
        </w:rPr>
        <w:tab/>
        <w:t>Conditions as to forfeiture, sureties, security etc.</w:t>
      </w:r>
      <w:bookmarkEnd w:id="571"/>
      <w:bookmarkEnd w:id="572"/>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573" w:name="_Toc32233069"/>
      <w:bookmarkStart w:id="574" w:name="_Toc25669309"/>
      <w:r>
        <w:rPr>
          <w:rStyle w:val="CharSClsNo"/>
        </w:rPr>
        <w:t>2</w:t>
      </w:r>
      <w:r>
        <w:rPr>
          <w:snapToGrid w:val="0"/>
        </w:rPr>
        <w:t>.</w:t>
      </w:r>
      <w:r>
        <w:rPr>
          <w:snapToGrid w:val="0"/>
        </w:rPr>
        <w:tab/>
        <w:t>Other conditions</w:t>
      </w:r>
      <w:bookmarkEnd w:id="573"/>
      <w:bookmarkEnd w:id="574"/>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575" w:name="_Toc32233070"/>
      <w:bookmarkStart w:id="576" w:name="_Toc25669310"/>
      <w:r>
        <w:rPr>
          <w:rStyle w:val="CharSClsNo"/>
        </w:rPr>
        <w:t>3</w:t>
      </w:r>
      <w:r>
        <w:rPr>
          <w:snapToGrid w:val="0"/>
        </w:rPr>
        <w:t>.</w:t>
      </w:r>
      <w:r>
        <w:rPr>
          <w:snapToGrid w:val="0"/>
        </w:rPr>
        <w:tab/>
        <w:t>Home detention condition</w:t>
      </w:r>
      <w:bookmarkEnd w:id="575"/>
      <w:bookmarkEnd w:id="576"/>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No. 61 of 1990 s. 15; amended: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578" w:name="_Toc32232919"/>
      <w:bookmarkStart w:id="579" w:name="_Toc32233071"/>
      <w:bookmarkStart w:id="580" w:name="_Toc24637555"/>
      <w:bookmarkStart w:id="581" w:name="_Toc25669311"/>
      <w:r>
        <w:rPr>
          <w:rStyle w:val="CharSchNo"/>
        </w:rPr>
        <w:t>Schedule 2</w:t>
      </w:r>
      <w:r>
        <w:t> — </w:t>
      </w:r>
      <w:r>
        <w:rPr>
          <w:rStyle w:val="CharSchText"/>
        </w:rPr>
        <w:t>Serious offences</w:t>
      </w:r>
      <w:bookmarkEnd w:id="578"/>
      <w:bookmarkEnd w:id="579"/>
      <w:bookmarkEnd w:id="580"/>
      <w:bookmarkEnd w:id="581"/>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del w:id="582" w:author="svcMRProcess" w:date="2020-02-11T14:00:00Z">
              <w:r>
                <w:rPr>
                  <w:vertAlign w:val="superscript"/>
                </w:rPr>
                <w:delText>3</w:delText>
              </w:r>
            </w:del>
            <w:ins w:id="583" w:author="svcMRProcess" w:date="2020-02-11T14:00:00Z">
              <w:r>
                <w:rPr>
                  <w:vertAlign w:val="superscript"/>
                </w:rPr>
                <w:t>2</w:t>
              </w:r>
            </w:ins>
            <w:r>
              <w:rPr>
                <w:vertAlign w:val="superscript"/>
              </w:rPr>
              <w:t xml:space="preserve">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584" w:name="_Toc32232920"/>
      <w:bookmarkStart w:id="585" w:name="_Toc32233072"/>
      <w:bookmarkStart w:id="586" w:name="_Toc24637556"/>
      <w:bookmarkStart w:id="587" w:name="_Toc25669312"/>
      <w:r>
        <w:t>Notes</w:t>
      </w:r>
      <w:bookmarkEnd w:id="584"/>
      <w:bookmarkEnd w:id="585"/>
      <w:bookmarkEnd w:id="586"/>
      <w:bookmarkEnd w:id="587"/>
    </w:p>
    <w:p>
      <w:pPr>
        <w:pStyle w:val="nStatement"/>
      </w:pPr>
      <w:del w:id="588" w:author="svcMRProcess" w:date="2020-02-11T14:00:00Z">
        <w:r>
          <w:rPr>
            <w:vertAlign w:val="superscript"/>
          </w:rPr>
          <w:delText>1</w:delText>
        </w:r>
        <w:r>
          <w:tab/>
        </w:r>
      </w:del>
      <w:r>
        <w:t xml:space="preserve">This is a compilation of the </w:t>
      </w:r>
      <w:r>
        <w:rPr>
          <w:i/>
          <w:noProof/>
        </w:rPr>
        <w:t>Bail Act 1982</w:t>
      </w:r>
      <w:r>
        <w:t xml:space="preserve"> and includes </w:t>
      </w:r>
      <w:del w:id="589" w:author="svcMRProcess" w:date="2020-02-11T14:00:00Z">
        <w:r>
          <w:delText xml:space="preserve">the </w:delText>
        </w:r>
      </w:del>
      <w:r>
        <w:t xml:space="preserve">amendments made by </w:t>
      </w:r>
      <w:del w:id="590" w:author="svcMRProcess" w:date="2020-02-11T14:00:00Z">
        <w:r>
          <w:delText xml:space="preserve">the </w:delText>
        </w:r>
      </w:del>
      <w:r>
        <w:t>other written laws</w:t>
      </w:r>
      <w:del w:id="591" w:author="svcMRProcess" w:date="2020-02-11T14:00:00Z">
        <w:r>
          <w:delText xml:space="preserve"> referred to in the following </w:delText>
        </w:r>
        <w:r>
          <w:rPr>
            <w:snapToGrid w:val="0"/>
          </w:rPr>
          <w:delText>table</w:delText>
        </w:r>
        <w:r>
          <w:rPr>
            <w:snapToGrid w:val="0"/>
            <w:vertAlign w:val="superscript"/>
          </w:rPr>
          <w:delText xml:space="preserve"> 1a, </w:delText>
        </w:r>
      </w:del>
      <w:ins w:id="592" w:author="svcMRProcess" w:date="2020-02-11T14:00:00Z">
        <w:r>
          <w:rPr>
            <w:snapToGrid w:val="0"/>
          </w:rPr>
          <w:t> </w:t>
        </w:r>
      </w:ins>
      <w:r>
        <w:rPr>
          <w:snapToGrid w:val="0"/>
          <w:vertAlign w:val="superscript"/>
        </w:rPr>
        <w:t>1M,</w:t>
      </w:r>
      <w:del w:id="593" w:author="svcMRProcess" w:date="2020-02-11T14:00:00Z">
        <w:r>
          <w:rPr>
            <w:snapToGrid w:val="0"/>
            <w:vertAlign w:val="superscript"/>
          </w:rPr>
          <w:delText> </w:delText>
        </w:r>
      </w:del>
      <w:ins w:id="594" w:author="svcMRProcess" w:date="2020-02-11T14:00:00Z">
        <w:r>
          <w:rPr>
            <w:snapToGrid w:val="0"/>
            <w:vertAlign w:val="superscript"/>
          </w:rPr>
          <w:t xml:space="preserve"> 3, </w:t>
        </w:r>
      </w:ins>
      <w:r>
        <w:rPr>
          <w:snapToGrid w:val="0"/>
          <w:vertAlign w:val="superscript"/>
        </w:rPr>
        <w:t>4</w:t>
      </w:r>
      <w:del w:id="595" w:author="svcMRProcess" w:date="2020-02-11T14:00:00Z">
        <w:r>
          <w:rPr>
            <w:snapToGrid w:val="0"/>
            <w:vertAlign w:val="superscript"/>
          </w:rPr>
          <w:delText>, 5</w:delText>
        </w:r>
        <w:r>
          <w:rPr>
            <w:snapToGrid w:val="0"/>
          </w:rPr>
          <w:delText xml:space="preserve">.  </w:delText>
        </w:r>
        <w:r>
          <w:delText>The table also contains</w:delText>
        </w:r>
      </w:del>
      <w:ins w:id="596" w:author="svcMRProcess" w:date="2020-02-11T14:00:00Z">
        <w:r>
          <w:t>. For provisions that have come into operation, and for</w:t>
        </w:r>
      </w:ins>
      <w:r>
        <w:t xml:space="preserve"> information about any </w:t>
      </w:r>
      <w:del w:id="597" w:author="svcMRProcess" w:date="2020-02-11T14:00:00Z">
        <w:r>
          <w:delText>reprint</w:delText>
        </w:r>
      </w:del>
      <w:ins w:id="598" w:author="svcMRProcess" w:date="2020-02-11T14:00:00Z">
        <w:r>
          <w:t>reprints, see the compilation table</w:t>
        </w:r>
      </w:ins>
      <w:r>
        <w:t>.</w:t>
      </w:r>
    </w:p>
    <w:p>
      <w:pPr>
        <w:pStyle w:val="nHeading3"/>
      </w:pPr>
      <w:bookmarkStart w:id="599" w:name="_Toc32233073"/>
      <w:bookmarkStart w:id="600" w:name="_Toc25669313"/>
      <w:r>
        <w:t>Compilation table</w:t>
      </w:r>
      <w:bookmarkEnd w:id="599"/>
      <w:bookmarkEnd w:id="600"/>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w:t>
            </w:r>
            <w:del w:id="601" w:author="svcMRProcess" w:date="2020-02-11T14:00:00Z">
              <w:r>
                <w:rPr>
                  <w:b/>
                </w:rPr>
                <w:delText xml:space="preserve"> </w:delText>
              </w:r>
            </w:del>
            <w:ins w:id="602" w:author="svcMRProcess" w:date="2020-02-11T14:00: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del w:id="603" w:author="svcMRProcess" w:date="2020-02-11T14:00:00Z">
              <w:r>
                <w:rPr>
                  <w:vertAlign w:val="superscript"/>
                </w:rPr>
                <w:delText>6</w:delText>
              </w:r>
            </w:del>
            <w:ins w:id="604" w:author="svcMRProcess" w:date="2020-02-11T14:00:00Z">
              <w:r>
                <w:rPr>
                  <w:vertAlign w:val="superscript"/>
                </w:rPr>
                <w:t>5</w:t>
              </w:r>
            </w:ins>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w:t>
            </w:r>
            <w:del w:id="605" w:author="svcMRProcess" w:date="2020-02-11T14:00:00Z">
              <w:r>
                <w:rPr>
                  <w:vertAlign w:val="superscript"/>
                </w:rPr>
                <w:delText>7</w:delText>
              </w:r>
            </w:del>
            <w:ins w:id="606" w:author="svcMRProcess" w:date="2020-02-11T14:00:00Z">
              <w:r>
                <w:rPr>
                  <w:vertAlign w:val="superscript"/>
                </w:rPr>
                <w:t>6</w:t>
              </w:r>
            </w:ins>
            <w:r>
              <w:rPr>
                <w:vertAlign w:val="superscript"/>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w:t>
            </w:r>
            <w:del w:id="607" w:author="svcMRProcess" w:date="2020-02-11T14:00:00Z">
              <w:r>
                <w:rPr>
                  <w:vertAlign w:val="superscript"/>
                </w:rPr>
                <w:delText>8</w:delText>
              </w:r>
            </w:del>
            <w:ins w:id="608" w:author="svcMRProcess" w:date="2020-02-11T14:00:00Z">
              <w:r>
                <w:rPr>
                  <w:vertAlign w:val="superscript"/>
                </w:rPr>
                <w:t>7</w:t>
              </w:r>
            </w:ins>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del w:id="609" w:author="svcMRProcess" w:date="2020-02-11T14:00:00Z">
              <w:r>
                <w:rPr>
                  <w:vertAlign w:val="superscript"/>
                </w:rPr>
                <w:delText>9</w:delText>
              </w:r>
            </w:del>
            <w:ins w:id="610" w:author="svcMRProcess" w:date="2020-02-11T14:00:00Z">
              <w:r>
                <w:rPr>
                  <w:vertAlign w:val="superscript"/>
                </w:rPr>
                <w:t>8</w:t>
              </w:r>
            </w:ins>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del w:id="611" w:author="svcMRProcess" w:date="2020-02-11T14:00:00Z">
              <w:r>
                <w:rPr>
                  <w:vertAlign w:val="superscript"/>
                </w:rPr>
                <w:delText>10</w:delText>
              </w:r>
            </w:del>
            <w:ins w:id="612" w:author="svcMRProcess" w:date="2020-02-11T14:00:00Z">
              <w:r>
                <w:rPr>
                  <w:vertAlign w:val="superscript"/>
                </w:rPr>
                <w:t>9</w:t>
              </w:r>
            </w:ins>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del w:id="613" w:author="svcMRProcess" w:date="2020-02-11T14:00:00Z">
              <w:r>
                <w:rPr>
                  <w:vertAlign w:val="superscript"/>
                </w:rPr>
                <w:delText>11</w:delText>
              </w:r>
            </w:del>
            <w:ins w:id="614" w:author="svcMRProcess" w:date="2020-02-11T14:00:00Z">
              <w:r>
                <w:rPr>
                  <w:vertAlign w:val="superscript"/>
                </w:rPr>
                <w:t>10</w:t>
              </w:r>
            </w:ins>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w:t>
            </w:r>
            <w:del w:id="615" w:author="svcMRProcess" w:date="2020-02-11T14:00:00Z">
              <w:r>
                <w:rPr>
                  <w:snapToGrid w:val="0"/>
                  <w:vertAlign w:val="superscript"/>
                </w:rPr>
                <w:delText>12</w:delText>
              </w:r>
            </w:del>
            <w:ins w:id="616" w:author="svcMRProcess" w:date="2020-02-11T14:00:00Z">
              <w:r>
                <w:rPr>
                  <w:snapToGrid w:val="0"/>
                  <w:vertAlign w:val="superscript"/>
                </w:rPr>
                <w:t>11</w:t>
              </w:r>
            </w:ins>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del w:id="617" w:author="svcMRProcess" w:date="2020-02-11T14:00:00Z">
              <w:r>
                <w:rPr>
                  <w:iCs/>
                  <w:snapToGrid w:val="0"/>
                  <w:vertAlign w:val="superscript"/>
                </w:rPr>
                <w:delText>13</w:delText>
              </w:r>
            </w:del>
            <w:ins w:id="618" w:author="svcMRProcess" w:date="2020-02-11T14:00:00Z">
              <w:r>
                <w:rPr>
                  <w:iCs/>
                  <w:snapToGrid w:val="0"/>
                  <w:vertAlign w:val="superscript"/>
                </w:rPr>
                <w:t>12</w:t>
              </w:r>
            </w:ins>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spacing w:after="40"/>
            </w:pPr>
            <w:r>
              <w:t>29 Nov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bl>
    <w:p>
      <w:pPr>
        <w:pStyle w:val="nSubsection"/>
        <w:spacing w:before="360"/>
        <w:rPr>
          <w:del w:id="619" w:author="svcMRProcess" w:date="2020-02-11T14:00:00Z"/>
        </w:rPr>
      </w:pPr>
      <w:del w:id="620" w:author="svcMRProcess" w:date="2020-02-11T14:0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21" w:author="svcMRProcess" w:date="2020-02-11T14:00:00Z"/>
        </w:rPr>
      </w:pPr>
      <w:bookmarkStart w:id="622" w:name="_Toc25669314"/>
      <w:del w:id="623" w:author="svcMRProcess" w:date="2020-02-11T14:00:00Z">
        <w:r>
          <w:delText>Provisions that have not come into operation</w:delText>
        </w:r>
        <w:bookmarkEnd w:id="62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624" w:author="svcMRProcess" w:date="2020-02-11T14:00:00Z"/>
        </w:trPr>
        <w:tc>
          <w:tcPr>
            <w:tcW w:w="2268" w:type="dxa"/>
          </w:tcPr>
          <w:p>
            <w:pPr>
              <w:pStyle w:val="nTable"/>
              <w:spacing w:after="40"/>
              <w:rPr>
                <w:del w:id="625" w:author="svcMRProcess" w:date="2020-02-11T14:00:00Z"/>
                <w:b/>
              </w:rPr>
            </w:pPr>
            <w:del w:id="626" w:author="svcMRProcess" w:date="2020-02-11T14:00:00Z">
              <w:r>
                <w:rPr>
                  <w:b/>
                </w:rPr>
                <w:delText>Short title</w:delText>
              </w:r>
            </w:del>
          </w:p>
        </w:tc>
        <w:tc>
          <w:tcPr>
            <w:tcW w:w="1134" w:type="dxa"/>
          </w:tcPr>
          <w:p>
            <w:pPr>
              <w:pStyle w:val="nTable"/>
              <w:spacing w:after="40"/>
              <w:rPr>
                <w:del w:id="627" w:author="svcMRProcess" w:date="2020-02-11T14:00:00Z"/>
                <w:b/>
              </w:rPr>
            </w:pPr>
            <w:del w:id="628" w:author="svcMRProcess" w:date="2020-02-11T14:00:00Z">
              <w:r>
                <w:rPr>
                  <w:b/>
                </w:rPr>
                <w:delText>Number and year</w:delText>
              </w:r>
            </w:del>
          </w:p>
        </w:tc>
        <w:tc>
          <w:tcPr>
            <w:tcW w:w="1134" w:type="dxa"/>
          </w:tcPr>
          <w:p>
            <w:pPr>
              <w:pStyle w:val="nTable"/>
              <w:spacing w:after="40"/>
              <w:rPr>
                <w:del w:id="629" w:author="svcMRProcess" w:date="2020-02-11T14:00:00Z"/>
                <w:b/>
              </w:rPr>
            </w:pPr>
            <w:del w:id="630" w:author="svcMRProcess" w:date="2020-02-11T14:00:00Z">
              <w:r>
                <w:rPr>
                  <w:b/>
                </w:rPr>
                <w:delText>Assent</w:delText>
              </w:r>
            </w:del>
          </w:p>
        </w:tc>
        <w:tc>
          <w:tcPr>
            <w:tcW w:w="2552" w:type="dxa"/>
          </w:tcPr>
          <w:p>
            <w:pPr>
              <w:pStyle w:val="nTable"/>
              <w:spacing w:after="40"/>
              <w:rPr>
                <w:del w:id="631" w:author="svcMRProcess" w:date="2020-02-11T14:00:00Z"/>
                <w:b/>
              </w:rPr>
            </w:pPr>
            <w:del w:id="632" w:author="svcMRProcess" w:date="2020-02-11T14:00:00Z">
              <w:r>
                <w:rPr>
                  <w:b/>
                </w:rPr>
                <w:delText>Commencement</w:delText>
              </w:r>
            </w:del>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rPr>
                <w:i/>
              </w:rPr>
            </w:pPr>
            <w:r>
              <w:rPr>
                <w:i/>
              </w:rPr>
              <w:t>Bail Amendment (Persons Linked to Terrorism) Act 2019</w:t>
            </w:r>
            <w:r>
              <w:t xml:space="preserve"> </w:t>
            </w:r>
            <w:del w:id="633" w:author="svcMRProcess" w:date="2020-02-11T14:00:00Z">
              <w:r>
                <w:delText>s. 3</w:delText>
              </w:r>
              <w:r>
                <w:noBreakHyphen/>
                <w:delText>13</w:delText>
              </w:r>
              <w:r>
                <w:rPr>
                  <w:vertAlign w:val="superscript"/>
                </w:rPr>
                <w:delText> 14</w:delText>
              </w:r>
            </w:del>
          </w:p>
        </w:tc>
        <w:tc>
          <w:tcPr>
            <w:tcW w:w="1134" w:type="dxa"/>
            <w:tcBorders>
              <w:top w:val="nil"/>
              <w:left w:val="nil"/>
              <w:bottom w:val="single" w:sz="8" w:space="0" w:color="auto"/>
              <w:right w:val="nil"/>
            </w:tcBorders>
            <w:shd w:val="clear" w:color="auto" w:fill="auto"/>
          </w:tcPr>
          <w:p>
            <w:pPr>
              <w:pStyle w:val="nTable"/>
              <w:spacing w:after="40"/>
            </w:pPr>
            <w:r>
              <w:t>15 of 2019</w:t>
            </w:r>
          </w:p>
        </w:tc>
        <w:tc>
          <w:tcPr>
            <w:tcW w:w="1134" w:type="dxa"/>
            <w:tcBorders>
              <w:top w:val="nil"/>
              <w:left w:val="nil"/>
              <w:bottom w:val="single" w:sz="8" w:space="0" w:color="auto"/>
              <w:right w:val="nil"/>
            </w:tcBorders>
            <w:shd w:val="clear" w:color="auto" w:fill="auto"/>
          </w:tcPr>
          <w:p>
            <w:pPr>
              <w:pStyle w:val="nTable"/>
              <w:spacing w:after="40"/>
            </w:pPr>
            <w:r>
              <w:t>5 Jul 2019</w:t>
            </w:r>
          </w:p>
        </w:tc>
        <w:tc>
          <w:tcPr>
            <w:tcW w:w="2552" w:type="dxa"/>
            <w:tcBorders>
              <w:top w:val="nil"/>
              <w:left w:val="nil"/>
              <w:bottom w:val="single" w:sz="8" w:space="0" w:color="auto"/>
            </w:tcBorders>
            <w:shd w:val="clear" w:color="auto" w:fill="auto"/>
          </w:tcPr>
          <w:p>
            <w:pPr>
              <w:pStyle w:val="nTable"/>
              <w:spacing w:after="40"/>
            </w:pPr>
            <w:ins w:id="634" w:author="svcMRProcess" w:date="2020-02-11T14:00:00Z">
              <w:r>
                <w:t>s. 1 and 2: 5 Jul 2019 (see s. 2(a));</w:t>
              </w:r>
              <w:r>
                <w:br/>
                <w:t xml:space="preserve">Act other than s. 1 and 2: </w:t>
              </w:r>
            </w:ins>
            <w:r>
              <w:t xml:space="preserve">1 Jan 2020 (see </w:t>
            </w:r>
            <w:ins w:id="635" w:author="svcMRProcess" w:date="2020-02-11T14:00:00Z">
              <w:r>
                <w:t xml:space="preserve">2(b) and </w:t>
              </w:r>
            </w:ins>
            <w:r>
              <w:rPr>
                <w:i/>
              </w:rPr>
              <w:t>Gazette</w:t>
            </w:r>
            <w:r>
              <w:t xml:space="preserve"> 15 Nov 2019 p. 4029)</w:t>
            </w:r>
          </w:p>
        </w:tc>
      </w:tr>
    </w:tbl>
    <w:p>
      <w:pPr>
        <w:pStyle w:val="nHeading3"/>
        <w:rPr>
          <w:ins w:id="636" w:author="svcMRProcess" w:date="2020-02-11T14:00:00Z"/>
        </w:rPr>
      </w:pPr>
      <w:bookmarkStart w:id="637" w:name="_Toc32233074"/>
      <w:ins w:id="638" w:author="svcMRProcess" w:date="2020-02-11T14:00:00Z">
        <w:r>
          <w:t>Other notes</w:t>
        </w:r>
        <w:bookmarkEnd w:id="637"/>
      </w:ins>
    </w:p>
    <w:p>
      <w:pPr>
        <w:pStyle w:val="nNote"/>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del w:id="639" w:author="svcMRProcess" w:date="2020-02-11T14:00:00Z">
        <w:r>
          <w:rPr>
            <w:vertAlign w:val="superscript"/>
          </w:rPr>
          <w:delText>2</w:delText>
        </w:r>
      </w:del>
      <w:ins w:id="640" w:author="svcMRProcess" w:date="2020-02-11T14:00:00Z">
        <w:r>
          <w:rPr>
            <w:vertAlign w:val="superscript"/>
          </w:rPr>
          <w:t>1</w:t>
        </w:r>
      </w:ins>
      <w:r>
        <w:tab/>
        <w:t xml:space="preserve">Repealed by the </w:t>
      </w:r>
      <w:r>
        <w:rPr>
          <w:i/>
          <w:color w:val="000000"/>
        </w:rPr>
        <w:t>Sentencing Legislation Amendment and Repeal Act 2003</w:t>
      </w:r>
      <w:r>
        <w:t>.</w:t>
      </w:r>
    </w:p>
    <w:p>
      <w:pPr>
        <w:pStyle w:val="nNote"/>
        <w:rPr>
          <w:i/>
        </w:rPr>
      </w:pPr>
      <w:del w:id="641" w:author="svcMRProcess" w:date="2020-02-11T14:00:00Z">
        <w:r>
          <w:rPr>
            <w:vertAlign w:val="superscript"/>
          </w:rPr>
          <w:delText>3</w:delText>
        </w:r>
      </w:del>
      <w:ins w:id="642" w:author="svcMRProcess" w:date="2020-02-11T14:00:00Z">
        <w:r>
          <w:rPr>
            <w:vertAlign w:val="superscript"/>
          </w:rPr>
          <w:t>2</w:t>
        </w:r>
      </w:ins>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del w:id="643" w:author="svcMRProcess" w:date="2020-02-11T14:00:00Z">
        <w:r>
          <w:rPr>
            <w:snapToGrid w:val="0"/>
            <w:vertAlign w:val="superscript"/>
          </w:rPr>
          <w:delText>4</w:delText>
        </w:r>
      </w:del>
      <w:ins w:id="644" w:author="svcMRProcess" w:date="2020-02-11T14:00:00Z">
        <w:r>
          <w:rPr>
            <w:snapToGrid w:val="0"/>
            <w:vertAlign w:val="superscript"/>
          </w:rPr>
          <w:t>3</w:t>
        </w:r>
      </w:ins>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del w:id="645" w:author="svcMRProcess" w:date="2020-02-11T14:00:00Z">
        <w:r>
          <w:rPr>
            <w:snapToGrid w:val="0"/>
            <w:vertAlign w:val="superscript"/>
          </w:rPr>
          <w:delText>5</w:delText>
        </w:r>
      </w:del>
      <w:ins w:id="646" w:author="svcMRProcess" w:date="2020-02-11T14:00:00Z">
        <w:r>
          <w:rPr>
            <w:snapToGrid w:val="0"/>
            <w:vertAlign w:val="superscript"/>
          </w:rPr>
          <w:t>4</w:t>
        </w:r>
      </w:ins>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del w:id="647" w:author="svcMRProcess" w:date="2020-02-11T14:00:00Z">
        <w:r>
          <w:rPr>
            <w:vertAlign w:val="superscript"/>
          </w:rPr>
          <w:delText>6</w:delText>
        </w:r>
      </w:del>
      <w:ins w:id="648" w:author="svcMRProcess" w:date="2020-02-11T14:00:00Z">
        <w:r>
          <w:rPr>
            <w:vertAlign w:val="superscript"/>
          </w:rPr>
          <w:t>5</w:t>
        </w:r>
      </w:ins>
      <w:r>
        <w:tab/>
        <w:t xml:space="preserve">The </w:t>
      </w:r>
      <w:r>
        <w:rPr>
          <w:i/>
        </w:rPr>
        <w:t>Bail Amendment Act 1984</w:t>
      </w:r>
      <w:r>
        <w:t xml:space="preserve"> s. 10 and 11 were repealed by the </w:t>
      </w:r>
      <w:r>
        <w:rPr>
          <w:i/>
        </w:rPr>
        <w:t>Bail Amendment Act 1988</w:t>
      </w:r>
      <w:r>
        <w:t xml:space="preserve"> s. 20.</w:t>
      </w:r>
    </w:p>
    <w:p>
      <w:pPr>
        <w:pStyle w:val="nNote"/>
      </w:pPr>
      <w:del w:id="649" w:author="svcMRProcess" w:date="2020-02-11T14:00:00Z">
        <w:r>
          <w:rPr>
            <w:vertAlign w:val="superscript"/>
          </w:rPr>
          <w:delText>7</w:delText>
        </w:r>
      </w:del>
      <w:ins w:id="650" w:author="svcMRProcess" w:date="2020-02-11T14:00:00Z">
        <w:r>
          <w:rPr>
            <w:vertAlign w:val="superscript"/>
          </w:rPr>
          <w:t>6</w:t>
        </w:r>
      </w:ins>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del w:id="651" w:author="svcMRProcess" w:date="2020-02-11T14:00:00Z">
        <w:r>
          <w:rPr>
            <w:vertAlign w:val="superscript"/>
          </w:rPr>
          <w:delText>8</w:delText>
        </w:r>
      </w:del>
      <w:ins w:id="652" w:author="svcMRProcess" w:date="2020-02-11T14:00:00Z">
        <w:r>
          <w:rPr>
            <w:vertAlign w:val="superscript"/>
          </w:rPr>
          <w:t>7</w:t>
        </w:r>
      </w:ins>
      <w:r>
        <w:tab/>
        <w:t xml:space="preserve">The </w:t>
      </w:r>
      <w:r>
        <w:rPr>
          <w:i/>
        </w:rPr>
        <w:t xml:space="preserve">Acts Amendment (Ministry of Justice) Act 1993 </w:t>
      </w:r>
      <w:r>
        <w:t>Pt. 19 is a transitional provision that is of no further effect.</w:t>
      </w:r>
    </w:p>
    <w:p>
      <w:pPr>
        <w:pStyle w:val="nNote"/>
      </w:pPr>
      <w:del w:id="653" w:author="svcMRProcess" w:date="2020-02-11T14:00:00Z">
        <w:r>
          <w:rPr>
            <w:vertAlign w:val="superscript"/>
          </w:rPr>
          <w:delText>9</w:delText>
        </w:r>
      </w:del>
      <w:ins w:id="654" w:author="svcMRProcess" w:date="2020-02-11T14:00:00Z">
        <w:r>
          <w:rPr>
            <w:vertAlign w:val="superscript"/>
          </w:rPr>
          <w:t>8</w:t>
        </w:r>
      </w:ins>
      <w:r>
        <w:tab/>
        <w:t xml:space="preserve">The </w:t>
      </w:r>
      <w:r>
        <w:rPr>
          <w:i/>
        </w:rPr>
        <w:t>Criminal Procedure Amendment Act 1993</w:t>
      </w:r>
      <w:r>
        <w:t xml:space="preserve"> s. 13 is a transitional provision that is of no further effect.</w:t>
      </w:r>
    </w:p>
    <w:p>
      <w:pPr>
        <w:pStyle w:val="nNote"/>
      </w:pPr>
      <w:del w:id="655" w:author="svcMRProcess" w:date="2020-02-11T14:00:00Z">
        <w:r>
          <w:rPr>
            <w:vertAlign w:val="superscript"/>
          </w:rPr>
          <w:delText>10</w:delText>
        </w:r>
      </w:del>
      <w:ins w:id="656" w:author="svcMRProcess" w:date="2020-02-11T14:00:00Z">
        <w:r>
          <w:rPr>
            <w:vertAlign w:val="superscript"/>
          </w:rPr>
          <w:t>9</w:t>
        </w:r>
      </w:ins>
      <w:r>
        <w:tab/>
        <w:t xml:space="preserve">The </w:t>
      </w:r>
      <w:r>
        <w:rPr>
          <w:i/>
        </w:rPr>
        <w:t>Bail Amendment Act 1998</w:t>
      </w:r>
      <w:r>
        <w:t xml:space="preserve"> s. 6(2) is a transitional provision that is of no further effect.</w:t>
      </w:r>
    </w:p>
    <w:p>
      <w:pPr>
        <w:pStyle w:val="nNote"/>
        <w:keepNext/>
      </w:pPr>
      <w:del w:id="657" w:author="svcMRProcess" w:date="2020-02-11T14:00:00Z">
        <w:r>
          <w:rPr>
            <w:vertAlign w:val="superscript"/>
          </w:rPr>
          <w:delText>11</w:delText>
        </w:r>
      </w:del>
      <w:ins w:id="658" w:author="svcMRProcess" w:date="2020-02-11T14:00:00Z">
        <w:r>
          <w:rPr>
            <w:vertAlign w:val="superscript"/>
          </w:rPr>
          <w:t>10</w:t>
        </w:r>
      </w:ins>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del w:id="659" w:author="svcMRProcess" w:date="2020-02-11T14:00:00Z">
        <w:r>
          <w:rPr>
            <w:vertAlign w:val="superscript"/>
          </w:rPr>
          <w:delText>12</w:delText>
        </w:r>
      </w:del>
      <w:ins w:id="660" w:author="svcMRProcess" w:date="2020-02-11T14:00:00Z">
        <w:r>
          <w:rPr>
            <w:vertAlign w:val="superscript"/>
          </w:rPr>
          <w:t>11</w:t>
        </w:r>
      </w:ins>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del w:id="661" w:author="svcMRProcess" w:date="2020-02-11T14:00:00Z">
        <w:r>
          <w:rPr>
            <w:snapToGrid w:val="0"/>
            <w:vertAlign w:val="superscript"/>
          </w:rPr>
          <w:delText>13</w:delText>
        </w:r>
      </w:del>
      <w:ins w:id="662" w:author="svcMRProcess" w:date="2020-02-11T14:00:00Z">
        <w:r>
          <w:rPr>
            <w:snapToGrid w:val="0"/>
            <w:vertAlign w:val="superscript"/>
          </w:rPr>
          <w:t>12</w:t>
        </w:r>
      </w:ins>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Next/>
        <w:spacing w:before="360"/>
        <w:rPr>
          <w:del w:id="663" w:author="svcMRProcess" w:date="2020-02-11T14:00:00Z"/>
          <w:snapToGrid w:val="0"/>
        </w:rPr>
      </w:pPr>
      <w:del w:id="664" w:author="svcMRProcess" w:date="2020-02-11T14:00:00Z">
        <w:r>
          <w:rPr>
            <w:vertAlign w:val="superscript"/>
          </w:rPr>
          <w:delText>14</w:delText>
        </w:r>
        <w:r>
          <w:rPr>
            <w:snapToGrid w:val="0"/>
          </w:rPr>
          <w:tab/>
          <w:delText xml:space="preserve">On the date as at which this compilation was prepared, the </w:delText>
        </w:r>
        <w:r>
          <w:rPr>
            <w:i/>
          </w:rPr>
          <w:delText>Bail Amendment (Persons Linked to Terrorism) Act 2019</w:delText>
        </w:r>
        <w:r>
          <w:delText xml:space="preserve"> s. 3</w:delText>
        </w:r>
        <w:r>
          <w:noBreakHyphen/>
          <w:delText>13</w:delText>
        </w:r>
        <w:r>
          <w:rPr>
            <w:vertAlign w:val="superscript"/>
          </w:rPr>
          <w:delText xml:space="preserve"> </w:delText>
        </w:r>
        <w:r>
          <w:delText>had not</w:delText>
        </w:r>
        <w:r>
          <w:rPr>
            <w:snapToGrid w:val="0"/>
          </w:rPr>
          <w:delText xml:space="preserve"> come into operation.  They read as follows:</w:delText>
        </w:r>
      </w:del>
    </w:p>
    <w:p>
      <w:pPr>
        <w:pStyle w:val="BlankOpen"/>
        <w:rPr>
          <w:del w:id="665" w:author="svcMRProcess" w:date="2020-02-11T14:00:00Z"/>
        </w:rPr>
      </w:pPr>
    </w:p>
    <w:p>
      <w:pPr>
        <w:pStyle w:val="nzHeading5"/>
        <w:rPr>
          <w:del w:id="666" w:author="svcMRProcess" w:date="2020-02-11T14:00:00Z"/>
          <w:snapToGrid w:val="0"/>
        </w:rPr>
      </w:pPr>
      <w:del w:id="667" w:author="svcMRProcess" w:date="2020-02-11T14:00:00Z">
        <w:r>
          <w:rPr>
            <w:rStyle w:val="CharSectno"/>
          </w:rPr>
          <w:delText>3</w:delText>
        </w:r>
        <w:r>
          <w:rPr>
            <w:snapToGrid w:val="0"/>
          </w:rPr>
          <w:delText>.</w:delText>
        </w:r>
        <w:r>
          <w:rPr>
            <w:snapToGrid w:val="0"/>
          </w:rPr>
          <w:tab/>
          <w:delText>Act amended</w:delText>
        </w:r>
      </w:del>
    </w:p>
    <w:p>
      <w:pPr>
        <w:pStyle w:val="nzSubsection"/>
        <w:rPr>
          <w:del w:id="668" w:author="svcMRProcess" w:date="2020-02-11T14:00:00Z"/>
        </w:rPr>
      </w:pPr>
      <w:del w:id="669" w:author="svcMRProcess" w:date="2020-02-11T14:00:00Z">
        <w:r>
          <w:tab/>
        </w:r>
        <w:r>
          <w:tab/>
          <w:delText xml:space="preserve">This Act amends the </w:delText>
        </w:r>
        <w:r>
          <w:rPr>
            <w:i/>
          </w:rPr>
          <w:delText>Bail Act 1982</w:delText>
        </w:r>
        <w:r>
          <w:delText>.</w:delText>
        </w:r>
      </w:del>
    </w:p>
    <w:p>
      <w:pPr>
        <w:pStyle w:val="nzHeading5"/>
        <w:rPr>
          <w:del w:id="670" w:author="svcMRProcess" w:date="2020-02-11T14:00:00Z"/>
        </w:rPr>
      </w:pPr>
      <w:del w:id="671" w:author="svcMRProcess" w:date="2020-02-11T14:00:00Z">
        <w:r>
          <w:rPr>
            <w:rStyle w:val="CharSectno"/>
          </w:rPr>
          <w:delText>4</w:delText>
        </w:r>
        <w:r>
          <w:delText>.</w:delText>
        </w:r>
        <w:r>
          <w:tab/>
          <w:delText>Section 3 amended</w:delText>
        </w:r>
      </w:del>
    </w:p>
    <w:p>
      <w:pPr>
        <w:pStyle w:val="nzSubsection"/>
        <w:rPr>
          <w:del w:id="672" w:author="svcMRProcess" w:date="2020-02-11T14:00:00Z"/>
        </w:rPr>
      </w:pPr>
      <w:del w:id="673" w:author="svcMRProcess" w:date="2020-02-11T14:00:00Z">
        <w:r>
          <w:tab/>
        </w:r>
        <w:r>
          <w:tab/>
          <w:delText>In section 3(1) insert in alphabetical order:</w:delText>
        </w:r>
      </w:del>
    </w:p>
    <w:p>
      <w:pPr>
        <w:pStyle w:val="BlankOpen"/>
        <w:rPr>
          <w:del w:id="674" w:author="svcMRProcess" w:date="2020-02-11T14:00:00Z"/>
        </w:rPr>
      </w:pPr>
    </w:p>
    <w:p>
      <w:pPr>
        <w:pStyle w:val="nzDefstart"/>
        <w:rPr>
          <w:del w:id="675" w:author="svcMRProcess" w:date="2020-02-11T14:00:00Z"/>
        </w:rPr>
      </w:pPr>
      <w:del w:id="676" w:author="svcMRProcess" w:date="2020-02-11T14:00:00Z">
        <w:r>
          <w:rPr>
            <w:rStyle w:val="CharDefText"/>
          </w:rPr>
          <w:tab/>
          <w:delText>Commonwealth Criminal Code</w:delText>
        </w:r>
        <w:r>
          <w:delText xml:space="preserve"> means the Criminal Code set out in the Schedule to the </w:delText>
        </w:r>
        <w:r>
          <w:rPr>
            <w:i/>
          </w:rPr>
          <w:delText>Criminal Code Act 1995</w:delText>
        </w:r>
        <w:r>
          <w:delText xml:space="preserve"> (Commonwealth);</w:delText>
        </w:r>
      </w:del>
    </w:p>
    <w:p>
      <w:pPr>
        <w:pStyle w:val="nzDefstart"/>
        <w:rPr>
          <w:del w:id="677" w:author="svcMRProcess" w:date="2020-02-11T14:00:00Z"/>
        </w:rPr>
      </w:pPr>
      <w:del w:id="678" w:author="svcMRProcess" w:date="2020-02-11T14:00:00Z">
        <w:r>
          <w:tab/>
        </w:r>
        <w:r>
          <w:rPr>
            <w:rStyle w:val="CharDefText"/>
          </w:rPr>
          <w:delText>confirmed control order</w:delText>
        </w:r>
        <w:r>
          <w:delText xml:space="preserve"> has the meaning given in the Commonwealth Criminal Code section 100.1(1); </w:delText>
        </w:r>
      </w:del>
    </w:p>
    <w:p>
      <w:pPr>
        <w:pStyle w:val="nzDefstart"/>
        <w:rPr>
          <w:del w:id="679" w:author="svcMRProcess" w:date="2020-02-11T14:00:00Z"/>
        </w:rPr>
      </w:pPr>
      <w:del w:id="680" w:author="svcMRProcess" w:date="2020-02-11T14:00:00Z">
        <w:r>
          <w:tab/>
        </w:r>
        <w:r>
          <w:rPr>
            <w:rStyle w:val="CharDefText"/>
          </w:rPr>
          <w:delText>interim control order</w:delText>
        </w:r>
        <w:r>
          <w:delText xml:space="preserve"> has the meaning given in the Commonwealth Criminal Code section 100.1(1);</w:delText>
        </w:r>
      </w:del>
    </w:p>
    <w:p>
      <w:pPr>
        <w:pStyle w:val="nzDefstart"/>
        <w:rPr>
          <w:del w:id="681" w:author="svcMRProcess" w:date="2020-02-11T14:00:00Z"/>
        </w:rPr>
      </w:pPr>
      <w:del w:id="682" w:author="svcMRProcess" w:date="2020-02-11T14:00:00Z">
        <w:r>
          <w:tab/>
        </w:r>
        <w:r>
          <w:rPr>
            <w:rStyle w:val="CharDefText"/>
          </w:rPr>
          <w:delText>person linked to terrorism</w:delText>
        </w:r>
        <w:r>
          <w:delText xml:space="preserve"> means a person who — </w:delText>
        </w:r>
      </w:del>
    </w:p>
    <w:p>
      <w:pPr>
        <w:pStyle w:val="nzDefpara"/>
        <w:rPr>
          <w:del w:id="683" w:author="svcMRProcess" w:date="2020-02-11T14:00:00Z"/>
        </w:rPr>
      </w:pPr>
      <w:del w:id="684" w:author="svcMRProcess" w:date="2020-02-11T14:00:00Z">
        <w:r>
          <w:tab/>
          <w:delText>(a)</w:delText>
        </w:r>
        <w:r>
          <w:tab/>
          <w:delText>is charged with, or has been convicted of, a terrorism offence; or</w:delText>
        </w:r>
      </w:del>
    </w:p>
    <w:p>
      <w:pPr>
        <w:pStyle w:val="nzDefpara"/>
        <w:rPr>
          <w:del w:id="685" w:author="svcMRProcess" w:date="2020-02-11T14:00:00Z"/>
        </w:rPr>
      </w:pPr>
      <w:del w:id="686" w:author="svcMRProcess" w:date="2020-02-11T14:00:00Z">
        <w:r>
          <w:tab/>
          <w:delText>(b)</w:delText>
        </w:r>
        <w:r>
          <w:tab/>
          <w:delText>is the subject of an interim control order or confirmed control order, or has been the subject of a confirmed control order within the last 10 years;</w:delText>
        </w:r>
      </w:del>
    </w:p>
    <w:p>
      <w:pPr>
        <w:pStyle w:val="nzDefstart"/>
        <w:rPr>
          <w:del w:id="687" w:author="svcMRProcess" w:date="2020-02-11T14:00:00Z"/>
        </w:rPr>
      </w:pPr>
      <w:del w:id="688" w:author="svcMRProcess" w:date="2020-02-11T14:00:00Z">
        <w:r>
          <w:tab/>
        </w:r>
        <w:r>
          <w:rPr>
            <w:rStyle w:val="CharDefText"/>
          </w:rPr>
          <w:delText>terrorism offence</w:delText>
        </w:r>
        <w:r>
          <w:rPr>
            <w:b/>
          </w:rPr>
          <w:delText xml:space="preserve"> </w:delText>
        </w:r>
        <w:r>
          <w:delText xml:space="preserve">means — </w:delText>
        </w:r>
      </w:del>
    </w:p>
    <w:p>
      <w:pPr>
        <w:pStyle w:val="nzDefpara"/>
        <w:rPr>
          <w:del w:id="689" w:author="svcMRProcess" w:date="2020-02-11T14:00:00Z"/>
        </w:rPr>
      </w:pPr>
      <w:del w:id="690" w:author="svcMRProcess" w:date="2020-02-11T14:00:00Z">
        <w:r>
          <w:tab/>
          <w:delText>(a)</w:delText>
        </w:r>
        <w:r>
          <w:tab/>
          <w:delText>an offence against the Commonwealth Criminal Code Division 72 Subdivision A; or</w:delText>
        </w:r>
      </w:del>
    </w:p>
    <w:p>
      <w:pPr>
        <w:pStyle w:val="nzDefpara"/>
        <w:rPr>
          <w:del w:id="691" w:author="svcMRProcess" w:date="2020-02-11T14:00:00Z"/>
        </w:rPr>
      </w:pPr>
      <w:del w:id="692" w:author="svcMRProcess" w:date="2020-02-11T14:00:00Z">
        <w:r>
          <w:tab/>
          <w:delText>(b)</w:delText>
        </w:r>
        <w:r>
          <w:tab/>
          <w:delText>an offence against the Commonwealth Criminal Code Division 80 Subdivision B; or</w:delText>
        </w:r>
      </w:del>
    </w:p>
    <w:p>
      <w:pPr>
        <w:pStyle w:val="nzDefpara"/>
        <w:rPr>
          <w:del w:id="693" w:author="svcMRProcess" w:date="2020-02-11T14:00:00Z"/>
        </w:rPr>
      </w:pPr>
      <w:del w:id="694" w:author="svcMRProcess" w:date="2020-02-11T14:00:00Z">
        <w:r>
          <w:tab/>
          <w:delText>(c)</w:delText>
        </w:r>
        <w:r>
          <w:tab/>
          <w:delText>an offence against the Commonwealth Criminal Code Part 5.3, except an offence against section 104.22, 104.27, 104.27A, 105.41 or 105.45; or</w:delText>
        </w:r>
      </w:del>
    </w:p>
    <w:p>
      <w:pPr>
        <w:pStyle w:val="nzDefpara"/>
        <w:rPr>
          <w:del w:id="695" w:author="svcMRProcess" w:date="2020-02-11T14:00:00Z"/>
        </w:rPr>
      </w:pPr>
      <w:del w:id="696" w:author="svcMRProcess" w:date="2020-02-11T14:00:00Z">
        <w:r>
          <w:tab/>
          <w:delText>(d)</w:delText>
        </w:r>
        <w:r>
          <w:tab/>
          <w:delText>an offence against the Commonwealth Criminal Code Part 5.5; or</w:delText>
        </w:r>
      </w:del>
    </w:p>
    <w:p>
      <w:pPr>
        <w:pStyle w:val="nzDefpara"/>
        <w:rPr>
          <w:del w:id="697" w:author="svcMRProcess" w:date="2020-02-11T14:00:00Z"/>
        </w:rPr>
      </w:pPr>
      <w:del w:id="698" w:author="svcMRProcess" w:date="2020-02-11T14:00:00Z">
        <w:r>
          <w:tab/>
          <w:delText>(e)</w:delText>
        </w:r>
        <w:r>
          <w:tab/>
          <w:delText xml:space="preserve">an offence against either of the following provisions of the </w:delText>
        </w:r>
        <w:r>
          <w:rPr>
            <w:i/>
          </w:rPr>
          <w:delText xml:space="preserve">Charter of the United Nations Act 1945 </w:delText>
        </w:r>
        <w:r>
          <w:delText xml:space="preserve">(Commonwealth) — </w:delText>
        </w:r>
      </w:del>
    </w:p>
    <w:p>
      <w:pPr>
        <w:pStyle w:val="nzDefsubpara"/>
        <w:rPr>
          <w:del w:id="699" w:author="svcMRProcess" w:date="2020-02-11T14:00:00Z"/>
        </w:rPr>
      </w:pPr>
      <w:del w:id="700" w:author="svcMRProcess" w:date="2020-02-11T14:00:00Z">
        <w:r>
          <w:tab/>
          <w:delText>(i)</w:delText>
        </w:r>
        <w:r>
          <w:tab/>
          <w:delText>Part 4; or</w:delText>
        </w:r>
      </w:del>
    </w:p>
    <w:p>
      <w:pPr>
        <w:pStyle w:val="nzDefsubpara"/>
        <w:rPr>
          <w:del w:id="701" w:author="svcMRProcess" w:date="2020-02-11T14:00:00Z"/>
        </w:rPr>
      </w:pPr>
      <w:del w:id="702" w:author="svcMRProcess" w:date="2020-02-11T14:00:00Z">
        <w:r>
          <w:tab/>
          <w:delText>(ii)</w:delText>
        </w:r>
        <w:r>
          <w:tab/>
          <w:delText xml:space="preserve">Part 5, to the extent that it relates to the </w:delText>
        </w:r>
        <w:r>
          <w:rPr>
            <w:i/>
          </w:rPr>
          <w:delText>Charter of the United Nations (Sanctions — Al</w:delText>
        </w:r>
        <w:r>
          <w:rPr>
            <w:i/>
          </w:rPr>
          <w:noBreakHyphen/>
          <w:delText>Qaida) Regulations 2008</w:delText>
        </w:r>
        <w:r>
          <w:delText xml:space="preserve"> (Commonwealth);</w:delText>
        </w:r>
      </w:del>
    </w:p>
    <w:p>
      <w:pPr>
        <w:pStyle w:val="nzDefpara"/>
        <w:rPr>
          <w:del w:id="703" w:author="svcMRProcess" w:date="2020-02-11T14:00:00Z"/>
        </w:rPr>
      </w:pPr>
      <w:del w:id="704" w:author="svcMRProcess" w:date="2020-02-11T14:00:00Z">
        <w:r>
          <w:tab/>
        </w:r>
        <w:r>
          <w:tab/>
          <w:delText>or</w:delText>
        </w:r>
      </w:del>
    </w:p>
    <w:p>
      <w:pPr>
        <w:pStyle w:val="nzDefpara"/>
        <w:rPr>
          <w:del w:id="705" w:author="svcMRProcess" w:date="2020-02-11T14:00:00Z"/>
        </w:rPr>
      </w:pPr>
      <w:del w:id="706" w:author="svcMRProcess" w:date="2020-02-11T14:00:00Z">
        <w:r>
          <w:tab/>
          <w:delText>(f)</w:delText>
        </w:r>
        <w:r>
          <w:tab/>
          <w:delText xml:space="preserve">an offence against the </w:delText>
        </w:r>
        <w:r>
          <w:rPr>
            <w:i/>
          </w:rPr>
          <w:delText xml:space="preserve">Crimes (Foreign Incursions and Recruitment) Act 1978 </w:delText>
        </w:r>
        <w:r>
          <w:delText>(Commonwealth) (repealed); or</w:delText>
        </w:r>
      </w:del>
    </w:p>
    <w:p>
      <w:pPr>
        <w:pStyle w:val="nzDefpara"/>
        <w:rPr>
          <w:del w:id="707" w:author="svcMRProcess" w:date="2020-02-11T14:00:00Z"/>
        </w:rPr>
      </w:pPr>
      <w:del w:id="708" w:author="svcMRProcess" w:date="2020-02-11T14:00:00Z">
        <w:r>
          <w:tab/>
          <w:delText>(g)</w:delText>
        </w:r>
        <w:r>
          <w:tab/>
          <w:delText xml:space="preserve">an offence against the </w:delText>
        </w:r>
        <w:r>
          <w:rPr>
            <w:i/>
          </w:rPr>
          <w:delText xml:space="preserve">Crimes (Internationally Protected Persons) Act 1976 </w:delText>
        </w:r>
        <w:r>
          <w:delText>(Commonwealth) section 8; or</w:delText>
        </w:r>
      </w:del>
    </w:p>
    <w:p>
      <w:pPr>
        <w:pStyle w:val="nzDefpara"/>
        <w:rPr>
          <w:del w:id="709" w:author="svcMRProcess" w:date="2020-02-11T14:00:00Z"/>
        </w:rPr>
      </w:pPr>
      <w:del w:id="710" w:author="svcMRProcess" w:date="2020-02-11T14:00:00Z">
        <w:r>
          <w:tab/>
          <w:delText>(h)</w:delText>
        </w:r>
        <w:r>
          <w:tab/>
          <w:delText>an offence under a written law or a law of the Commonwealth, another State, a Territory or another country, that substantially corresponds to an offence in paragraphs (a) to (e) and (g); or</w:delText>
        </w:r>
      </w:del>
    </w:p>
    <w:p>
      <w:pPr>
        <w:pStyle w:val="nzDefpara"/>
        <w:rPr>
          <w:del w:id="711" w:author="svcMRProcess" w:date="2020-02-11T14:00:00Z"/>
        </w:rPr>
      </w:pPr>
      <w:del w:id="712" w:author="svcMRProcess" w:date="2020-02-11T14:00:00Z">
        <w:r>
          <w:tab/>
          <w:delText>(i)</w:delText>
        </w:r>
        <w:r>
          <w:tab/>
          <w:delText>an offence of attempting, inciting or conspiring to commit an offence referred to in paragraphs (a) to (h);</w:delText>
        </w:r>
      </w:del>
    </w:p>
    <w:p>
      <w:pPr>
        <w:pStyle w:val="nzDefstart"/>
        <w:rPr>
          <w:del w:id="713" w:author="svcMRProcess" w:date="2020-02-11T14:00:00Z"/>
        </w:rPr>
      </w:pPr>
      <w:del w:id="714" w:author="svcMRProcess" w:date="2020-02-11T14:00:00Z">
        <w:r>
          <w:tab/>
        </w:r>
        <w:r>
          <w:rPr>
            <w:rStyle w:val="CharDefText"/>
          </w:rPr>
          <w:delText>terrorist act</w:delText>
        </w:r>
        <w:r>
          <w:delText xml:space="preserve"> has the meaning given in the </w:delText>
        </w:r>
        <w:r>
          <w:rPr>
            <w:i/>
          </w:rPr>
          <w:delText>Terrorism (Commonwealth Powers) Act 2002</w:delText>
        </w:r>
        <w:r>
          <w:delText xml:space="preserve"> section 3;</w:delText>
        </w:r>
      </w:del>
    </w:p>
    <w:p>
      <w:pPr>
        <w:pStyle w:val="nzDefstart"/>
        <w:rPr>
          <w:del w:id="715" w:author="svcMRProcess" w:date="2020-02-11T14:00:00Z"/>
        </w:rPr>
      </w:pPr>
      <w:del w:id="716" w:author="svcMRProcess" w:date="2020-02-11T14:00:00Z">
        <w:r>
          <w:tab/>
        </w:r>
        <w:r>
          <w:rPr>
            <w:rStyle w:val="CharDefText"/>
          </w:rPr>
          <w:delText>terrorist intelligence information</w:delText>
        </w:r>
        <w:r>
          <w:delText xml:space="preserve"> means information relating to an actual or suspected terrorist act (whether in this State or elsewhere) the disclosure of which could reasonably be expected — </w:delText>
        </w:r>
      </w:del>
    </w:p>
    <w:p>
      <w:pPr>
        <w:pStyle w:val="nzDefpara"/>
        <w:rPr>
          <w:del w:id="717" w:author="svcMRProcess" w:date="2020-02-11T14:00:00Z"/>
        </w:rPr>
      </w:pPr>
      <w:del w:id="718" w:author="svcMRProcess" w:date="2020-02-11T14:00:00Z">
        <w:r>
          <w:tab/>
          <w:delText>(a)</w:delText>
        </w:r>
        <w:r>
          <w:tab/>
          <w:delText>to prejudice national security; or</w:delText>
        </w:r>
      </w:del>
    </w:p>
    <w:p>
      <w:pPr>
        <w:pStyle w:val="nzDefpara"/>
        <w:rPr>
          <w:del w:id="719" w:author="svcMRProcess" w:date="2020-02-11T14:00:00Z"/>
        </w:rPr>
      </w:pPr>
      <w:del w:id="720" w:author="svcMRProcess" w:date="2020-02-11T14:00:00Z">
        <w:r>
          <w:tab/>
          <w:delText>(b)</w:delText>
        </w:r>
        <w:r>
          <w:tab/>
          <w:delText>to endanger a person’s life or physical safety; or</w:delText>
        </w:r>
      </w:del>
    </w:p>
    <w:p>
      <w:pPr>
        <w:pStyle w:val="nzDefpara"/>
        <w:rPr>
          <w:del w:id="721" w:author="svcMRProcess" w:date="2020-02-11T14:00:00Z"/>
        </w:rPr>
      </w:pPr>
      <w:del w:id="722" w:author="svcMRProcess" w:date="2020-02-11T14:00:00Z">
        <w:r>
          <w:tab/>
          <w:delText>(c)</w:delText>
        </w:r>
        <w:r>
          <w:tab/>
          <w:delText>to threaten significant damage to infrastructure or property; or</w:delText>
        </w:r>
      </w:del>
    </w:p>
    <w:p>
      <w:pPr>
        <w:pStyle w:val="nzDefpara"/>
        <w:rPr>
          <w:del w:id="723" w:author="svcMRProcess" w:date="2020-02-11T14:00:00Z"/>
        </w:rPr>
      </w:pPr>
      <w:del w:id="724" w:author="svcMRProcess" w:date="2020-02-11T14:00:00Z">
        <w:r>
          <w:tab/>
          <w:delText>(d)</w:delText>
        </w:r>
        <w:r>
          <w:tab/>
          <w:delText>to prejudice a criminal investigation; or</w:delText>
        </w:r>
      </w:del>
    </w:p>
    <w:p>
      <w:pPr>
        <w:pStyle w:val="nzDefpara"/>
        <w:rPr>
          <w:del w:id="725" w:author="svcMRProcess" w:date="2020-02-11T14:00:00Z"/>
        </w:rPr>
      </w:pPr>
      <w:del w:id="726" w:author="svcMRProcess" w:date="2020-02-11T14:00:00Z">
        <w:r>
          <w:tab/>
          <w:delText>(e)</w:delText>
        </w:r>
        <w:r>
          <w:tab/>
          <w:delText>to reveal intelligence</w:delText>
        </w:r>
        <w:r>
          <w:noBreakHyphen/>
          <w:delText>gathering methodologies, investigative techniques or technologies or covert practices; or</w:delText>
        </w:r>
      </w:del>
    </w:p>
    <w:p>
      <w:pPr>
        <w:pStyle w:val="nzDefpara"/>
        <w:rPr>
          <w:del w:id="727" w:author="svcMRProcess" w:date="2020-02-11T14:00:00Z"/>
        </w:rPr>
      </w:pPr>
      <w:del w:id="728" w:author="svcMRProcess" w:date="2020-02-11T14:00:00Z">
        <w:r>
          <w:tab/>
          <w:delText>(f)</w:delText>
        </w:r>
        <w:r>
          <w:tab/>
          <w:delText xml:space="preserve">to enable the discovery of the existence or identity of a confidential source of information relevant to law enforcement; </w:delText>
        </w:r>
      </w:del>
    </w:p>
    <w:p>
      <w:pPr>
        <w:pStyle w:val="BlankClose"/>
        <w:rPr>
          <w:del w:id="729" w:author="svcMRProcess" w:date="2020-02-11T14:00:00Z"/>
        </w:rPr>
      </w:pPr>
    </w:p>
    <w:p>
      <w:pPr>
        <w:pStyle w:val="nzHeading5"/>
        <w:rPr>
          <w:del w:id="730" w:author="svcMRProcess" w:date="2020-02-11T14:00:00Z"/>
        </w:rPr>
      </w:pPr>
      <w:del w:id="731" w:author="svcMRProcess" w:date="2020-02-11T14:00:00Z">
        <w:r>
          <w:rPr>
            <w:rStyle w:val="CharSectno"/>
          </w:rPr>
          <w:delText>5</w:delText>
        </w:r>
        <w:r>
          <w:delText>.</w:delText>
        </w:r>
        <w:r>
          <w:tab/>
          <w:delText>Section 6 amended</w:delText>
        </w:r>
      </w:del>
    </w:p>
    <w:p>
      <w:pPr>
        <w:pStyle w:val="nzSubsection"/>
        <w:rPr>
          <w:del w:id="732" w:author="svcMRProcess" w:date="2020-02-11T14:00:00Z"/>
        </w:rPr>
      </w:pPr>
      <w:del w:id="733" w:author="svcMRProcess" w:date="2020-02-11T14:00:00Z">
        <w:r>
          <w:tab/>
          <w:delText>(1)</w:delText>
        </w:r>
        <w:r>
          <w:tab/>
          <w:delText>In section 6(6) delete “(9) or (10)” and insert:</w:delText>
        </w:r>
      </w:del>
    </w:p>
    <w:p>
      <w:pPr>
        <w:pStyle w:val="BlankOpen"/>
        <w:rPr>
          <w:del w:id="734" w:author="svcMRProcess" w:date="2020-02-11T14:00:00Z"/>
        </w:rPr>
      </w:pPr>
    </w:p>
    <w:p>
      <w:pPr>
        <w:pStyle w:val="nzSubsection"/>
        <w:rPr>
          <w:del w:id="735" w:author="svcMRProcess" w:date="2020-02-11T14:00:00Z"/>
        </w:rPr>
      </w:pPr>
      <w:del w:id="736" w:author="svcMRProcess" w:date="2020-02-11T14:00:00Z">
        <w:r>
          <w:tab/>
        </w:r>
        <w:r>
          <w:tab/>
          <w:delText xml:space="preserve">(9), (10) or (11) </w:delText>
        </w:r>
      </w:del>
    </w:p>
    <w:p>
      <w:pPr>
        <w:pStyle w:val="BlankClose"/>
        <w:rPr>
          <w:del w:id="737" w:author="svcMRProcess" w:date="2020-02-11T14:00:00Z"/>
        </w:rPr>
      </w:pPr>
    </w:p>
    <w:p>
      <w:pPr>
        <w:pStyle w:val="nzSubsection"/>
        <w:rPr>
          <w:del w:id="738" w:author="svcMRProcess" w:date="2020-02-11T14:00:00Z"/>
        </w:rPr>
      </w:pPr>
      <w:del w:id="739" w:author="svcMRProcess" w:date="2020-02-11T14:00:00Z">
        <w:r>
          <w:tab/>
          <w:delText>(2)</w:delText>
        </w:r>
        <w:r>
          <w:tab/>
          <w:delText>After section 6(10) insert:</w:delText>
        </w:r>
      </w:del>
    </w:p>
    <w:p>
      <w:pPr>
        <w:pStyle w:val="BlankOpen"/>
        <w:rPr>
          <w:del w:id="740" w:author="svcMRProcess" w:date="2020-02-11T14:00:00Z"/>
        </w:rPr>
      </w:pPr>
    </w:p>
    <w:p>
      <w:pPr>
        <w:pStyle w:val="nzSubsection"/>
        <w:rPr>
          <w:del w:id="741" w:author="svcMRProcess" w:date="2020-02-11T14:00:00Z"/>
        </w:rPr>
      </w:pPr>
      <w:del w:id="742" w:author="svcMRProcess" w:date="2020-02-11T14:00:00Z">
        <w:r>
          <w:tab/>
          <w:delText>(11)</w:delText>
        </w:r>
        <w:r>
          <w:tab/>
          <w:delText>If section 16B applies, the arrester must bring the accused or cause the accused to be brought before a court constituted by a judicial officer other than a justice, who must consider the accused’s case for bail as soon as is practicable.</w:delText>
        </w:r>
      </w:del>
    </w:p>
    <w:p>
      <w:pPr>
        <w:pStyle w:val="BlankClose"/>
        <w:rPr>
          <w:del w:id="743" w:author="svcMRProcess" w:date="2020-02-11T14:00:00Z"/>
          <w:sz w:val="20"/>
          <w:szCs w:val="20"/>
        </w:rPr>
      </w:pPr>
    </w:p>
    <w:p>
      <w:pPr>
        <w:pStyle w:val="nzHeading5"/>
        <w:rPr>
          <w:del w:id="744" w:author="svcMRProcess" w:date="2020-02-11T14:00:00Z"/>
        </w:rPr>
      </w:pPr>
      <w:del w:id="745" w:author="svcMRProcess" w:date="2020-02-11T14:00:00Z">
        <w:r>
          <w:rPr>
            <w:rStyle w:val="CharSectno"/>
          </w:rPr>
          <w:delText>6</w:delText>
        </w:r>
        <w:r>
          <w:delText>.</w:delText>
        </w:r>
        <w:r>
          <w:tab/>
          <w:delText>Section 7 amended</w:delText>
        </w:r>
      </w:del>
    </w:p>
    <w:p>
      <w:pPr>
        <w:pStyle w:val="nzSubsection"/>
        <w:rPr>
          <w:del w:id="746" w:author="svcMRProcess" w:date="2020-02-11T14:00:00Z"/>
        </w:rPr>
      </w:pPr>
      <w:del w:id="747" w:author="svcMRProcess" w:date="2020-02-11T14:00:00Z">
        <w:r>
          <w:tab/>
        </w:r>
        <w:r>
          <w:tab/>
          <w:delText>In section 7(5) delete “3A and 3D.” and insert:</w:delText>
        </w:r>
      </w:del>
    </w:p>
    <w:p>
      <w:pPr>
        <w:pStyle w:val="BlankOpen"/>
        <w:rPr>
          <w:del w:id="748" w:author="svcMRProcess" w:date="2020-02-11T14:00:00Z"/>
        </w:rPr>
      </w:pPr>
    </w:p>
    <w:p>
      <w:pPr>
        <w:pStyle w:val="nzSubsection"/>
        <w:rPr>
          <w:del w:id="749" w:author="svcMRProcess" w:date="2020-02-11T14:00:00Z"/>
        </w:rPr>
      </w:pPr>
      <w:del w:id="750" w:author="svcMRProcess" w:date="2020-02-11T14:00:00Z">
        <w:r>
          <w:tab/>
        </w:r>
        <w:r>
          <w:tab/>
          <w:delText>3A, 3D and 3E.</w:delText>
        </w:r>
      </w:del>
    </w:p>
    <w:p>
      <w:pPr>
        <w:pStyle w:val="BlankClose"/>
        <w:rPr>
          <w:del w:id="751" w:author="svcMRProcess" w:date="2020-02-11T14:00:00Z"/>
        </w:rPr>
      </w:pPr>
    </w:p>
    <w:p>
      <w:pPr>
        <w:pStyle w:val="nzHeading5"/>
        <w:rPr>
          <w:del w:id="752" w:author="svcMRProcess" w:date="2020-02-11T14:00:00Z"/>
        </w:rPr>
      </w:pPr>
      <w:del w:id="753" w:author="svcMRProcess" w:date="2020-02-11T14:00:00Z">
        <w:r>
          <w:rPr>
            <w:rStyle w:val="CharSectno"/>
          </w:rPr>
          <w:delText>7</w:delText>
        </w:r>
        <w:r>
          <w:delText>.</w:delText>
        </w:r>
        <w:r>
          <w:tab/>
          <w:delText>Section 16 amended</w:delText>
        </w:r>
      </w:del>
    </w:p>
    <w:p>
      <w:pPr>
        <w:pStyle w:val="nzSubsection"/>
        <w:rPr>
          <w:del w:id="754" w:author="svcMRProcess" w:date="2020-02-11T14:00:00Z"/>
        </w:rPr>
      </w:pPr>
      <w:del w:id="755" w:author="svcMRProcess" w:date="2020-02-11T14:00:00Z">
        <w:r>
          <w:tab/>
        </w:r>
        <w:r>
          <w:tab/>
          <w:delText>In section 16(1) delete “14 and 15” and insert:</w:delText>
        </w:r>
      </w:del>
    </w:p>
    <w:p>
      <w:pPr>
        <w:pStyle w:val="BlankOpen"/>
        <w:rPr>
          <w:del w:id="756" w:author="svcMRProcess" w:date="2020-02-11T14:00:00Z"/>
        </w:rPr>
      </w:pPr>
    </w:p>
    <w:p>
      <w:pPr>
        <w:pStyle w:val="nzSubsection"/>
        <w:rPr>
          <w:del w:id="757" w:author="svcMRProcess" w:date="2020-02-11T14:00:00Z"/>
        </w:rPr>
      </w:pPr>
      <w:del w:id="758" w:author="svcMRProcess" w:date="2020-02-11T14:00:00Z">
        <w:r>
          <w:tab/>
        </w:r>
        <w:r>
          <w:tab/>
          <w:delText>14, 15 and 16B</w:delText>
        </w:r>
      </w:del>
    </w:p>
    <w:p>
      <w:pPr>
        <w:pStyle w:val="BlankClose"/>
        <w:rPr>
          <w:del w:id="759" w:author="svcMRProcess" w:date="2020-02-11T14:00:00Z"/>
        </w:rPr>
      </w:pPr>
    </w:p>
    <w:p>
      <w:pPr>
        <w:pStyle w:val="nzHeading5"/>
        <w:rPr>
          <w:del w:id="760" w:author="svcMRProcess" w:date="2020-02-11T14:00:00Z"/>
        </w:rPr>
      </w:pPr>
      <w:del w:id="761" w:author="svcMRProcess" w:date="2020-02-11T14:00:00Z">
        <w:r>
          <w:rPr>
            <w:rStyle w:val="CharSectno"/>
          </w:rPr>
          <w:delText>8</w:delText>
        </w:r>
        <w:r>
          <w:delText>.</w:delText>
        </w:r>
        <w:r>
          <w:tab/>
          <w:delText>Section 16B inserted</w:delText>
        </w:r>
      </w:del>
    </w:p>
    <w:p>
      <w:pPr>
        <w:pStyle w:val="nzSubsection"/>
        <w:rPr>
          <w:del w:id="762" w:author="svcMRProcess" w:date="2020-02-11T14:00:00Z"/>
        </w:rPr>
      </w:pPr>
      <w:del w:id="763" w:author="svcMRProcess" w:date="2020-02-11T14:00:00Z">
        <w:r>
          <w:tab/>
        </w:r>
        <w:r>
          <w:tab/>
          <w:delText>After section 16A insert:</w:delText>
        </w:r>
      </w:del>
    </w:p>
    <w:p>
      <w:pPr>
        <w:pStyle w:val="BlankOpen"/>
        <w:rPr>
          <w:del w:id="764" w:author="svcMRProcess" w:date="2020-02-11T14:00:00Z"/>
        </w:rPr>
      </w:pPr>
    </w:p>
    <w:p>
      <w:pPr>
        <w:pStyle w:val="nzHeading5"/>
        <w:rPr>
          <w:del w:id="765" w:author="svcMRProcess" w:date="2020-02-11T14:00:00Z"/>
        </w:rPr>
      </w:pPr>
      <w:del w:id="766" w:author="svcMRProcess" w:date="2020-02-11T14:00:00Z">
        <w:r>
          <w:delText>16B.</w:delText>
        </w:r>
        <w:r>
          <w:tab/>
          <w:delText>Person linked to terrorism</w:delText>
        </w:r>
      </w:del>
    </w:p>
    <w:p>
      <w:pPr>
        <w:pStyle w:val="nzSubsection"/>
        <w:rPr>
          <w:del w:id="767" w:author="svcMRProcess" w:date="2020-02-11T14:00:00Z"/>
        </w:rPr>
      </w:pPr>
      <w:del w:id="768" w:author="svcMRProcess" w:date="2020-02-11T14:00:00Z">
        <w:r>
          <w:tab/>
          <w:delText>(1)</w:delText>
        </w:r>
        <w:r>
          <w:tab/>
          <w:delText>This section applies if a person linked to terrorism is in custody —</w:delText>
        </w:r>
      </w:del>
    </w:p>
    <w:p>
      <w:pPr>
        <w:pStyle w:val="nzIndenta"/>
        <w:rPr>
          <w:del w:id="769" w:author="svcMRProcess" w:date="2020-02-11T14:00:00Z"/>
        </w:rPr>
      </w:pPr>
      <w:del w:id="770" w:author="svcMRProcess" w:date="2020-02-11T14:00:00Z">
        <w:r>
          <w:tab/>
          <w:delText>(a)</w:delText>
        </w:r>
        <w:r>
          <w:tab/>
          <w:delText>awaiting an appearance in court before conviction for an offence; or</w:delText>
        </w:r>
      </w:del>
    </w:p>
    <w:p>
      <w:pPr>
        <w:pStyle w:val="nzIndenta"/>
        <w:rPr>
          <w:del w:id="771" w:author="svcMRProcess" w:date="2020-02-11T14:00:00Z"/>
        </w:rPr>
      </w:pPr>
      <w:del w:id="772" w:author="svcMRProcess" w:date="2020-02-11T14:00:00Z">
        <w:r>
          <w:tab/>
          <w:delText>(b)</w:delText>
        </w:r>
        <w:r>
          <w:tab/>
          <w:delText>waiting to be sentenced or otherwise dealt with for an offence of which the person has been convicted.</w:delText>
        </w:r>
      </w:del>
    </w:p>
    <w:p>
      <w:pPr>
        <w:pStyle w:val="nzSubsection"/>
        <w:rPr>
          <w:del w:id="773" w:author="svcMRProcess" w:date="2020-02-11T14:00:00Z"/>
        </w:rPr>
      </w:pPr>
      <w:del w:id="774" w:author="svcMRProcess" w:date="2020-02-11T14:00:00Z">
        <w:r>
          <w:tab/>
          <w:delText>(2)</w:delText>
        </w:r>
        <w:r>
          <w:tab/>
          <w:delText>The power to grant bail to the person can be exercised only by a court constituted by a judicial officer other than a justice.</w:delText>
        </w:r>
      </w:del>
    </w:p>
    <w:p>
      <w:pPr>
        <w:pStyle w:val="BlankClose"/>
        <w:rPr>
          <w:del w:id="775" w:author="svcMRProcess" w:date="2020-02-11T14:00:00Z"/>
        </w:rPr>
      </w:pPr>
    </w:p>
    <w:p>
      <w:pPr>
        <w:pStyle w:val="nzHeading5"/>
        <w:rPr>
          <w:del w:id="776" w:author="svcMRProcess" w:date="2020-02-11T14:00:00Z"/>
        </w:rPr>
      </w:pPr>
      <w:del w:id="777" w:author="svcMRProcess" w:date="2020-02-11T14:00:00Z">
        <w:r>
          <w:rPr>
            <w:rStyle w:val="CharSectno"/>
          </w:rPr>
          <w:delText>9</w:delText>
        </w:r>
        <w:r>
          <w:delText>.</w:delText>
        </w:r>
        <w:r>
          <w:tab/>
          <w:delText>Section 26 amended</w:delText>
        </w:r>
      </w:del>
    </w:p>
    <w:p>
      <w:pPr>
        <w:pStyle w:val="nzSubsection"/>
        <w:rPr>
          <w:del w:id="778" w:author="svcMRProcess" w:date="2020-02-11T14:00:00Z"/>
        </w:rPr>
      </w:pPr>
      <w:del w:id="779" w:author="svcMRProcess" w:date="2020-02-11T14:00:00Z">
        <w:r>
          <w:tab/>
          <w:delText>(1)</w:delText>
        </w:r>
        <w:r>
          <w:tab/>
          <w:delText>In section 26(2)(aa) delete “3A or 3D” and insert:</w:delText>
        </w:r>
      </w:del>
    </w:p>
    <w:p>
      <w:pPr>
        <w:pStyle w:val="BlankOpen"/>
        <w:rPr>
          <w:del w:id="780" w:author="svcMRProcess" w:date="2020-02-11T14:00:00Z"/>
        </w:rPr>
      </w:pPr>
    </w:p>
    <w:p>
      <w:pPr>
        <w:pStyle w:val="nzSubsection"/>
        <w:rPr>
          <w:del w:id="781" w:author="svcMRProcess" w:date="2020-02-11T14:00:00Z"/>
        </w:rPr>
      </w:pPr>
      <w:del w:id="782" w:author="svcMRProcess" w:date="2020-02-11T14:00:00Z">
        <w:r>
          <w:tab/>
        </w:r>
        <w:r>
          <w:tab/>
          <w:delText>3A, 3D or 3E</w:delText>
        </w:r>
      </w:del>
    </w:p>
    <w:p>
      <w:pPr>
        <w:pStyle w:val="BlankClose"/>
        <w:rPr>
          <w:del w:id="783" w:author="svcMRProcess" w:date="2020-02-11T14:00:00Z"/>
        </w:rPr>
      </w:pPr>
    </w:p>
    <w:p>
      <w:pPr>
        <w:pStyle w:val="nzSubsection"/>
        <w:rPr>
          <w:del w:id="784" w:author="svcMRProcess" w:date="2020-02-11T14:00:00Z"/>
        </w:rPr>
      </w:pPr>
      <w:del w:id="785" w:author="svcMRProcess" w:date="2020-02-11T14:00:00Z">
        <w:r>
          <w:tab/>
          <w:delText>(2)</w:delText>
        </w:r>
        <w:r>
          <w:tab/>
          <w:delText>After section 26(4) insert:</w:delText>
        </w:r>
      </w:del>
    </w:p>
    <w:p>
      <w:pPr>
        <w:pStyle w:val="BlankOpen"/>
        <w:rPr>
          <w:del w:id="786" w:author="svcMRProcess" w:date="2020-02-11T14:00:00Z"/>
        </w:rPr>
      </w:pPr>
    </w:p>
    <w:p>
      <w:pPr>
        <w:pStyle w:val="nzSubsection"/>
        <w:rPr>
          <w:del w:id="787" w:author="svcMRProcess" w:date="2020-02-11T14:00:00Z"/>
        </w:rPr>
      </w:pPr>
      <w:del w:id="788" w:author="svcMRProcess" w:date="2020-02-11T14:00:00Z">
        <w:r>
          <w:tab/>
          <w:delText>(5)</w:delText>
        </w:r>
        <w:r>
          <w:tab/>
          <w:delText>A bail record form, or the record of a decision and reasons for it, must not include information that is terrorist intelligence information.</w:delText>
        </w:r>
      </w:del>
    </w:p>
    <w:p>
      <w:pPr>
        <w:pStyle w:val="BlankClose"/>
        <w:rPr>
          <w:del w:id="789" w:author="svcMRProcess" w:date="2020-02-11T14:00:00Z"/>
        </w:rPr>
      </w:pPr>
    </w:p>
    <w:p>
      <w:pPr>
        <w:pStyle w:val="nzHeading5"/>
        <w:rPr>
          <w:del w:id="790" w:author="svcMRProcess" w:date="2020-02-11T14:00:00Z"/>
        </w:rPr>
      </w:pPr>
      <w:del w:id="791" w:author="svcMRProcess" w:date="2020-02-11T14:00:00Z">
        <w:r>
          <w:rPr>
            <w:rStyle w:val="CharSectno"/>
          </w:rPr>
          <w:delText>10</w:delText>
        </w:r>
        <w:r>
          <w:delText>.</w:delText>
        </w:r>
        <w:r>
          <w:tab/>
          <w:delText>Section 54 amended</w:delText>
        </w:r>
      </w:del>
    </w:p>
    <w:p>
      <w:pPr>
        <w:pStyle w:val="nzSubsection"/>
        <w:rPr>
          <w:del w:id="792" w:author="svcMRProcess" w:date="2020-02-11T14:00:00Z"/>
        </w:rPr>
      </w:pPr>
      <w:del w:id="793" w:author="svcMRProcess" w:date="2020-02-11T14:00:00Z">
        <w:r>
          <w:tab/>
        </w:r>
        <w:r>
          <w:tab/>
          <w:delText xml:space="preserve">In section 54(1): </w:delText>
        </w:r>
      </w:del>
    </w:p>
    <w:p>
      <w:pPr>
        <w:pStyle w:val="nzIndenta"/>
        <w:rPr>
          <w:del w:id="794" w:author="svcMRProcess" w:date="2020-02-11T14:00:00Z"/>
        </w:rPr>
      </w:pPr>
      <w:del w:id="795" w:author="svcMRProcess" w:date="2020-02-11T14:00:00Z">
        <w:r>
          <w:tab/>
          <w:delText>(a)</w:delText>
        </w:r>
        <w:r>
          <w:tab/>
          <w:delText>in paragraph (b)(iii) delete “diligence.” and insert</w:delText>
        </w:r>
      </w:del>
    </w:p>
    <w:p>
      <w:pPr>
        <w:pStyle w:val="BlankOpen"/>
        <w:rPr>
          <w:del w:id="796" w:author="svcMRProcess" w:date="2020-02-11T14:00:00Z"/>
        </w:rPr>
      </w:pPr>
    </w:p>
    <w:p>
      <w:pPr>
        <w:pStyle w:val="nzIndenta"/>
        <w:rPr>
          <w:del w:id="797" w:author="svcMRProcess" w:date="2020-02-11T14:00:00Z"/>
        </w:rPr>
      </w:pPr>
      <w:del w:id="798" w:author="svcMRProcess" w:date="2020-02-11T14:00:00Z">
        <w:r>
          <w:tab/>
        </w:r>
        <w:r>
          <w:tab/>
          <w:delText>diligence; or</w:delText>
        </w:r>
      </w:del>
    </w:p>
    <w:p>
      <w:pPr>
        <w:pStyle w:val="BlankClose"/>
        <w:rPr>
          <w:del w:id="799" w:author="svcMRProcess" w:date="2020-02-11T14:00:00Z"/>
        </w:rPr>
      </w:pPr>
    </w:p>
    <w:p>
      <w:pPr>
        <w:pStyle w:val="nzIndenta"/>
        <w:rPr>
          <w:del w:id="800" w:author="svcMRProcess" w:date="2020-02-11T14:00:00Z"/>
        </w:rPr>
      </w:pPr>
      <w:del w:id="801" w:author="svcMRProcess" w:date="2020-02-11T14:00:00Z">
        <w:r>
          <w:tab/>
          <w:delText>(b)</w:delText>
        </w:r>
        <w:r>
          <w:tab/>
          <w:delText>after paragraph (b)(iii) insert:</w:delText>
        </w:r>
      </w:del>
    </w:p>
    <w:p>
      <w:pPr>
        <w:pStyle w:val="BlankOpen"/>
        <w:rPr>
          <w:del w:id="802" w:author="svcMRProcess" w:date="2020-02-11T14:00:00Z"/>
        </w:rPr>
      </w:pPr>
    </w:p>
    <w:p>
      <w:pPr>
        <w:pStyle w:val="nzIndenti"/>
        <w:rPr>
          <w:del w:id="803" w:author="svcMRProcess" w:date="2020-02-11T14:00:00Z"/>
        </w:rPr>
      </w:pPr>
      <w:del w:id="804" w:author="svcMRProcess" w:date="2020-02-11T14:00:00Z">
        <w:r>
          <w:tab/>
          <w:delText>(iv)</w:delText>
        </w:r>
        <w:r>
          <w:tab/>
          <w:delText>new facts have been discovered, new circumstances have arisen or the circumstances have changed since bail was granted (including that the accused is, or has become, a person linked to terrorism).</w:delText>
        </w:r>
      </w:del>
    </w:p>
    <w:p>
      <w:pPr>
        <w:pStyle w:val="BlankClose"/>
        <w:rPr>
          <w:del w:id="805" w:author="svcMRProcess" w:date="2020-02-11T14:00:00Z"/>
        </w:rPr>
      </w:pPr>
    </w:p>
    <w:p>
      <w:pPr>
        <w:pStyle w:val="nzHeading5"/>
        <w:rPr>
          <w:del w:id="806" w:author="svcMRProcess" w:date="2020-02-11T14:00:00Z"/>
        </w:rPr>
      </w:pPr>
      <w:del w:id="807" w:author="svcMRProcess" w:date="2020-02-11T14:00:00Z">
        <w:r>
          <w:rPr>
            <w:rStyle w:val="CharSectno"/>
          </w:rPr>
          <w:delText>11</w:delText>
        </w:r>
        <w:r>
          <w:delText>.</w:delText>
        </w:r>
        <w:r>
          <w:tab/>
          <w:delText>Section 66C inserted</w:delText>
        </w:r>
      </w:del>
    </w:p>
    <w:p>
      <w:pPr>
        <w:pStyle w:val="nzSubsection"/>
        <w:rPr>
          <w:del w:id="808" w:author="svcMRProcess" w:date="2020-02-11T14:00:00Z"/>
        </w:rPr>
      </w:pPr>
      <w:del w:id="809" w:author="svcMRProcess" w:date="2020-02-11T14:00:00Z">
        <w:r>
          <w:tab/>
        </w:r>
        <w:r>
          <w:tab/>
          <w:delText>After section 66B insert:</w:delText>
        </w:r>
      </w:del>
    </w:p>
    <w:p>
      <w:pPr>
        <w:pStyle w:val="BlankOpen"/>
        <w:rPr>
          <w:del w:id="810" w:author="svcMRProcess" w:date="2020-02-11T14:00:00Z"/>
        </w:rPr>
      </w:pPr>
    </w:p>
    <w:p>
      <w:pPr>
        <w:pStyle w:val="nzHeading5"/>
        <w:rPr>
          <w:del w:id="811" w:author="svcMRProcess" w:date="2020-02-11T14:00:00Z"/>
        </w:rPr>
      </w:pPr>
      <w:del w:id="812" w:author="svcMRProcess" w:date="2020-02-11T14:00:00Z">
        <w:r>
          <w:delText>66C.</w:delText>
        </w:r>
        <w:r>
          <w:tab/>
          <w:delText>Protection of terrorist intelligence information in bail proceedings</w:delText>
        </w:r>
      </w:del>
    </w:p>
    <w:p>
      <w:pPr>
        <w:pStyle w:val="nzSubsection"/>
        <w:rPr>
          <w:del w:id="813" w:author="svcMRProcess" w:date="2020-02-11T14:00:00Z"/>
        </w:rPr>
      </w:pPr>
      <w:del w:id="814" w:author="svcMRProcess" w:date="2020-02-11T14:00:00Z">
        <w:r>
          <w:tab/>
          <w:delText>(1)</w:delText>
        </w:r>
        <w:r>
          <w:tab/>
          <w:delText xml:space="preserve">In proceedings on a case for bail, the judicial officer must take all reasonable steps to maintain the confidentiality of information that the judicial officer considers is terrorist intelligence information, including steps — </w:delText>
        </w:r>
      </w:del>
    </w:p>
    <w:p>
      <w:pPr>
        <w:pStyle w:val="nzIndenta"/>
        <w:rPr>
          <w:del w:id="815" w:author="svcMRProcess" w:date="2020-02-11T14:00:00Z"/>
        </w:rPr>
      </w:pPr>
      <w:del w:id="816" w:author="svcMRProcess" w:date="2020-02-11T14:00:00Z">
        <w:r>
          <w:tab/>
          <w:delText>(a)</w:delText>
        </w:r>
        <w:r>
          <w:tab/>
          <w:delText>to receive evidence and hear argument about the information in private and in the absence of any person other than the prosecutor and any other person to whose presence the prosecutor consents; and</w:delText>
        </w:r>
      </w:del>
    </w:p>
    <w:p>
      <w:pPr>
        <w:pStyle w:val="nzIndenta"/>
        <w:rPr>
          <w:del w:id="817" w:author="svcMRProcess" w:date="2020-02-11T14:00:00Z"/>
        </w:rPr>
      </w:pPr>
      <w:del w:id="818" w:author="svcMRProcess" w:date="2020-02-11T14:00:00Z">
        <w:r>
          <w:tab/>
          <w:delText>(b)</w:delText>
        </w:r>
        <w:r>
          <w:tab/>
          <w:delText>to prohibit the publication of, or a reference to, terrorist intelligence information; and</w:delText>
        </w:r>
      </w:del>
    </w:p>
    <w:p>
      <w:pPr>
        <w:pStyle w:val="nzIndenta"/>
        <w:rPr>
          <w:del w:id="819" w:author="svcMRProcess" w:date="2020-02-11T14:00:00Z"/>
        </w:rPr>
      </w:pPr>
      <w:del w:id="820" w:author="svcMRProcess" w:date="2020-02-11T14:00:00Z">
        <w:r>
          <w:tab/>
          <w:delText>(c)</w:delText>
        </w:r>
        <w:r>
          <w:tab/>
          <w:delText xml:space="preserve">to order that the following documents must be provided in a redacted form — </w:delText>
        </w:r>
      </w:del>
    </w:p>
    <w:p>
      <w:pPr>
        <w:pStyle w:val="nzIndenti"/>
        <w:rPr>
          <w:del w:id="821" w:author="svcMRProcess" w:date="2020-02-11T14:00:00Z"/>
        </w:rPr>
      </w:pPr>
      <w:del w:id="822" w:author="svcMRProcess" w:date="2020-02-11T14:00:00Z">
        <w:r>
          <w:tab/>
          <w:delText>(i)</w:delText>
        </w:r>
        <w:r>
          <w:tab/>
          <w:delText>an approved form given under section 8;</w:delText>
        </w:r>
      </w:del>
    </w:p>
    <w:p>
      <w:pPr>
        <w:pStyle w:val="nzIndenti"/>
        <w:rPr>
          <w:del w:id="823" w:author="svcMRProcess" w:date="2020-02-11T14:00:00Z"/>
        </w:rPr>
      </w:pPr>
      <w:del w:id="824" w:author="svcMRProcess" w:date="2020-02-11T14:00:00Z">
        <w:r>
          <w:tab/>
          <w:delText>(ii)</w:delText>
        </w:r>
        <w:r>
          <w:tab/>
          <w:delText>a report made in accordance with section 24 or 24A.</w:delText>
        </w:r>
      </w:del>
    </w:p>
    <w:p>
      <w:pPr>
        <w:pStyle w:val="nzSubsection"/>
        <w:rPr>
          <w:del w:id="825" w:author="svcMRProcess" w:date="2020-02-11T14:00:00Z"/>
        </w:rPr>
      </w:pPr>
      <w:del w:id="826" w:author="svcMRProcess" w:date="2020-02-11T14:00:00Z">
        <w:r>
          <w:tab/>
          <w:delText>(2)</w:delText>
        </w:r>
        <w:r>
          <w:tab/>
          <w:delText xml:space="preserve">If the judicial officer considers that the information is not terrorist intelligence information, the judicial officer must — </w:delText>
        </w:r>
      </w:del>
    </w:p>
    <w:p>
      <w:pPr>
        <w:pStyle w:val="nzIndenta"/>
        <w:rPr>
          <w:del w:id="827" w:author="svcMRProcess" w:date="2020-02-11T14:00:00Z"/>
        </w:rPr>
      </w:pPr>
      <w:del w:id="828" w:author="svcMRProcess" w:date="2020-02-11T14:00:00Z">
        <w:r>
          <w:tab/>
          <w:delText>(a)</w:delText>
        </w:r>
        <w:r>
          <w:tab/>
          <w:delText>give the prosecutor the opportunity to withdraw the information from consideration; and</w:delText>
        </w:r>
      </w:del>
    </w:p>
    <w:p>
      <w:pPr>
        <w:pStyle w:val="nzIndenta"/>
        <w:rPr>
          <w:del w:id="829" w:author="svcMRProcess" w:date="2020-02-11T14:00:00Z"/>
        </w:rPr>
      </w:pPr>
      <w:del w:id="830" w:author="svcMRProcess" w:date="2020-02-11T14:00:00Z">
        <w:r>
          <w:tab/>
          <w:delText>(b)</w:delText>
        </w:r>
        <w:r>
          <w:tab/>
          <w:delText>if the information is withdrawn, prohibit the publication of, or a reference to, the information.</w:delText>
        </w:r>
      </w:del>
    </w:p>
    <w:p>
      <w:pPr>
        <w:pStyle w:val="nzSubsection"/>
        <w:rPr>
          <w:del w:id="831" w:author="svcMRProcess" w:date="2020-02-11T14:00:00Z"/>
        </w:rPr>
      </w:pPr>
      <w:del w:id="832" w:author="svcMRProcess" w:date="2020-02-11T14:00:00Z">
        <w:r>
          <w:tab/>
          <w:delText>(3)</w:delText>
        </w:r>
        <w:r>
          <w:tab/>
          <w:delText xml:space="preserve">Despite subsections (1) and (2), the judicial officer may disclose terrorist intelligence information or information withdrawn under subsection (2) to any of the following — </w:delText>
        </w:r>
      </w:del>
    </w:p>
    <w:p>
      <w:pPr>
        <w:pStyle w:val="nzIndenta"/>
        <w:rPr>
          <w:del w:id="833" w:author="svcMRProcess" w:date="2020-02-11T14:00:00Z"/>
        </w:rPr>
      </w:pPr>
      <w:del w:id="834" w:author="svcMRProcess" w:date="2020-02-11T14:00:00Z">
        <w:r>
          <w:tab/>
          <w:delText>(a)</w:delText>
        </w:r>
        <w:r>
          <w:tab/>
          <w:delText>the Attorney General;</w:delText>
        </w:r>
      </w:del>
    </w:p>
    <w:p>
      <w:pPr>
        <w:pStyle w:val="nzIndenta"/>
        <w:rPr>
          <w:del w:id="835" w:author="svcMRProcess" w:date="2020-02-11T14:00:00Z"/>
        </w:rPr>
      </w:pPr>
      <w:del w:id="836" w:author="svcMRProcess" w:date="2020-02-11T14:00:00Z">
        <w:r>
          <w:tab/>
          <w:delText>(b)</w:delText>
        </w:r>
        <w:r>
          <w:tab/>
          <w:delText>a court;</w:delText>
        </w:r>
      </w:del>
    </w:p>
    <w:p>
      <w:pPr>
        <w:pStyle w:val="nzIndenta"/>
        <w:rPr>
          <w:del w:id="837" w:author="svcMRProcess" w:date="2020-02-11T14:00:00Z"/>
        </w:rPr>
      </w:pPr>
      <w:del w:id="838" w:author="svcMRProcess" w:date="2020-02-11T14:00:00Z">
        <w:r>
          <w:tab/>
          <w:delText>(c)</w:delText>
        </w:r>
        <w:r>
          <w:tab/>
          <w:delText>a person to whom the prosecutor authorises disclosure.</w:delText>
        </w:r>
      </w:del>
    </w:p>
    <w:p>
      <w:pPr>
        <w:pStyle w:val="nzHeading5"/>
        <w:rPr>
          <w:del w:id="839" w:author="svcMRProcess" w:date="2020-02-11T14:00:00Z"/>
        </w:rPr>
      </w:pPr>
      <w:del w:id="840" w:author="svcMRProcess" w:date="2020-02-11T14:00:00Z">
        <w:r>
          <w:delText>66D.</w:delText>
        </w:r>
        <w:r>
          <w:tab/>
          <w:delText>Annual report to include information about application of s. 66C</w:delText>
        </w:r>
      </w:del>
    </w:p>
    <w:p>
      <w:pPr>
        <w:pStyle w:val="nzSubsection"/>
        <w:rPr>
          <w:del w:id="841" w:author="svcMRProcess" w:date="2020-02-11T14:00:00Z"/>
        </w:rPr>
      </w:pPr>
      <w:del w:id="842" w:author="svcMRProcess" w:date="2020-02-11T14:00:00Z">
        <w:r>
          <w:tab/>
          <w:delText>(1)</w:delText>
        </w:r>
        <w:r>
          <w:tab/>
          <w:delText xml:space="preserve">In this section — </w:delText>
        </w:r>
      </w:del>
    </w:p>
    <w:p>
      <w:pPr>
        <w:pStyle w:val="nzDefstart"/>
        <w:rPr>
          <w:del w:id="843" w:author="svcMRProcess" w:date="2020-02-11T14:00:00Z"/>
        </w:rPr>
      </w:pPr>
      <w:del w:id="844" w:author="svcMRProcess" w:date="2020-02-11T14:00:00Z">
        <w:r>
          <w:tab/>
        </w:r>
        <w:r>
          <w:rPr>
            <w:rStyle w:val="CharDefText"/>
          </w:rPr>
          <w:delText>accountable authority</w:delText>
        </w:r>
        <w:r>
          <w:delText xml:space="preserve"> means the accountable authority, as defined in the </w:delText>
        </w:r>
        <w:r>
          <w:rPr>
            <w:i/>
          </w:rPr>
          <w:delText>Financial Management Act 2006</w:delText>
        </w:r>
        <w:r>
          <w:delText xml:space="preserve"> section 3, of the department of the Public Service principally assisting in the administration of this Act;</w:delText>
        </w:r>
      </w:del>
    </w:p>
    <w:p>
      <w:pPr>
        <w:pStyle w:val="nzDefstart"/>
        <w:rPr>
          <w:del w:id="845" w:author="svcMRProcess" w:date="2020-02-11T14:00:00Z"/>
        </w:rPr>
      </w:pPr>
      <w:del w:id="846" w:author="svcMRProcess" w:date="2020-02-11T14:00:00Z">
        <w:r>
          <w:tab/>
        </w:r>
        <w:r>
          <w:rPr>
            <w:rStyle w:val="CharDefText"/>
          </w:rPr>
          <w:delText>protected information</w:delText>
        </w:r>
        <w:r>
          <w:delText xml:space="preserve"> means information the disclosure of which would contravene a written law or an order of a court;</w:delText>
        </w:r>
      </w:del>
    </w:p>
    <w:p>
      <w:pPr>
        <w:pStyle w:val="nzDefstart"/>
        <w:rPr>
          <w:del w:id="847" w:author="svcMRProcess" w:date="2020-02-11T14:00:00Z"/>
        </w:rPr>
      </w:pPr>
      <w:del w:id="848" w:author="svcMRProcess" w:date="2020-02-11T14:00:00Z">
        <w:r>
          <w:tab/>
        </w:r>
        <w:r>
          <w:rPr>
            <w:rStyle w:val="CharDefText"/>
          </w:rPr>
          <w:delText>sensitive information</w:delText>
        </w:r>
        <w:r>
          <w:delText xml:space="preserve"> means information the disclosure of which could reasonably be expected — </w:delText>
        </w:r>
      </w:del>
    </w:p>
    <w:p>
      <w:pPr>
        <w:pStyle w:val="nzDefpara"/>
        <w:rPr>
          <w:del w:id="849" w:author="svcMRProcess" w:date="2020-02-11T14:00:00Z"/>
        </w:rPr>
      </w:pPr>
      <w:del w:id="850" w:author="svcMRProcess" w:date="2020-02-11T14:00:00Z">
        <w:r>
          <w:tab/>
          <w:delText>(a)</w:delText>
        </w:r>
        <w:r>
          <w:tab/>
          <w:delText>to prejudice national security; or</w:delText>
        </w:r>
      </w:del>
    </w:p>
    <w:p>
      <w:pPr>
        <w:pStyle w:val="nzDefpara"/>
        <w:rPr>
          <w:del w:id="851" w:author="svcMRProcess" w:date="2020-02-11T14:00:00Z"/>
        </w:rPr>
      </w:pPr>
      <w:del w:id="852" w:author="svcMRProcess" w:date="2020-02-11T14:00:00Z">
        <w:r>
          <w:tab/>
          <w:delText>(b)</w:delText>
        </w:r>
        <w:r>
          <w:tab/>
          <w:delText>to endanger a person’s life or physical safety; or</w:delText>
        </w:r>
      </w:del>
    </w:p>
    <w:p>
      <w:pPr>
        <w:pStyle w:val="nzDefpara"/>
        <w:rPr>
          <w:del w:id="853" w:author="svcMRProcess" w:date="2020-02-11T14:00:00Z"/>
        </w:rPr>
      </w:pPr>
      <w:del w:id="854" w:author="svcMRProcess" w:date="2020-02-11T14:00:00Z">
        <w:r>
          <w:tab/>
          <w:delText>(c)</w:delText>
        </w:r>
        <w:r>
          <w:tab/>
          <w:delText>to threaten significant damage to infrastructure or property; or</w:delText>
        </w:r>
      </w:del>
    </w:p>
    <w:p>
      <w:pPr>
        <w:pStyle w:val="nzDefpara"/>
        <w:rPr>
          <w:del w:id="855" w:author="svcMRProcess" w:date="2020-02-11T14:00:00Z"/>
        </w:rPr>
      </w:pPr>
      <w:del w:id="856" w:author="svcMRProcess" w:date="2020-02-11T14:00:00Z">
        <w:r>
          <w:tab/>
          <w:delText>(d)</w:delText>
        </w:r>
        <w:r>
          <w:tab/>
          <w:delText>to prejudice a criminal investigation; or</w:delText>
        </w:r>
      </w:del>
    </w:p>
    <w:p>
      <w:pPr>
        <w:pStyle w:val="nzDefpara"/>
        <w:rPr>
          <w:del w:id="857" w:author="svcMRProcess" w:date="2020-02-11T14:00:00Z"/>
        </w:rPr>
      </w:pPr>
      <w:del w:id="858" w:author="svcMRProcess" w:date="2020-02-11T14:00:00Z">
        <w:r>
          <w:tab/>
          <w:delText>(e)</w:delText>
        </w:r>
        <w:r>
          <w:tab/>
          <w:delText>to reveal intelligence gathering methodologies, investigative techniques or technologies or covert practices; or</w:delText>
        </w:r>
      </w:del>
    </w:p>
    <w:p>
      <w:pPr>
        <w:pStyle w:val="nzDefpara"/>
        <w:rPr>
          <w:del w:id="859" w:author="svcMRProcess" w:date="2020-02-11T14:00:00Z"/>
        </w:rPr>
      </w:pPr>
      <w:del w:id="860" w:author="svcMRProcess" w:date="2020-02-11T14:00:00Z">
        <w:r>
          <w:tab/>
          <w:delText>(f)</w:delText>
        </w:r>
        <w:r>
          <w:tab/>
          <w:delText>to enable the discovery of the existence or identity of a confidential source of information relevant to law enforcement.</w:delText>
        </w:r>
      </w:del>
    </w:p>
    <w:p>
      <w:pPr>
        <w:pStyle w:val="nzSubsection"/>
        <w:rPr>
          <w:del w:id="861" w:author="svcMRProcess" w:date="2020-02-11T14:00:00Z"/>
        </w:rPr>
      </w:pPr>
      <w:del w:id="862" w:author="svcMRProcess" w:date="2020-02-11T14:00:00Z">
        <w:r>
          <w:tab/>
          <w:delText>(2)</w:delText>
        </w:r>
        <w:r>
          <w:tab/>
          <w:delText xml:space="preserve">Subject to subsections (7) and (8), the accountable authority must, in each annual report submitted under the </w:delText>
        </w:r>
        <w:r>
          <w:rPr>
            <w:i/>
          </w:rPr>
          <w:delText>Financial Management Act 2006</w:delText>
        </w:r>
        <w:r>
          <w:delText xml:space="preserve"> Part 5 Division 2, include information relating to action taken under section 66C(1) in proceedings on a case for bail in the financial year to which the annual report relates (</w:delText>
        </w:r>
        <w:r>
          <w:rPr>
            <w:b/>
            <w:i/>
          </w:rPr>
          <w:delText>reportable information</w:delText>
        </w:r>
        <w:r>
          <w:delText>).</w:delText>
        </w:r>
      </w:del>
    </w:p>
    <w:p>
      <w:pPr>
        <w:pStyle w:val="nzSubsection"/>
        <w:rPr>
          <w:del w:id="863" w:author="svcMRProcess" w:date="2020-02-11T14:00:00Z"/>
        </w:rPr>
      </w:pPr>
      <w:del w:id="864" w:author="svcMRProcess" w:date="2020-02-11T14:00:00Z">
        <w:r>
          <w:tab/>
          <w:delText>(3)</w:delText>
        </w:r>
        <w:r>
          <w:tab/>
          <w:delText xml:space="preserve">Reportable information must, without disclosing terrorist intelligence information, specify — </w:delText>
        </w:r>
      </w:del>
    </w:p>
    <w:p>
      <w:pPr>
        <w:pStyle w:val="nzIndenta"/>
        <w:rPr>
          <w:del w:id="865" w:author="svcMRProcess" w:date="2020-02-11T14:00:00Z"/>
        </w:rPr>
      </w:pPr>
      <w:del w:id="866" w:author="svcMRProcess" w:date="2020-02-11T14:00:00Z">
        <w:r>
          <w:tab/>
          <w:delText>(a)</w:delText>
        </w:r>
        <w:r>
          <w:tab/>
          <w:delText>the number of proceedings in which action was taken under section 66C(1); and</w:delText>
        </w:r>
      </w:del>
    </w:p>
    <w:p>
      <w:pPr>
        <w:pStyle w:val="nzIndenta"/>
        <w:rPr>
          <w:del w:id="867" w:author="svcMRProcess" w:date="2020-02-11T14:00:00Z"/>
        </w:rPr>
      </w:pPr>
      <w:del w:id="868" w:author="svcMRProcess" w:date="2020-02-11T14:00:00Z">
        <w:r>
          <w:tab/>
          <w:delText>(b)</w:delText>
        </w:r>
        <w:r>
          <w:tab/>
          <w:delText xml:space="preserve">in each of those proceedings whether the accused had access to the terrorist intelligence information received by the judicial officer and whether — </w:delText>
        </w:r>
      </w:del>
    </w:p>
    <w:p>
      <w:pPr>
        <w:pStyle w:val="nzIndenti"/>
        <w:rPr>
          <w:del w:id="869" w:author="svcMRProcess" w:date="2020-02-11T14:00:00Z"/>
        </w:rPr>
      </w:pPr>
      <w:del w:id="870" w:author="svcMRProcess" w:date="2020-02-11T14:00:00Z">
        <w:r>
          <w:tab/>
          <w:delText>(i)</w:delText>
        </w:r>
        <w:r>
          <w:tab/>
          <w:delText>evidence by or on behalf of the accused was received; and</w:delText>
        </w:r>
      </w:del>
    </w:p>
    <w:p>
      <w:pPr>
        <w:pStyle w:val="nzIndenti"/>
        <w:rPr>
          <w:del w:id="871" w:author="svcMRProcess" w:date="2020-02-11T14:00:00Z"/>
        </w:rPr>
      </w:pPr>
      <w:del w:id="872" w:author="svcMRProcess" w:date="2020-02-11T14:00:00Z">
        <w:r>
          <w:tab/>
          <w:delText>(ii)</w:delText>
        </w:r>
        <w:r>
          <w:tab/>
          <w:delText>argument by or on behalf of the accused was heard.</w:delText>
        </w:r>
      </w:del>
    </w:p>
    <w:p>
      <w:pPr>
        <w:pStyle w:val="nzSubsection"/>
        <w:rPr>
          <w:del w:id="873" w:author="svcMRProcess" w:date="2020-02-11T14:00:00Z"/>
        </w:rPr>
      </w:pPr>
      <w:del w:id="874" w:author="svcMRProcess" w:date="2020-02-11T14:00:00Z">
        <w:r>
          <w:tab/>
          <w:delText>(4)</w:delText>
        </w:r>
        <w:r>
          <w:tab/>
          <w:delText>Prior to submitting an annual report, the accountable authority must give a copy of the reportable information they propose to include in the annual report to the Attorney General and the Commissioner of Police.</w:delText>
        </w:r>
      </w:del>
    </w:p>
    <w:p>
      <w:pPr>
        <w:pStyle w:val="nzSubsection"/>
        <w:rPr>
          <w:del w:id="875" w:author="svcMRProcess" w:date="2020-02-11T14:00:00Z"/>
        </w:rPr>
      </w:pPr>
      <w:del w:id="876" w:author="svcMRProcess" w:date="2020-02-11T14:00:00Z">
        <w:r>
          <w:tab/>
          <w:delText>(5)</w:delText>
        </w:r>
        <w:r>
          <w:tab/>
          <w:delText>The Commissioner of Police must advise the Attorney General whether any of the reportable information, in the Commissioner’s opinion, is or is likely to be sensitive information.</w:delText>
        </w:r>
      </w:del>
    </w:p>
    <w:p>
      <w:pPr>
        <w:pStyle w:val="nzSubsection"/>
        <w:rPr>
          <w:del w:id="877" w:author="svcMRProcess" w:date="2020-02-11T14:00:00Z"/>
        </w:rPr>
      </w:pPr>
      <w:del w:id="878" w:author="svcMRProcess" w:date="2020-02-11T14:00:00Z">
        <w:r>
          <w:tab/>
          <w:delText>(6)</w:delText>
        </w:r>
        <w:r>
          <w:tab/>
          <w:delText>A judicial officer may advise the Attorney General of any reportable information that, in the judicial officer’s opinion, is or is likely to be protected information.</w:delText>
        </w:r>
      </w:del>
    </w:p>
    <w:p>
      <w:pPr>
        <w:pStyle w:val="nzSubsection"/>
        <w:rPr>
          <w:del w:id="879" w:author="svcMRProcess" w:date="2020-02-11T14:00:00Z"/>
        </w:rPr>
      </w:pPr>
      <w:del w:id="880" w:author="svcMRProcess" w:date="2020-02-11T14:00:00Z">
        <w:r>
          <w:tab/>
          <w:delText>(7)</w:delText>
        </w:r>
        <w:r>
          <w:tab/>
          <w:delText xml:space="preserve">If the Attorney General is, on advice provided under subsection (5) or (6), satisfied that some or all of the reportable information is sensitive information or protected information, the Attorney General must direct the accountable authority to — </w:delText>
        </w:r>
      </w:del>
    </w:p>
    <w:p>
      <w:pPr>
        <w:pStyle w:val="nzIndenta"/>
        <w:rPr>
          <w:del w:id="881" w:author="svcMRProcess" w:date="2020-02-11T14:00:00Z"/>
        </w:rPr>
      </w:pPr>
      <w:del w:id="882" w:author="svcMRProcess" w:date="2020-02-11T14:00:00Z">
        <w:r>
          <w:tab/>
          <w:delText>(a)</w:delText>
        </w:r>
        <w:r>
          <w:tab/>
          <w:delText>exclude the information from the annual report; and</w:delText>
        </w:r>
      </w:del>
    </w:p>
    <w:p>
      <w:pPr>
        <w:pStyle w:val="nzIndenta"/>
        <w:rPr>
          <w:del w:id="883" w:author="svcMRProcess" w:date="2020-02-11T14:00:00Z"/>
        </w:rPr>
      </w:pPr>
      <w:del w:id="884" w:author="svcMRProcess" w:date="2020-02-11T14:00:00Z">
        <w:r>
          <w:tab/>
          <w:delText>(b)</w:delText>
        </w:r>
        <w:r>
          <w:tab/>
          <w:delText>insert a statement in the annual report to the effect that information has been excluded from the report under this section.</w:delText>
        </w:r>
      </w:del>
    </w:p>
    <w:p>
      <w:pPr>
        <w:pStyle w:val="nzSubsection"/>
        <w:rPr>
          <w:del w:id="885" w:author="svcMRProcess" w:date="2020-02-11T14:00:00Z"/>
        </w:rPr>
      </w:pPr>
      <w:del w:id="886" w:author="svcMRProcess" w:date="2020-02-11T14:00:00Z">
        <w:r>
          <w:tab/>
          <w:delText>(8)</w:delText>
        </w:r>
        <w:r>
          <w:tab/>
          <w:delText>The accountable authority must comply with a direction under subsection (7).</w:delText>
        </w:r>
      </w:del>
    </w:p>
    <w:p>
      <w:pPr>
        <w:pStyle w:val="BlankClose"/>
        <w:rPr>
          <w:del w:id="887" w:author="svcMRProcess" w:date="2020-02-11T14:00:00Z"/>
        </w:rPr>
      </w:pPr>
    </w:p>
    <w:p>
      <w:pPr>
        <w:pStyle w:val="nzHeading5"/>
        <w:rPr>
          <w:del w:id="888" w:author="svcMRProcess" w:date="2020-02-11T14:00:00Z"/>
        </w:rPr>
      </w:pPr>
      <w:del w:id="889" w:author="svcMRProcess" w:date="2020-02-11T14:00:00Z">
        <w:r>
          <w:rPr>
            <w:rStyle w:val="CharSectno"/>
          </w:rPr>
          <w:delText>12</w:delText>
        </w:r>
        <w:r>
          <w:delText>.</w:delText>
        </w:r>
        <w:r>
          <w:tab/>
          <w:delText>Section 67A inserted</w:delText>
        </w:r>
      </w:del>
    </w:p>
    <w:p>
      <w:pPr>
        <w:pStyle w:val="nzSubsection"/>
        <w:rPr>
          <w:del w:id="890" w:author="svcMRProcess" w:date="2020-02-11T14:00:00Z"/>
        </w:rPr>
      </w:pPr>
      <w:del w:id="891" w:author="svcMRProcess" w:date="2020-02-11T14:00:00Z">
        <w:r>
          <w:tab/>
        </w:r>
        <w:r>
          <w:tab/>
          <w:delText>After section 67 insert:</w:delText>
        </w:r>
      </w:del>
    </w:p>
    <w:p>
      <w:pPr>
        <w:pStyle w:val="BlankOpen"/>
        <w:rPr>
          <w:del w:id="892" w:author="svcMRProcess" w:date="2020-02-11T14:00:00Z"/>
        </w:rPr>
      </w:pPr>
    </w:p>
    <w:p>
      <w:pPr>
        <w:pStyle w:val="nzHeading5"/>
        <w:rPr>
          <w:del w:id="893" w:author="svcMRProcess" w:date="2020-02-11T14:00:00Z"/>
        </w:rPr>
      </w:pPr>
      <w:del w:id="894" w:author="svcMRProcess" w:date="2020-02-11T14:00:00Z">
        <w:r>
          <w:delText>67A.</w:delText>
        </w:r>
        <w:r>
          <w:tab/>
          <w:delText xml:space="preserve">Review of amendments made by </w:delText>
        </w:r>
        <w:r>
          <w:rPr>
            <w:i/>
          </w:rPr>
          <w:delText>Bail Amendment (Persons Linked to Terrorism) Act 2019</w:delText>
        </w:r>
      </w:del>
    </w:p>
    <w:p>
      <w:pPr>
        <w:pStyle w:val="nzSubsection"/>
        <w:rPr>
          <w:del w:id="895" w:author="svcMRProcess" w:date="2020-02-11T14:00:00Z"/>
        </w:rPr>
      </w:pPr>
      <w:del w:id="896" w:author="svcMRProcess" w:date="2020-02-11T14:00:00Z">
        <w:r>
          <w:tab/>
          <w:delText>(1)</w:delText>
        </w:r>
        <w:r>
          <w:tab/>
          <w:delText xml:space="preserve">The Minister must review the operation and effectiveness of the amendments made to this Act by the </w:delText>
        </w:r>
        <w:r>
          <w:rPr>
            <w:i/>
          </w:rPr>
          <w:delText>Bail Amendment (Persons Linked to Terrorism) Act 2019</w:delText>
        </w:r>
        <w:r>
          <w:delText xml:space="preserve"> and prepare a report based on the review — </w:delText>
        </w:r>
      </w:del>
    </w:p>
    <w:p>
      <w:pPr>
        <w:pStyle w:val="nzIndenta"/>
        <w:rPr>
          <w:del w:id="897" w:author="svcMRProcess" w:date="2020-02-11T14:00:00Z"/>
        </w:rPr>
      </w:pPr>
      <w:del w:id="898" w:author="svcMRProcess" w:date="2020-02-11T14:00:00Z">
        <w:r>
          <w:tab/>
          <w:delText>(a)</w:delText>
        </w:r>
        <w:r>
          <w:tab/>
          <w:delText>as soon as practicable after the 3</w:delText>
        </w:r>
        <w:r>
          <w:rPr>
            <w:vertAlign w:val="superscript"/>
          </w:rPr>
          <w:delText>rd</w:delText>
        </w:r>
        <w:r>
          <w:delText xml:space="preserve"> anniversary of the day on which the </w:delText>
        </w:r>
        <w:r>
          <w:rPr>
            <w:i/>
          </w:rPr>
          <w:delText>Bail Amendment (Persons Linked to Terrorism) Act 2019</w:delText>
        </w:r>
        <w:r>
          <w:delText xml:space="preserve"> section 12 comes into operation; and</w:delText>
        </w:r>
      </w:del>
    </w:p>
    <w:p>
      <w:pPr>
        <w:pStyle w:val="nzIndenta"/>
        <w:rPr>
          <w:del w:id="899" w:author="svcMRProcess" w:date="2020-02-11T14:00:00Z"/>
        </w:rPr>
      </w:pPr>
      <w:del w:id="900" w:author="svcMRProcess" w:date="2020-02-11T14:00:00Z">
        <w:r>
          <w:tab/>
          <w:delText>(b)</w:delText>
        </w:r>
        <w:r>
          <w:tab/>
          <w:delText>after that, at intervals of not more than 3 years.</w:delText>
        </w:r>
      </w:del>
    </w:p>
    <w:p>
      <w:pPr>
        <w:pStyle w:val="nzSubsection"/>
        <w:rPr>
          <w:del w:id="901" w:author="svcMRProcess" w:date="2020-02-11T14:00:00Z"/>
        </w:rPr>
      </w:pPr>
      <w:del w:id="902" w:author="svcMRProcess" w:date="2020-02-11T14:00:00Z">
        <w:r>
          <w:tab/>
          <w:delText>(2)</w:delText>
        </w:r>
        <w:r>
          <w:tab/>
          <w:delText>The Minister must cause the report to be laid before each House of Parliament as soon as practicable after it is prepared, but not later than 90 days after the 3</w:delText>
        </w:r>
        <w:r>
          <w:rPr>
            <w:vertAlign w:val="superscript"/>
          </w:rPr>
          <w:delText>rd</w:delText>
        </w:r>
        <w:r>
          <w:delText> anniversary or the expiry of the period of 3 years, as the case may be.</w:delText>
        </w:r>
      </w:del>
    </w:p>
    <w:p>
      <w:pPr>
        <w:pStyle w:val="BlankClose"/>
        <w:rPr>
          <w:del w:id="903" w:author="svcMRProcess" w:date="2020-02-11T14:00:00Z"/>
        </w:rPr>
      </w:pPr>
    </w:p>
    <w:p>
      <w:pPr>
        <w:pStyle w:val="nzHeading5"/>
        <w:rPr>
          <w:del w:id="904" w:author="svcMRProcess" w:date="2020-02-11T14:00:00Z"/>
        </w:rPr>
      </w:pPr>
      <w:del w:id="905" w:author="svcMRProcess" w:date="2020-02-11T14:00:00Z">
        <w:r>
          <w:rPr>
            <w:rStyle w:val="CharSectno"/>
          </w:rPr>
          <w:delText>13</w:delText>
        </w:r>
        <w:r>
          <w:delText>.</w:delText>
        </w:r>
        <w:r>
          <w:tab/>
          <w:delText>Schedule 1 Part C amended</w:delText>
        </w:r>
      </w:del>
    </w:p>
    <w:p>
      <w:pPr>
        <w:pStyle w:val="nzSubsection"/>
        <w:rPr>
          <w:del w:id="906" w:author="svcMRProcess" w:date="2020-02-11T14:00:00Z"/>
        </w:rPr>
      </w:pPr>
      <w:del w:id="907" w:author="svcMRProcess" w:date="2020-02-11T14:00:00Z">
        <w:r>
          <w:tab/>
          <w:delText>(1)</w:delText>
        </w:r>
        <w:r>
          <w:tab/>
          <w:delText>In Schedule 1 Part C clause 1 delete “</w:delText>
        </w:r>
        <w:r>
          <w:rPr>
            <w:sz w:val="22"/>
            <w:szCs w:val="22"/>
          </w:rPr>
          <w:delText>3C and 3D,</w:delText>
        </w:r>
        <w:r>
          <w:delText>” and insert:</w:delText>
        </w:r>
      </w:del>
    </w:p>
    <w:p>
      <w:pPr>
        <w:pStyle w:val="BlankOpen"/>
        <w:rPr>
          <w:del w:id="908" w:author="svcMRProcess" w:date="2020-02-11T14:00:00Z"/>
        </w:rPr>
      </w:pPr>
    </w:p>
    <w:p>
      <w:pPr>
        <w:pStyle w:val="nzSubsection"/>
        <w:rPr>
          <w:del w:id="909" w:author="svcMRProcess" w:date="2020-02-11T14:00:00Z"/>
        </w:rPr>
      </w:pPr>
      <w:del w:id="910" w:author="svcMRProcess" w:date="2020-02-11T14:00:00Z">
        <w:r>
          <w:tab/>
        </w:r>
        <w:r>
          <w:tab/>
        </w:r>
        <w:r>
          <w:rPr>
            <w:sz w:val="22"/>
            <w:szCs w:val="22"/>
          </w:rPr>
          <w:delText>3C, 3D and 3E,</w:delText>
        </w:r>
      </w:del>
    </w:p>
    <w:p>
      <w:pPr>
        <w:pStyle w:val="BlankClose"/>
        <w:rPr>
          <w:del w:id="911" w:author="svcMRProcess" w:date="2020-02-11T14:00:00Z"/>
        </w:rPr>
      </w:pPr>
    </w:p>
    <w:p>
      <w:pPr>
        <w:pStyle w:val="nzSubsection"/>
        <w:rPr>
          <w:del w:id="912" w:author="svcMRProcess" w:date="2020-02-11T14:00:00Z"/>
        </w:rPr>
      </w:pPr>
      <w:del w:id="913" w:author="svcMRProcess" w:date="2020-02-11T14:00:00Z">
        <w:r>
          <w:tab/>
          <w:delText>(2)</w:delText>
        </w:r>
        <w:r>
          <w:tab/>
          <w:delText>Delete Schedule 1 Part C clause 2(3)(a) and insert:</w:delText>
        </w:r>
      </w:del>
    </w:p>
    <w:p>
      <w:pPr>
        <w:pStyle w:val="BlankOpen"/>
        <w:rPr>
          <w:del w:id="914" w:author="svcMRProcess" w:date="2020-02-11T14:00:00Z"/>
        </w:rPr>
      </w:pPr>
    </w:p>
    <w:p>
      <w:pPr>
        <w:pStyle w:val="nzIndenta"/>
        <w:rPr>
          <w:del w:id="915" w:author="svcMRProcess" w:date="2020-02-11T14:00:00Z"/>
        </w:rPr>
      </w:pPr>
      <w:del w:id="916" w:author="svcMRProcess" w:date="2020-02-11T14:00:00Z">
        <w:r>
          <w:tab/>
          <w:delText>(a)</w:delText>
        </w:r>
        <w:r>
          <w:tab/>
          <w:delText>clauses 3A, 3C, 3D and 3E; and</w:delText>
        </w:r>
      </w:del>
    </w:p>
    <w:p>
      <w:pPr>
        <w:pStyle w:val="BlankClose"/>
        <w:rPr>
          <w:del w:id="917" w:author="svcMRProcess" w:date="2020-02-11T14:00:00Z"/>
        </w:rPr>
      </w:pPr>
    </w:p>
    <w:p>
      <w:pPr>
        <w:pStyle w:val="nzSubsection"/>
        <w:rPr>
          <w:del w:id="918" w:author="svcMRProcess" w:date="2020-02-11T14:00:00Z"/>
        </w:rPr>
      </w:pPr>
      <w:del w:id="919" w:author="svcMRProcess" w:date="2020-02-11T14:00:00Z">
        <w:r>
          <w:tab/>
          <w:delText>(3)</w:delText>
        </w:r>
        <w:r>
          <w:tab/>
          <w:delText>After Schedule 1 Part C clause 3D insert:</w:delText>
        </w:r>
      </w:del>
    </w:p>
    <w:p>
      <w:pPr>
        <w:pStyle w:val="BlankOpen"/>
        <w:rPr>
          <w:del w:id="920" w:author="svcMRProcess" w:date="2020-02-11T14:00:00Z"/>
        </w:rPr>
      </w:pPr>
    </w:p>
    <w:p>
      <w:pPr>
        <w:pStyle w:val="nzHeading5"/>
        <w:rPr>
          <w:del w:id="921" w:author="svcMRProcess" w:date="2020-02-11T14:00:00Z"/>
        </w:rPr>
      </w:pPr>
      <w:del w:id="922" w:author="svcMRProcess" w:date="2020-02-11T14:00:00Z">
        <w:r>
          <w:delText>3E.</w:delText>
        </w:r>
        <w:r>
          <w:tab/>
          <w:delText>Bail in cases of person linked to terrorism</w:delText>
        </w:r>
      </w:del>
    </w:p>
    <w:p>
      <w:pPr>
        <w:pStyle w:val="nzSubsection"/>
        <w:rPr>
          <w:del w:id="923" w:author="svcMRProcess" w:date="2020-02-11T14:00:00Z"/>
        </w:rPr>
      </w:pPr>
      <w:del w:id="924" w:author="svcMRProcess" w:date="2020-02-11T14:00:00Z">
        <w:r>
          <w:tab/>
          <w:delText>(1)</w:delText>
        </w:r>
        <w:r>
          <w:tab/>
          <w:delText xml:space="preserve">This clause applies where an accused who is a person linked to terrorism is in custody — </w:delText>
        </w:r>
      </w:del>
    </w:p>
    <w:p>
      <w:pPr>
        <w:pStyle w:val="nzIndenta"/>
        <w:rPr>
          <w:del w:id="925" w:author="svcMRProcess" w:date="2020-02-11T14:00:00Z"/>
        </w:rPr>
      </w:pPr>
      <w:del w:id="926" w:author="svcMRProcess" w:date="2020-02-11T14:00:00Z">
        <w:r>
          <w:tab/>
          <w:delText>(a)</w:delText>
        </w:r>
        <w:r>
          <w:tab/>
          <w:delText>awaiting an appearance in court before conviction for an offence; or</w:delText>
        </w:r>
      </w:del>
    </w:p>
    <w:p>
      <w:pPr>
        <w:pStyle w:val="nzIndenta"/>
        <w:rPr>
          <w:del w:id="927" w:author="svcMRProcess" w:date="2020-02-11T14:00:00Z"/>
        </w:rPr>
      </w:pPr>
      <w:del w:id="928" w:author="svcMRProcess" w:date="2020-02-11T14:00:00Z">
        <w:r>
          <w:tab/>
          <w:delText>(b)</w:delText>
        </w:r>
        <w:r>
          <w:tab/>
          <w:delText>waiting to be sentenced or otherwise dealt with for an offence of which the accused has been convicted.</w:delText>
        </w:r>
      </w:del>
    </w:p>
    <w:p>
      <w:pPr>
        <w:pStyle w:val="nzSubsection"/>
        <w:rPr>
          <w:del w:id="929" w:author="svcMRProcess" w:date="2020-02-11T14:00:00Z"/>
        </w:rPr>
      </w:pPr>
      <w:del w:id="930" w:author="svcMRProcess" w:date="2020-02-11T14:00:00Z">
        <w:r>
          <w:tab/>
          <w:delText>(2)</w:delText>
        </w:r>
        <w:r>
          <w:tab/>
          <w:delTex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delText>
        </w:r>
      </w:del>
    </w:p>
    <w:p>
      <w:pPr>
        <w:pStyle w:val="nzIndenta"/>
        <w:rPr>
          <w:del w:id="931" w:author="svcMRProcess" w:date="2020-02-11T14:00:00Z"/>
        </w:rPr>
      </w:pPr>
      <w:del w:id="932" w:author="svcMRProcess" w:date="2020-02-11T14:00:00Z">
        <w:r>
          <w:tab/>
          <w:delText>(a)</w:delText>
        </w:r>
        <w:r>
          <w:tab/>
          <w:delText>there are exceptional reasons why the accused should not be kept in custody; and</w:delText>
        </w:r>
      </w:del>
    </w:p>
    <w:p>
      <w:pPr>
        <w:pStyle w:val="nzIndenta"/>
        <w:rPr>
          <w:del w:id="933" w:author="svcMRProcess" w:date="2020-02-11T14:00:00Z"/>
        </w:rPr>
      </w:pPr>
      <w:del w:id="934" w:author="svcMRProcess" w:date="2020-02-11T14:00:00Z">
        <w:r>
          <w:tab/>
          <w:delText>(b)</w:delText>
        </w:r>
        <w:r>
          <w:tab/>
          <w:delText>bail may properly be granted having regard to the provisions of clauses 1 and 3 or, in the case of a child, clauses 2 and 3.</w:delText>
        </w:r>
      </w:del>
    </w:p>
    <w:p>
      <w:pPr>
        <w:pStyle w:val="nzSubsection"/>
        <w:rPr>
          <w:del w:id="935" w:author="svcMRProcess" w:date="2020-02-11T14:00:00Z"/>
        </w:rPr>
      </w:pPr>
      <w:del w:id="936" w:author="svcMRProcess" w:date="2020-02-11T14:00:00Z">
        <w:r>
          <w:tab/>
          <w:delText>(3)</w:delText>
        </w:r>
        <w:r>
          <w:tab/>
          <w:delText xml:space="preserve">The judicial officer must, in making any decision for the purposes of subclause (2)(a) — </w:delText>
        </w:r>
      </w:del>
    </w:p>
    <w:p>
      <w:pPr>
        <w:pStyle w:val="nzIndenta"/>
        <w:rPr>
          <w:del w:id="937" w:author="svcMRProcess" w:date="2020-02-11T14:00:00Z"/>
        </w:rPr>
      </w:pPr>
      <w:del w:id="938" w:author="svcMRProcess" w:date="2020-02-11T14:00:00Z">
        <w:r>
          <w:tab/>
          <w:delText>(a)</w:delText>
        </w:r>
        <w:r>
          <w:tab/>
          <w:delText>have regard to the nature and seriousness of the offence or offences (including any other offence or offences for which the accused is awaiting trial) and the probable method of dealing with the accused for it or them, if the accused is convicted; and</w:delText>
        </w:r>
      </w:del>
    </w:p>
    <w:p>
      <w:pPr>
        <w:pStyle w:val="nzIndenta"/>
        <w:rPr>
          <w:del w:id="939" w:author="svcMRProcess" w:date="2020-02-11T14:00:00Z"/>
        </w:rPr>
      </w:pPr>
      <w:del w:id="940" w:author="svcMRProcess" w:date="2020-02-11T14:00:00Z">
        <w:r>
          <w:tab/>
          <w:delText>(b)</w:delText>
        </w:r>
        <w:r>
          <w:tab/>
          <w:delText xml:space="preserve">have regard to the conduct of the accused since the accused was — </w:delText>
        </w:r>
      </w:del>
    </w:p>
    <w:p>
      <w:pPr>
        <w:pStyle w:val="nzIndenti"/>
        <w:rPr>
          <w:del w:id="941" w:author="svcMRProcess" w:date="2020-02-11T14:00:00Z"/>
        </w:rPr>
      </w:pPr>
      <w:del w:id="942" w:author="svcMRProcess" w:date="2020-02-11T14:00:00Z">
        <w:r>
          <w:tab/>
          <w:delText>(i)</w:delText>
        </w:r>
        <w:r>
          <w:tab/>
          <w:delText xml:space="preserve">charged with or convicted of a terrorism offence; or </w:delText>
        </w:r>
      </w:del>
    </w:p>
    <w:p>
      <w:pPr>
        <w:pStyle w:val="nzIndenti"/>
        <w:rPr>
          <w:del w:id="943" w:author="svcMRProcess" w:date="2020-02-11T14:00:00Z"/>
        </w:rPr>
      </w:pPr>
      <w:del w:id="944" w:author="svcMRProcess" w:date="2020-02-11T14:00:00Z">
        <w:r>
          <w:tab/>
          <w:delText>(ii)</w:delText>
        </w:r>
        <w:r>
          <w:tab/>
          <w:delText>made the subject of the relevant interim control order or confirmed control order;</w:delText>
        </w:r>
      </w:del>
    </w:p>
    <w:p>
      <w:pPr>
        <w:pStyle w:val="nzIndenta"/>
        <w:rPr>
          <w:del w:id="945" w:author="svcMRProcess" w:date="2020-02-11T14:00:00Z"/>
        </w:rPr>
      </w:pPr>
      <w:del w:id="946" w:author="svcMRProcess" w:date="2020-02-11T14:00:00Z">
        <w:r>
          <w:tab/>
        </w:r>
        <w:r>
          <w:tab/>
          <w:delText>and</w:delText>
        </w:r>
      </w:del>
    </w:p>
    <w:p>
      <w:pPr>
        <w:pStyle w:val="nzIndenta"/>
        <w:rPr>
          <w:del w:id="947" w:author="svcMRProcess" w:date="2020-02-11T14:00:00Z"/>
        </w:rPr>
      </w:pPr>
      <w:del w:id="948" w:author="svcMRProcess" w:date="2020-02-11T14:00:00Z">
        <w:r>
          <w:tab/>
          <w:delText>(c)</w:delText>
        </w:r>
        <w:r>
          <w:tab/>
          <w:delText xml:space="preserve">consider whether it would be appropriate to refuse bail and make a hospital order under the </w:delText>
        </w:r>
        <w:r>
          <w:rPr>
            <w:i/>
          </w:rPr>
          <w:delText>Criminal Law (Mentally Impaired Accused) Act 1996</w:delText>
        </w:r>
        <w:r>
          <w:delText xml:space="preserve"> section 5; and</w:delText>
        </w:r>
      </w:del>
    </w:p>
    <w:p>
      <w:pPr>
        <w:pStyle w:val="nzIndenta"/>
        <w:rPr>
          <w:del w:id="949" w:author="svcMRProcess" w:date="2020-02-11T14:00:00Z"/>
        </w:rPr>
      </w:pPr>
      <w:del w:id="950" w:author="svcMRProcess" w:date="2020-02-11T14:00:00Z">
        <w:r>
          <w:tab/>
          <w:delText>(d)</w:delText>
        </w:r>
        <w:r>
          <w:tab/>
          <w:delText xml:space="preserve">in the case of a child, consider the </w:delText>
        </w:r>
        <w:r>
          <w:rPr>
            <w:i/>
          </w:rPr>
          <w:delText>Young Offenders Act 1994</w:delText>
        </w:r>
        <w:r>
          <w:delText xml:space="preserve"> section 6(d) as an objective of this Act with the safety of the community being an overriding objective.</w:delText>
        </w:r>
      </w:del>
    </w:p>
    <w:p>
      <w:pPr>
        <w:pStyle w:val="nzSubsection"/>
        <w:rPr>
          <w:del w:id="951" w:author="svcMRProcess" w:date="2020-02-11T14:00:00Z"/>
        </w:rPr>
      </w:pPr>
      <w:del w:id="952" w:author="svcMRProcess" w:date="2020-02-11T14:00:00Z">
        <w:r>
          <w:tab/>
          <w:delText>(4)</w:delText>
        </w:r>
        <w:r>
          <w:tab/>
          <w:delText>Subclause (3) does not limit the matters that the judicial officer may take into account for the purposes of subclause (2)(a).</w:delText>
        </w:r>
      </w:del>
    </w:p>
    <w:p>
      <w:pPr>
        <w:pStyle w:val="nzSubsection"/>
        <w:rPr>
          <w:del w:id="953" w:author="svcMRProcess" w:date="2020-02-11T14:00:00Z"/>
        </w:rPr>
      </w:pPr>
      <w:del w:id="954" w:author="svcMRProcess" w:date="2020-02-11T14:00:00Z">
        <w:r>
          <w:tab/>
          <w:delText>(5)</w:delText>
        </w:r>
        <w:r>
          <w:tab/>
          <w:delTex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delText>
        </w:r>
      </w:del>
    </w:p>
    <w:p>
      <w:pPr>
        <w:pStyle w:val="nzIndenta"/>
        <w:rPr>
          <w:del w:id="955" w:author="svcMRProcess" w:date="2020-02-11T14:00:00Z"/>
        </w:rPr>
      </w:pPr>
      <w:del w:id="956" w:author="svcMRProcess" w:date="2020-02-11T14:00:00Z">
        <w:r>
          <w:tab/>
          <w:delText>(a)</w:delText>
        </w:r>
        <w:r>
          <w:tab/>
          <w:delText>new facts have been discovered, new circumstances have arisen or the circumstances have changed since bail was refused; or</w:delText>
        </w:r>
      </w:del>
    </w:p>
    <w:p>
      <w:pPr>
        <w:pStyle w:val="nzIndenta"/>
        <w:rPr>
          <w:del w:id="957" w:author="svcMRProcess" w:date="2020-02-11T14:00:00Z"/>
        </w:rPr>
      </w:pPr>
      <w:del w:id="958" w:author="svcMRProcess" w:date="2020-02-11T14:00:00Z">
        <w:r>
          <w:tab/>
          <w:delText>(b)</w:delText>
        </w:r>
        <w:r>
          <w:tab/>
          <w:delText>the accused failed adequately to present the case for bail on the occasion of that refusal.</w:delText>
        </w:r>
      </w:del>
    </w:p>
    <w:p>
      <w:pPr>
        <w:pStyle w:val="nzSubsection"/>
        <w:rPr>
          <w:del w:id="959" w:author="svcMRProcess" w:date="2020-02-11T14:00:00Z"/>
        </w:rPr>
      </w:pPr>
      <w:del w:id="960" w:author="svcMRProcess" w:date="2020-02-11T14:00:00Z">
        <w:r>
          <w:tab/>
          <w:delText>(6)</w:delText>
        </w:r>
        <w:r>
          <w:tab/>
          <w:delText>Where an accused is granted bail under subclause (2), on any subsequent appearance in the same case a judicial officer may order that bail is to continue on the same terms and conditions.</w:delText>
        </w:r>
      </w:del>
    </w:p>
    <w:p>
      <w:pPr>
        <w:pStyle w:val="nzSubsection"/>
        <w:rPr>
          <w:del w:id="961" w:author="svcMRProcess" w:date="2020-02-11T14:00:00Z"/>
        </w:rPr>
      </w:pPr>
      <w:del w:id="962" w:author="svcMRProcess" w:date="2020-02-11T14:00:00Z">
        <w:r>
          <w:tab/>
          <w:delText>(7)</w:delText>
        </w:r>
        <w:r>
          <w:tab/>
          <w:delText xml:space="preserve">Where a child accused is refused bail under subclause (2), the child accused shall be dealt with in accordance with the </w:delText>
        </w:r>
        <w:r>
          <w:rPr>
            <w:i/>
          </w:rPr>
          <w:delText xml:space="preserve">Young Offenders Act 1994 </w:delText>
        </w:r>
        <w:r>
          <w:delText>section 19(2).</w:delText>
        </w:r>
      </w:del>
    </w:p>
    <w:p>
      <w:pPr>
        <w:pStyle w:val="nzPermNoteHeading"/>
        <w:rPr>
          <w:del w:id="963" w:author="svcMRProcess" w:date="2020-02-11T14:00:00Z"/>
        </w:rPr>
      </w:pPr>
      <w:del w:id="964" w:author="svcMRProcess" w:date="2020-02-11T14:00:00Z">
        <w:r>
          <w:delText xml:space="preserve">Note for this clause: </w:delText>
        </w:r>
      </w:del>
    </w:p>
    <w:p>
      <w:pPr>
        <w:pStyle w:val="nzPermNoteHeading"/>
        <w:rPr>
          <w:del w:id="965" w:author="svcMRProcess" w:date="2020-02-11T14:00:00Z"/>
        </w:rPr>
      </w:pPr>
      <w:del w:id="966" w:author="svcMRProcess" w:date="2020-02-11T14:00:00Z">
        <w:r>
          <w:tab/>
          <w:delText xml:space="preserve">The </w:delText>
        </w:r>
        <w:r>
          <w:rPr>
            <w:i/>
          </w:rPr>
          <w:delText>Crimes Act 1914</w:delText>
        </w:r>
        <w:r>
          <w:delTex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delText>
        </w:r>
      </w:del>
    </w:p>
    <w:p>
      <w:pPr>
        <w:pStyle w:val="BlankClose"/>
        <w:rPr>
          <w:del w:id="967" w:author="svcMRProcess" w:date="2020-02-11T14:00:00Z"/>
        </w:rPr>
      </w:pPr>
    </w:p>
    <w:p>
      <w:pPr>
        <w:pStyle w:val="nzSubsection"/>
        <w:rPr>
          <w:del w:id="968" w:author="svcMRProcess" w:date="2020-02-11T14:00:00Z"/>
        </w:rPr>
      </w:pPr>
      <w:del w:id="969" w:author="svcMRProcess" w:date="2020-02-11T14:00:00Z">
        <w:r>
          <w:tab/>
          <w:delText>(4)</w:delText>
        </w:r>
        <w:r>
          <w:tab/>
          <w:delText>In Schedule 1 Part C clause 4(1) delete “</w:delText>
        </w:r>
        <w:r>
          <w:rPr>
            <w:sz w:val="22"/>
            <w:szCs w:val="22"/>
          </w:rPr>
          <w:delText>3C and 3D,</w:delText>
        </w:r>
        <w:r>
          <w:delText>” and insert:</w:delText>
        </w:r>
      </w:del>
    </w:p>
    <w:p>
      <w:pPr>
        <w:pStyle w:val="BlankOpen"/>
        <w:rPr>
          <w:del w:id="970" w:author="svcMRProcess" w:date="2020-02-11T14:00:00Z"/>
        </w:rPr>
      </w:pPr>
    </w:p>
    <w:p>
      <w:pPr>
        <w:pStyle w:val="nzSubsection"/>
        <w:rPr>
          <w:del w:id="971" w:author="svcMRProcess" w:date="2020-02-11T14:00:00Z"/>
        </w:rPr>
      </w:pPr>
      <w:del w:id="972" w:author="svcMRProcess" w:date="2020-02-11T14:00:00Z">
        <w:r>
          <w:rPr>
            <w:sz w:val="22"/>
            <w:szCs w:val="22"/>
          </w:rPr>
          <w:tab/>
        </w:r>
        <w:r>
          <w:rPr>
            <w:sz w:val="22"/>
            <w:szCs w:val="22"/>
          </w:rPr>
          <w:tab/>
          <w:delText>3C, 3D and 3E,</w:delText>
        </w:r>
      </w:del>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73" w:name="Compilation"/>
    <w:bookmarkEnd w:id="97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4" w:name="Coversheet"/>
    <w:bookmarkEnd w:id="9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77" w:name="Schedule"/>
    <w:bookmarkEnd w:id="5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30048"/>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B9E7-2186-40B9-8336-F473F64B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36878</Words>
  <Characters>168167</Characters>
  <Application>Microsoft Office Word</Application>
  <DocSecurity>0</DocSecurity>
  <Lines>4671</Lines>
  <Paragraphs>2412</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202633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09-f0-03 - 09-g0-02</dc:title>
  <dc:subject/>
  <dc:creator/>
  <cp:keywords/>
  <dc:description/>
  <cp:lastModifiedBy>svcMRProcess</cp:lastModifiedBy>
  <cp:revision>2</cp:revision>
  <cp:lastPrinted>2019-12-03T08:23:00Z</cp:lastPrinted>
  <dcterms:created xsi:type="dcterms:W3CDTF">2020-02-11T06:00:00Z</dcterms:created>
  <dcterms:modified xsi:type="dcterms:W3CDTF">2020-02-11T06:00:00Z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20200101</vt:lpwstr>
  </property>
  <property fmtid="{D5CDD505-2E9C-101B-9397-08002B2CF9AE}" pid="8" name="FromSuffix">
    <vt:lpwstr>09-f0-03</vt:lpwstr>
  </property>
  <property fmtid="{D5CDD505-2E9C-101B-9397-08002B2CF9AE}" pid="9" name="FromAsAtDate">
    <vt:lpwstr>05 Jul 2019</vt:lpwstr>
  </property>
  <property fmtid="{D5CDD505-2E9C-101B-9397-08002B2CF9AE}" pid="10" name="ToSuffix">
    <vt:lpwstr>09-g0-02</vt:lpwstr>
  </property>
  <property fmtid="{D5CDD505-2E9C-101B-9397-08002B2CF9AE}" pid="11" name="ToAsAtDate">
    <vt:lpwstr>01 Jan 2020</vt:lpwstr>
  </property>
</Properties>
</file>