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2018</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7-31T10:12:00Z"/>
        </w:rPr>
      </w:pPr>
      <w:del w:id="2" w:author="Master Repository Process" w:date="2021-07-31T10:12:00Z">
        <w:r>
          <w:lastRenderedPageBreak/>
          <w:delText>Western Australia</w:delText>
        </w:r>
      </w:del>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3" w:name="_Toc32230140"/>
      <w:bookmarkStart w:id="4" w:name="_Toc517966652"/>
      <w:r>
        <w:rPr>
          <w:rStyle w:val="CharSectno"/>
        </w:rPr>
        <w:t>1</w:t>
      </w:r>
      <w:bookmarkStart w:id="5" w:name="_GoBack"/>
      <w:bookmarkEnd w:id="5"/>
      <w:r>
        <w:rPr>
          <w:snapToGrid w:val="0"/>
        </w:rPr>
        <w:t>.</w:t>
      </w:r>
      <w:r>
        <w:rPr>
          <w:snapToGrid w:val="0"/>
        </w:rPr>
        <w:tab/>
        <w:t>Citation</w:t>
      </w:r>
      <w:bookmarkEnd w:id="3"/>
      <w:bookmarkEnd w:id="4"/>
      <w:r>
        <w:rPr>
          <w:snapToGrid w:val="0"/>
        </w:rPr>
        <w:t xml:space="preserve"> </w:t>
      </w:r>
    </w:p>
    <w:p>
      <w:pPr>
        <w:pStyle w:val="Subsection"/>
      </w:pPr>
      <w:r>
        <w:rPr>
          <w:snapToGrid w:val="0"/>
        </w:rPr>
        <w:tab/>
      </w:r>
      <w:r>
        <w:rPr>
          <w:snapToGrid w:val="0"/>
        </w:rPr>
        <w:tab/>
        <w:t xml:space="preserve">These regulations may be cited as the </w:t>
      </w:r>
      <w:r>
        <w:rPr>
          <w:i/>
          <w:snapToGrid w:val="0"/>
        </w:rPr>
        <w:t>Bail Regulations 1988</w:t>
      </w:r>
      <w:del w:id="6" w:author="Master Repository Process" w:date="2021-07-31T10:12:00Z">
        <w:r>
          <w:rPr>
            <w:snapToGrid w:val="0"/>
            <w:vertAlign w:val="superscript"/>
          </w:rPr>
          <w:delText xml:space="preserve"> 1</w:delText>
        </w:r>
      </w:del>
      <w:r>
        <w:rPr>
          <w:snapToGrid w:val="0"/>
        </w:rPr>
        <w:t>.</w:t>
      </w:r>
    </w:p>
    <w:p>
      <w:pPr>
        <w:pStyle w:val="Heading5"/>
        <w:rPr>
          <w:snapToGrid w:val="0"/>
        </w:rPr>
      </w:pPr>
      <w:bookmarkStart w:id="7" w:name="_Toc32230141"/>
      <w:bookmarkStart w:id="8" w:name="_Toc517966653"/>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del w:id="9" w:author="Master Repository Process" w:date="2021-07-31T10:12:00Z">
        <w:r>
          <w:rPr>
            <w:snapToGrid w:val="0"/>
            <w:vertAlign w:val="superscript"/>
          </w:rPr>
          <w:delText> 1</w:delText>
        </w:r>
      </w:del>
      <w:r>
        <w:rPr>
          <w:snapToGrid w:val="0"/>
        </w:rPr>
        <w:t>.</w:t>
      </w:r>
    </w:p>
    <w:p>
      <w:pPr>
        <w:pStyle w:val="Heading5"/>
      </w:pPr>
      <w:bookmarkStart w:id="10" w:name="_Toc32230142"/>
      <w:bookmarkStart w:id="11" w:name="_Toc517966654"/>
      <w:r>
        <w:rPr>
          <w:rStyle w:val="CharSectno"/>
        </w:rPr>
        <w:t>3A</w:t>
      </w:r>
      <w:r>
        <w:t>.</w:t>
      </w:r>
      <w:r>
        <w:tab/>
        <w:t>Terms used</w:t>
      </w:r>
      <w:bookmarkEnd w:id="10"/>
      <w:bookmarkEnd w:id="11"/>
    </w:p>
    <w:p>
      <w:pPr>
        <w:pStyle w:val="Subsection"/>
      </w:pPr>
      <w:r>
        <w:tab/>
      </w:r>
      <w:r>
        <w:tab/>
        <w:t xml:space="preserve">In these regulations — </w:t>
      </w:r>
    </w:p>
    <w:p>
      <w:pPr>
        <w:pStyle w:val="Defstart"/>
      </w:pPr>
      <w:r>
        <w:tab/>
      </w:r>
      <w:r>
        <w:rPr>
          <w:rStyle w:val="CharDefText"/>
        </w:rPr>
        <w:t>approved user</w:t>
      </w:r>
      <w:r>
        <w:t xml:space="preserve">, of the </w:t>
      </w:r>
      <w:del w:id="12" w:author="Master Repository Process" w:date="2021-07-31T10:12:00Z">
        <w:r>
          <w:delText>courts electronic system</w:delText>
        </w:r>
      </w:del>
      <w:ins w:id="13" w:author="Master Repository Process" w:date="2021-07-31T10:12:00Z">
        <w:r>
          <w:t>ECMS</w:t>
        </w:r>
      </w:ins>
      <w:r>
        <w:t xml:space="preserve">, has the meaning given in the </w:t>
      </w:r>
      <w:r>
        <w:rPr>
          <w:i/>
        </w:rPr>
        <w:t>Criminal Procedure Regulations 2005</w:t>
      </w:r>
      <w:r>
        <w:t xml:space="preserve"> regulation 3(1);</w:t>
      </w:r>
    </w:p>
    <w:p>
      <w:pPr>
        <w:pStyle w:val="Defstart"/>
        <w:rPr>
          <w:del w:id="14" w:author="Master Repository Process" w:date="2021-07-31T10:12:00Z"/>
        </w:rPr>
      </w:pPr>
      <w:del w:id="15" w:author="Master Repository Process" w:date="2021-07-31T10:12:00Z">
        <w:r>
          <w:tab/>
        </w:r>
        <w:r>
          <w:rPr>
            <w:rStyle w:val="CharDefText"/>
          </w:rPr>
          <w:delText>courts electronic system</w:delText>
        </w:r>
        <w:r>
          <w:delText xml:space="preserve"> means the electronic system for the management of proceedings in Western Australian courts;</w:delText>
        </w:r>
      </w:del>
    </w:p>
    <w:p>
      <w:pPr>
        <w:pStyle w:val="Defstart"/>
      </w:pPr>
      <w:r>
        <w:tab/>
      </w:r>
      <w:r>
        <w:rPr>
          <w:rStyle w:val="CharDefText"/>
        </w:rPr>
        <w:t>Department</w:t>
      </w:r>
      <w:r>
        <w:t xml:space="preserve"> means the department of the Public Service principally assisting in the administration of the Act;</w:t>
      </w:r>
    </w:p>
    <w:p>
      <w:pPr>
        <w:pStyle w:val="Defstart"/>
        <w:rPr>
          <w:ins w:id="16" w:author="Master Repository Process" w:date="2021-07-31T10:12:00Z"/>
        </w:rPr>
      </w:pPr>
      <w:ins w:id="17" w:author="Master Repository Process" w:date="2021-07-31T10:12:00Z">
        <w:r>
          <w:tab/>
        </w:r>
        <w:r>
          <w:rPr>
            <w:rStyle w:val="CharDefText"/>
          </w:rPr>
          <w:t>ECMS</w:t>
        </w:r>
        <w:r>
          <w:t xml:space="preserve"> means the electronic case management system for the management of proceedings in Western Australian courts and tribunals;</w:t>
        </w:r>
      </w:ins>
    </w:p>
    <w:p>
      <w:pPr>
        <w:pStyle w:val="Defstart"/>
      </w:pPr>
      <w:r>
        <w:tab/>
      </w:r>
      <w:r>
        <w:rPr>
          <w:rStyle w:val="CharDefText"/>
        </w:rPr>
        <w:t>working day</w:t>
      </w:r>
      <w:r>
        <w:t xml:space="preserve"> means a day other than a Saturday, a Sunday, or a public holiday.</w:t>
      </w:r>
    </w:p>
    <w:p>
      <w:pPr>
        <w:pStyle w:val="Footnotesection"/>
      </w:pPr>
      <w:r>
        <w:tab/>
        <w:t>[Regulation 3A inserted: Gazette 12 Sep 2014 p. 3282; amended: Gazette 29 Jun 2018 p. 2436</w:t>
      </w:r>
      <w:ins w:id="18" w:author="Master Repository Process" w:date="2021-07-31T10:12:00Z">
        <w:r>
          <w:t>; 31 Dec 2019 p. 4669</w:t>
        </w:r>
        <w:r>
          <w:noBreakHyphen/>
          <w:t>70</w:t>
        </w:r>
      </w:ins>
      <w:r>
        <w:t>.]</w:t>
      </w:r>
    </w:p>
    <w:p>
      <w:pPr>
        <w:pStyle w:val="Heading5"/>
        <w:rPr>
          <w:snapToGrid w:val="0"/>
        </w:rPr>
      </w:pPr>
      <w:bookmarkStart w:id="19" w:name="_Toc32230143"/>
      <w:bookmarkStart w:id="20" w:name="_Toc517966655"/>
      <w:r>
        <w:rPr>
          <w:rStyle w:val="CharSectno"/>
        </w:rPr>
        <w:t>3</w:t>
      </w:r>
      <w:r>
        <w:rPr>
          <w:snapToGrid w:val="0"/>
        </w:rPr>
        <w:t>.</w:t>
      </w:r>
      <w:r>
        <w:rPr>
          <w:snapToGrid w:val="0"/>
        </w:rPr>
        <w:tab/>
        <w:t>Information prescribed for sections 8(1)(a) and 37(1)(b) of the Act</w:t>
      </w:r>
      <w:bookmarkEnd w:id="19"/>
      <w:bookmarkEnd w:id="20"/>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lastRenderedPageBreak/>
        <w:tab/>
        <w:t>(2)</w:t>
      </w:r>
      <w:r>
        <w:rPr>
          <w:snapToGrid w:val="0"/>
        </w:rPr>
        <w:tab/>
        <w:t>The information set out in Form 9 in the Schedule is prescribed for the purposes of section 37(1)(b) of the Act.</w:t>
      </w:r>
    </w:p>
    <w:p>
      <w:pPr>
        <w:pStyle w:val="Ednotesection"/>
      </w:pPr>
      <w:r>
        <w:t>[</w:t>
      </w:r>
      <w:r>
        <w:rPr>
          <w:b/>
          <w:bCs/>
        </w:rPr>
        <w:t>4, 5.</w:t>
      </w:r>
      <w:r>
        <w:tab/>
        <w:t>Deleted: Gazette 25 Feb 2009 p. 473.]</w:t>
      </w:r>
    </w:p>
    <w:p>
      <w:pPr>
        <w:pStyle w:val="Heading5"/>
        <w:rPr>
          <w:snapToGrid w:val="0"/>
        </w:rPr>
      </w:pPr>
      <w:bookmarkStart w:id="21" w:name="_Toc32230144"/>
      <w:bookmarkStart w:id="22" w:name="_Toc517966656"/>
      <w:r>
        <w:rPr>
          <w:rStyle w:val="CharSectno"/>
        </w:rPr>
        <w:t>6</w:t>
      </w:r>
      <w:r>
        <w:rPr>
          <w:snapToGrid w:val="0"/>
        </w:rPr>
        <w:t>.</w:t>
      </w:r>
      <w:r>
        <w:rPr>
          <w:snapToGrid w:val="0"/>
        </w:rPr>
        <w:tab/>
        <w:t>Forms prescribed</w:t>
      </w:r>
      <w:bookmarkEnd w:id="21"/>
      <w:bookmarkEnd w:id="22"/>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pPr>
      <w:r>
        <w:tab/>
        <w:t>(3)</w:t>
      </w:r>
      <w:r>
        <w:tab/>
        <w:t>Form 6 consists of a court copy, a releasing authority’s copy and an accused’s copy as set out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w:t>
      </w:r>
      <w:r>
        <w:t>accused’s copy</w:t>
      </w:r>
      <w:r>
        <w:rPr>
          <w:snapToGrid w:val="0"/>
        </w:rPr>
        <w:t xml:space="preserv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releasing authority’s copy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 xml:space="preserve">[Regulation 6 amended: Gazette 22 Mar 1991 p. 1212; 4 Mar 1994 p. 852; 25 Feb 2009 p. 473-4; 12 Sep 2014 p. 3282.] </w:t>
      </w:r>
    </w:p>
    <w:p>
      <w:pPr>
        <w:pStyle w:val="Heading5"/>
      </w:pPr>
      <w:bookmarkStart w:id="23" w:name="_Toc517966657"/>
      <w:bookmarkStart w:id="24" w:name="_Toc32230145"/>
      <w:r>
        <w:rPr>
          <w:rStyle w:val="CharSectno"/>
        </w:rPr>
        <w:t>7AA</w:t>
      </w:r>
      <w:r>
        <w:t>.</w:t>
      </w:r>
      <w:r>
        <w:tab/>
        <w:t xml:space="preserve">Entering information on </w:t>
      </w:r>
      <w:del w:id="25" w:author="Master Repository Process" w:date="2021-07-31T10:12:00Z">
        <w:r>
          <w:delText>courts electronic system</w:delText>
        </w:r>
      </w:del>
      <w:bookmarkEnd w:id="23"/>
      <w:ins w:id="26" w:author="Master Repository Process" w:date="2021-07-31T10:12:00Z">
        <w:r>
          <w:t>ECMS</w:t>
        </w:r>
      </w:ins>
      <w:bookmarkEnd w:id="24"/>
    </w:p>
    <w:p>
      <w:pPr>
        <w:pStyle w:val="Subsection"/>
      </w:pPr>
      <w:r>
        <w:tab/>
        <w:t>(1)</w:t>
      </w:r>
      <w:r>
        <w:tab/>
        <w:t xml:space="preserve">Each form in the Schedule may be completed electronically by an approved user by entering the information required to complete the form into the </w:t>
      </w:r>
      <w:del w:id="27" w:author="Master Repository Process" w:date="2021-07-31T10:12:00Z">
        <w:r>
          <w:delText>courts electronic system</w:delText>
        </w:r>
      </w:del>
      <w:ins w:id="28" w:author="Master Repository Process" w:date="2021-07-31T10:12:00Z">
        <w:r>
          <w:t>ECMS</w:t>
        </w:r>
      </w:ins>
      <w:r>
        <w:t>.</w:t>
      </w:r>
    </w:p>
    <w:p>
      <w:pPr>
        <w:pStyle w:val="Subsection"/>
      </w:pPr>
      <w:r>
        <w:tab/>
        <w:t>(2)</w:t>
      </w:r>
      <w:r>
        <w:tab/>
        <w:t xml:space="preserve">If a hard copy of a form in the Schedule is handed to a court, an officer of the court must enter the information contained in the form into the </w:t>
      </w:r>
      <w:del w:id="29" w:author="Master Repository Process" w:date="2021-07-31T10:12:00Z">
        <w:r>
          <w:delText>courts electronic system</w:delText>
        </w:r>
      </w:del>
      <w:ins w:id="30" w:author="Master Repository Process" w:date="2021-07-31T10:12:00Z">
        <w:r>
          <w:t>ECMS</w:t>
        </w:r>
      </w:ins>
      <w:r>
        <w:t>.</w:t>
      </w:r>
    </w:p>
    <w:p>
      <w:pPr>
        <w:pStyle w:val="Footnotesection"/>
      </w:pPr>
      <w:r>
        <w:tab/>
        <w:t>[Regulation 7AA inserted: Gazette 12 Sep 2014 p. 3282</w:t>
      </w:r>
      <w:r>
        <w:noBreakHyphen/>
        <w:t>3</w:t>
      </w:r>
      <w:ins w:id="31" w:author="Master Repository Process" w:date="2021-07-31T10:12:00Z">
        <w:r>
          <w:t>; amended: Gazette 31 Dec 2019 p. 4670</w:t>
        </w:r>
      </w:ins>
      <w:r>
        <w:t xml:space="preserve">.] </w:t>
      </w:r>
    </w:p>
    <w:p>
      <w:pPr>
        <w:pStyle w:val="Heading5"/>
      </w:pPr>
      <w:bookmarkStart w:id="32" w:name="_Toc32230146"/>
      <w:bookmarkStart w:id="33" w:name="_Toc517966658"/>
      <w:r>
        <w:rPr>
          <w:rStyle w:val="CharSectno"/>
        </w:rPr>
        <w:t>7AB</w:t>
      </w:r>
      <w:r>
        <w:t>.</w:t>
      </w:r>
      <w:r>
        <w:tab/>
        <w:t>Providing notice under section 13A(3) of the Act electronically</w:t>
      </w:r>
      <w:bookmarkEnd w:id="32"/>
      <w:bookmarkEnd w:id="33"/>
    </w:p>
    <w:p>
      <w:pPr>
        <w:pStyle w:val="Subsection"/>
      </w:pPr>
      <w:r>
        <w:tab/>
        <w:t>(1)</w:t>
      </w:r>
      <w:r>
        <w:tab/>
        <w:t xml:space="preserve">For the purposes of section 13B(1)(c) of the Act, written notice to the accused under section 13A(3)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13B(2) of the Act — </w:t>
      </w:r>
    </w:p>
    <w:p>
      <w:pPr>
        <w:pStyle w:val="Indenta"/>
      </w:pPr>
      <w:r>
        <w:tab/>
        <w:t>(a)</w:t>
      </w:r>
      <w:r>
        <w:tab/>
        <w:t xml:space="preserve">may be incorporated in an electronic form of the file copy of the notice to the accused by noting the matters referred to in that subsection on the </w:t>
      </w:r>
      <w:del w:id="34" w:author="Master Repository Process" w:date="2021-07-31T10:12:00Z">
        <w:r>
          <w:delText>courts electronic system</w:delText>
        </w:r>
      </w:del>
      <w:ins w:id="35" w:author="Master Repository Process" w:date="2021-07-31T10:12:00Z">
        <w:r>
          <w:t>ECMS</w:t>
        </w:r>
      </w:ins>
      <w:r>
        <w:t xml:space="preserve"> in respect of the notice; or</w:t>
      </w:r>
    </w:p>
    <w:p>
      <w:pPr>
        <w:pStyle w:val="Indenta"/>
      </w:pPr>
      <w:r>
        <w:tab/>
        <w:t>(b)</w:t>
      </w:r>
      <w:r>
        <w:tab/>
        <w:t xml:space="preserve">may be associated electronically with the file copy of the notice to the accused by means of the </w:t>
      </w:r>
      <w:del w:id="36" w:author="Master Repository Process" w:date="2021-07-31T10:12:00Z">
        <w:r>
          <w:delText>courts electronic system</w:delText>
        </w:r>
      </w:del>
      <w:ins w:id="37" w:author="Master Repository Process" w:date="2021-07-31T10:12:00Z">
        <w:r>
          <w:t>ECMS</w:t>
        </w:r>
      </w:ins>
      <w:r>
        <w:t>.</w:t>
      </w:r>
    </w:p>
    <w:p>
      <w:pPr>
        <w:pStyle w:val="Subsection"/>
        <w:keepNext/>
      </w:pPr>
      <w:r>
        <w:tab/>
        <w:t>(3)</w:t>
      </w:r>
      <w:r>
        <w:tab/>
        <w:t xml:space="preserve">A certificate referred to in section 13B(2) of the Act is authenticated for the purposes of the </w:t>
      </w:r>
      <w:r>
        <w:rPr>
          <w:i/>
        </w:rPr>
        <w:t>Courts and Tribunals (Electronic Processes Facilitation) Act 2013</w:t>
      </w:r>
      <w:r>
        <w:t xml:space="preserve"> section 10 if —</w:t>
      </w:r>
    </w:p>
    <w:p>
      <w:pPr>
        <w:pStyle w:val="Indenta"/>
      </w:pPr>
      <w:r>
        <w:tab/>
        <w:t>(a)</w:t>
      </w:r>
      <w:r>
        <w:tab/>
        <w:t xml:space="preserve">the certificate is produced by means of the </w:t>
      </w:r>
      <w:del w:id="38" w:author="Master Repository Process" w:date="2021-07-31T10:12:00Z">
        <w:r>
          <w:delText>courts electronic system</w:delText>
        </w:r>
      </w:del>
      <w:ins w:id="39" w:author="Master Repository Process" w:date="2021-07-31T10:12:00Z">
        <w:r>
          <w:t>ECMS</w:t>
        </w:r>
      </w:ins>
      <w:r>
        <w:t>;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Footnotesection"/>
      </w:pPr>
      <w:r>
        <w:tab/>
        <w:t>[Regulation 7AB inserted: Gazette 12 Sep 2014 p. 3283</w:t>
      </w:r>
      <w:ins w:id="40" w:author="Master Repository Process" w:date="2021-07-31T10:12:00Z">
        <w:r>
          <w:t>; amended: Gazette 31 Dec 2019 p. 4670</w:t>
        </w:r>
      </w:ins>
      <w:r>
        <w:t xml:space="preserve">.] </w:t>
      </w:r>
    </w:p>
    <w:p>
      <w:pPr>
        <w:pStyle w:val="Heading5"/>
      </w:pPr>
      <w:bookmarkStart w:id="41" w:name="_Toc32230147"/>
      <w:bookmarkStart w:id="42" w:name="_Toc517966659"/>
      <w:r>
        <w:rPr>
          <w:rStyle w:val="CharSectno"/>
        </w:rPr>
        <w:t>7A</w:t>
      </w:r>
      <w:r>
        <w:t>.</w:t>
      </w:r>
      <w:r>
        <w:tab/>
        <w:t>Notice under s. 13A(3) of the Act to be made available to court before which accused to appear</w:t>
      </w:r>
      <w:bookmarkEnd w:id="41"/>
      <w:bookmarkEnd w:id="42"/>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made available as soon as is practicable to the court before which the accused is required to appear.</w:t>
      </w:r>
    </w:p>
    <w:p>
      <w:pPr>
        <w:pStyle w:val="Footnotesection"/>
      </w:pPr>
      <w:r>
        <w:tab/>
        <w:t xml:space="preserve">[Regulation 7A inserted: Gazette 25 Feb 2009 p. 474; amended: Gazette 12 Sep 2014 p. 3284.] </w:t>
      </w:r>
    </w:p>
    <w:p>
      <w:pPr>
        <w:pStyle w:val="Heading5"/>
        <w:pageBreakBefore/>
        <w:spacing w:before="0"/>
      </w:pPr>
      <w:bookmarkStart w:id="43" w:name="_Toc32230148"/>
      <w:bookmarkStart w:id="44" w:name="_Toc517966660"/>
      <w:r>
        <w:rPr>
          <w:rStyle w:val="CharSectno"/>
        </w:rPr>
        <w:t>7</w:t>
      </w:r>
      <w:r>
        <w:t>.</w:t>
      </w:r>
      <w:r>
        <w:tab/>
        <w:t>Relevant papers prescribed for s. 27 of the Act</w:t>
      </w:r>
      <w:bookmarkEnd w:id="43"/>
      <w:bookmarkEnd w:id="44"/>
    </w:p>
    <w:p>
      <w:pPr>
        <w:pStyle w:val="Subsection"/>
      </w:pPr>
      <w:r>
        <w:tab/>
        <w:t>(1)</w:t>
      </w:r>
      <w:r>
        <w:tab/>
        <w:t xml:space="preserve">For the purposes of the definition of the </w:t>
      </w:r>
      <w:r>
        <w:rPr>
          <w:b/>
          <w:bCs/>
          <w:i/>
          <w:iCs/>
        </w:rPr>
        <w:t>relevant papers</w:t>
      </w:r>
      <w:r>
        <w:t xml:space="preserve"> in section 27(2) of the Act — </w:t>
      </w:r>
    </w:p>
    <w:p>
      <w:pPr>
        <w:pStyle w:val="Indenta"/>
      </w:pPr>
      <w:r>
        <w:tab/>
        <w:t>(a)</w:t>
      </w:r>
      <w:r>
        <w:tab/>
        <w:t xml:space="preserve">the following papers are to be made available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made available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made available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Subsection"/>
      </w:pPr>
      <w:r>
        <w:tab/>
        <w:t>(3)</w:t>
      </w:r>
      <w:r>
        <w:tab/>
        <w:t xml:space="preserve">A relevant paper made available electronically that is required to be signed by a person is authenticated for the purposes of the </w:t>
      </w:r>
      <w:r>
        <w:rPr>
          <w:i/>
        </w:rPr>
        <w:t>Courts and Tribunals (Electronic Processes Facilitation) Act 2013</w:t>
      </w:r>
      <w:r>
        <w:t xml:space="preserve"> section 10 if — </w:t>
      </w:r>
    </w:p>
    <w:p>
      <w:pPr>
        <w:pStyle w:val="Indenta"/>
        <w:spacing w:before="120"/>
      </w:pPr>
      <w:r>
        <w:tab/>
        <w:t>(a)</w:t>
      </w:r>
      <w:r>
        <w:tab/>
        <w:t>an electronic version of it that includes the signature on it is made available; or</w:t>
      </w:r>
    </w:p>
    <w:p>
      <w:pPr>
        <w:pStyle w:val="Indenta"/>
        <w:spacing w:before="120"/>
      </w:pPr>
      <w:r>
        <w:tab/>
        <w:t>(b)</w:t>
      </w:r>
      <w:r>
        <w:tab/>
        <w:t>the electronic version that is made available states the name of the person whose signature it is at any place where a signature appears in the paper version.</w:t>
      </w:r>
    </w:p>
    <w:p>
      <w:pPr>
        <w:pStyle w:val="Subsection"/>
      </w:pPr>
      <w:r>
        <w:tab/>
        <w:t>(4)</w:t>
      </w:r>
      <w:r>
        <w:tab/>
        <w:t xml:space="preserve">A person who makes available electronically a relevant paper that is required to be signed must ensure that, subject to any order of the court, arrangements are made for the retention of a paper version of the relevant paper that was — </w:t>
      </w:r>
    </w:p>
    <w:p>
      <w:pPr>
        <w:pStyle w:val="Indenta"/>
        <w:spacing w:before="120"/>
      </w:pPr>
      <w:r>
        <w:tab/>
        <w:t>(a)</w:t>
      </w:r>
      <w:r>
        <w:tab/>
        <w:t>signed according to law; and</w:t>
      </w:r>
    </w:p>
    <w:p>
      <w:pPr>
        <w:pStyle w:val="Indenta"/>
        <w:spacing w:before="120"/>
      </w:pPr>
      <w:r>
        <w:tab/>
        <w:t>(b)</w:t>
      </w:r>
      <w:r>
        <w:tab/>
        <w:t>held by the person at the time the paper was made available.</w:t>
      </w:r>
    </w:p>
    <w:p>
      <w:pPr>
        <w:pStyle w:val="Footnotesection"/>
        <w:spacing w:before="160"/>
        <w:ind w:left="890" w:hanging="890"/>
      </w:pPr>
      <w:r>
        <w:tab/>
        <w:t xml:space="preserve">[Regulation 7 inserted: Gazette 25 Feb 2009 p. 475-6; amended: Gazette 12 Sep 2014 p. 3284.] </w:t>
      </w:r>
    </w:p>
    <w:p>
      <w:pPr>
        <w:pStyle w:val="Heading5"/>
      </w:pPr>
      <w:bookmarkStart w:id="45" w:name="_Toc32230149"/>
      <w:bookmarkStart w:id="46" w:name="_Toc517966661"/>
      <w:r>
        <w:rPr>
          <w:rStyle w:val="CharSectno"/>
        </w:rPr>
        <w:t>8A</w:t>
      </w:r>
      <w:r>
        <w:t>.</w:t>
      </w:r>
      <w:r>
        <w:tab/>
        <w:t>Amending bail undertaking electronically</w:t>
      </w:r>
      <w:bookmarkEnd w:id="45"/>
      <w:bookmarkEnd w:id="46"/>
    </w:p>
    <w:p>
      <w:pPr>
        <w:pStyle w:val="Subsection"/>
      </w:pPr>
      <w:r>
        <w:tab/>
        <w:t>(1)</w:t>
      </w:r>
      <w:r>
        <w:tab/>
        <w:t xml:space="preserve">For the purposes of the </w:t>
      </w:r>
      <w:r>
        <w:rPr>
          <w:i/>
        </w:rPr>
        <w:t>Courts and Tribunals (Electronic Processes Facilitation) Act 2013</w:t>
      </w:r>
      <w:r>
        <w:t xml:space="preserve"> section 11, the certificate referred to in section 31A(3)(b) of the Act, including any statement referred to in section 31A(4) of the Act, may be incorporated in an electronic form of the court copy of the bail undertaking by an officer of the court noting in the </w:t>
      </w:r>
      <w:del w:id="47" w:author="Master Repository Process" w:date="2021-07-31T10:12:00Z">
        <w:r>
          <w:delText>courts electronic system</w:delText>
        </w:r>
      </w:del>
      <w:ins w:id="48" w:author="Master Repository Process" w:date="2021-07-31T10:12:00Z">
        <w:r>
          <w:t>ECMS</w:t>
        </w:r>
      </w:ins>
      <w:r>
        <w:t xml:space="preserve"> the relevant matters in respect of the bail undertaking. </w:t>
      </w:r>
    </w:p>
    <w:p>
      <w:pPr>
        <w:pStyle w:val="Subsection"/>
        <w:keepNext/>
      </w:pPr>
      <w:r>
        <w:tab/>
        <w:t>(2)</w:t>
      </w:r>
      <w:r>
        <w:tab/>
        <w:t xml:space="preserve">A certificate incorporated in a bail undertaking under subregulation (1) is authenticated for the purposes of the </w:t>
      </w:r>
      <w:r>
        <w:rPr>
          <w:i/>
        </w:rPr>
        <w:t>Courts and Tribunals (Electronic Processes Facilitation) Act 2013</w:t>
      </w:r>
      <w:r>
        <w:t xml:space="preserve"> section 10 if the name of the officer of the court who notes the relevant matters in the </w:t>
      </w:r>
      <w:del w:id="49" w:author="Master Repository Process" w:date="2021-07-31T10:12:00Z">
        <w:r>
          <w:delText>courts electronic system</w:delText>
        </w:r>
      </w:del>
      <w:ins w:id="50" w:author="Master Repository Process" w:date="2021-07-31T10:12:00Z">
        <w:r>
          <w:t>ECMS</w:t>
        </w:r>
      </w:ins>
      <w:r>
        <w:t xml:space="preserve"> is stated on the electronic form of the court copy of the bail undertaking.</w:t>
      </w:r>
    </w:p>
    <w:p>
      <w:pPr>
        <w:pStyle w:val="Footnotesection"/>
      </w:pPr>
      <w:r>
        <w:tab/>
        <w:t>[Regulation 8A inserted: Gazette 12 Sep 2014 p. 3284</w:t>
      </w:r>
      <w:r>
        <w:noBreakHyphen/>
        <w:t>5</w:t>
      </w:r>
      <w:del w:id="51" w:author="Master Repository Process" w:date="2021-07-31T10:12:00Z">
        <w:r>
          <w:delText>.]</w:delText>
        </w:r>
      </w:del>
      <w:ins w:id="52" w:author="Master Repository Process" w:date="2021-07-31T10:12:00Z">
        <w:r>
          <w:t>; amended: Gazette 31 Dec 2019 p. 4670.]</w:t>
        </w:r>
      </w:ins>
      <w:r>
        <w:t xml:space="preserve"> </w:t>
      </w:r>
    </w:p>
    <w:p>
      <w:pPr>
        <w:pStyle w:val="Heading5"/>
      </w:pPr>
      <w:bookmarkStart w:id="53" w:name="_Toc32230150"/>
      <w:bookmarkStart w:id="54" w:name="_Toc517966662"/>
      <w:r>
        <w:rPr>
          <w:rStyle w:val="CharSectno"/>
        </w:rPr>
        <w:t>8B</w:t>
      </w:r>
      <w:r>
        <w:t>.</w:t>
      </w:r>
      <w:r>
        <w:tab/>
        <w:t>Giving and proof of notices under section 32(1) of the Act</w:t>
      </w:r>
      <w:bookmarkEnd w:id="53"/>
      <w:bookmarkEnd w:id="54"/>
    </w:p>
    <w:p>
      <w:pPr>
        <w:pStyle w:val="Subsection"/>
      </w:pPr>
      <w:r>
        <w:tab/>
        <w:t>(1)</w:t>
      </w:r>
      <w:r>
        <w:tab/>
        <w:t xml:space="preserve">For the purposes of section 32(1)(c) of the Act, written notice to the accused under section 31(2)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32(2) of the Act — </w:t>
      </w:r>
    </w:p>
    <w:p>
      <w:pPr>
        <w:pStyle w:val="Indenta"/>
      </w:pPr>
      <w:r>
        <w:tab/>
        <w:t>(a)</w:t>
      </w:r>
      <w:r>
        <w:tab/>
        <w:t xml:space="preserve">may be incorporated in an electronic form of the file copy of the notice to the accused by noting the relevant matters in the </w:t>
      </w:r>
      <w:del w:id="55" w:author="Master Repository Process" w:date="2021-07-31T10:12:00Z">
        <w:r>
          <w:delText>courts electronic system</w:delText>
        </w:r>
      </w:del>
      <w:ins w:id="56" w:author="Master Repository Process" w:date="2021-07-31T10:12:00Z">
        <w:r>
          <w:t>ECMS</w:t>
        </w:r>
      </w:ins>
      <w:r>
        <w:t xml:space="preserve"> in respect of the notice; or</w:t>
      </w:r>
    </w:p>
    <w:p>
      <w:pPr>
        <w:pStyle w:val="Indenta"/>
      </w:pPr>
      <w:r>
        <w:tab/>
        <w:t>(b)</w:t>
      </w:r>
      <w:r>
        <w:tab/>
        <w:t xml:space="preserve">may be associated electronically with the file copy of the notice to the accused by means of the </w:t>
      </w:r>
      <w:del w:id="57" w:author="Master Repository Process" w:date="2021-07-31T10:12:00Z">
        <w:r>
          <w:delText>courts electronic system</w:delText>
        </w:r>
      </w:del>
      <w:ins w:id="58" w:author="Master Repository Process" w:date="2021-07-31T10:12:00Z">
        <w:r>
          <w:t>ECMS</w:t>
        </w:r>
      </w:ins>
      <w:r>
        <w:t>.</w:t>
      </w:r>
    </w:p>
    <w:p>
      <w:pPr>
        <w:pStyle w:val="Subsection"/>
      </w:pPr>
      <w:r>
        <w:tab/>
        <w:t>(3)</w:t>
      </w:r>
      <w:r>
        <w:tab/>
        <w:t xml:space="preserve">A certificate referred to in section 32(2) of the Act is authenticated for the purposes of the </w:t>
      </w:r>
      <w:r>
        <w:rPr>
          <w:i/>
        </w:rPr>
        <w:t>Courts and Tribunals (Electronic Processes Facilitation) Act 2013</w:t>
      </w:r>
      <w:r>
        <w:t xml:space="preserve"> section 10 if —</w:t>
      </w:r>
    </w:p>
    <w:p>
      <w:pPr>
        <w:pStyle w:val="Indenta"/>
      </w:pPr>
      <w:r>
        <w:tab/>
        <w:t>(a)</w:t>
      </w:r>
      <w:r>
        <w:tab/>
        <w:t xml:space="preserve">the certificate is produced by means of the </w:t>
      </w:r>
      <w:del w:id="59" w:author="Master Repository Process" w:date="2021-07-31T10:12:00Z">
        <w:r>
          <w:delText>courts electronic system</w:delText>
        </w:r>
      </w:del>
      <w:ins w:id="60" w:author="Master Repository Process" w:date="2021-07-31T10:12:00Z">
        <w:r>
          <w:t>ECMS</w:t>
        </w:r>
      </w:ins>
      <w:r>
        <w:t>;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Subsection"/>
      </w:pPr>
      <w:r>
        <w:tab/>
        <w:t>(5)</w:t>
      </w:r>
      <w:r>
        <w:tab/>
        <w:t xml:space="preserve">For the purposes of the </w:t>
      </w:r>
      <w:r>
        <w:rPr>
          <w:i/>
        </w:rPr>
        <w:t>Courts and Tribunals (Electronic Processes Facilitation) Act 2013</w:t>
      </w:r>
      <w:r>
        <w:t xml:space="preserve"> section 11, a certificate referred to in section 32(4) of the Act may be incorporated electronically in the accused’s bail undertaking by noting the relevant matters on an electronic form of the undertaking by means of the </w:t>
      </w:r>
      <w:del w:id="61" w:author="Master Repository Process" w:date="2021-07-31T10:12:00Z">
        <w:r>
          <w:delText>courts electronic system</w:delText>
        </w:r>
      </w:del>
      <w:ins w:id="62" w:author="Master Repository Process" w:date="2021-07-31T10:12:00Z">
        <w:r>
          <w:t>ECMS</w:t>
        </w:r>
      </w:ins>
      <w:r>
        <w:t>.</w:t>
      </w:r>
    </w:p>
    <w:p>
      <w:pPr>
        <w:pStyle w:val="Footnotesection"/>
      </w:pPr>
      <w:r>
        <w:tab/>
        <w:t>[Regulation 8B inserted: Gazette 12 Sep 2014 p. 3285</w:t>
      </w:r>
      <w:r>
        <w:noBreakHyphen/>
        <w:t>6</w:t>
      </w:r>
      <w:ins w:id="63" w:author="Master Repository Process" w:date="2021-07-31T10:12:00Z">
        <w:r>
          <w:t>; amended: Gazette 31 Dec 2019 p. 4670</w:t>
        </w:r>
      </w:ins>
      <w:r>
        <w:t xml:space="preserve">.] </w:t>
      </w:r>
    </w:p>
    <w:p>
      <w:pPr>
        <w:pStyle w:val="Heading5"/>
      </w:pPr>
      <w:bookmarkStart w:id="64" w:name="_Toc32230151"/>
      <w:bookmarkStart w:id="65" w:name="_Toc517966663"/>
      <w:r>
        <w:rPr>
          <w:rStyle w:val="CharSectno"/>
        </w:rPr>
        <w:t>8</w:t>
      </w:r>
      <w:r>
        <w:t>.</w:t>
      </w:r>
      <w:r>
        <w:tab/>
        <w:t>Notice of application for approval as a surety</w:t>
      </w:r>
      <w:bookmarkEnd w:id="64"/>
      <w:bookmarkEnd w:id="65"/>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keepNext/>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 xml:space="preserve">[Regulation 8 inserted: Gazette 25 Feb 2009 p. 476-7.] </w:t>
      </w:r>
    </w:p>
    <w:p>
      <w:pPr>
        <w:pStyle w:val="Heading5"/>
      </w:pPr>
      <w:bookmarkStart w:id="66" w:name="_Toc32230152"/>
      <w:bookmarkStart w:id="67" w:name="_Toc517966664"/>
      <w:r>
        <w:rPr>
          <w:rStyle w:val="CharSectno"/>
        </w:rPr>
        <w:t>9AA</w:t>
      </w:r>
      <w:r>
        <w:t>.</w:t>
      </w:r>
      <w:r>
        <w:tab/>
        <w:t>Provision of information and form to surety undertaking electronically</w:t>
      </w:r>
      <w:bookmarkEnd w:id="66"/>
      <w:bookmarkEnd w:id="67"/>
    </w:p>
    <w:p>
      <w:pPr>
        <w:pStyle w:val="Subsection"/>
        <w:keepNext/>
      </w:pPr>
      <w:r>
        <w:tab/>
        <w:t>(1)</w:t>
      </w:r>
      <w:r>
        <w:tab/>
        <w:t xml:space="preserve">The notice, information and declaration referred to in section 37(1) of the Act may be provided to the applicant by — </w:t>
      </w:r>
    </w:p>
    <w:p>
      <w:pPr>
        <w:pStyle w:val="Indenta"/>
      </w:pPr>
      <w:r>
        <w:tab/>
        <w:t>(a)</w:t>
      </w:r>
      <w:r>
        <w:tab/>
        <w:t>faxing the notice, information or declaration to a fax number provided by the applicant; or</w:t>
      </w:r>
    </w:p>
    <w:p>
      <w:pPr>
        <w:pStyle w:val="Indenta"/>
      </w:pPr>
      <w:r>
        <w:tab/>
        <w:t>(b)</w:t>
      </w:r>
      <w:r>
        <w:tab/>
        <w:t>emailing the notice, information or declaration (whether or not as an attachment) to an email address provided by the applicant.</w:t>
      </w:r>
    </w:p>
    <w:p>
      <w:pPr>
        <w:pStyle w:val="Subsection"/>
      </w:pPr>
      <w:r>
        <w:tab/>
        <w:t>(2)</w:t>
      </w:r>
      <w:r>
        <w:tab/>
        <w:t xml:space="preserve">The declaration referred to in section 37(1)(c) of the Act, duly completed, may be provided to the surety approval officer by — </w:t>
      </w:r>
    </w:p>
    <w:p>
      <w:pPr>
        <w:pStyle w:val="Indenta"/>
      </w:pPr>
      <w:r>
        <w:tab/>
        <w:t>(a)</w:t>
      </w:r>
      <w:r>
        <w:tab/>
        <w:t>faxing the declaration to a fax number provided by the surety approval officer; or</w:t>
      </w:r>
    </w:p>
    <w:p>
      <w:pPr>
        <w:pStyle w:val="Indenta"/>
      </w:pPr>
      <w:r>
        <w:tab/>
        <w:t>(b)</w:t>
      </w:r>
      <w:r>
        <w:tab/>
        <w:t>emailing the declaration (whether or not as an attachment) to an email address provided by the surety approval officer.</w:t>
      </w:r>
    </w:p>
    <w:p>
      <w:pPr>
        <w:pStyle w:val="Footnotesection"/>
      </w:pPr>
      <w:r>
        <w:tab/>
        <w:t xml:space="preserve">[Regulation 9AA inserted: Gazette 12 Sep 2014 p. 3286.] </w:t>
      </w:r>
    </w:p>
    <w:p>
      <w:pPr>
        <w:pStyle w:val="Heading5"/>
      </w:pPr>
      <w:bookmarkStart w:id="68" w:name="_Toc32230153"/>
      <w:bookmarkStart w:id="69" w:name="_Toc517966665"/>
      <w:r>
        <w:rPr>
          <w:rStyle w:val="CharSectno"/>
        </w:rPr>
        <w:t>9AB</w:t>
      </w:r>
      <w:r>
        <w:t>.</w:t>
      </w:r>
      <w:r>
        <w:tab/>
        <w:t>Provision of surety undertaking to proposed surety electronically</w:t>
      </w:r>
      <w:bookmarkEnd w:id="68"/>
      <w:bookmarkEnd w:id="69"/>
    </w:p>
    <w:p>
      <w:pPr>
        <w:pStyle w:val="Subsection"/>
      </w:pPr>
      <w:r>
        <w:tab/>
        <w:t>(1)</w:t>
      </w:r>
      <w:r>
        <w:tab/>
        <w:t xml:space="preserve">For the purpose of section 43A(4) and (7) of the Act, the relevant official may provide a surety undertaking for completion or a copy of a completed surety undertaking, as required, to a person by — </w:t>
      </w:r>
    </w:p>
    <w:p>
      <w:pPr>
        <w:pStyle w:val="Indenta"/>
      </w:pPr>
      <w:r>
        <w:tab/>
        <w:t>(a)</w:t>
      </w:r>
      <w:r>
        <w:tab/>
        <w:t>faxing the document to a fax number provided by the person; or</w:t>
      </w:r>
    </w:p>
    <w:p>
      <w:pPr>
        <w:pStyle w:val="Indenta"/>
      </w:pPr>
      <w:r>
        <w:tab/>
        <w:t>(b)</w:t>
      </w:r>
      <w:r>
        <w:tab/>
        <w:t>emailing the document (whether or not as an attachment) to an email address provided by the person.</w:t>
      </w:r>
    </w:p>
    <w:p>
      <w:pPr>
        <w:pStyle w:val="Subsection"/>
      </w:pPr>
      <w:r>
        <w:tab/>
        <w:t>(2)</w:t>
      </w:r>
      <w:r>
        <w:tab/>
        <w:t xml:space="preserve">For the purpose of section 43A(5) of the Act, the proposed surety may provide the completed surety undertaking to the relevant official by electronic communication by — </w:t>
      </w:r>
    </w:p>
    <w:p>
      <w:pPr>
        <w:pStyle w:val="Indenta"/>
      </w:pPr>
      <w:r>
        <w:tab/>
        <w:t>(a)</w:t>
      </w:r>
      <w:r>
        <w:tab/>
        <w:t>faxing the declaration to a fax number provided by the relevant official; or</w:t>
      </w:r>
    </w:p>
    <w:p>
      <w:pPr>
        <w:pStyle w:val="Indenta"/>
      </w:pPr>
      <w:r>
        <w:tab/>
        <w:t>(b)</w:t>
      </w:r>
      <w:r>
        <w:tab/>
        <w:t>emailing the declaration (whether or not as an attachment) to an email address provided by the relevant official.</w:t>
      </w:r>
    </w:p>
    <w:p>
      <w:pPr>
        <w:pStyle w:val="Subsection"/>
      </w:pPr>
      <w:r>
        <w:tab/>
        <w:t>(3)</w:t>
      </w:r>
      <w:r>
        <w:tab/>
        <w:t xml:space="preserve">An electronic copy of a surety undertaking certified to be a copy of a surety undertaking entered into in accordance with section 43A of the Act is authenticated for the purposes of the </w:t>
      </w:r>
      <w:r>
        <w:rPr>
          <w:i/>
        </w:rPr>
        <w:t>Courts and Tribunals (Electronic Processes Facilitation) Act 2013</w:t>
      </w:r>
      <w:r>
        <w:t xml:space="preserve"> section 10 if the electronic copy states the name of the relevant official by whom the certification is made.</w:t>
      </w:r>
    </w:p>
    <w:p>
      <w:pPr>
        <w:pStyle w:val="Footnotesection"/>
      </w:pPr>
      <w:r>
        <w:tab/>
        <w:t>[Regulation 9AB inserted: Gazette 12 Sep 2014 p. 3286</w:t>
      </w:r>
      <w:r>
        <w:noBreakHyphen/>
        <w:t xml:space="preserve">7.] </w:t>
      </w:r>
    </w:p>
    <w:p>
      <w:pPr>
        <w:pStyle w:val="Heading5"/>
      </w:pPr>
      <w:bookmarkStart w:id="70" w:name="_Toc32230154"/>
      <w:bookmarkStart w:id="71" w:name="_Toc517966666"/>
      <w:r>
        <w:rPr>
          <w:rStyle w:val="CharSectno"/>
        </w:rPr>
        <w:t>9AC</w:t>
      </w:r>
      <w:r>
        <w:t>.</w:t>
      </w:r>
      <w:r>
        <w:tab/>
        <w:t>Provision of notice to surety electronically</w:t>
      </w:r>
      <w:bookmarkEnd w:id="70"/>
      <w:bookmarkEnd w:id="71"/>
    </w:p>
    <w:p>
      <w:pPr>
        <w:pStyle w:val="Subsection"/>
      </w:pPr>
      <w:r>
        <w:tab/>
        <w:t>(1)</w:t>
      </w:r>
      <w:r>
        <w:tab/>
        <w:t xml:space="preserve">For the purpose of section 45(1)(c)(ii) of the Act, the approved form may be provided to the surety by — </w:t>
      </w:r>
    </w:p>
    <w:p>
      <w:pPr>
        <w:pStyle w:val="Indenta"/>
      </w:pPr>
      <w:r>
        <w:tab/>
        <w:t>(a)</w:t>
      </w:r>
      <w:r>
        <w:tab/>
        <w:t>faxing the form to a fax number provided by the surety; or</w:t>
      </w:r>
    </w:p>
    <w:p>
      <w:pPr>
        <w:pStyle w:val="Indenta"/>
      </w:pPr>
      <w:r>
        <w:tab/>
        <w:t>(b)</w:t>
      </w:r>
      <w:r>
        <w:tab/>
        <w:t>emailing an electronic version of the form (whether or not as an attachment) to an email address provided by the surety.</w:t>
      </w:r>
    </w:p>
    <w:p>
      <w:pPr>
        <w:pStyle w:val="Subsection"/>
        <w:keepNext/>
      </w:pPr>
      <w:r>
        <w:tab/>
        <w:t>(2)</w:t>
      </w:r>
      <w:r>
        <w:tab/>
        <w:t xml:space="preserve">For the purposes of the </w:t>
      </w:r>
      <w:r>
        <w:rPr>
          <w:i/>
        </w:rPr>
        <w:t>Courts and Tribunals (Electronic Processes Facilitation) Act 2013</w:t>
      </w:r>
      <w:r>
        <w:t xml:space="preserve"> section 11, the certificate referred to in section 45(2) of the Act — </w:t>
      </w:r>
    </w:p>
    <w:p>
      <w:pPr>
        <w:pStyle w:val="Indenta"/>
      </w:pPr>
      <w:r>
        <w:tab/>
        <w:t>(a)</w:t>
      </w:r>
      <w:r>
        <w:tab/>
        <w:t xml:space="preserve">may be incorporated in an electronic form of the file copy of the notice to the surety by noting the relevant matters in the </w:t>
      </w:r>
      <w:del w:id="72" w:author="Master Repository Process" w:date="2021-07-31T10:12:00Z">
        <w:r>
          <w:delText>courts electronic system</w:delText>
        </w:r>
      </w:del>
      <w:ins w:id="73" w:author="Master Repository Process" w:date="2021-07-31T10:12:00Z">
        <w:r>
          <w:t>ECMS</w:t>
        </w:r>
      </w:ins>
      <w:r>
        <w:t xml:space="preserve"> in respect of the notice; or</w:t>
      </w:r>
    </w:p>
    <w:p>
      <w:pPr>
        <w:pStyle w:val="Indenta"/>
      </w:pPr>
      <w:r>
        <w:tab/>
        <w:t>(b)</w:t>
      </w:r>
      <w:r>
        <w:tab/>
        <w:t xml:space="preserve">may be associated electronically with the file copy of the notice to the surety by means of the </w:t>
      </w:r>
      <w:del w:id="74" w:author="Master Repository Process" w:date="2021-07-31T10:12:00Z">
        <w:r>
          <w:delText>courts electronic system</w:delText>
        </w:r>
      </w:del>
      <w:ins w:id="75" w:author="Master Repository Process" w:date="2021-07-31T10:12:00Z">
        <w:r>
          <w:t>ECMS</w:t>
        </w:r>
      </w:ins>
      <w:r>
        <w:t>.</w:t>
      </w:r>
    </w:p>
    <w:p>
      <w:pPr>
        <w:pStyle w:val="Subsection"/>
        <w:keepNext/>
      </w:pPr>
      <w:r>
        <w:tab/>
        <w:t>(3)</w:t>
      </w:r>
      <w:r>
        <w:tab/>
        <w:t xml:space="preserve">If an approved form is provided by electronic means in accordance with this regulation, the form is to be presumed, unless the contrary is shown, to have been received — </w:t>
      </w:r>
    </w:p>
    <w:p>
      <w:pPr>
        <w:pStyle w:val="Indenta"/>
      </w:pPr>
      <w:r>
        <w:tab/>
        <w:t>(a)</w:t>
      </w:r>
      <w:r>
        <w:tab/>
        <w:t>if the fax or email is sent before 4.00 p.m. on a working day — on that day; or</w:t>
      </w:r>
    </w:p>
    <w:p>
      <w:pPr>
        <w:pStyle w:val="Indenta"/>
      </w:pPr>
      <w:r>
        <w:tab/>
        <w:t>(b)</w:t>
      </w:r>
      <w:r>
        <w:tab/>
        <w:t>otherwise — on the next working day after the fax or email is sent.</w:t>
      </w:r>
    </w:p>
    <w:p>
      <w:pPr>
        <w:pStyle w:val="Subsection"/>
      </w:pPr>
      <w:r>
        <w:tab/>
        <w:t>(4)</w:t>
      </w:r>
      <w:r>
        <w:tab/>
        <w:t xml:space="preserve">An endorsement on an electronic form of a notice given under section 45(1)(b) or (c) of the Act that purports to be a certificate referred to in section 45(2) of the Act is authenticated for the purposes of the </w:t>
      </w:r>
      <w:r>
        <w:rPr>
          <w:i/>
        </w:rPr>
        <w:t>Courts and Tribunals (Electronic Processes Facilitation) Act 2013</w:t>
      </w:r>
      <w:r>
        <w:t xml:space="preserve"> section 10 if the electronic version states the name of the person who made the endorsement.</w:t>
      </w:r>
    </w:p>
    <w:p>
      <w:pPr>
        <w:pStyle w:val="Footnotesection"/>
      </w:pPr>
      <w:r>
        <w:tab/>
        <w:t>[Regulation 9AC inserted: Gazette 12 Sep 2014 p. 3287</w:t>
      </w:r>
      <w:r>
        <w:noBreakHyphen/>
        <w:t>8</w:t>
      </w:r>
      <w:ins w:id="76" w:author="Master Repository Process" w:date="2021-07-31T10:12:00Z">
        <w:r>
          <w:t>; amended: Gazette 31 Dec 2019 p. 4670</w:t>
        </w:r>
      </w:ins>
      <w:r>
        <w:t xml:space="preserve">.] </w:t>
      </w:r>
    </w:p>
    <w:p>
      <w:pPr>
        <w:pStyle w:val="Heading5"/>
      </w:pPr>
      <w:bookmarkStart w:id="77" w:name="_Toc32230155"/>
      <w:bookmarkStart w:id="78" w:name="_Toc517966667"/>
      <w:r>
        <w:rPr>
          <w:rStyle w:val="CharSectno"/>
        </w:rPr>
        <w:t>9A</w:t>
      </w:r>
      <w:r>
        <w:t>.</w:t>
      </w:r>
      <w:r>
        <w:tab/>
        <w:t>Application for cancellation of surety undertaking — court of summary jurisdiction</w:t>
      </w:r>
      <w:bookmarkEnd w:id="77"/>
      <w:bookmarkEnd w:id="78"/>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keepNext/>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 xml:space="preserve">[Regulation 9A inserted: Gazette 25 Feb 2009 p. 477.] </w:t>
      </w:r>
    </w:p>
    <w:p>
      <w:pPr>
        <w:pStyle w:val="Heading5"/>
      </w:pPr>
      <w:bookmarkStart w:id="79" w:name="_Toc32230156"/>
      <w:bookmarkStart w:id="80" w:name="_Toc517966668"/>
      <w:r>
        <w:rPr>
          <w:rStyle w:val="CharSectno"/>
        </w:rPr>
        <w:t>9B</w:t>
      </w:r>
      <w:r>
        <w:t>.</w:t>
      </w:r>
      <w:r>
        <w:tab/>
        <w:t>Application for forfeiture of amount in surety undertaking — court of summary jurisdiction</w:t>
      </w:r>
      <w:bookmarkEnd w:id="79"/>
      <w:bookmarkEnd w:id="80"/>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 xml:space="preserve">[Regulation 9B inserted: Gazette 25 Feb 2009 p. 478.] </w:t>
      </w:r>
    </w:p>
    <w:p>
      <w:pPr>
        <w:pStyle w:val="Heading5"/>
        <w:rPr>
          <w:snapToGrid w:val="0"/>
        </w:rPr>
      </w:pPr>
      <w:bookmarkStart w:id="81" w:name="_Toc32230157"/>
      <w:bookmarkStart w:id="82" w:name="_Toc517966669"/>
      <w:r>
        <w:rPr>
          <w:rStyle w:val="CharSectno"/>
        </w:rPr>
        <w:t>9</w:t>
      </w:r>
      <w:r>
        <w:rPr>
          <w:snapToGrid w:val="0"/>
        </w:rPr>
        <w:t>.</w:t>
      </w:r>
      <w:r>
        <w:rPr>
          <w:snapToGrid w:val="0"/>
        </w:rPr>
        <w:tab/>
        <w:t>Accused to be given copy of conditions applicable to home detention condition</w:t>
      </w:r>
      <w:bookmarkEnd w:id="81"/>
      <w:bookmarkEnd w:id="82"/>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 xml:space="preserve">[Regulation 9 inserted: Gazette 22 Mar 1991 p. 1212; amended: Gazette 25 Feb 2009 p. 478.] </w:t>
      </w:r>
    </w:p>
    <w:p>
      <w:pPr>
        <w:pStyle w:val="Heading5"/>
      </w:pPr>
      <w:bookmarkStart w:id="83" w:name="_Toc32230158"/>
      <w:bookmarkStart w:id="84" w:name="_Toc517966670"/>
      <w:r>
        <w:rPr>
          <w:rStyle w:val="CharSectno"/>
        </w:rPr>
        <w:t>10A</w:t>
      </w:r>
      <w:r>
        <w:t>.</w:t>
      </w:r>
      <w:r>
        <w:tab/>
        <w:t>Notifying change of residential address</w:t>
      </w:r>
      <w:bookmarkEnd w:id="83"/>
      <w:bookmarkEnd w:id="84"/>
    </w:p>
    <w:p>
      <w:pPr>
        <w:pStyle w:val="Subsection"/>
        <w:keepNext/>
      </w:pPr>
      <w:r>
        <w:tab/>
      </w:r>
      <w:r>
        <w:tab/>
        <w:t xml:space="preserve">For the purposes of section 60 of the Act notice of the change of residential address of the accused or of a surety may be provided to the registrar of the court by — </w:t>
      </w:r>
    </w:p>
    <w:p>
      <w:pPr>
        <w:pStyle w:val="Indenta"/>
      </w:pPr>
      <w:r>
        <w:tab/>
        <w:t>(a)</w:t>
      </w:r>
      <w:r>
        <w:tab/>
        <w:t>sending details of the change by fax to the court’s fax number; or</w:t>
      </w:r>
    </w:p>
    <w:p>
      <w:pPr>
        <w:pStyle w:val="Indenta"/>
      </w:pPr>
      <w:r>
        <w:tab/>
        <w:t>(b)</w:t>
      </w:r>
      <w:r>
        <w:tab/>
        <w:t>emailing details of the change to the court’s email address.</w:t>
      </w:r>
    </w:p>
    <w:p>
      <w:pPr>
        <w:pStyle w:val="Footnotesection"/>
      </w:pPr>
      <w:r>
        <w:tab/>
        <w:t xml:space="preserve">[Regulation 10A inserted: Gazette 12 Sep 2014 p. 3288.] </w:t>
      </w:r>
    </w:p>
    <w:p>
      <w:pPr>
        <w:pStyle w:val="Heading5"/>
      </w:pPr>
      <w:bookmarkStart w:id="85" w:name="_Toc32230159"/>
      <w:bookmarkStart w:id="86" w:name="_Toc517966671"/>
      <w:r>
        <w:rPr>
          <w:rStyle w:val="CharSectno"/>
        </w:rPr>
        <w:t>10B</w:t>
      </w:r>
      <w:r>
        <w:t>.</w:t>
      </w:r>
      <w:r>
        <w:tab/>
        <w:t>Certificate of non</w:t>
      </w:r>
      <w:r>
        <w:noBreakHyphen/>
        <w:t>appearance</w:t>
      </w:r>
      <w:bookmarkEnd w:id="85"/>
      <w:bookmarkEnd w:id="86"/>
    </w:p>
    <w:p>
      <w:pPr>
        <w:pStyle w:val="Subsection"/>
      </w:pPr>
      <w:r>
        <w:tab/>
        <w:t>(1)</w:t>
      </w:r>
      <w:r>
        <w:tab/>
        <w:t xml:space="preserve">A certificate referred to in section 64 of the Act is authenticated for the purposes of the </w:t>
      </w:r>
      <w:r>
        <w:rPr>
          <w:i/>
        </w:rPr>
        <w:t>Courts and Tribunals (Electronic Processes Facilitation) Act 2013</w:t>
      </w:r>
      <w:r>
        <w:t xml:space="preserve"> section 10 if —</w:t>
      </w:r>
    </w:p>
    <w:p>
      <w:pPr>
        <w:pStyle w:val="Indenta"/>
      </w:pPr>
      <w:r>
        <w:tab/>
        <w:t>(a)</w:t>
      </w:r>
      <w:r>
        <w:tab/>
        <w:t xml:space="preserve">the certificate is produced by means of the </w:t>
      </w:r>
      <w:del w:id="87" w:author="Master Repository Process" w:date="2021-07-31T10:12:00Z">
        <w:r>
          <w:delText>courts electronic system</w:delText>
        </w:r>
      </w:del>
      <w:ins w:id="88" w:author="Master Repository Process" w:date="2021-07-31T10:12:00Z">
        <w:r>
          <w:t>ECMS</w:t>
        </w:r>
      </w:ins>
      <w:r>
        <w:t>; and</w:t>
      </w:r>
    </w:p>
    <w:p>
      <w:pPr>
        <w:pStyle w:val="Indenta"/>
      </w:pPr>
      <w:r>
        <w:tab/>
        <w:t>(b)</w:t>
      </w:r>
      <w:r>
        <w:tab/>
        <w:t xml:space="preserve">the name of the judicial officer or registrar of the court before whom the accused was required to appear is recorded on the certificate as the person who authorised the certificate. </w:t>
      </w:r>
    </w:p>
    <w:p>
      <w:pPr>
        <w:pStyle w:val="Subsection"/>
      </w:pPr>
      <w:r>
        <w:tab/>
        <w:t>(2)</w:t>
      </w:r>
      <w:r>
        <w:tab/>
        <w:t xml:space="preserve">For the purposes of the </w:t>
      </w:r>
      <w:r>
        <w:rPr>
          <w:i/>
        </w:rPr>
        <w:t>Courts and Tribunals (Electronic Processes Facilitation) Act 2013</w:t>
      </w:r>
      <w:r>
        <w:t xml:space="preserve"> section 12, a certificate under section 64 of the Act is issued to the Commissioner of Police for the purposes of sections 51A(3) and 52(3a) of the Act if — </w:t>
      </w:r>
    </w:p>
    <w:p>
      <w:pPr>
        <w:pStyle w:val="Indenta"/>
      </w:pPr>
      <w:r>
        <w:tab/>
        <w:t>(a)</w:t>
      </w:r>
      <w:r>
        <w:tab/>
        <w:t>an electronic form of the certificate is sent to the Commissioner by email; or</w:t>
      </w:r>
    </w:p>
    <w:p>
      <w:pPr>
        <w:pStyle w:val="Indenta"/>
      </w:pPr>
      <w:r>
        <w:tab/>
        <w:t>(b)</w:t>
      </w:r>
      <w:r>
        <w:tab/>
        <w:t xml:space="preserve"> the certificate is made available to the Commissioner by means of the </w:t>
      </w:r>
      <w:del w:id="89" w:author="Master Repository Process" w:date="2021-07-31T10:12:00Z">
        <w:r>
          <w:delText>courts electronic system</w:delText>
        </w:r>
      </w:del>
      <w:ins w:id="90" w:author="Master Repository Process" w:date="2021-07-31T10:12:00Z">
        <w:r>
          <w:t>ECMS</w:t>
        </w:r>
      </w:ins>
      <w:r>
        <w:t>.</w:t>
      </w:r>
    </w:p>
    <w:p>
      <w:pPr>
        <w:pStyle w:val="Footnotesection"/>
      </w:pPr>
      <w:r>
        <w:tab/>
        <w:t>[Regulation 10B inserted: Gazette 12 Sep 2014 p. 3288</w:t>
      </w:r>
      <w:ins w:id="91" w:author="Master Repository Process" w:date="2021-07-31T10:12:00Z">
        <w:r>
          <w:t>; amended: Gazette 31 Dec 2019 p. 4670</w:t>
        </w:r>
      </w:ins>
      <w:r>
        <w:t xml:space="preserve">.] </w:t>
      </w:r>
    </w:p>
    <w:p>
      <w:pPr>
        <w:pStyle w:val="Heading5"/>
        <w:rPr>
          <w:snapToGrid w:val="0"/>
        </w:rPr>
      </w:pPr>
      <w:bookmarkStart w:id="92" w:name="_Toc32230160"/>
      <w:bookmarkStart w:id="93" w:name="_Toc517966672"/>
      <w:r>
        <w:rPr>
          <w:rStyle w:val="CharSectno"/>
        </w:rPr>
        <w:t>10</w:t>
      </w:r>
      <w:r>
        <w:rPr>
          <w:snapToGrid w:val="0"/>
        </w:rPr>
        <w:t>.</w:t>
      </w:r>
      <w:r>
        <w:rPr>
          <w:snapToGrid w:val="0"/>
        </w:rPr>
        <w:tab/>
        <w:t>Formalities for undertaking under Schedule 1 Part C clause 2(3)(c)</w:t>
      </w:r>
      <w:bookmarkEnd w:id="92"/>
      <w:bookmarkEnd w:id="93"/>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pPr>
      <w:r>
        <w:tab/>
        <w:t>(3)</w:t>
      </w:r>
      <w:r>
        <w:tab/>
        <w:t>The person before whom the undertaking is entered into must make available a copy of the undertaking, as duly completed, to the responsible person, or cause such a copy to be made available to him or her.</w:t>
      </w:r>
    </w:p>
    <w:p>
      <w:pPr>
        <w:pStyle w:val="Footnotesection"/>
      </w:pPr>
      <w:r>
        <w:tab/>
        <w:t xml:space="preserve">[Regulation 10 inserted: Gazette 4 Mar 1994 p. 852; amended: Gazette 12 Sep 2014 p. 3289.] </w:t>
      </w:r>
    </w:p>
    <w:p>
      <w:pPr>
        <w:pStyle w:val="Heading5"/>
      </w:pPr>
      <w:bookmarkStart w:id="94" w:name="_Toc32230161"/>
      <w:bookmarkStart w:id="95" w:name="_Toc517966673"/>
      <w:r>
        <w:rPr>
          <w:rStyle w:val="CharSectno"/>
        </w:rPr>
        <w:t>11</w:t>
      </w:r>
      <w:r>
        <w:t>.</w:t>
      </w:r>
      <w:r>
        <w:tab/>
        <w:t>Persons and programmes prescribed for Schedule 1 Part D clause 2(2b)</w:t>
      </w:r>
      <w:bookmarkEnd w:id="94"/>
      <w:bookmarkEnd w:id="95"/>
    </w:p>
    <w:p>
      <w:pPr>
        <w:pStyle w:val="Subsection"/>
      </w:pPr>
      <w:r>
        <w:tab/>
        <w:t>(1)</w:t>
      </w:r>
      <w:r>
        <w:tab/>
        <w:t>For the purposes of clause 2(2b)(c) of Part D of Schedule 1 to the Act a person who —</w:t>
      </w:r>
    </w:p>
    <w:p>
      <w:pPr>
        <w:pStyle w:val="Indenta"/>
      </w:pPr>
      <w:r>
        <w:tab/>
        <w:t>(a)</w:t>
      </w:r>
      <w:r>
        <w:tab/>
        <w:t xml:space="preserve">is registered under the </w:t>
      </w:r>
      <w:r>
        <w:rPr>
          <w:i/>
        </w:rPr>
        <w:t>Health Practitioner Regulation National Law (Western Australia)</w:t>
      </w:r>
      <w:r>
        <w:t xml:space="preserve"> in the psychology profession; and</w:t>
      </w:r>
    </w:p>
    <w:p>
      <w:pPr>
        <w:pStyle w:val="Indenta"/>
        <w:keepNext/>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 xml:space="preserve">[Regulation 11 inserted: Gazette 29 Aug 2000 p. 4986; amended: Gazette 25 Feb 2009 p. 479; 6 Mar 2012 p. 895; 29 Jun 2018 p. 2436.]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6" w:name="_Toc32230162"/>
      <w:bookmarkStart w:id="97" w:name="_Toc517966674"/>
      <w:r>
        <w:rPr>
          <w:rStyle w:val="CharSchNo"/>
        </w:rPr>
        <w:t>Schedule</w:t>
      </w:r>
      <w:bookmarkEnd w:id="96"/>
      <w:bookmarkEnd w:id="97"/>
      <w:r>
        <w:rPr>
          <w:rStyle w:val="CharSchText"/>
        </w:rPr>
        <w:t xml:space="preserve"> </w:t>
      </w:r>
    </w:p>
    <w:p>
      <w:pPr>
        <w:pStyle w:val="yShoulderClause"/>
        <w:rPr>
          <w:snapToGrid w:val="0"/>
        </w:rPr>
      </w:pPr>
      <w:r>
        <w:rPr>
          <w:snapToGrid w:val="0"/>
        </w:rPr>
        <w:t>[reg. 3(1)]</w:t>
      </w:r>
    </w:p>
    <w:p>
      <w:pPr>
        <w:pStyle w:val="yHeading3"/>
      </w:pPr>
      <w:bookmarkStart w:id="98" w:name="_Toc32230163"/>
      <w:bookmarkStart w:id="99" w:name="_Toc517966675"/>
      <w:r>
        <w:rPr>
          <w:rStyle w:val="CharSClsNo"/>
        </w:rPr>
        <w:t>Form 1</w:t>
      </w:r>
      <w:bookmarkEnd w:id="98"/>
      <w:bookmarkEnd w:id="99"/>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rPr>
          <w:snapToGrid w:val="0"/>
        </w:rPr>
      </w:pPr>
      <w:bookmarkStart w:id="100" w:name="_Toc32230164"/>
      <w:bookmarkStart w:id="101" w:name="_Toc517966676"/>
      <w:r>
        <w:rPr>
          <w:snapToGrid w:val="0"/>
        </w:rPr>
        <w:t>1.</w:t>
      </w:r>
      <w:r>
        <w:rPr>
          <w:snapToGrid w:val="0"/>
        </w:rPr>
        <w:tab/>
        <w:t>Summary</w:t>
      </w:r>
      <w:bookmarkEnd w:id="100"/>
      <w:bookmarkEnd w:id="101"/>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rPr>
          <w:snapToGrid w:val="0"/>
        </w:rPr>
      </w:pPr>
      <w:bookmarkStart w:id="102" w:name="_Toc32230165"/>
      <w:bookmarkStart w:id="103" w:name="_Toc517966677"/>
      <w:r>
        <w:rPr>
          <w:snapToGrid w:val="0"/>
        </w:rPr>
        <w:t>2.</w:t>
      </w:r>
      <w:r>
        <w:rPr>
          <w:snapToGrid w:val="0"/>
        </w:rPr>
        <w:tab/>
        <w:t>Bail information form</w:t>
      </w:r>
      <w:bookmarkEnd w:id="102"/>
      <w:bookmarkEnd w:id="103"/>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rPr>
          <w:snapToGrid w:val="0"/>
        </w:rPr>
      </w:pPr>
      <w:bookmarkStart w:id="104" w:name="_Toc32230166"/>
      <w:bookmarkStart w:id="105" w:name="_Toc517966678"/>
      <w:r>
        <w:rPr>
          <w:snapToGrid w:val="0"/>
        </w:rPr>
        <w:t>3.</w:t>
      </w:r>
      <w:r>
        <w:rPr>
          <w:snapToGrid w:val="0"/>
        </w:rPr>
        <w:tab/>
        <w:t>At time of arrest</w:t>
      </w:r>
      <w:bookmarkEnd w:id="104"/>
      <w:bookmarkEnd w:id="105"/>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 or</w:t>
      </w:r>
    </w:p>
    <w:p>
      <w:pPr>
        <w:pStyle w:val="yIndenta"/>
      </w:pPr>
      <w:r>
        <w:tab/>
        <w:t>(b)</w:t>
      </w:r>
      <w:r>
        <w:tab/>
        <w:t>where the arrest is made under a warrant; or</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pPr>
      <w:r>
        <w:tab/>
        <w:t>(d)</w:t>
      </w:r>
      <w:r>
        <w:tab/>
        <w:t>where the arrest is made in an urban area (as defined) for an offence that involves breach of a family violence restraining order or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except —</w:t>
      </w:r>
    </w:p>
    <w:p>
      <w:pPr>
        <w:pStyle w:val="yIndenta"/>
      </w:pPr>
      <w:r>
        <w:tab/>
        <w:t>(a)</w:t>
      </w:r>
      <w:r>
        <w:tab/>
        <w:t>for the offence of murder; or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pPr>
      <w:r>
        <w:tab/>
        <w:t>(c)</w:t>
      </w:r>
      <w:r>
        <w:tab/>
        <w:t>where the arrest is made in an urban area (as defined) for an offence that involves breach of a family violence restraining order or violence restraining order.</w:t>
      </w:r>
    </w:p>
    <w:p>
      <w:pPr>
        <w:pStyle w:val="yHeading5"/>
        <w:rPr>
          <w:snapToGrid w:val="0"/>
        </w:rPr>
      </w:pPr>
      <w:bookmarkStart w:id="106" w:name="_Toc32230167"/>
      <w:bookmarkStart w:id="107" w:name="_Toc517966679"/>
      <w:r>
        <w:rPr>
          <w:snapToGrid w:val="0"/>
        </w:rPr>
        <w:t>4.</w:t>
      </w:r>
      <w:r>
        <w:rPr>
          <w:snapToGrid w:val="0"/>
        </w:rPr>
        <w:tab/>
        <w:t>On appearance in court</w:t>
      </w:r>
      <w:bookmarkEnd w:id="106"/>
      <w:bookmarkEnd w:id="107"/>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r>
        <w:tab/>
      </w:r>
      <w:r>
        <w:tab/>
        <w:t>If you are in custody during a trial that extends beyond one day, a judicial officer need not consider your case for bail, however, you may apply for bail.</w:t>
      </w:r>
    </w:p>
    <w:p>
      <w:pPr>
        <w:pStyle w:val="yHeading5"/>
        <w:rPr>
          <w:snapToGrid w:val="0"/>
        </w:rPr>
      </w:pPr>
      <w:bookmarkStart w:id="108" w:name="_Toc32230168"/>
      <w:bookmarkStart w:id="109" w:name="_Toc517966680"/>
      <w:r>
        <w:rPr>
          <w:snapToGrid w:val="0"/>
        </w:rPr>
        <w:t>5.</w:t>
      </w:r>
      <w:r>
        <w:rPr>
          <w:snapToGrid w:val="0"/>
        </w:rPr>
        <w:tab/>
        <w:t>Warrant cases</w:t>
      </w:r>
      <w:bookmarkEnd w:id="108"/>
      <w:bookmarkEnd w:id="109"/>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pPr>
      <w:bookmarkStart w:id="110" w:name="_Toc32230169"/>
      <w:bookmarkStart w:id="111" w:name="_Toc517966681"/>
      <w:r>
        <w:t>6.</w:t>
      </w:r>
      <w:r>
        <w:rPr>
          <w:b w:val="0"/>
        </w:rPr>
        <w:tab/>
      </w:r>
      <w:r>
        <w:t>Where charge is murder</w:t>
      </w:r>
      <w:bookmarkEnd w:id="110"/>
      <w:bookmarkEnd w:id="111"/>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rPr>
          <w:snapToGrid w:val="0"/>
        </w:rPr>
      </w:pPr>
      <w:bookmarkStart w:id="112" w:name="_Toc32230170"/>
      <w:bookmarkStart w:id="113" w:name="_Toc517966682"/>
      <w:r>
        <w:rPr>
          <w:snapToGrid w:val="0"/>
        </w:rPr>
        <w:t>7.</w:t>
      </w:r>
      <w:r>
        <w:rPr>
          <w:snapToGrid w:val="0"/>
        </w:rPr>
        <w:tab/>
        <w:t>Decision may be delayed</w:t>
      </w:r>
      <w:bookmarkEnd w:id="112"/>
      <w:bookmarkEnd w:id="113"/>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rPr>
          <w:snapToGrid w:val="0"/>
        </w:rPr>
      </w:pPr>
      <w:bookmarkStart w:id="114" w:name="_Toc32230171"/>
      <w:bookmarkStart w:id="115" w:name="_Toc517966683"/>
      <w:r>
        <w:rPr>
          <w:snapToGrid w:val="0"/>
        </w:rPr>
        <w:t>8.</w:t>
      </w:r>
      <w:r>
        <w:rPr>
          <w:snapToGrid w:val="0"/>
        </w:rPr>
        <w:tab/>
        <w:t>How decision to be made — adult</w:t>
      </w:r>
      <w:bookmarkEnd w:id="114"/>
      <w:bookmarkEnd w:id="115"/>
    </w:p>
    <w:p>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rPr>
          <w:snapToGrid w:val="0"/>
        </w:rPr>
      </w:pPr>
      <w:bookmarkStart w:id="116" w:name="_Toc32230172"/>
      <w:bookmarkStart w:id="117" w:name="_Toc517966684"/>
      <w:r>
        <w:rPr>
          <w:snapToGrid w:val="0"/>
        </w:rPr>
        <w:t>8A.</w:t>
      </w:r>
      <w:r>
        <w:rPr>
          <w:snapToGrid w:val="0"/>
        </w:rPr>
        <w:tab/>
        <w:t>How decision to be made — child</w:t>
      </w:r>
      <w:bookmarkEnd w:id="116"/>
      <w:bookmarkEnd w:id="117"/>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rPr>
          <w:snapToGrid w:val="0"/>
        </w:rPr>
      </w:pPr>
      <w:bookmarkStart w:id="118" w:name="_Toc32230173"/>
      <w:bookmarkStart w:id="119" w:name="_Toc517966685"/>
      <w:r>
        <w:rPr>
          <w:snapToGrid w:val="0"/>
        </w:rPr>
        <w:t>8B.</w:t>
      </w:r>
      <w:r>
        <w:rPr>
          <w:snapToGrid w:val="0"/>
        </w:rPr>
        <w:tab/>
        <w:t>Where serious offence committed while on bail for another serious offence</w:t>
      </w:r>
      <w:bookmarkEnd w:id="118"/>
      <w:bookmarkEnd w:id="119"/>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rPr>
          <w:snapToGrid w:val="0"/>
        </w:rPr>
      </w:pPr>
      <w:bookmarkStart w:id="120" w:name="_Toc32230174"/>
      <w:bookmarkStart w:id="121" w:name="_Toc517966686"/>
      <w:r>
        <w:rPr>
          <w:snapToGrid w:val="0"/>
        </w:rPr>
        <w:t>9.</w:t>
      </w:r>
      <w:r>
        <w:rPr>
          <w:snapToGrid w:val="0"/>
        </w:rPr>
        <w:tab/>
        <w:t>Points to be considered</w:t>
      </w:r>
      <w:bookmarkEnd w:id="120"/>
      <w:bookmarkEnd w:id="121"/>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the Magistrates Court</w:t>
      </w:r>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rPr>
          <w:snapToGrid w:val="0"/>
        </w:rPr>
      </w:pPr>
      <w:bookmarkStart w:id="122" w:name="_Toc32230175"/>
      <w:bookmarkStart w:id="123" w:name="_Toc517966687"/>
      <w:r>
        <w:rPr>
          <w:snapToGrid w:val="0"/>
        </w:rPr>
        <w:t>10.</w:t>
      </w:r>
      <w:r>
        <w:rPr>
          <w:snapToGrid w:val="0"/>
        </w:rPr>
        <w:tab/>
        <w:t>Conditions</w:t>
      </w:r>
      <w:bookmarkEnd w:id="122"/>
      <w:bookmarkEnd w:id="123"/>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rPr>
          <w:snapToGrid w:val="0"/>
        </w:rPr>
      </w:pPr>
      <w:bookmarkStart w:id="124" w:name="_Toc32230176"/>
      <w:bookmarkStart w:id="125" w:name="_Toc517966688"/>
      <w:r>
        <w:rPr>
          <w:snapToGrid w:val="0"/>
        </w:rPr>
        <w:t>11.</w:t>
      </w:r>
      <w:r>
        <w:rPr>
          <w:snapToGrid w:val="0"/>
        </w:rPr>
        <w:tab/>
        <w:t>Accused to receive copy of bail decision form or court record</w:t>
      </w:r>
      <w:bookmarkEnd w:id="124"/>
      <w:bookmarkEnd w:id="125"/>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pPr>
      <w:bookmarkStart w:id="126" w:name="_Toc32230177"/>
      <w:bookmarkStart w:id="127" w:name="_Toc517966689"/>
      <w:r>
        <w:t>12.</w:t>
      </w:r>
      <w:r>
        <w:tab/>
        <w:t>Bail undertaking</w:t>
      </w:r>
      <w:bookmarkEnd w:id="126"/>
      <w:bookmarkEnd w:id="127"/>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pPr>
      <w:bookmarkStart w:id="128" w:name="_Toc32230178"/>
      <w:bookmarkStart w:id="129" w:name="_Toc517966690"/>
      <w:r>
        <w:t>13.</w:t>
      </w:r>
      <w:r>
        <w:tab/>
        <w:t>Release from custody</w:t>
      </w:r>
      <w:bookmarkEnd w:id="128"/>
      <w:bookmarkEnd w:id="129"/>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pPr>
      <w:bookmarkStart w:id="130" w:name="_Toc32230179"/>
      <w:bookmarkStart w:id="131" w:name="_Toc517966691"/>
      <w:r>
        <w:t>14.</w:t>
      </w:r>
      <w:r>
        <w:rPr>
          <w:b w:val="0"/>
        </w:rPr>
        <w:tab/>
      </w:r>
      <w:r>
        <w:t>Reconsideration of decision</w:t>
      </w:r>
      <w:bookmarkEnd w:id="130"/>
      <w:bookmarkEnd w:id="131"/>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pPr>
      <w:bookmarkStart w:id="132" w:name="_Toc32230180"/>
      <w:bookmarkStart w:id="133" w:name="_Toc517966692"/>
      <w:r>
        <w:t>15.</w:t>
      </w:r>
      <w:r>
        <w:rPr>
          <w:b w:val="0"/>
        </w:rPr>
        <w:tab/>
      </w:r>
      <w:r>
        <w:t>Application to judge</w:t>
      </w:r>
      <w:bookmarkEnd w:id="132"/>
      <w:bookmarkEnd w:id="133"/>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rPr>
          <w:snapToGrid w:val="0"/>
        </w:rPr>
      </w:pPr>
      <w:bookmarkStart w:id="134" w:name="_Toc32230181"/>
      <w:bookmarkStart w:id="135" w:name="_Toc517966693"/>
      <w:r>
        <w:rPr>
          <w:snapToGrid w:val="0"/>
        </w:rPr>
        <w:t>16.</w:t>
      </w:r>
      <w:r>
        <w:rPr>
          <w:snapToGrid w:val="0"/>
        </w:rPr>
        <w:tab/>
        <w:t>Sureties</w:t>
      </w:r>
      <w:bookmarkEnd w:id="134"/>
      <w:bookmarkEnd w:id="135"/>
    </w:p>
    <w:p>
      <w:pPr>
        <w:pStyle w:val="ySubsection"/>
        <w:keepNext/>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rPr>
          <w:snapToGrid w:val="0"/>
        </w:rPr>
      </w:pPr>
      <w:bookmarkStart w:id="136" w:name="_Toc32230182"/>
      <w:bookmarkStart w:id="137" w:name="_Toc517966694"/>
      <w:r>
        <w:rPr>
          <w:snapToGrid w:val="0"/>
        </w:rPr>
        <w:t>17.</w:t>
      </w:r>
      <w:r>
        <w:rPr>
          <w:snapToGrid w:val="0"/>
        </w:rPr>
        <w:tab/>
        <w:t>False information</w:t>
      </w:r>
      <w:bookmarkEnd w:id="136"/>
      <w:bookmarkEnd w:id="137"/>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rPr>
          <w:snapToGrid w:val="0"/>
        </w:rPr>
      </w:pPr>
      <w:bookmarkStart w:id="138" w:name="_Toc32230183"/>
      <w:bookmarkStart w:id="139" w:name="_Toc517966695"/>
      <w:r>
        <w:rPr>
          <w:snapToGrid w:val="0"/>
        </w:rPr>
        <w:t>18.</w:t>
      </w:r>
      <w:r>
        <w:rPr>
          <w:snapToGrid w:val="0"/>
        </w:rPr>
        <w:tab/>
        <w:t>Offence to compensate surety</w:t>
      </w:r>
      <w:bookmarkEnd w:id="138"/>
      <w:bookmarkEnd w:id="139"/>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Gazette 4 Mar 1994 p. 853-4; 7 Mar 2000 p. 1040; 19 Apr 2005 p. 1295; 25 Feb 2009 p. 479-83; 27 Jun 2017 p. 3433.]</w:t>
      </w:r>
    </w:p>
    <w:p>
      <w:pPr>
        <w:pStyle w:val="yEdnotesection"/>
      </w:pPr>
      <w:r>
        <w:t>[Forms 2</w:t>
      </w:r>
      <w:r>
        <w:noBreakHyphen/>
        <w:t>5 deleted: Gazette 25 Feb 2009 p. 483.]</w:t>
      </w:r>
    </w:p>
    <w:p>
      <w:pPr>
        <w:pStyle w:val="yShoulderClause"/>
        <w:keepNext/>
        <w:pageBreakBefore/>
        <w:rPr>
          <w:snapToGrid w:val="0"/>
        </w:rPr>
      </w:pPr>
      <w:r>
        <w:rPr>
          <w:snapToGrid w:val="0"/>
        </w:rPr>
        <w:t>[reg. 6]</w:t>
      </w:r>
    </w:p>
    <w:p>
      <w:pPr>
        <w:pStyle w:val="yMiscellaneousBody"/>
        <w:jc w:val="right"/>
        <w:rPr>
          <w:snapToGrid w:val="0"/>
        </w:rPr>
      </w:pPr>
      <w:r>
        <w:t>COURT COPY</w:t>
      </w:r>
    </w:p>
    <w:p>
      <w:pPr>
        <w:pStyle w:val="yHeading3"/>
      </w:pPr>
      <w:bookmarkStart w:id="140" w:name="_Toc32230184"/>
      <w:bookmarkStart w:id="141" w:name="_Toc517966696"/>
      <w:r>
        <w:rPr>
          <w:rStyle w:val="CharSClsNo"/>
        </w:rPr>
        <w:t>Form 6</w:t>
      </w:r>
      <w:bookmarkEnd w:id="140"/>
      <w:bookmarkEnd w:id="141"/>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yTable"/>
            </w:pPr>
            <w:r>
              <w:t>Telephone No: .......................................</w:t>
            </w:r>
          </w:p>
        </w:tc>
        <w:tc>
          <w:tcPr>
            <w:tcW w:w="3402" w:type="dxa"/>
            <w:tcBorders>
              <w:top w:val="nil"/>
              <w:left w:val="nil"/>
              <w:bottom w:val="nil"/>
              <w:right w:val="nil"/>
            </w:tcBorders>
          </w:tcPr>
          <w:p>
            <w:pPr>
              <w:pStyle w:val="yTable"/>
            </w:pPr>
            <w:r>
              <w:t>Fax No: ..........................................</w:t>
            </w:r>
          </w:p>
        </w:tc>
      </w:tr>
      <w:tr>
        <w:trPr>
          <w:cantSplit/>
        </w:trPr>
        <w:tc>
          <w:tcPr>
            <w:tcW w:w="3806" w:type="dxa"/>
            <w:tcBorders>
              <w:top w:val="nil"/>
              <w:left w:val="nil"/>
              <w:bottom w:val="nil"/>
              <w:right w:val="nil"/>
            </w:tcBorders>
          </w:tcPr>
          <w:p>
            <w:pPr>
              <w:pStyle w:val="yTable"/>
            </w:pPr>
            <w:r>
              <w:t>Mobile No: ............................................</w:t>
            </w:r>
          </w:p>
        </w:tc>
        <w:tc>
          <w:tcPr>
            <w:tcW w:w="3402" w:type="dxa"/>
            <w:tcBorders>
              <w:top w:val="nil"/>
              <w:left w:val="nil"/>
              <w:bottom w:val="nil"/>
              <w:right w:val="nil"/>
            </w:tcBorders>
          </w:tcPr>
          <w:p>
            <w:pPr>
              <w:pStyle w:val="yTable"/>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pPr>
        <w:pStyle w:val="yTableNAm"/>
      </w:pPr>
      <w:r>
        <w:rPr>
          <w:snapToGrid w:val="0"/>
        </w:rPr>
        <w:sym w:font="Wingdings" w:char="F06F"/>
      </w:r>
      <w:r>
        <w:rPr>
          <w:snapToGrid w:val="0"/>
        </w:rPr>
        <w:t xml:space="preserve"> I do not wish to receive electronic notifications.</w:t>
      </w:r>
    </w:p>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keepNext/>
        <w:spacing w:before="24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t>RELEASING AUTHORITY’S COPY</w:t>
      </w:r>
    </w:p>
    <w:p>
      <w:pPr>
        <w:pStyle w:val="MiscellaneousHeading"/>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3806" w:type="dxa"/>
            <w:tcBorders>
              <w:top w:val="nil"/>
              <w:left w:val="nil"/>
              <w:bottom w:val="nil"/>
              <w:right w:val="nil"/>
            </w:tcBorders>
          </w:tcPr>
          <w:p>
            <w:pPr>
              <w:pStyle w:val="zytable"/>
              <w:ind w:left="0" w:right="0"/>
            </w:pPr>
            <w:r>
              <w:t>Mobile No: ...........................................</w:t>
            </w:r>
          </w:p>
        </w:tc>
        <w:tc>
          <w:tcPr>
            <w:tcW w:w="3402" w:type="dxa"/>
            <w:tcBorders>
              <w:top w:val="nil"/>
              <w:left w:val="nil"/>
              <w:bottom w:val="nil"/>
              <w:right w:val="nil"/>
            </w:tcBorders>
          </w:tcPr>
          <w:p>
            <w:pPr>
              <w:pStyle w:val="zytable"/>
              <w:ind w:left="0" w:right="0"/>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pPr>
        <w:pStyle w:val="yTableNAm"/>
      </w:pPr>
      <w:r>
        <w:rPr>
          <w:snapToGrid w:val="0"/>
        </w:rPr>
        <w:sym w:font="Wingdings" w:char="F06F"/>
      </w:r>
      <w:r>
        <w:rPr>
          <w:snapToGrid w:val="0"/>
        </w:rPr>
        <w:t xml:space="preserve"> I do not wish to receive electronic notifications.</w:t>
      </w:r>
    </w:p>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spacing w:before="20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t>ACCUSED’S COPY</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8"/>
      </w:tblGrid>
      <w:tr>
        <w:trPr>
          <w:cantSplit/>
        </w:trPr>
        <w:tc>
          <w:tcPr>
            <w:tcW w:w="7208" w:type="dxa"/>
            <w:tcBorders>
              <w:top w:val="nil"/>
              <w:left w:val="nil"/>
              <w:bottom w:val="nil"/>
              <w:right w:val="nil"/>
            </w:tcBorders>
          </w:tcPr>
          <w:p>
            <w:pPr>
              <w:pStyle w:val="zytable"/>
              <w:ind w:left="0" w:right="0"/>
            </w:pPr>
            <w:r>
              <w:t>Date of birth: ........................................................................................................</w:t>
            </w:r>
          </w:p>
        </w:tc>
      </w:tr>
      <w:tr>
        <w:trPr>
          <w:cantSplit/>
        </w:trPr>
        <w:tc>
          <w:tcPr>
            <w:tcW w:w="7208" w:type="dxa"/>
            <w:tcBorders>
              <w:top w:val="nil"/>
              <w:left w:val="nil"/>
              <w:bottom w:val="nil"/>
              <w:right w:val="nil"/>
            </w:tcBorders>
          </w:tcPr>
          <w:p>
            <w:pPr>
              <w:pStyle w:val="zytable"/>
              <w:ind w:left="0" w:right="0"/>
            </w:pPr>
            <w:r>
              <w:t>Address: ...............................................................................................................</w:t>
            </w:r>
          </w:p>
        </w:tc>
      </w:tr>
      <w:tr>
        <w:trPr>
          <w:cantSplit/>
        </w:trPr>
        <w:tc>
          <w:tcPr>
            <w:tcW w:w="7208" w:type="dxa"/>
            <w:tcBorders>
              <w:top w:val="nil"/>
              <w:left w:val="nil"/>
              <w:bottom w:val="nil"/>
              <w:right w:val="nil"/>
            </w:tcBorders>
          </w:tcPr>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642"/>
            </w:tblGrid>
            <w:tr>
              <w:trPr>
                <w:cantSplit/>
              </w:trPr>
              <w:tc>
                <w:tcPr>
                  <w:tcW w:w="3680" w:type="dxa"/>
                  <w:tcBorders>
                    <w:top w:val="nil"/>
                    <w:left w:val="nil"/>
                    <w:bottom w:val="nil"/>
                    <w:right w:val="nil"/>
                  </w:tcBorders>
                </w:tcPr>
                <w:p>
                  <w:pPr>
                    <w:pStyle w:val="zytable"/>
                    <w:ind w:left="-96" w:right="0"/>
                  </w:pPr>
                  <w:r>
                    <w:t>Telephone No: .......................................</w:t>
                  </w:r>
                </w:p>
              </w:tc>
              <w:tc>
                <w:tcPr>
                  <w:tcW w:w="3642" w:type="dxa"/>
                  <w:tcBorders>
                    <w:top w:val="nil"/>
                    <w:left w:val="nil"/>
                    <w:bottom w:val="nil"/>
                    <w:right w:val="nil"/>
                  </w:tcBorders>
                </w:tcPr>
                <w:p>
                  <w:pPr>
                    <w:pStyle w:val="zytable"/>
                    <w:ind w:left="0" w:right="0"/>
                  </w:pPr>
                  <w:r>
                    <w:t>Fax No: ...........................................</w:t>
                  </w:r>
                </w:p>
              </w:tc>
            </w:tr>
            <w:tr>
              <w:trPr>
                <w:cantSplit/>
              </w:trPr>
              <w:tc>
                <w:tcPr>
                  <w:tcW w:w="3680" w:type="dxa"/>
                  <w:tcBorders>
                    <w:top w:val="nil"/>
                    <w:left w:val="nil"/>
                    <w:bottom w:val="nil"/>
                    <w:right w:val="nil"/>
                  </w:tcBorders>
                </w:tcPr>
                <w:p>
                  <w:pPr>
                    <w:pStyle w:val="zytable"/>
                    <w:ind w:left="-96" w:right="0"/>
                  </w:pPr>
                  <w:r>
                    <w:t>Mobile No: ............................................</w:t>
                  </w:r>
                </w:p>
              </w:tc>
              <w:tc>
                <w:tcPr>
                  <w:tcW w:w="3642" w:type="dxa"/>
                  <w:tcBorders>
                    <w:top w:val="nil"/>
                    <w:left w:val="nil"/>
                    <w:bottom w:val="nil"/>
                    <w:right w:val="nil"/>
                  </w:tcBorders>
                </w:tcPr>
                <w:p>
                  <w:pPr>
                    <w:pStyle w:val="zytable"/>
                    <w:ind w:left="0" w:right="0"/>
                  </w:pPr>
                </w:p>
              </w:tc>
            </w:tr>
          </w:tbl>
          <w:p>
            <w:pPr>
              <w:pStyle w:val="zytable"/>
              <w:ind w:left="0" w:right="0"/>
            </w:pPr>
            <w:r>
              <w:t>Email address: ......................................................................................................</w:t>
            </w:r>
          </w:p>
        </w:tc>
      </w:tr>
    </w:tbl>
    <w:p>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pPr>
        <w:pStyle w:val="yTable"/>
        <w:tabs>
          <w:tab w:val="right" w:leader="dot" w:pos="7088"/>
        </w:tabs>
        <w:rPr>
          <w:snapToGrid w:val="0"/>
        </w:rPr>
      </w:pPr>
      <w:r>
        <w:rPr>
          <w:snapToGrid w:val="0"/>
        </w:rPr>
        <w:sym w:font="Wingdings" w:char="F06F"/>
      </w:r>
      <w:r>
        <w:rPr>
          <w:snapToGrid w:val="0"/>
        </w:rPr>
        <w:t xml:space="preserve"> I do not wish to receive electronic notifications</w:t>
      </w:r>
    </w:p>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spacing w:before="20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keepNext/>
        <w:ind w:left="3119"/>
        <w:rPr>
          <w:b/>
          <w:snapToGrid w:val="0"/>
        </w:rPr>
      </w:pPr>
      <w:r>
        <w:rPr>
          <w:b/>
          <w:snapToGrid w:val="0"/>
        </w:rPr>
        <w:t>TO THE ACCUSED</w:t>
      </w:r>
    </w:p>
    <w:p>
      <w:pPr>
        <w:pStyle w:val="yTable"/>
        <w:keepNext/>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keepNext/>
      </w:pPr>
      <w:r>
        <w:tab/>
        <w:t>[Form 6 amended: Gazette 19 Apr 2005 p. 1295; 25 Feb 2009 p. 483</w:t>
      </w:r>
      <w:r>
        <w:noBreakHyphen/>
        <w:t>5; 12 Sep 2014 p. 3289; 29 Jun 2018 p. 2437.]</w:t>
      </w:r>
    </w:p>
    <w:p>
      <w:pPr>
        <w:pStyle w:val="yEdnotedivision"/>
        <w:keepNext/>
        <w:keepLines/>
      </w:pPr>
      <w:r>
        <w:t>[Form 7 deleted: Gazette 25 Feb 2009 p. 485.]</w:t>
      </w:r>
    </w:p>
    <w:p>
      <w:pPr>
        <w:pStyle w:val="yShoulderClause"/>
        <w:pageBreakBefore/>
        <w:rPr>
          <w:snapToGrid w:val="0"/>
        </w:rPr>
      </w:pPr>
      <w:r>
        <w:rPr>
          <w:snapToGrid w:val="0"/>
        </w:rPr>
        <w:t>[reg. 6]</w:t>
      </w:r>
    </w:p>
    <w:p>
      <w:pPr>
        <w:pStyle w:val="yHeading3"/>
      </w:pPr>
      <w:bookmarkStart w:id="142" w:name="_Toc32230185"/>
      <w:bookmarkStart w:id="143" w:name="_Toc517966697"/>
      <w:r>
        <w:rPr>
          <w:rStyle w:val="CharSClsNo"/>
        </w:rPr>
        <w:t>Form 8</w:t>
      </w:r>
      <w:bookmarkEnd w:id="142"/>
      <w:bookmarkEnd w:id="143"/>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r>
        <w:b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t xml:space="preserve"> 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Address ...................................................................................................</w:t>
            </w:r>
          </w:p>
          <w:p>
            <w:pPr>
              <w:pStyle w:val="zytable"/>
              <w:tabs>
                <w:tab w:val="left" w:pos="604"/>
              </w:tabs>
              <w:ind w:left="34" w:right="0"/>
            </w:pPr>
            <w:r>
              <w:tab/>
              <w:t>Telephone No ................................  Fax No............................................</w:t>
            </w:r>
          </w:p>
          <w:p>
            <w:pPr>
              <w:pStyle w:val="zytable"/>
              <w:tabs>
                <w:tab w:val="left" w:pos="604"/>
              </w:tabs>
              <w:ind w:left="34" w:right="0"/>
            </w:pPr>
            <w:r>
              <w:tab/>
              <w:t>Mobile No: ....................................</w:t>
            </w:r>
          </w:p>
          <w:p>
            <w:pPr>
              <w:pStyle w:val="zytable"/>
              <w:tabs>
                <w:tab w:val="left" w:pos="604"/>
              </w:tabs>
              <w:ind w:left="34" w:right="0"/>
            </w:pPr>
            <w:r>
              <w:tab/>
              <w:t>Email address...........................................................................................</w:t>
            </w:r>
          </w:p>
        </w:tc>
      </w:tr>
      <w:tr>
        <w:trPr>
          <w:cantSplit/>
        </w:trPr>
        <w:tc>
          <w:tcPr>
            <w:tcW w:w="7192" w:type="dxa"/>
            <w:tcBorders>
              <w:top w:val="nil"/>
              <w:left w:val="nil"/>
              <w:bottom w:val="nil"/>
              <w:right w:val="nil"/>
            </w:tcBorders>
          </w:tcPr>
          <w:p>
            <w:pPr>
              <w:pStyle w:val="yTableNAm"/>
              <w:rPr>
                <w:snapToGrid w:val="0"/>
              </w:rPr>
            </w:pPr>
            <w:r>
              <w:rPr>
                <w:snapToGrid w:val="0"/>
              </w:rPr>
              <w:t>3A.</w:t>
            </w:r>
            <w:r>
              <w:rPr>
                <w:snapToGrid w:val="0"/>
              </w:rPr>
              <w:tab/>
              <w:t>Electronic notification of accused’s court appearances</w:t>
            </w:r>
          </w:p>
          <w:p>
            <w:pPr>
              <w:pStyle w:val="yTableNAm"/>
              <w:ind w:left="567" w:hanging="567"/>
              <w:rPr>
                <w:snapToGrid w:val="0"/>
              </w:rPr>
            </w:pPr>
            <w:r>
              <w:rPr>
                <w:snapToGrid w:val="0"/>
              </w:rPr>
              <w:tab/>
              <w:t xml:space="preserve">The Department will send electronic notifications in relation to the accused’s court appearances mentioned in this form. If you </w:t>
            </w:r>
            <w:r>
              <w:rPr>
                <w:b/>
                <w:snapToGrid w:val="0"/>
              </w:rPr>
              <w:t>do not</w:t>
            </w:r>
            <w:r>
              <w:rPr>
                <w:snapToGrid w:val="0"/>
              </w:rPr>
              <w:t xml:space="preserve"> wish to receive electronic notifications, please tick the box below.</w:t>
            </w:r>
          </w:p>
          <w:p>
            <w:pPr>
              <w:pStyle w:val="zytable"/>
              <w:tabs>
                <w:tab w:val="left" w:pos="604"/>
              </w:tabs>
              <w:ind w:left="34" w:right="0"/>
            </w:pPr>
            <w:r>
              <w:rPr>
                <w:snapToGrid w:val="0"/>
              </w:rPr>
              <w:tab/>
            </w:r>
            <w:r>
              <w:rPr>
                <w:snapToGrid w:val="0"/>
              </w:rPr>
              <w:sym w:font="Wingdings" w:char="F06F"/>
            </w:r>
            <w:r>
              <w:rPr>
                <w:snapToGrid w:val="0"/>
              </w:rPr>
              <w:t xml:space="preserve"> I do not wish to receive electronic notifications.</w:t>
            </w:r>
          </w:p>
          <w:p>
            <w:pPr>
              <w:pStyle w:val="zytable"/>
              <w:tabs>
                <w:tab w:val="left" w:pos="604"/>
              </w:tabs>
              <w:ind w:left="34" w:right="0"/>
            </w:pPr>
            <w:r>
              <w:t>4.</w:t>
            </w:r>
            <w:r>
              <w:tab/>
              <w:t>Occupation ..............................................................................................</w:t>
            </w:r>
          </w:p>
          <w:p>
            <w:pPr>
              <w:pStyle w:val="zytable"/>
              <w:tabs>
                <w:tab w:val="left" w:pos="604"/>
              </w:tabs>
              <w:ind w:left="34" w:right="0"/>
            </w:pPr>
            <w:r>
              <w:tab/>
              <w:t>Employer details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Table"/>
        <w:keepNext/>
        <w:keepLines/>
        <w:tabs>
          <w:tab w:val="left" w:pos="567"/>
          <w:tab w:val="right" w:leader="dot" w:pos="7088"/>
        </w:tabs>
        <w:spacing w:before="120"/>
        <w:ind w:left="567" w:hanging="567"/>
        <w:rPr>
          <w:snapToGrid w:val="0"/>
        </w:rPr>
      </w:pPr>
      <w:r>
        <w:rPr>
          <w:snapToGrid w:val="0"/>
        </w:rPr>
        <w:t>7.</w:t>
      </w:r>
      <w:r>
        <w:rPr>
          <w:snapToGrid w:val="0"/>
        </w:rPr>
        <w:tab/>
        <w:t>Character</w:t>
      </w:r>
    </w:p>
    <w:p>
      <w:pPr>
        <w:pStyle w:val="yTable"/>
        <w:keepNext/>
        <w:keepLines/>
        <w:tabs>
          <w:tab w:val="left" w:pos="600"/>
        </w:tabs>
        <w:spacing w:before="40"/>
        <w:ind w:left="600" w:hanging="600"/>
        <w:rPr>
          <w:snapToGrid w:val="0"/>
        </w:rPr>
      </w:pPr>
      <w:r>
        <w:rPr>
          <w:snapToGrid w:val="0"/>
        </w:rPr>
        <w:tab/>
        <w:t>Do you have any convictions, or are any criminal proceedings pending against you?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7.25pt" fillcolor="window">
            <v:imagedata r:id="rId21" o:title=""/>
          </v:shape>
        </w:pi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pPr>
        <w:pStyle w:val="MiscellaneousBody"/>
        <w:spacing w:before="0"/>
      </w:pPr>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Gazette 19 Apr 2005 p. 1295; 25 Feb 2009 p. 485</w:t>
      </w:r>
      <w:r>
        <w:noBreakHyphen/>
        <w:t>8; 12 Sep 2014 p. 3289; 29 Jun 2018 p. 2437.]</w:t>
      </w:r>
    </w:p>
    <w:p>
      <w:pPr>
        <w:pStyle w:val="yShoulderClause"/>
        <w:pageBreakBefore/>
        <w:rPr>
          <w:snapToGrid w:val="0"/>
        </w:rPr>
      </w:pPr>
      <w:r>
        <w:rPr>
          <w:snapToGrid w:val="0"/>
        </w:rPr>
        <w:t>[reg. 3(2)]</w:t>
      </w:r>
    </w:p>
    <w:p>
      <w:pPr>
        <w:pStyle w:val="yHeading3"/>
      </w:pPr>
      <w:bookmarkStart w:id="144" w:name="_Toc32230186"/>
      <w:bookmarkStart w:id="145" w:name="_Toc517966698"/>
      <w:r>
        <w:rPr>
          <w:rStyle w:val="CharSClsNo"/>
        </w:rPr>
        <w:t>Form 9</w:t>
      </w:r>
      <w:bookmarkEnd w:id="144"/>
      <w:bookmarkEnd w:id="145"/>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rPr>
          <w:b w:val="0"/>
          <w:sz w:val="24"/>
        </w:rPr>
      </w:pPr>
      <w:bookmarkStart w:id="146" w:name="_Toc32230187"/>
      <w:bookmarkStart w:id="147" w:name="_Toc517966699"/>
      <w:r>
        <w:rPr>
          <w:snapToGrid w:val="0"/>
        </w:rPr>
        <w:t>1.</w:t>
      </w:r>
      <w:r>
        <w:rPr>
          <w:snapToGrid w:val="0"/>
        </w:rPr>
        <w:tab/>
        <w:t>Contents of this form</w:t>
      </w:r>
      <w:bookmarkEnd w:id="146"/>
      <w:bookmarkEnd w:id="147"/>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rPr>
          <w:b w:val="0"/>
          <w:snapToGrid w:val="0"/>
        </w:rPr>
      </w:pPr>
      <w:bookmarkStart w:id="148" w:name="_Toc32230188"/>
      <w:bookmarkStart w:id="149" w:name="_Toc517966700"/>
      <w:r>
        <w:rPr>
          <w:snapToGrid w:val="0"/>
        </w:rPr>
        <w:t>2.</w:t>
      </w:r>
      <w:r>
        <w:rPr>
          <w:snapToGrid w:val="0"/>
        </w:rPr>
        <w:tab/>
        <w:t>Meaning and function of surety</w:t>
      </w:r>
      <w:bookmarkEnd w:id="148"/>
      <w:bookmarkEnd w:id="149"/>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rPr>
          <w:b w:val="0"/>
          <w:snapToGrid w:val="0"/>
        </w:rPr>
      </w:pPr>
      <w:bookmarkStart w:id="150" w:name="_Toc32230189"/>
      <w:bookmarkStart w:id="151" w:name="_Toc517966701"/>
      <w:r>
        <w:rPr>
          <w:snapToGrid w:val="0"/>
        </w:rPr>
        <w:t>3.</w:t>
      </w:r>
      <w:r>
        <w:rPr>
          <w:snapToGrid w:val="0"/>
        </w:rPr>
        <w:tab/>
        <w:t>Information</w:t>
      </w:r>
      <w:r>
        <w:rPr>
          <w:b w:val="0"/>
          <w:snapToGrid w:val="0"/>
        </w:rPr>
        <w:t xml:space="preserve"> </w:t>
      </w:r>
      <w:r>
        <w:rPr>
          <w:snapToGrid w:val="0"/>
        </w:rPr>
        <w:t>to be given to surety</w:t>
      </w:r>
      <w:bookmarkEnd w:id="150"/>
      <w:bookmarkEnd w:id="151"/>
    </w:p>
    <w:p>
      <w:pPr>
        <w:pStyle w:val="ySubsection"/>
        <w:rPr>
          <w:snapToGrid w:val="0"/>
        </w:rPr>
      </w:pPr>
      <w:r>
        <w:rPr>
          <w:snapToGrid w:val="0"/>
        </w:rPr>
        <w:tab/>
      </w:r>
      <w:r>
        <w:rPr>
          <w:snapToGrid w:val="0"/>
        </w:rPr>
        <w:tab/>
        <w:t>As well as this form, a proposed surety must be given a form (Part A of Form 8) showing details of the accused’s bail. The proposed surety must read the forms or have them read to him.</w:t>
      </w:r>
    </w:p>
    <w:p>
      <w:pPr>
        <w:pStyle w:val="yHeading5"/>
        <w:keepLines w:val="0"/>
        <w:rPr>
          <w:snapToGrid w:val="0"/>
        </w:rPr>
      </w:pPr>
      <w:bookmarkStart w:id="152" w:name="_Toc32230190"/>
      <w:bookmarkStart w:id="153" w:name="_Toc517966702"/>
      <w:r>
        <w:rPr>
          <w:snapToGrid w:val="0"/>
        </w:rPr>
        <w:t>4.</w:t>
      </w:r>
      <w:r>
        <w:rPr>
          <w:snapToGrid w:val="0"/>
        </w:rPr>
        <w:tab/>
        <w:t>Application for approval</w:t>
      </w:r>
      <w:bookmarkEnd w:id="152"/>
      <w:bookmarkEnd w:id="153"/>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rPr>
          <w:b w:val="0"/>
          <w:snapToGrid w:val="0"/>
        </w:rPr>
      </w:pPr>
      <w:bookmarkStart w:id="154" w:name="_Toc32230191"/>
      <w:bookmarkStart w:id="155" w:name="_Toc517966703"/>
      <w:r>
        <w:rPr>
          <w:snapToGrid w:val="0"/>
        </w:rPr>
        <w:t>5.</w:t>
      </w:r>
      <w:r>
        <w:rPr>
          <w:b w:val="0"/>
          <w:snapToGrid w:val="0"/>
        </w:rPr>
        <w:tab/>
      </w:r>
      <w:r>
        <w:rPr>
          <w:snapToGrid w:val="0"/>
        </w:rPr>
        <w:t>Disqualified persons</w:t>
      </w:r>
      <w:bookmarkEnd w:id="154"/>
      <w:bookmarkEnd w:id="155"/>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accused were to default, except where security is provided; or</w:t>
      </w:r>
    </w:p>
    <w:p>
      <w:pPr>
        <w:pStyle w:val="yIndenta"/>
        <w:rPr>
          <w:snapToGrid w:val="0"/>
        </w:rPr>
      </w:pPr>
      <w:r>
        <w:rPr>
          <w:snapToGrid w:val="0"/>
        </w:rPr>
        <w:tab/>
        <w:t>(c)</w:t>
      </w:r>
      <w:r>
        <w:rPr>
          <w:snapToGrid w:val="0"/>
        </w:rPr>
        <w:tab/>
        <w:t>it appears that the accused or some other person will be compensating the surety for any loss he incurs.</w:t>
      </w:r>
    </w:p>
    <w:p>
      <w:pPr>
        <w:pStyle w:val="yHeading5"/>
        <w:rPr>
          <w:snapToGrid w:val="0"/>
        </w:rPr>
      </w:pPr>
      <w:bookmarkStart w:id="156" w:name="_Toc32230192"/>
      <w:bookmarkStart w:id="157" w:name="_Toc517966704"/>
      <w:r>
        <w:rPr>
          <w:snapToGrid w:val="0"/>
        </w:rPr>
        <w:t>6.</w:t>
      </w:r>
      <w:r>
        <w:rPr>
          <w:snapToGrid w:val="0"/>
        </w:rPr>
        <w:tab/>
        <w:t>Points to be considered</w:t>
      </w:r>
      <w:bookmarkEnd w:id="156"/>
      <w:bookmarkEnd w:id="157"/>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accused;</w:t>
      </w:r>
    </w:p>
    <w:p>
      <w:pPr>
        <w:pStyle w:val="yIndenta"/>
        <w:rPr>
          <w:snapToGrid w:val="0"/>
        </w:rPr>
      </w:pPr>
      <w:r>
        <w:rPr>
          <w:snapToGrid w:val="0"/>
        </w:rPr>
        <w:tab/>
        <w:t>(c)</w:t>
      </w:r>
      <w:r>
        <w:rPr>
          <w:snapToGrid w:val="0"/>
        </w:rPr>
        <w:tab/>
        <w:t>his ability to pay, without severe hardship, if the accused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rPr>
          <w:snapToGrid w:val="0"/>
        </w:rPr>
      </w:pPr>
      <w:bookmarkStart w:id="158" w:name="_Toc32230193"/>
      <w:bookmarkStart w:id="159" w:name="_Toc517966705"/>
      <w:r>
        <w:rPr>
          <w:snapToGrid w:val="0"/>
        </w:rPr>
        <w:t>7.</w:t>
      </w:r>
      <w:r>
        <w:rPr>
          <w:snapToGrid w:val="0"/>
        </w:rPr>
        <w:tab/>
        <w:t>Reconsideration</w:t>
      </w:r>
      <w:bookmarkEnd w:id="158"/>
      <w:bookmarkEnd w:id="159"/>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rPr>
          <w:b w:val="0"/>
          <w:snapToGrid w:val="0"/>
        </w:rPr>
      </w:pPr>
      <w:bookmarkStart w:id="160" w:name="_Toc32230194"/>
      <w:bookmarkStart w:id="161" w:name="_Toc517966706"/>
      <w:r>
        <w:rPr>
          <w:snapToGrid w:val="0"/>
        </w:rPr>
        <w:t>8.</w:t>
      </w:r>
      <w:r>
        <w:rPr>
          <w:snapToGrid w:val="0"/>
        </w:rPr>
        <w:tab/>
        <w:t>Copy of surety undertaking</w:t>
      </w:r>
      <w:bookmarkEnd w:id="160"/>
      <w:bookmarkEnd w:id="161"/>
    </w:p>
    <w:p>
      <w:pPr>
        <w:pStyle w:val="ySubsection"/>
        <w:rPr>
          <w:snapToGrid w:val="0"/>
        </w:rPr>
      </w:pPr>
      <w:r>
        <w:rPr>
          <w:snapToGrid w:val="0"/>
        </w:rPr>
        <w:tab/>
      </w:r>
      <w:r>
        <w:rPr>
          <w:snapToGrid w:val="0"/>
        </w:rPr>
        <w:tab/>
        <w:t>A surety must be given a copy of his surety undertaking.</w:t>
      </w:r>
    </w:p>
    <w:p>
      <w:pPr>
        <w:pStyle w:val="yHeading5"/>
        <w:keepNext w:val="0"/>
        <w:keepLines w:val="0"/>
        <w:rPr>
          <w:snapToGrid w:val="0"/>
        </w:rPr>
      </w:pPr>
      <w:bookmarkStart w:id="162" w:name="_Toc32230195"/>
      <w:bookmarkStart w:id="163" w:name="_Toc517966707"/>
      <w:r>
        <w:rPr>
          <w:snapToGrid w:val="0"/>
        </w:rPr>
        <w:t>9.</w:t>
      </w:r>
      <w:r>
        <w:rPr>
          <w:snapToGrid w:val="0"/>
        </w:rPr>
        <w:tab/>
        <w:t>Remand etc. of accused to later date</w:t>
      </w:r>
      <w:bookmarkEnd w:id="162"/>
      <w:bookmarkEnd w:id="163"/>
    </w:p>
    <w:p>
      <w:pPr>
        <w:pStyle w:val="ySubsection"/>
        <w:rPr>
          <w:snapToGrid w:val="0"/>
        </w:rPr>
      </w:pPr>
      <w:r>
        <w:rPr>
          <w:snapToGrid w:val="0"/>
        </w:rPr>
        <w:tab/>
      </w:r>
      <w:r>
        <w:rPr>
          <w:snapToGrid w:val="0"/>
        </w:rPr>
        <w:tab/>
        <w:t>A surety undertaking will refer to the time and place of the accused’s appearance. If his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rPr>
          <w:snapToGrid w:val="0"/>
        </w:rPr>
      </w:pPr>
      <w:bookmarkStart w:id="164" w:name="_Toc32230196"/>
      <w:bookmarkStart w:id="165" w:name="_Toc517966708"/>
      <w:r>
        <w:rPr>
          <w:snapToGrid w:val="0"/>
        </w:rPr>
        <w:t>10.</w:t>
      </w:r>
      <w:r>
        <w:rPr>
          <w:snapToGrid w:val="0"/>
        </w:rPr>
        <w:tab/>
        <w:t>Change of address</w:t>
      </w:r>
      <w:bookmarkEnd w:id="164"/>
      <w:bookmarkEnd w:id="165"/>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rPr>
          <w:snapToGrid w:val="0"/>
        </w:rPr>
      </w:pPr>
      <w:bookmarkStart w:id="166" w:name="_Toc32230197"/>
      <w:bookmarkStart w:id="167" w:name="_Toc517966709"/>
      <w:r>
        <w:rPr>
          <w:snapToGrid w:val="0"/>
        </w:rPr>
        <w:t xml:space="preserve">11. </w:t>
      </w:r>
      <w:r>
        <w:rPr>
          <w:snapToGrid w:val="0"/>
        </w:rPr>
        <w:tab/>
        <w:t>Action by surety where accused likely to default</w:t>
      </w:r>
      <w:bookmarkEnd w:id="166"/>
      <w:bookmarkEnd w:id="167"/>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the prosecutor or a police officer in writing and that person may have the accused brought before the court. However the surety’s obligations continue until the accused is brought before the court.</w:t>
      </w:r>
    </w:p>
    <w:p>
      <w:pPr>
        <w:pStyle w:val="ySubsection"/>
        <w:rPr>
          <w:snapToGrid w:val="0"/>
        </w:rPr>
      </w:pPr>
      <w:r>
        <w:rPr>
          <w:snapToGrid w:val="0"/>
        </w:rPr>
        <w:tab/>
      </w:r>
      <w:r>
        <w:rPr>
          <w:snapToGrid w:val="0"/>
        </w:rPr>
        <w:tab/>
        <w:t>In cases of urgency where the surety reasonably believes that the accused is not likely to appear in court or that he has broken any bail condition, he has the power to arrest the accused. The surety must hand him over as soon as is practicable to a police officer who is required to take the accused before the court.</w:t>
      </w:r>
    </w:p>
    <w:p>
      <w:pPr>
        <w:pStyle w:val="ySubsection"/>
        <w:rPr>
          <w:snapToGrid w:val="0"/>
        </w:rPr>
      </w:pPr>
      <w:r>
        <w:rPr>
          <w:snapToGrid w:val="0"/>
        </w:rPr>
        <w:tab/>
      </w:r>
      <w:r>
        <w:rPr>
          <w:snapToGrid w:val="0"/>
        </w:rPr>
        <w:tab/>
        <w:t>Once the accused has been so taken before the court the surety undertaking will not be continued in force without the surety’s consent.</w:t>
      </w:r>
    </w:p>
    <w:p>
      <w:pPr>
        <w:pStyle w:val="yHeading5"/>
        <w:rPr>
          <w:snapToGrid w:val="0"/>
        </w:rPr>
      </w:pPr>
      <w:bookmarkStart w:id="168" w:name="_Toc32230198"/>
      <w:bookmarkStart w:id="169" w:name="_Toc517966710"/>
      <w:r>
        <w:rPr>
          <w:snapToGrid w:val="0"/>
        </w:rPr>
        <w:t>12.</w:t>
      </w:r>
      <w:r>
        <w:rPr>
          <w:snapToGrid w:val="0"/>
        </w:rPr>
        <w:tab/>
        <w:t>Cancellation of surety undertaking</w:t>
      </w:r>
      <w:bookmarkEnd w:id="168"/>
      <w:bookmarkEnd w:id="169"/>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accused’s appearance. However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rPr>
          <w:snapToGrid w:val="0"/>
        </w:rPr>
      </w:pPr>
      <w:bookmarkStart w:id="170" w:name="_Toc32230199"/>
      <w:bookmarkStart w:id="171" w:name="_Toc517966711"/>
      <w:r>
        <w:rPr>
          <w:snapToGrid w:val="0"/>
        </w:rPr>
        <w:t>13.</w:t>
      </w:r>
      <w:r>
        <w:rPr>
          <w:snapToGrid w:val="0"/>
        </w:rPr>
        <w:tab/>
        <w:t>Enforcing payment by surety</w:t>
      </w:r>
      <w:bookmarkEnd w:id="170"/>
      <w:bookmarkEnd w:id="171"/>
    </w:p>
    <w:p>
      <w:pPr>
        <w:pStyle w:val="ySubsection"/>
        <w:rPr>
          <w:snapToGrid w:val="0"/>
        </w:rPr>
      </w:pPr>
      <w:r>
        <w:rPr>
          <w:snapToGrid w:val="0"/>
        </w:rPr>
        <w:tab/>
      </w:r>
      <w:r>
        <w:rPr>
          <w:snapToGrid w:val="0"/>
        </w:rPr>
        <w:tab/>
        <w:t>Where an accused fails to appear in court, a surety will be summoned before the court and an order for payment of the amount of his undertaking will be made against him unless he shows that the accused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accused’s failure, he may apply to the Governor for a refund.</w:t>
      </w:r>
    </w:p>
    <w:p>
      <w:pPr>
        <w:pStyle w:val="yHeading5"/>
        <w:rPr>
          <w:snapToGrid w:val="0"/>
        </w:rPr>
      </w:pPr>
      <w:bookmarkStart w:id="172" w:name="_Toc32230200"/>
      <w:bookmarkStart w:id="173" w:name="_Toc517966712"/>
      <w:r>
        <w:rPr>
          <w:snapToGrid w:val="0"/>
        </w:rPr>
        <w:t xml:space="preserve">14. </w:t>
      </w:r>
      <w:r>
        <w:rPr>
          <w:snapToGrid w:val="0"/>
        </w:rPr>
        <w:tab/>
        <w:t>Cases of hardship</w:t>
      </w:r>
      <w:bookmarkEnd w:id="172"/>
      <w:bookmarkEnd w:id="173"/>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rPr>
          <w:snapToGrid w:val="0"/>
        </w:rPr>
      </w:pPr>
      <w:bookmarkStart w:id="174" w:name="_Toc32230201"/>
      <w:bookmarkStart w:id="175" w:name="_Toc517966713"/>
      <w:r>
        <w:rPr>
          <w:snapToGrid w:val="0"/>
        </w:rPr>
        <w:t>15.</w:t>
      </w:r>
      <w:r>
        <w:rPr>
          <w:snapToGrid w:val="0"/>
        </w:rPr>
        <w:tab/>
        <w:t>Surety becoming unsuitable</w:t>
      </w:r>
      <w:bookmarkEnd w:id="174"/>
      <w:bookmarkEnd w:id="175"/>
    </w:p>
    <w:p>
      <w:pPr>
        <w:pStyle w:val="ySubsection"/>
        <w:rPr>
          <w:snapToGrid w:val="0"/>
        </w:rPr>
      </w:pPr>
      <w:r>
        <w:rPr>
          <w:snapToGrid w:val="0"/>
        </w:rPr>
        <w:tab/>
      </w:r>
      <w:r>
        <w:rPr>
          <w:snapToGrid w:val="0"/>
        </w:rPr>
        <w:tab/>
        <w:t>The prosecutor or a police officer may have the accused brought before the court and apply to have bail cancelled or changed if he reasonably believes (among other things) that a surety is no longer suitable or security given by a surety is no longer sufficient.</w:t>
      </w:r>
    </w:p>
    <w:p>
      <w:pPr>
        <w:pStyle w:val="yHeading5"/>
        <w:rPr>
          <w:snapToGrid w:val="0"/>
        </w:rPr>
      </w:pPr>
      <w:bookmarkStart w:id="176" w:name="_Toc32230202"/>
      <w:bookmarkStart w:id="177" w:name="_Toc517966714"/>
      <w:r>
        <w:rPr>
          <w:snapToGrid w:val="0"/>
        </w:rPr>
        <w:t xml:space="preserve">16. </w:t>
      </w:r>
      <w:r>
        <w:rPr>
          <w:snapToGrid w:val="0"/>
        </w:rPr>
        <w:tab/>
        <w:t>Offence to compensate surety</w:t>
      </w:r>
      <w:bookmarkEnd w:id="176"/>
      <w:bookmarkEnd w:id="177"/>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 Gazette 1 Aug 1997 p. 4394; 7 Nov 1997 p. 6136; 14 May 2004 p. 1446; 19 Apr 2005 p. 1295; 25 Feb 2009 p. 488-90.]</w:t>
      </w:r>
    </w:p>
    <w:p>
      <w:pPr>
        <w:pStyle w:val="yFootnotesection"/>
      </w:pPr>
      <w:r>
        <w:t>[Form 10 deleted: Gazette 25 Feb 2009 p. 490.]</w:t>
      </w:r>
    </w:p>
    <w:p>
      <w:pPr>
        <w:pStyle w:val="yShoulderClause"/>
        <w:keepNext/>
        <w:keepLines/>
        <w:pageBreakBefore/>
        <w:rPr>
          <w:snapToGrid w:val="0"/>
        </w:rPr>
      </w:pPr>
      <w:r>
        <w:rPr>
          <w:snapToGrid w:val="0"/>
        </w:rPr>
        <w:t>[reg. 6]</w:t>
      </w:r>
    </w:p>
    <w:p>
      <w:pPr>
        <w:pStyle w:val="yHeading3"/>
      </w:pPr>
      <w:bookmarkStart w:id="178" w:name="_Toc32230203"/>
      <w:bookmarkStart w:id="179" w:name="_Toc517966715"/>
      <w:r>
        <w:rPr>
          <w:rStyle w:val="CharSClsNo"/>
        </w:rPr>
        <w:t>Form 11</w:t>
      </w:r>
      <w:bookmarkEnd w:id="178"/>
      <w:bookmarkEnd w:id="179"/>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inserted: Gazette 22 Mar 1991 p. 1212-13; amended: Gazette 28 Feb 1992 p. 994; 25 Feb 2009 p. 490.]</w:t>
      </w:r>
    </w:p>
    <w:p>
      <w:pPr>
        <w:pStyle w:val="yEdnotedivision"/>
      </w:pPr>
      <w:r>
        <w:t>[Form 12 deleted: Gazette 25 Feb 2009 p. 490.]</w:t>
      </w:r>
    </w:p>
    <w:p>
      <w:pPr>
        <w:rPr>
          <w:del w:id="180" w:author="Master Repository Process" w:date="2021-07-31T10:12:00Z"/>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82" w:name="_Toc32230204"/>
      <w:bookmarkStart w:id="183" w:name="_Toc517966716"/>
      <w:r>
        <w:t>Notes</w:t>
      </w:r>
      <w:bookmarkEnd w:id="182"/>
      <w:bookmarkEnd w:id="183"/>
    </w:p>
    <w:p>
      <w:pPr>
        <w:pStyle w:val="nStatement"/>
      </w:pPr>
      <w:del w:id="184" w:author="Master Repository Process" w:date="2021-07-31T10:12:00Z">
        <w:r>
          <w:rPr>
            <w:vertAlign w:val="superscript"/>
          </w:rPr>
          <w:delText>1</w:delText>
        </w:r>
        <w:r>
          <w:tab/>
        </w:r>
      </w:del>
      <w:r>
        <w:t xml:space="preserve">This is a compilation of the </w:t>
      </w:r>
      <w:r>
        <w:rPr>
          <w:i/>
          <w:noProof/>
        </w:rPr>
        <w:t>Bail Regulations</w:t>
      </w:r>
      <w:del w:id="185" w:author="Master Repository Process" w:date="2021-07-31T10:12:00Z">
        <w:r>
          <w:rPr>
            <w:i/>
            <w:noProof/>
          </w:rPr>
          <w:delText xml:space="preserve"> </w:delText>
        </w:r>
      </w:del>
      <w:ins w:id="186" w:author="Master Repository Process" w:date="2021-07-31T10:12:00Z">
        <w:r>
          <w:rPr>
            <w:i/>
            <w:noProof/>
          </w:rPr>
          <w:t> </w:t>
        </w:r>
      </w:ins>
      <w:r>
        <w:rPr>
          <w:i/>
          <w:noProof/>
        </w:rPr>
        <w:t>1988</w:t>
      </w:r>
      <w:r>
        <w:t xml:space="preserve"> and includes </w:t>
      </w:r>
      <w:del w:id="187" w:author="Master Repository Process" w:date="2021-07-31T10:12:00Z">
        <w:r>
          <w:delText xml:space="preserve">the </w:delText>
        </w:r>
      </w:del>
      <w:r>
        <w:t xml:space="preserve">amendments made by </w:t>
      </w:r>
      <w:del w:id="188" w:author="Master Repository Process" w:date="2021-07-31T10:12:00Z">
        <w:r>
          <w:delText xml:space="preserve">the </w:delText>
        </w:r>
      </w:del>
      <w:r>
        <w:t>other written laws</w:t>
      </w:r>
      <w:del w:id="189" w:author="Master Repository Process" w:date="2021-07-31T10:12:00Z">
        <w:r>
          <w:delText xml:space="preserve"> referred to in the following table.  The table also contains</w:delText>
        </w:r>
      </w:del>
      <w:ins w:id="190" w:author="Master Repository Process" w:date="2021-07-31T10:12:00Z">
        <w:r>
          <w:t>. For provisions that have come into operation, and for</w:t>
        </w:r>
      </w:ins>
      <w:r>
        <w:t xml:space="preserve"> information about any </w:t>
      </w:r>
      <w:del w:id="191" w:author="Master Repository Process" w:date="2021-07-31T10:12:00Z">
        <w:r>
          <w:delText>reprint.</w:delText>
        </w:r>
      </w:del>
      <w:ins w:id="192" w:author="Master Repository Process" w:date="2021-07-31T10:12:00Z">
        <w:r>
          <w:t>reprints, see the compilation table.</w:t>
        </w:r>
      </w:ins>
    </w:p>
    <w:p>
      <w:pPr>
        <w:pStyle w:val="nHeading3"/>
      </w:pPr>
      <w:bookmarkStart w:id="193" w:name="_Toc32230205"/>
      <w:bookmarkStart w:id="194" w:name="_Toc517966717"/>
      <w:r>
        <w:t>Compilation table</w:t>
      </w:r>
      <w:bookmarkEnd w:id="193"/>
      <w:bookmarkEnd w:id="1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95" w:author="Master Repository Process" w:date="2021-07-31T10:12:00Z">
              <w:r>
                <w:rPr>
                  <w:b/>
                </w:rPr>
                <w:delText>Gazettal</w:delText>
              </w:r>
            </w:del>
            <w:ins w:id="196" w:author="Master Repository Process" w:date="2021-07-31T10:1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Bail Regulations 1988</w:t>
            </w:r>
          </w:p>
        </w:tc>
        <w:tc>
          <w:tcPr>
            <w:tcW w:w="1276" w:type="dxa"/>
            <w:tcBorders>
              <w:top w:val="single" w:sz="8" w:space="0" w:color="auto"/>
            </w:tcBorders>
          </w:tcPr>
          <w:p>
            <w:pPr>
              <w:pStyle w:val="nTable"/>
              <w:spacing w:after="40"/>
            </w:pPr>
            <w:r>
              <w:t>30 Dec 1988 p. 5043</w:t>
            </w:r>
            <w:r>
              <w:noBreakHyphen/>
              <w:t>80</w:t>
            </w:r>
          </w:p>
        </w:tc>
        <w:tc>
          <w:tcPr>
            <w:tcW w:w="2693" w:type="dxa"/>
            <w:tcBorders>
              <w:top w:val="single" w:sz="8" w:space="0" w:color="auto"/>
            </w:tcBorders>
          </w:tcPr>
          <w:p>
            <w:pPr>
              <w:pStyle w:val="nTable"/>
              <w:spacing w:after="40"/>
            </w:pPr>
            <w:r>
              <w:t xml:space="preserve">6 Feb 1982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1991</w:t>
            </w:r>
          </w:p>
        </w:tc>
        <w:tc>
          <w:tcPr>
            <w:tcW w:w="1276" w:type="dxa"/>
          </w:tcPr>
          <w:p>
            <w:pPr>
              <w:pStyle w:val="nTable"/>
              <w:spacing w:after="40"/>
            </w:pPr>
            <w:r>
              <w:t>22 Mar 1991 p. 1212</w:t>
            </w:r>
            <w:r>
              <w:noBreakHyphen/>
              <w:t>13</w:t>
            </w:r>
          </w:p>
        </w:tc>
        <w:tc>
          <w:tcPr>
            <w:tcW w:w="2693" w:type="dxa"/>
          </w:tcPr>
          <w:p>
            <w:pPr>
              <w:pStyle w:val="nTable"/>
              <w:spacing w:after="40"/>
            </w:pPr>
            <w:r>
              <w:t xml:space="preserve">3 Apr 1991 (see r.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1992</w:t>
            </w:r>
          </w:p>
        </w:tc>
        <w:tc>
          <w:tcPr>
            <w:tcW w:w="1276" w:type="dxa"/>
          </w:tcPr>
          <w:p>
            <w:pPr>
              <w:pStyle w:val="nTable"/>
              <w:spacing w:after="40"/>
            </w:pPr>
            <w:r>
              <w:t>28 Feb 1992 p. 994</w:t>
            </w:r>
          </w:p>
        </w:tc>
        <w:tc>
          <w:tcPr>
            <w:tcW w:w="2693"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1994</w:t>
            </w:r>
          </w:p>
        </w:tc>
        <w:tc>
          <w:tcPr>
            <w:tcW w:w="1276" w:type="dxa"/>
          </w:tcPr>
          <w:p>
            <w:pPr>
              <w:pStyle w:val="nTable"/>
              <w:spacing w:after="40"/>
            </w:pPr>
            <w:r>
              <w:t>4 Mar 1994 p. 852</w:t>
            </w:r>
            <w:r>
              <w:noBreakHyphen/>
              <w:t>7</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1997</w:t>
            </w:r>
          </w:p>
        </w:tc>
        <w:tc>
          <w:tcPr>
            <w:tcW w:w="1276" w:type="dxa"/>
          </w:tcPr>
          <w:p>
            <w:pPr>
              <w:pStyle w:val="nTable"/>
              <w:spacing w:after="40"/>
            </w:pPr>
            <w:r>
              <w:t>1 Aug 1997 p. 4394</w:t>
            </w:r>
          </w:p>
        </w:tc>
        <w:tc>
          <w:tcPr>
            <w:tcW w:w="2693" w:type="dxa"/>
          </w:tcPr>
          <w:p>
            <w:pPr>
              <w:pStyle w:val="nTable"/>
              <w:spacing w:after="40"/>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(No. 2) 1997</w:t>
            </w:r>
          </w:p>
        </w:tc>
        <w:tc>
          <w:tcPr>
            <w:tcW w:w="1276" w:type="dxa"/>
          </w:tcPr>
          <w:p>
            <w:pPr>
              <w:pStyle w:val="nTable"/>
              <w:spacing w:after="40"/>
            </w:pPr>
            <w:r>
              <w:t>7 Nov 1997 p. 6136</w:t>
            </w:r>
            <w:r>
              <w:noBreakHyphen/>
              <w:t>7</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1999</w:t>
            </w:r>
          </w:p>
        </w:tc>
        <w:tc>
          <w:tcPr>
            <w:tcW w:w="1276" w:type="dxa"/>
          </w:tcPr>
          <w:p>
            <w:pPr>
              <w:pStyle w:val="nTable"/>
              <w:spacing w:after="40"/>
            </w:pPr>
            <w:r>
              <w:t>7 Mar 2000 p. 1039</w:t>
            </w:r>
            <w:r>
              <w:noBreakHyphen/>
              <w:t>41</w:t>
            </w:r>
          </w:p>
        </w:tc>
        <w:tc>
          <w:tcPr>
            <w:tcW w:w="2693" w:type="dxa"/>
          </w:tcPr>
          <w:p>
            <w:pPr>
              <w:pStyle w:val="nTable"/>
              <w:spacing w:after="40"/>
            </w:pPr>
            <w:r>
              <w:t xml:space="preserve">8 Mar 2000 (see r. 2 and </w:t>
            </w:r>
            <w:r>
              <w:rPr>
                <w:i/>
              </w:rPr>
              <w:t>Gazette</w:t>
            </w:r>
            <w:r>
              <w:t xml:space="preserve"> 7 Mar 2000 p. 1039)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(No. 2) 2000</w:t>
            </w:r>
          </w:p>
        </w:tc>
        <w:tc>
          <w:tcPr>
            <w:tcW w:w="1276" w:type="dxa"/>
          </w:tcPr>
          <w:p>
            <w:pPr>
              <w:pStyle w:val="nTable"/>
              <w:spacing w:after="40"/>
            </w:pPr>
            <w:r>
              <w:t>22 Aug 2000 p. 4849</w:t>
            </w:r>
          </w:p>
        </w:tc>
        <w:tc>
          <w:tcPr>
            <w:tcW w:w="2693" w:type="dxa"/>
          </w:tcPr>
          <w:p>
            <w:pPr>
              <w:pStyle w:val="nTable"/>
              <w:spacing w:after="40"/>
            </w:pPr>
            <w:r>
              <w:t>22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2000</w:t>
            </w:r>
          </w:p>
        </w:tc>
        <w:tc>
          <w:tcPr>
            <w:tcW w:w="1276" w:type="dxa"/>
          </w:tcPr>
          <w:p>
            <w:pPr>
              <w:pStyle w:val="nTable"/>
              <w:spacing w:after="40"/>
            </w:pPr>
            <w:r>
              <w:t>29 Aug 2000 p. 4985</w:t>
            </w:r>
            <w:r>
              <w:noBreakHyphen/>
              <w:t>6</w:t>
            </w:r>
          </w:p>
        </w:tc>
        <w:tc>
          <w:tcPr>
            <w:tcW w:w="2693" w:type="dxa"/>
          </w:tcPr>
          <w:p>
            <w:pPr>
              <w:pStyle w:val="nTable"/>
              <w:spacing w:after="40"/>
            </w:pPr>
            <w:r>
              <w:t xml:space="preserve">1 Sep 2000 (see r. 2 and </w:t>
            </w:r>
            <w:r>
              <w:rPr>
                <w:i/>
              </w:rPr>
              <w:t>Gazette</w:t>
            </w:r>
            <w:r>
              <w:t xml:space="preserve"> 29 Aug 2000 p. 4985)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Bail Regulations 1988 </w:t>
            </w:r>
            <w:r>
              <w:rPr>
                <w:b/>
                <w:bCs/>
              </w:rPr>
              <w:t>as at 8 Sep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Equality of Status Subsidiary Legislation Amendment Regulations 2003</w:t>
            </w:r>
            <w:r>
              <w:t xml:space="preserve"> Pt. 3</w:t>
            </w:r>
          </w:p>
        </w:tc>
        <w:tc>
          <w:tcPr>
            <w:tcW w:w="1276" w:type="dxa"/>
          </w:tcPr>
          <w:p>
            <w:pPr>
              <w:pStyle w:val="nTable"/>
              <w:spacing w:after="40"/>
            </w:pPr>
            <w:r>
              <w:t>30 Jun 2003 p. 2581</w:t>
            </w:r>
            <w:r>
              <w:noBreakHyphen/>
              <w:t>638</w:t>
            </w:r>
          </w:p>
        </w:tc>
        <w:tc>
          <w:tcPr>
            <w:tcW w:w="2693" w:type="dxa"/>
          </w:tcPr>
          <w:p>
            <w:pPr>
              <w:pStyle w:val="nTable"/>
              <w:spacing w:after="40"/>
              <w:rPr>
                <w:i/>
              </w:rPr>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Sentencing Legislation (Short Sentences) Amendment Regulations 2004</w:t>
            </w:r>
            <w:r>
              <w:t xml:space="preserve"> r. 5</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Cs/>
              </w:rPr>
            </w:pPr>
            <w:r>
              <w:rPr>
                <w:i/>
              </w:rPr>
              <w:t>Courts and Legal Practice (Consequential Amendments) Regulations 2005</w:t>
            </w:r>
            <w:r>
              <w:rPr>
                <w:iCs/>
              </w:rPr>
              <w:t xml:space="preserve"> r. 2</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2009</w:t>
            </w:r>
          </w:p>
        </w:tc>
        <w:tc>
          <w:tcPr>
            <w:tcW w:w="1276" w:type="dxa"/>
          </w:tcPr>
          <w:p>
            <w:pPr>
              <w:pStyle w:val="nTable"/>
              <w:spacing w:after="40"/>
            </w:pPr>
            <w:r>
              <w:t>25 Feb 2009 p. 471-90</w:t>
            </w:r>
          </w:p>
        </w:tc>
        <w:tc>
          <w:tcPr>
            <w:tcW w:w="2693" w:type="dxa"/>
          </w:tcPr>
          <w:p>
            <w:pPr>
              <w:pStyle w:val="nTable"/>
              <w:spacing w:after="40"/>
            </w:pPr>
            <w:r>
              <w:t>r. 1 and 2: 25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Bail Regulations 1988 </w:t>
            </w:r>
            <w:r>
              <w:rPr>
                <w:b/>
                <w:bCs/>
              </w:rPr>
              <w:t>as at 6 Mar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2012</w:t>
            </w:r>
          </w:p>
        </w:tc>
        <w:tc>
          <w:tcPr>
            <w:tcW w:w="1276" w:type="dxa"/>
          </w:tcPr>
          <w:p>
            <w:pPr>
              <w:pStyle w:val="nTable"/>
              <w:spacing w:after="40"/>
            </w:pPr>
            <w:r>
              <w:t>6 Mar 2012 p. 895</w:t>
            </w:r>
          </w:p>
        </w:tc>
        <w:tc>
          <w:tcPr>
            <w:tcW w:w="2693" w:type="dxa"/>
          </w:tcPr>
          <w:p>
            <w:pPr>
              <w:pStyle w:val="nTable"/>
              <w:spacing w:after="40"/>
            </w:pPr>
            <w:r>
              <w:t>r. 1 and 2: 6 Mar 2012 (see r. 2(a));</w:t>
            </w:r>
            <w:r>
              <w:br/>
              <w:t>Regulations other than r. 1 and 2: 7 Mar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2014</w:t>
            </w:r>
          </w:p>
        </w:tc>
        <w:tc>
          <w:tcPr>
            <w:tcW w:w="1276" w:type="dxa"/>
          </w:tcPr>
          <w:p>
            <w:pPr>
              <w:pStyle w:val="nTable"/>
              <w:spacing w:after="40"/>
            </w:pPr>
            <w:r>
              <w:t>12 Sep 2014 p. 3281</w:t>
            </w:r>
            <w:r>
              <w:noBreakHyphen/>
              <w:t>9</w:t>
            </w:r>
          </w:p>
        </w:tc>
        <w:tc>
          <w:tcPr>
            <w:tcW w:w="2693" w:type="dxa"/>
          </w:tcPr>
          <w:p>
            <w:pPr>
              <w:pStyle w:val="nTable"/>
              <w:spacing w:after="40"/>
            </w:pPr>
            <w:r>
              <w:t>r. 1 and 2: 12 Sep 2014 (see r. 2(a));</w:t>
            </w:r>
            <w:r>
              <w:br/>
              <w:t xml:space="preserve">Regulations other than r. 1 and 2: 13 Sep 2014 (see r. 2(b) and </w:t>
            </w:r>
            <w:r>
              <w:rPr>
                <w:i/>
              </w:rPr>
              <w:t>Gazette</w:t>
            </w:r>
            <w:r>
              <w:t xml:space="preserve"> 12 Sep 2014 p. 3279)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Attorney General Regulations Amendment (Family Violence Restraining Orders) Regulations 2017</w:t>
            </w:r>
            <w:r>
              <w:t xml:space="preserve"> Pt. 2</w:t>
            </w:r>
          </w:p>
        </w:tc>
        <w:tc>
          <w:tcPr>
            <w:tcW w:w="1276" w:type="dxa"/>
          </w:tcPr>
          <w:p>
            <w:pPr>
              <w:pStyle w:val="nTable"/>
              <w:spacing w:after="40"/>
            </w:pPr>
            <w:r>
              <w:t>27 Jun 2017 p. 3432</w:t>
            </w:r>
            <w:r>
              <w:noBreakHyphen/>
              <w:t>5</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noProof/>
              </w:rPr>
              <w:t>Bail Regulations 1988</w:t>
            </w:r>
            <w:r>
              <w:rPr>
                <w:b/>
              </w:rPr>
              <w:t xml:space="preserve"> as at 12 Jan 2018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2018</w:t>
            </w:r>
          </w:p>
        </w:tc>
        <w:tc>
          <w:tcPr>
            <w:tcW w:w="1276" w:type="dxa"/>
          </w:tcPr>
          <w:p>
            <w:pPr>
              <w:pStyle w:val="nTable"/>
              <w:spacing w:after="40"/>
            </w:pPr>
            <w:r>
              <w:t>29 Jun 2018 p. 2436</w:t>
            </w:r>
            <w:r>
              <w:noBreakHyphen/>
              <w:t>7</w:t>
            </w:r>
          </w:p>
        </w:tc>
        <w:tc>
          <w:tcPr>
            <w:tcW w:w="2693" w:type="dxa"/>
          </w:tcPr>
          <w:p>
            <w:pPr>
              <w:pStyle w:val="nTable"/>
              <w:spacing w:after="40"/>
            </w:pPr>
            <w:r>
              <w:t>r. 1 and 2: 29 Jun 2018 (see r. 2(a));</w:t>
            </w:r>
            <w:r>
              <w:br/>
              <w:t>Regulations other than r. 1 and 2: 30 Jun 2018 (see r. 2(b))</w:t>
            </w:r>
          </w:p>
        </w:tc>
      </w:tr>
      <w:tr>
        <w:tblPrEx>
          <w:tblBorders>
            <w:top w:val="none" w:sz="0" w:space="0" w:color="auto"/>
            <w:bottom w:val="none" w:sz="0" w:space="0" w:color="auto"/>
            <w:insideH w:val="none" w:sz="0" w:space="0" w:color="auto"/>
          </w:tblBorders>
        </w:tblPrEx>
        <w:trPr>
          <w:cantSplit/>
          <w:ins w:id="197" w:author="Master Repository Process" w:date="2021-07-31T10:12:00Z"/>
        </w:trPr>
        <w:tc>
          <w:tcPr>
            <w:tcW w:w="3119" w:type="dxa"/>
            <w:tcBorders>
              <w:bottom w:val="single" w:sz="4" w:space="0" w:color="auto"/>
            </w:tcBorders>
          </w:tcPr>
          <w:p>
            <w:pPr>
              <w:pStyle w:val="nTable"/>
              <w:spacing w:after="40"/>
              <w:ind w:right="170"/>
              <w:rPr>
                <w:ins w:id="198" w:author="Master Repository Process" w:date="2021-07-31T10:12:00Z"/>
                <w:i/>
              </w:rPr>
            </w:pPr>
            <w:ins w:id="199" w:author="Master Repository Process" w:date="2021-07-31T10:12:00Z">
              <w:r>
                <w:rPr>
                  <w:i/>
                </w:rPr>
                <w:t>Attorney General Regulations Amendment (Case Management System) Regulations 2019</w:t>
              </w:r>
              <w:r>
                <w:t xml:space="preserve"> Pt. 2</w:t>
              </w:r>
            </w:ins>
          </w:p>
        </w:tc>
        <w:tc>
          <w:tcPr>
            <w:tcW w:w="1276" w:type="dxa"/>
            <w:tcBorders>
              <w:bottom w:val="single" w:sz="4" w:space="0" w:color="auto"/>
            </w:tcBorders>
          </w:tcPr>
          <w:p>
            <w:pPr>
              <w:pStyle w:val="nTable"/>
              <w:spacing w:after="40"/>
              <w:rPr>
                <w:ins w:id="200" w:author="Master Repository Process" w:date="2021-07-31T10:12:00Z"/>
              </w:rPr>
            </w:pPr>
            <w:ins w:id="201" w:author="Master Repository Process" w:date="2021-07-31T10:12:00Z">
              <w:r>
                <w:t>31 Dec 2019 p. 4669-73</w:t>
              </w:r>
            </w:ins>
          </w:p>
        </w:tc>
        <w:tc>
          <w:tcPr>
            <w:tcW w:w="2693" w:type="dxa"/>
            <w:tcBorders>
              <w:bottom w:val="single" w:sz="4" w:space="0" w:color="auto"/>
            </w:tcBorders>
          </w:tcPr>
          <w:p>
            <w:pPr>
              <w:pStyle w:val="nTable"/>
              <w:spacing w:after="40"/>
              <w:rPr>
                <w:ins w:id="202" w:author="Master Repository Process" w:date="2021-07-31T10:12:00Z"/>
              </w:rPr>
            </w:pPr>
            <w:ins w:id="203" w:author="Master Repository Process" w:date="2021-07-31T10:12:00Z">
              <w:r>
                <w:t>1 Jan 2020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5" w:name="Coversheet"/>
    <w:bookmarkEnd w:id="2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t>Forms</w:t>
          </w: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bookmarkStart w:id="181" w:name="Schedule"/>
        <w:bookmarkEnd w:id="181"/>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97" w:type="dxa"/>
        </w:tcPr>
        <w:p>
          <w:pPr>
            <w:pStyle w:val="Header"/>
            <w:spacing w:before="40"/>
            <w:jc w:val="right"/>
          </w:pPr>
          <w:r>
            <w:t>Forms</w:t>
          </w: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22508"/>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 w:name="WAFER_20150225142848" w:val="ResetPageSize,UpdateArrangement,UpdateNTable"/>
    <w:docVar w:name="WAFER_20150225142848_GUID" w:val="a6496cbe-2fde-4b4d-a2f5-afb316ffbcd3"/>
    <w:docVar w:name="WAFER_20151102120315" w:val="UpdateStyles,UsedStyles"/>
    <w:docVar w:name="WAFER_20151102120315_GUID" w:val="e213bca0-7e4a-497d-be67-d6334ef8b7ff"/>
    <w:docVar w:name="WAFER_20151102120327" w:val="UpdateStyles,UsedStyles"/>
    <w:docVar w:name="WAFER_20151102120327_GUID" w:val="2f75adbb-174e-4dc0-aa77-477cdca99e6c"/>
    <w:docVar w:name="WAFER_20171018093018" w:val="RemoveTocBookmarks,RemoveUnusedBookmarks,RemoveLanguageTags,UsedStyles,ResetPageSize,RemoveCustomizations"/>
    <w:docVar w:name="WAFER_20171018093018_GUID" w:val="19e5774e-3aba-4081-9f86-4be82ba94d47"/>
    <w:docVar w:name="WAFER_20180628150830" w:val="RemoveTocBookmarks,RemoveUnusedBookmarks,RemoveLanguageTags,UsedStyles,ResetPageSize"/>
    <w:docVar w:name="WAFER_20180628150830_GUID" w:val="15258cdb-73a2-4c46-8799-1f4b9a2f922d"/>
    <w:docVar w:name="WAFER_20191220105323" w:val="RemoveTocBookmarks,RemoveUnusedBookmarks,RemoveLanguageTags,ResetPageSize,RunningHeaders,UpdateStyles,UsedStyles"/>
    <w:docVar w:name="WAFER_20191220105323_GUID" w:val="f9a9877d-734a-4b24-9cfb-93df7c3ce8c9"/>
    <w:docVar w:name="WAFER_202002101225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2508_GUID" w:val="928941da-c1c0-4bc4-a3f8-a1450523d8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038270-D270-4817-AED6-16A7545C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yTableNAm">
    <w:name w:val="yTableNAm"/>
    <w:basedOn w:val="TableNAm"/>
    <w:rPr>
      <w:sz w:val="22"/>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6745-D67E-4FD1-B0A4-9C823B45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9471</Words>
  <Characters>58061</Characters>
  <Application>Microsoft Office Word</Application>
  <DocSecurity>0</DocSecurity>
  <Lines>1451</Lines>
  <Paragraphs>912</Paragraphs>
  <ScaleCrop>false</ScaleCrop>
  <HeadingPairs>
    <vt:vector size="2" baseType="variant">
      <vt:variant>
        <vt:lpstr>Title</vt:lpstr>
      </vt:variant>
      <vt:variant>
        <vt:i4>1</vt:i4>
      </vt:variant>
    </vt:vector>
  </HeadingPairs>
  <TitlesOfParts>
    <vt:vector size="1" baseType="lpstr">
      <vt:lpstr>Bail Regulations 1988 - 03-a0-00</vt:lpstr>
    </vt:vector>
  </TitlesOfParts>
  <Manager/>
  <Company/>
  <LinksUpToDate>false</LinksUpToDate>
  <CharactersWithSpaces>66620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03-b0-01 - 03-c0-01</dc:title>
  <dc:subject/>
  <dc:creator/>
  <cp:keywords/>
  <dc:description/>
  <cp:lastModifiedBy>Master Repository Process</cp:lastModifiedBy>
  <cp:revision>2</cp:revision>
  <cp:lastPrinted>2018-01-03T00:59:00Z</cp:lastPrinted>
  <dcterms:created xsi:type="dcterms:W3CDTF">2021-07-31T02:12:00Z</dcterms:created>
  <dcterms:modified xsi:type="dcterms:W3CDTF">2021-07-31T02:12:00Z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OwlsUID">
    <vt:i4>4289</vt:i4>
  </property>
  <property fmtid="{D5CDD505-2E9C-101B-9397-08002B2CF9AE}" pid="4" name="ReprintedAsAt">
    <vt:filetime>2018-01-11T16:00:00Z</vt:filetime>
  </property>
  <property fmtid="{D5CDD505-2E9C-101B-9397-08002B2CF9AE}" pid="5" name="ReprintNo">
    <vt:lpwstr>3</vt:lpwstr>
  </property>
  <property fmtid="{D5CDD505-2E9C-101B-9397-08002B2CF9AE}" pid="6" name="DocumentType">
    <vt:lpwstr>Reg</vt:lpwstr>
  </property>
  <property fmtid="{D5CDD505-2E9C-101B-9397-08002B2CF9AE}" pid="7" name="CommencementDate">
    <vt:lpwstr>20200101</vt:lpwstr>
  </property>
  <property fmtid="{D5CDD505-2E9C-101B-9397-08002B2CF9AE}" pid="8" name="FromSuffix">
    <vt:lpwstr>03-b0-01</vt:lpwstr>
  </property>
  <property fmtid="{D5CDD505-2E9C-101B-9397-08002B2CF9AE}" pid="9" name="FromAsAtDate">
    <vt:lpwstr>30 Jun 2018</vt:lpwstr>
  </property>
  <property fmtid="{D5CDD505-2E9C-101B-9397-08002B2CF9AE}" pid="10" name="ToSuffix">
    <vt:lpwstr>03-c0-01</vt:lpwstr>
  </property>
  <property fmtid="{D5CDD505-2E9C-101B-9397-08002B2CF9AE}" pid="11" name="ToAsAtDate">
    <vt:lpwstr>01 Jan 2020</vt:lpwstr>
  </property>
</Properties>
</file>