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06-a0-00</w:t>
      </w:r>
      <w:r>
        <w:fldChar w:fldCharType="end"/>
      </w:r>
      <w:r>
        <w:t>] and [</w:t>
      </w:r>
      <w:r>
        <w:fldChar w:fldCharType="begin"/>
      </w:r>
      <w:r>
        <w:instrText xml:space="preserve"> DocProperty ToAsAtDate</w:instrText>
      </w:r>
      <w:r>
        <w:fldChar w:fldCharType="separate"/>
      </w:r>
      <w:r>
        <w:t>07 Apr 2020</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4-08T09:31:00Z"/>
        </w:trPr>
        <w:tc>
          <w:tcPr>
            <w:tcW w:w="2434" w:type="dxa"/>
            <w:vMerge w:val="restart"/>
          </w:tcPr>
          <w:p>
            <w:pPr>
              <w:rPr>
                <w:del w:id="2" w:author="svcMRProcess" w:date="2020-04-08T09:31:00Z"/>
              </w:rPr>
            </w:pPr>
          </w:p>
        </w:tc>
        <w:tc>
          <w:tcPr>
            <w:tcW w:w="2434" w:type="dxa"/>
            <w:vMerge w:val="restart"/>
          </w:tcPr>
          <w:p>
            <w:pPr>
              <w:jc w:val="center"/>
              <w:rPr>
                <w:del w:id="3" w:author="svcMRProcess" w:date="2020-04-08T09:31:00Z"/>
              </w:rPr>
            </w:pPr>
            <w:del w:id="4" w:author="svcMRProcess" w:date="2020-04-08T09: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4-08T09:31:00Z"/>
              </w:rPr>
            </w:pPr>
            <w:del w:id="6" w:author="svcMRProcess" w:date="2020-04-08T09:3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4-08T09:31:00Z"/>
        </w:trPr>
        <w:tc>
          <w:tcPr>
            <w:tcW w:w="2434" w:type="dxa"/>
            <w:vMerge/>
          </w:tcPr>
          <w:p>
            <w:pPr>
              <w:rPr>
                <w:del w:id="8" w:author="svcMRProcess" w:date="2020-04-08T09:31:00Z"/>
              </w:rPr>
            </w:pPr>
          </w:p>
        </w:tc>
        <w:tc>
          <w:tcPr>
            <w:tcW w:w="2434" w:type="dxa"/>
            <w:vMerge/>
          </w:tcPr>
          <w:p>
            <w:pPr>
              <w:jc w:val="center"/>
              <w:rPr>
                <w:del w:id="9" w:author="svcMRProcess" w:date="2020-04-08T09:31:00Z"/>
              </w:rPr>
            </w:pPr>
          </w:p>
        </w:tc>
        <w:tc>
          <w:tcPr>
            <w:tcW w:w="2434" w:type="dxa"/>
          </w:tcPr>
          <w:p>
            <w:pPr>
              <w:keepNext/>
              <w:rPr>
                <w:del w:id="10" w:author="svcMRProcess" w:date="2020-04-08T09:31:00Z"/>
                <w:b/>
                <w:sz w:val="22"/>
              </w:rPr>
            </w:pPr>
            <w:del w:id="11" w:author="svcMRProcess" w:date="2020-04-08T09:31:00Z">
              <w:r>
                <w:rPr>
                  <w:b/>
                  <w:sz w:val="22"/>
                </w:rPr>
                <w:delText>at 14 June 2019</w:delText>
              </w:r>
            </w:del>
          </w:p>
        </w:tc>
      </w:tr>
    </w:tbl>
    <w:p>
      <w:pPr>
        <w:pStyle w:val="WA"/>
      </w:pPr>
      <w:r>
        <w:t>Western Australia</w:t>
      </w:r>
    </w:p>
    <w:p>
      <w:pPr>
        <w:pStyle w:val="NameofActReg"/>
      </w:pPr>
      <w:r>
        <w:t>Energy Operators (Powers) Act 1979</w:t>
      </w:r>
    </w:p>
    <w:p>
      <w:pPr>
        <w:pStyle w:val="LongTitle"/>
        <w:rPr>
          <w:snapToGrid w:val="0"/>
        </w:rPr>
      </w:pPr>
      <w:r>
        <w:rPr>
          <w:snapToGrid w:val="0"/>
        </w:rPr>
        <w:t>A</w:t>
      </w:r>
      <w:bookmarkStart w:id="12" w:name="_GoBack"/>
      <w:bookmarkEnd w:id="12"/>
      <w:r>
        <w:rPr>
          <w:snapToGrid w:val="0"/>
        </w:rPr>
        <w:t>n Act to vest powers in energy operators, to make other provision in respect of the functions of those operators, and for related and other purposes.</w:t>
      </w:r>
    </w:p>
    <w:p>
      <w:pPr>
        <w:pStyle w:val="Footnotelongtitle"/>
      </w:pPr>
      <w:r>
        <w:tab/>
        <w:t>[Long title inserted: No. 89 of 1994 s. 4; amended: No. 58 of 1999 s. 77; No. 24 of 2000 s. 14(13); No. 33 of 2004 s. 38.]</w:t>
      </w:r>
    </w:p>
    <w:p>
      <w:pPr>
        <w:pStyle w:val="Heading5"/>
        <w:rPr>
          <w:snapToGrid w:val="0"/>
        </w:rPr>
      </w:pPr>
      <w:bookmarkStart w:id="13" w:name="_Toc37169966"/>
      <w:bookmarkStart w:id="14" w:name="_Toc37230230"/>
      <w:bookmarkStart w:id="15" w:name="_Toc11742911"/>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Energy Operators (Powers) Act 1979</w:t>
      </w:r>
      <w:del w:id="16" w:author="svcMRProcess" w:date="2020-04-08T09:31:00Z">
        <w:r>
          <w:rPr>
            <w:snapToGrid w:val="0"/>
          </w:rPr>
          <w:delText xml:space="preserve"> </w:delText>
        </w:r>
        <w:r>
          <w:rPr>
            <w:snapToGrid w:val="0"/>
            <w:vertAlign w:val="superscript"/>
          </w:rPr>
          <w:delText>1</w:delText>
        </w:r>
      </w:del>
      <w:r>
        <w:rPr>
          <w:snapToGrid w:val="0"/>
        </w:rPr>
        <w:t>.</w:t>
      </w:r>
    </w:p>
    <w:p>
      <w:pPr>
        <w:pStyle w:val="Footnotesection"/>
        <w:ind w:left="890" w:hanging="890"/>
      </w:pPr>
      <w:r>
        <w:tab/>
        <w:t>[Section 1 amended: No. 89 of 1994 s. 5; No. 58 of 1999 s. 78.]</w:t>
      </w:r>
    </w:p>
    <w:p>
      <w:pPr>
        <w:pStyle w:val="Heading5"/>
        <w:rPr>
          <w:snapToGrid w:val="0"/>
        </w:rPr>
      </w:pPr>
      <w:bookmarkStart w:id="17" w:name="_Toc37169967"/>
      <w:bookmarkStart w:id="18" w:name="_Toc37230231"/>
      <w:bookmarkStart w:id="19" w:name="_Toc11742912"/>
      <w:r>
        <w:rPr>
          <w:rStyle w:val="CharSectno"/>
        </w:rPr>
        <w:t>2</w:t>
      </w:r>
      <w:r>
        <w:rPr>
          <w:snapToGrid w:val="0"/>
        </w:rPr>
        <w:t>.</w:t>
      </w:r>
      <w:r>
        <w:rPr>
          <w:snapToGrid w:val="0"/>
        </w:rPr>
        <w:tab/>
        <w:t>Commencement</w:t>
      </w:r>
      <w:bookmarkEnd w:id="17"/>
      <w:bookmarkEnd w:id="18"/>
      <w:bookmarkEnd w:id="19"/>
    </w:p>
    <w:p>
      <w:pPr>
        <w:pStyle w:val="Subsection"/>
        <w:rPr>
          <w:snapToGrid w:val="0"/>
        </w:rPr>
      </w:pPr>
      <w:r>
        <w:rPr>
          <w:snapToGrid w:val="0"/>
        </w:rPr>
        <w:tab/>
      </w:r>
      <w:r>
        <w:rPr>
          <w:snapToGrid w:val="0"/>
        </w:rPr>
        <w:tab/>
        <w:t>The provisions of this Act shall come into operation on such day or days as is, or are respectively, fixed by proclamation</w:t>
      </w:r>
      <w:del w:id="20" w:author="svcMRProcess" w:date="2020-04-08T09:31:00Z">
        <w:r>
          <w:rPr>
            <w:snapToGrid w:val="0"/>
            <w:vertAlign w:val="superscript"/>
          </w:rPr>
          <w:delText xml:space="preserve"> 1</w:delText>
        </w:r>
      </w:del>
      <w:r>
        <w:rPr>
          <w:snapToGrid w:val="0"/>
        </w:rPr>
        <w:t>.</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21" w:name="_Toc37169968"/>
      <w:bookmarkStart w:id="22" w:name="_Toc37230232"/>
      <w:bookmarkStart w:id="23" w:name="_Toc11742913"/>
      <w:r>
        <w:rPr>
          <w:rStyle w:val="CharSectno"/>
        </w:rPr>
        <w:t>4</w:t>
      </w:r>
      <w:r>
        <w:rPr>
          <w:snapToGrid w:val="0"/>
        </w:rPr>
        <w:t>.</w:t>
      </w:r>
      <w:r>
        <w:rPr>
          <w:snapToGrid w:val="0"/>
        </w:rPr>
        <w:tab/>
        <w:t>Terms used</w:t>
      </w:r>
      <w:bookmarkEnd w:id="21"/>
      <w:bookmarkEnd w:id="22"/>
      <w:bookmarkEnd w:id="2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w:t>
      </w:r>
      <w:r>
        <w:lastRenderedPageBreak/>
        <w:t>transmitted, distributed, used, consumed or converted, and includes any meter, fitting, or connection;</w:t>
      </w:r>
    </w:p>
    <w:p>
      <w:pPr>
        <w:pStyle w:val="Defstart"/>
      </w:pPr>
      <w:r>
        <w:rPr>
          <w:b/>
        </w:rPr>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lastRenderedPageBreak/>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del w:id="24" w:author="svcMRProcess" w:date="2020-04-08T09:31:00Z">
        <w:r>
          <w:rPr>
            <w:vertAlign w:val="superscript"/>
          </w:rPr>
          <w:delText>2</w:delText>
        </w:r>
      </w:del>
      <w:ins w:id="25" w:author="svcMRProcess" w:date="2020-04-08T09:31:00Z">
        <w:r>
          <w:rPr>
            <w:vertAlign w:val="superscript"/>
          </w:rPr>
          <w:t>1</w:t>
        </w:r>
      </w:ins>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spacing w:before="100"/>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spacing w:before="100"/>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No. 101 of 1981 s. 3; No. 24 of 1986 s. 5; No. 89 of 1994 s. 6, 39 and 41; No. 14 of 1996 s. 4; No. 58 of 1999 s. 79, 83(1) and (3) and 90; No. 24 of 2000 s. 14(13); No. 33 of 2004 s. 39; No. 18 of 2005 s. 139; No. 25 of 2013 s. 41.]</w:t>
      </w:r>
    </w:p>
    <w:p>
      <w:pPr>
        <w:pStyle w:val="Heading5"/>
        <w:rPr>
          <w:snapToGrid w:val="0"/>
        </w:rPr>
      </w:pPr>
      <w:bookmarkStart w:id="26" w:name="_Toc37169969"/>
      <w:bookmarkStart w:id="27" w:name="_Toc37230233"/>
      <w:bookmarkStart w:id="28" w:name="_Toc11742914"/>
      <w:r>
        <w:rPr>
          <w:rStyle w:val="CharSectno"/>
        </w:rPr>
        <w:t>5</w:t>
      </w:r>
      <w:r>
        <w:rPr>
          <w:snapToGrid w:val="0"/>
        </w:rPr>
        <w:t>.</w:t>
      </w:r>
      <w:r>
        <w:rPr>
          <w:snapToGrid w:val="0"/>
        </w:rPr>
        <w:tab/>
        <w:t>Application of this Act to other Acts, the law generally, and to certain Agreements</w:t>
      </w:r>
      <w:bookmarkEnd w:id="26"/>
      <w:bookmarkEnd w:id="27"/>
      <w:bookmarkEnd w:id="28"/>
    </w:p>
    <w:p>
      <w:pPr>
        <w:pStyle w:val="Subsection"/>
        <w:spacing w:before="10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0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No. 89 of 1994 s. 7, 39 and 41; No. 58 of 1999 s. 83(1) and (3).]</w:t>
      </w:r>
    </w:p>
    <w:p>
      <w:pPr>
        <w:pStyle w:val="Heading5"/>
        <w:rPr>
          <w:snapToGrid w:val="0"/>
        </w:rPr>
      </w:pPr>
      <w:bookmarkStart w:id="29" w:name="_Toc37169970"/>
      <w:bookmarkStart w:id="30" w:name="_Toc37230234"/>
      <w:bookmarkStart w:id="31" w:name="_Toc11742915"/>
      <w:r>
        <w:rPr>
          <w:rStyle w:val="CharSectno"/>
        </w:rPr>
        <w:t>6</w:t>
      </w:r>
      <w:r>
        <w:rPr>
          <w:snapToGrid w:val="0"/>
        </w:rPr>
        <w:t>.</w:t>
      </w:r>
      <w:r>
        <w:rPr>
          <w:snapToGrid w:val="0"/>
        </w:rPr>
        <w:tab/>
        <w:t>Application of this Act to the Crown, government departments, and local governments</w:t>
      </w:r>
      <w:bookmarkEnd w:id="29"/>
      <w:bookmarkEnd w:id="30"/>
      <w:bookmarkEnd w:id="31"/>
    </w:p>
    <w:p>
      <w:pPr>
        <w:pStyle w:val="Subsection"/>
        <w:keepNext/>
        <w:spacing w:before="100"/>
        <w:rPr>
          <w:snapToGrid w:val="0"/>
        </w:rPr>
      </w:pPr>
      <w:r>
        <w:rPr>
          <w:snapToGrid w:val="0"/>
        </w:rPr>
        <w:tab/>
        <w:t>(1)</w:t>
      </w:r>
      <w:r>
        <w:rPr>
          <w:snapToGrid w:val="0"/>
        </w:rPr>
        <w:tab/>
        <w:t>This Act binds the Crown —</w:t>
      </w:r>
    </w:p>
    <w:p>
      <w:pPr>
        <w:pStyle w:val="Indenta"/>
        <w:keepNext/>
        <w:rPr>
          <w:snapToGrid w:val="0"/>
        </w:rPr>
      </w:pPr>
      <w:r>
        <w:rPr>
          <w:snapToGrid w:val="0"/>
        </w:rPr>
        <w:tab/>
        <w:t>(a)</w:t>
      </w:r>
      <w:r>
        <w:rPr>
          <w:snapToGrid w:val="0"/>
        </w:rPr>
        <w:tab/>
        <w:t>to the extent that the Crown is a consumer; and</w:t>
      </w:r>
    </w:p>
    <w:p>
      <w:pPr>
        <w:pStyle w:val="Indenta"/>
        <w:keepNext/>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00"/>
        <w:rPr>
          <w:snapToGrid w:val="0"/>
        </w:rPr>
      </w:pPr>
      <w:r>
        <w:rPr>
          <w:snapToGrid w:val="0"/>
        </w:rPr>
        <w:tab/>
      </w:r>
      <w:r>
        <w:rPr>
          <w:snapToGrid w:val="0"/>
        </w:rPr>
        <w:tab/>
        <w:t>but not otherwise.</w:t>
      </w:r>
    </w:p>
    <w:p>
      <w:pPr>
        <w:pStyle w:val="Subsection"/>
        <w:spacing w:before="10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0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spacing w:before="100"/>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No. 24 of 1986 s. 6; No. 89 of 1994 s. 39 and 41; No. 14 of 1996 s. 4; No. 58 of 1999 s. 83(1) and (3).]</w:t>
      </w:r>
    </w:p>
    <w:p>
      <w:pPr>
        <w:pStyle w:val="Ednotesection"/>
        <w:ind w:left="890" w:hanging="890"/>
      </w:pPr>
      <w:r>
        <w:t>[</w:t>
      </w:r>
      <w:r>
        <w:rPr>
          <w:b/>
        </w:rPr>
        <w:t>7</w:t>
      </w:r>
      <w:r>
        <w:rPr>
          <w:b/>
        </w:rPr>
        <w:noBreakHyphen/>
        <w:t>15.</w:t>
      </w:r>
      <w:r>
        <w:tab/>
        <w:t>Deleted: No. 89 of 1994 s. 8.]</w:t>
      </w:r>
    </w:p>
    <w:p>
      <w:pPr>
        <w:pStyle w:val="Ednotesection"/>
      </w:pPr>
      <w:r>
        <w:t>[</w:t>
      </w:r>
      <w:r>
        <w:rPr>
          <w:b/>
        </w:rPr>
        <w:t>16.</w:t>
      </w:r>
      <w:r>
        <w:tab/>
        <w:t>Deleted: No. 24 of 1986 s. 13.]</w:t>
      </w:r>
    </w:p>
    <w:p>
      <w:pPr>
        <w:pStyle w:val="Ednotesection"/>
      </w:pPr>
      <w:r>
        <w:t>[</w:t>
      </w:r>
      <w:r>
        <w:rPr>
          <w:b/>
        </w:rPr>
        <w:t>17</w:t>
      </w:r>
      <w:r>
        <w:rPr>
          <w:b/>
        </w:rPr>
        <w:noBreakHyphen/>
        <w:t>19.</w:t>
      </w:r>
      <w:r>
        <w:tab/>
        <w:t>Deleted: No. 89 of 1994 s. 8.]</w:t>
      </w:r>
    </w:p>
    <w:p>
      <w:pPr>
        <w:pStyle w:val="Ednotesection"/>
        <w:ind w:left="890" w:hanging="890"/>
      </w:pPr>
      <w:r>
        <w:t>[</w:t>
      </w:r>
      <w:r>
        <w:rPr>
          <w:b/>
        </w:rPr>
        <w:t>20</w:t>
      </w:r>
      <w:r>
        <w:rPr>
          <w:b/>
        </w:rPr>
        <w:noBreakHyphen/>
        <w:t>25.</w:t>
      </w:r>
      <w:r>
        <w:tab/>
        <w:t>Deleted: No. 24 of 1986 s. 15.]</w:t>
      </w:r>
    </w:p>
    <w:p>
      <w:pPr>
        <w:pStyle w:val="Ednotesection"/>
      </w:pPr>
      <w:r>
        <w:t>[</w:t>
      </w:r>
      <w:r>
        <w:rPr>
          <w:b/>
        </w:rPr>
        <w:t>26, 27, 27A.</w:t>
      </w:r>
      <w:r>
        <w:tab/>
        <w:t>Deleted: No. 89 of 1994 s. 8.]</w:t>
      </w:r>
    </w:p>
    <w:p>
      <w:pPr>
        <w:pStyle w:val="Heading5"/>
        <w:rPr>
          <w:snapToGrid w:val="0"/>
        </w:rPr>
      </w:pPr>
      <w:bookmarkStart w:id="32" w:name="_Toc37169971"/>
      <w:bookmarkStart w:id="33" w:name="_Toc37230235"/>
      <w:bookmarkStart w:id="34" w:name="_Toc11742916"/>
      <w:r>
        <w:rPr>
          <w:rStyle w:val="CharSectno"/>
        </w:rPr>
        <w:t>28</w:t>
      </w:r>
      <w:r>
        <w:rPr>
          <w:snapToGrid w:val="0"/>
        </w:rPr>
        <w:t>.</w:t>
      </w:r>
      <w:r>
        <w:rPr>
          <w:snapToGrid w:val="0"/>
        </w:rPr>
        <w:tab/>
        <w:t>Powers of energy operators</w:t>
      </w:r>
      <w:bookmarkEnd w:id="32"/>
      <w:bookmarkEnd w:id="33"/>
      <w:bookmarkEnd w:id="34"/>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No. 89 of 1994 s. 10.]</w:t>
      </w:r>
    </w:p>
    <w:p>
      <w:pPr>
        <w:pStyle w:val="Heading5"/>
        <w:rPr>
          <w:snapToGrid w:val="0"/>
        </w:rPr>
      </w:pPr>
      <w:bookmarkStart w:id="35" w:name="_Toc37169972"/>
      <w:bookmarkStart w:id="36" w:name="_Toc37230236"/>
      <w:bookmarkStart w:id="37" w:name="_Toc11742917"/>
      <w:r>
        <w:rPr>
          <w:rStyle w:val="CharSectno"/>
        </w:rPr>
        <w:t>36</w:t>
      </w:r>
      <w:r>
        <w:rPr>
          <w:snapToGrid w:val="0"/>
        </w:rPr>
        <w:t>.</w:t>
      </w:r>
      <w:r>
        <w:rPr>
          <w:snapToGrid w:val="0"/>
        </w:rPr>
        <w:tab/>
        <w:t>Estates and interests in land</w:t>
      </w:r>
      <w:bookmarkEnd w:id="35"/>
      <w:bookmarkEnd w:id="36"/>
      <w:bookmarkEnd w:id="37"/>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No. 31 of 1997 s. 142.]</w:t>
      </w:r>
    </w:p>
    <w:p>
      <w:pPr>
        <w:pStyle w:val="Heading5"/>
        <w:rPr>
          <w:snapToGrid w:val="0"/>
        </w:rPr>
      </w:pPr>
      <w:bookmarkStart w:id="38" w:name="_Toc37169973"/>
      <w:bookmarkStart w:id="39" w:name="_Toc37230237"/>
      <w:bookmarkStart w:id="40" w:name="_Toc11742918"/>
      <w:r>
        <w:rPr>
          <w:rStyle w:val="CharSectno"/>
        </w:rPr>
        <w:t>37</w:t>
      </w:r>
      <w:r>
        <w:rPr>
          <w:snapToGrid w:val="0"/>
        </w:rPr>
        <w:t>.</w:t>
      </w:r>
      <w:r>
        <w:rPr>
          <w:snapToGrid w:val="0"/>
        </w:rPr>
        <w:tab/>
        <w:t>Partial interests in land</w:t>
      </w:r>
      <w:bookmarkEnd w:id="38"/>
      <w:bookmarkEnd w:id="39"/>
      <w:bookmarkEnd w:id="40"/>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No. 89 of 1994 s. 39 and 41; No. 31 of 1997 s. 26(2) and 142; No. 58 of 1999 s. 83(1) and (3).]</w:t>
      </w:r>
    </w:p>
    <w:p>
      <w:pPr>
        <w:pStyle w:val="Heading5"/>
        <w:rPr>
          <w:snapToGrid w:val="0"/>
        </w:rPr>
      </w:pPr>
      <w:bookmarkStart w:id="41" w:name="_Toc37169974"/>
      <w:bookmarkStart w:id="42" w:name="_Toc37230238"/>
      <w:bookmarkStart w:id="43" w:name="_Toc11742919"/>
      <w:r>
        <w:rPr>
          <w:rStyle w:val="CharSectno"/>
        </w:rPr>
        <w:t>38</w:t>
      </w:r>
      <w:r>
        <w:rPr>
          <w:snapToGrid w:val="0"/>
        </w:rPr>
        <w:t>.</w:t>
      </w:r>
      <w:r>
        <w:rPr>
          <w:snapToGrid w:val="0"/>
        </w:rPr>
        <w:tab/>
        <w:t>Conveyancing by abbreviated description</w:t>
      </w:r>
      <w:bookmarkEnd w:id="41"/>
      <w:bookmarkEnd w:id="42"/>
      <w:bookmarkEnd w:id="43"/>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spacing w:before="100"/>
        <w:rPr>
          <w:snapToGrid w:val="0"/>
        </w:rPr>
      </w:pPr>
      <w:r>
        <w:rPr>
          <w:snapToGrid w:val="0"/>
        </w:rPr>
        <w:tab/>
      </w:r>
      <w:r>
        <w:rPr>
          <w:snapToGrid w:val="0"/>
        </w:rPr>
        <w:tab/>
        <w:t>by reference to the appropriate prescribed standard form.</w:t>
      </w:r>
    </w:p>
    <w:p>
      <w:pPr>
        <w:pStyle w:val="Subsection"/>
        <w:spacing w:before="100"/>
        <w:rPr>
          <w:snapToGrid w:val="0"/>
        </w:rPr>
      </w:pPr>
      <w:r>
        <w:rPr>
          <w:snapToGrid w:val="0"/>
        </w:rPr>
        <w:tab/>
        <w:t>(2)</w:t>
      </w:r>
      <w:r>
        <w:rPr>
          <w:snapToGrid w:val="0"/>
        </w:rPr>
        <w:tab/>
      </w:r>
      <w:r>
        <w:rPr>
          <w:snapToGrid w:val="0"/>
          <w:spacing w:val="-4"/>
        </w:rPr>
        <w:t xml:space="preserve">For the </w:t>
      </w:r>
      <w:r>
        <w:rPr>
          <w:snapToGrid w:val="0"/>
        </w:rPr>
        <w:t>purposes</w:t>
      </w:r>
      <w:r>
        <w:rPr>
          <w:snapToGrid w:val="0"/>
          <w:spacing w:val="-4"/>
        </w:rPr>
        <w:t xml:space="preserve">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spacing w:before="100"/>
      </w:pPr>
      <w:r>
        <w:tab/>
        <w:t>[(3)</w:t>
      </w:r>
      <w:r>
        <w:tab/>
        <w:t>deleted]</w:t>
      </w:r>
    </w:p>
    <w:p>
      <w:pPr>
        <w:pStyle w:val="Subsection"/>
        <w:spacing w:before="80"/>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spacing w:before="80"/>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keepLines w:val="0"/>
        <w:ind w:left="890" w:hanging="890"/>
      </w:pPr>
      <w:r>
        <w:tab/>
        <w:t>[Section 38 amended: No. 89 of 1994 s. 39 and 41; No. 31 of 1997 s. 26(3)-(6); No. 58 of 1999 s. 83(1) and (3); No. 33 of 2004 s. 40.]</w:t>
      </w:r>
    </w:p>
    <w:p>
      <w:pPr>
        <w:pStyle w:val="Heading5"/>
        <w:rPr>
          <w:snapToGrid w:val="0"/>
        </w:rPr>
      </w:pPr>
      <w:bookmarkStart w:id="44" w:name="_Toc37169975"/>
      <w:bookmarkStart w:id="45" w:name="_Toc37230239"/>
      <w:bookmarkStart w:id="46" w:name="_Toc11742920"/>
      <w:r>
        <w:rPr>
          <w:rStyle w:val="CharSectno"/>
        </w:rPr>
        <w:t>39</w:t>
      </w:r>
      <w:r>
        <w:rPr>
          <w:snapToGrid w:val="0"/>
        </w:rPr>
        <w:t>.</w:t>
      </w:r>
      <w:r>
        <w:rPr>
          <w:snapToGrid w:val="0"/>
        </w:rPr>
        <w:tab/>
        <w:t>Agreements incidental to land matters</w:t>
      </w:r>
      <w:bookmarkEnd w:id="44"/>
      <w:bookmarkEnd w:id="45"/>
      <w:bookmarkEnd w:id="46"/>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No. 24 of 1986 s. 18; No. 89 of 1994 s. 11, 39 and 41; No. 31 of 1997 s. 26(7) and 143; No. 58 of 1999 s. 83(1) and (3).]</w:t>
      </w:r>
    </w:p>
    <w:p>
      <w:pPr>
        <w:pStyle w:val="Heading5"/>
        <w:rPr>
          <w:snapToGrid w:val="0"/>
        </w:rPr>
      </w:pPr>
      <w:bookmarkStart w:id="47" w:name="_Toc37169976"/>
      <w:bookmarkStart w:id="48" w:name="_Toc37230240"/>
      <w:bookmarkStart w:id="49" w:name="_Toc11742921"/>
      <w:r>
        <w:rPr>
          <w:rStyle w:val="CharSectno"/>
        </w:rPr>
        <w:t>40</w:t>
      </w:r>
      <w:r>
        <w:rPr>
          <w:snapToGrid w:val="0"/>
        </w:rPr>
        <w:t>.</w:t>
      </w:r>
      <w:r>
        <w:rPr>
          <w:snapToGrid w:val="0"/>
        </w:rPr>
        <w:tab/>
        <w:t>Power to dispose of land</w:t>
      </w:r>
      <w:bookmarkEnd w:id="47"/>
      <w:bookmarkEnd w:id="48"/>
      <w:bookmarkEnd w:id="49"/>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No. 24 of 1986 s. 19; No. 89 of 1994 s. 12, 39 and 41; No. 31 of 1997 s. 26(8) and 142; No. 58 of 1999 s. 83(1) and (3).]</w:t>
      </w:r>
    </w:p>
    <w:p>
      <w:pPr>
        <w:pStyle w:val="Heading5"/>
        <w:rPr>
          <w:snapToGrid w:val="0"/>
        </w:rPr>
      </w:pPr>
      <w:bookmarkStart w:id="50" w:name="_Toc37169977"/>
      <w:bookmarkStart w:id="51" w:name="_Toc37230241"/>
      <w:bookmarkStart w:id="52" w:name="_Toc11742922"/>
      <w:r>
        <w:rPr>
          <w:rStyle w:val="CharSectno"/>
        </w:rPr>
        <w:t>41</w:t>
      </w:r>
      <w:r>
        <w:rPr>
          <w:snapToGrid w:val="0"/>
        </w:rPr>
        <w:t>.</w:t>
      </w:r>
      <w:r>
        <w:rPr>
          <w:snapToGrid w:val="0"/>
        </w:rPr>
        <w:tab/>
        <w:t>Planning approvals</w:t>
      </w:r>
      <w:bookmarkEnd w:id="50"/>
      <w:bookmarkEnd w:id="51"/>
      <w:bookmarkEnd w:id="52"/>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No. 84 of 1994 s. 46; No. 89 of 1994 s. 39 and 41; No. 58 of 1999 s. 83(1) and (3); No. 38 of 2005 s. 15.]</w:t>
      </w:r>
    </w:p>
    <w:p>
      <w:pPr>
        <w:pStyle w:val="Heading5"/>
        <w:rPr>
          <w:snapToGrid w:val="0"/>
        </w:rPr>
      </w:pPr>
      <w:bookmarkStart w:id="53" w:name="_Toc37169978"/>
      <w:bookmarkStart w:id="54" w:name="_Toc37230242"/>
      <w:bookmarkStart w:id="55" w:name="_Toc11742923"/>
      <w:r>
        <w:rPr>
          <w:rStyle w:val="CharSectno"/>
        </w:rPr>
        <w:t>42</w:t>
      </w:r>
      <w:r>
        <w:rPr>
          <w:snapToGrid w:val="0"/>
        </w:rPr>
        <w:t>.</w:t>
      </w:r>
      <w:r>
        <w:rPr>
          <w:snapToGrid w:val="0"/>
        </w:rPr>
        <w:tab/>
        <w:t>Energy operator to have certain rights to water</w:t>
      </w:r>
      <w:bookmarkEnd w:id="53"/>
      <w:bookmarkEnd w:id="54"/>
      <w:bookmarkEnd w:id="55"/>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No. 24 of 1986 s. 20; No. 89 of 1994 s. 13, 39 and 41; No. 73 of 1995 s. 188; No. 58 of 1999 s. 83(1) and (3); No. 38 of 2007 s. 193; No. 25 of 2012 s. 210.]</w:t>
      </w:r>
    </w:p>
    <w:p>
      <w:pPr>
        <w:pStyle w:val="Heading5"/>
        <w:rPr>
          <w:snapToGrid w:val="0"/>
        </w:rPr>
      </w:pPr>
      <w:bookmarkStart w:id="56" w:name="_Toc37169979"/>
      <w:bookmarkStart w:id="57" w:name="_Toc37230243"/>
      <w:bookmarkStart w:id="58" w:name="_Toc11742924"/>
      <w:r>
        <w:rPr>
          <w:rStyle w:val="CharSectno"/>
        </w:rPr>
        <w:t>43</w:t>
      </w:r>
      <w:r>
        <w:rPr>
          <w:snapToGrid w:val="0"/>
        </w:rPr>
        <w:t>.</w:t>
      </w:r>
      <w:r>
        <w:rPr>
          <w:snapToGrid w:val="0"/>
        </w:rPr>
        <w:tab/>
        <w:t>Property in works</w:t>
      </w:r>
      <w:bookmarkEnd w:id="56"/>
      <w:bookmarkEnd w:id="57"/>
      <w:bookmarkEnd w:id="58"/>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No. 36 of 1984 s. 3; No. 30 of 1987 s. 7; No. 89 of 1994 s. 14, 39, 40 and 41; No. 58 of 1999 s. 83; No. 33 of 2004 s. 41.]</w:t>
      </w:r>
    </w:p>
    <w:p>
      <w:pPr>
        <w:pStyle w:val="Ednotesection"/>
      </w:pPr>
      <w:r>
        <w:t>[</w:t>
      </w:r>
      <w:r>
        <w:rPr>
          <w:b/>
        </w:rPr>
        <w:t>44.</w:t>
      </w:r>
      <w:r>
        <w:rPr>
          <w:b/>
        </w:rPr>
        <w:tab/>
      </w:r>
      <w:r>
        <w:t>Deleted: No. 89 of 1994 s. 15.]</w:t>
      </w:r>
    </w:p>
    <w:p>
      <w:pPr>
        <w:pStyle w:val="Heading5"/>
        <w:rPr>
          <w:snapToGrid w:val="0"/>
        </w:rPr>
      </w:pPr>
      <w:bookmarkStart w:id="59" w:name="_Toc37169980"/>
      <w:bookmarkStart w:id="60" w:name="_Toc37230244"/>
      <w:bookmarkStart w:id="61" w:name="_Toc11742925"/>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59"/>
      <w:bookmarkEnd w:id="60"/>
      <w:bookmarkEnd w:id="61"/>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 and</w:t>
      </w:r>
    </w:p>
    <w:p>
      <w:pPr>
        <w:pStyle w:val="Indenta"/>
        <w:rPr>
          <w:snapToGrid w:val="0"/>
        </w:rPr>
      </w:pPr>
      <w:r>
        <w:rPr>
          <w:snapToGrid w:val="0"/>
        </w:rPr>
        <w:tab/>
        <w:t>(b)</w:t>
      </w:r>
      <w:r>
        <w:rPr>
          <w:snapToGrid w:val="0"/>
        </w:rPr>
        <w:tab/>
        <w:t>all electricity transmission works operating at 200 000 volts or above; and</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ins w:id="62" w:author="svcMRProcess" w:date="2020-04-08T09:31:00Z"/>
        </w:rPr>
      </w:pPr>
      <w:ins w:id="63" w:author="svcMRProcess" w:date="2020-04-08T09:31:00Z">
        <w:r>
          <w:tab/>
          <w:t>(4A)</w:t>
        </w:r>
        <w:r>
          <w:tab/>
          <w:t xml:space="preserve">In subsection (4)(a) — </w:t>
        </w:r>
      </w:ins>
    </w:p>
    <w:p>
      <w:pPr>
        <w:pStyle w:val="Defstart"/>
        <w:rPr>
          <w:ins w:id="64" w:author="svcMRProcess" w:date="2020-04-08T09:31:00Z"/>
        </w:rPr>
      </w:pPr>
      <w:ins w:id="65" w:author="svcMRProcess" w:date="2020-04-08T09:31:00Z">
        <w:r>
          <w:tab/>
        </w:r>
        <w:r>
          <w:rPr>
            <w:rStyle w:val="CharDefText"/>
          </w:rPr>
          <w:t>generating works</w:t>
        </w:r>
        <w:r>
          <w:t xml:space="preserve"> does not include a stand</w:t>
        </w:r>
        <w:r>
          <w:noBreakHyphen/>
          <w:t xml:space="preserve">alone power system (as defined in the </w:t>
        </w:r>
        <w:r>
          <w:rPr>
            <w:i/>
          </w:rPr>
          <w:t>Electricity Industry Act 2004</w:t>
        </w:r>
        <w:r>
          <w:t xml:space="preserve"> section 3(1)) being constructed, installed, operated or maintained in accordance with the regulations and Code made under Part 8 of that Act.</w:t>
        </w:r>
      </w:ins>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No. 24 of 1986 s. 21; No. 89 of 1994 s. 16, 39 and 41; No. 14 of 1996 s. 4; No. 31 of 1997 s. 26(9)</w:t>
      </w:r>
      <w:r>
        <w:noBreakHyphen/>
        <w:t>(18) and 142; No. 58 of 1999 s. 80 and 83(1) and (3); No. 24 of 2000 s. 14(13); No. 33 of 2004 s. </w:t>
      </w:r>
      <w:del w:id="66" w:author="svcMRProcess" w:date="2020-04-08T09:31:00Z">
        <w:r>
          <w:delText>42.]</w:delText>
        </w:r>
      </w:del>
      <w:ins w:id="67" w:author="svcMRProcess" w:date="2020-04-08T09:31:00Z">
        <w:r>
          <w:t>42; No. 9 of 2020 s. 31(2).]</w:t>
        </w:r>
      </w:ins>
    </w:p>
    <w:p>
      <w:pPr>
        <w:pStyle w:val="Heading5"/>
        <w:rPr>
          <w:snapToGrid w:val="0"/>
        </w:rPr>
      </w:pPr>
      <w:bookmarkStart w:id="68" w:name="_Toc37169981"/>
      <w:bookmarkStart w:id="69" w:name="_Toc37230245"/>
      <w:bookmarkStart w:id="70" w:name="_Toc11742926"/>
      <w:r>
        <w:rPr>
          <w:rStyle w:val="CharSectno"/>
        </w:rPr>
        <w:t>46</w:t>
      </w:r>
      <w:r>
        <w:rPr>
          <w:snapToGrid w:val="0"/>
        </w:rPr>
        <w:t>.</w:t>
      </w:r>
      <w:r>
        <w:rPr>
          <w:snapToGrid w:val="0"/>
        </w:rPr>
        <w:tab/>
        <w:t>The power of entry, generally</w:t>
      </w:r>
      <w:bookmarkEnd w:id="68"/>
      <w:bookmarkEnd w:id="69"/>
      <w:bookmarkEnd w:id="70"/>
    </w:p>
    <w:p>
      <w:pPr>
        <w:pStyle w:val="Subsection"/>
        <w:spacing w:before="120"/>
        <w:rPr>
          <w:snapToGrid w:val="0"/>
        </w:rPr>
      </w:pPr>
      <w:r>
        <w:rPr>
          <w:snapToGrid w:val="0"/>
        </w:rPr>
        <w:tab/>
        <w:t>(1)</w:t>
      </w:r>
      <w:r>
        <w:rPr>
          <w:snapToGrid w:val="0"/>
        </w:rPr>
        <w:tab/>
        <w:t xml:space="preserve">In this section, a reference to </w:t>
      </w:r>
      <w:r>
        <w:t xml:space="preserve">a </w:t>
      </w:r>
      <w:r>
        <w:rPr>
          <w:rStyle w:val="CharDefText"/>
        </w:rPr>
        <w:t>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 or</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No. 89 of 1994 s. 17, 39, 40 and 41; No. 31 of 1997 s. 26(19) and (20) and 142; No. 58 of 1999 s. 83; No. 33 of 2004 s. 43.]</w:t>
      </w:r>
    </w:p>
    <w:p>
      <w:pPr>
        <w:pStyle w:val="Heading5"/>
        <w:rPr>
          <w:snapToGrid w:val="0"/>
        </w:rPr>
      </w:pPr>
      <w:bookmarkStart w:id="71" w:name="_Toc37169982"/>
      <w:bookmarkStart w:id="72" w:name="_Toc37230246"/>
      <w:bookmarkStart w:id="73" w:name="_Toc11742927"/>
      <w:r>
        <w:rPr>
          <w:rStyle w:val="CharSectno"/>
        </w:rPr>
        <w:t>47</w:t>
      </w:r>
      <w:r>
        <w:rPr>
          <w:snapToGrid w:val="0"/>
        </w:rPr>
        <w:t>.</w:t>
      </w:r>
      <w:r>
        <w:rPr>
          <w:snapToGrid w:val="0"/>
        </w:rPr>
        <w:tab/>
        <w:t>Service of notice by post on owner or occupier</w:t>
      </w:r>
      <w:bookmarkEnd w:id="71"/>
      <w:bookmarkEnd w:id="72"/>
      <w:bookmarkEnd w:id="73"/>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74" w:name="_Toc37169983"/>
      <w:bookmarkStart w:id="75" w:name="_Toc37230247"/>
      <w:bookmarkStart w:id="76" w:name="_Toc11742928"/>
      <w:r>
        <w:rPr>
          <w:rStyle w:val="CharSectno"/>
        </w:rPr>
        <w:t>48</w:t>
      </w:r>
      <w:r>
        <w:rPr>
          <w:snapToGrid w:val="0"/>
        </w:rPr>
        <w:t>.</w:t>
      </w:r>
      <w:r>
        <w:rPr>
          <w:snapToGrid w:val="0"/>
        </w:rPr>
        <w:tab/>
        <w:t>Rights as to entry on lands etc. in emergency</w:t>
      </w:r>
      <w:bookmarkEnd w:id="74"/>
      <w:bookmarkEnd w:id="75"/>
      <w:bookmarkEnd w:id="76"/>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 or</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 or</w:t>
      </w:r>
    </w:p>
    <w:p>
      <w:pPr>
        <w:pStyle w:val="Indenta"/>
        <w:rPr>
          <w:snapToGrid w:val="0"/>
        </w:rPr>
      </w:pPr>
      <w:r>
        <w:rPr>
          <w:snapToGrid w:val="0"/>
        </w:rPr>
        <w:tab/>
        <w:t>(c)</w:t>
      </w:r>
      <w:r>
        <w:rPr>
          <w:snapToGrid w:val="0"/>
        </w:rPr>
        <w:tab/>
        <w:t>an urgent necessity to restore or provide a supply of energy to any place or person; or</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No. 24 of 1986 s. 22; No. 89 of 1994 s. 39, 40 and 41; No. 58 of 1999 s. 83.]</w:t>
      </w:r>
    </w:p>
    <w:p>
      <w:pPr>
        <w:pStyle w:val="Heading5"/>
        <w:keepNext w:val="0"/>
        <w:keepLines w:val="0"/>
        <w:rPr>
          <w:snapToGrid w:val="0"/>
        </w:rPr>
      </w:pPr>
      <w:bookmarkStart w:id="77" w:name="_Toc37169984"/>
      <w:bookmarkStart w:id="78" w:name="_Toc37230248"/>
      <w:bookmarkStart w:id="79" w:name="_Toc11742929"/>
      <w:r>
        <w:rPr>
          <w:rStyle w:val="CharSectno"/>
        </w:rPr>
        <w:t>49</w:t>
      </w:r>
      <w:r>
        <w:rPr>
          <w:snapToGrid w:val="0"/>
        </w:rPr>
        <w:t>.</w:t>
      </w:r>
      <w:r>
        <w:rPr>
          <w:snapToGrid w:val="0"/>
        </w:rPr>
        <w:tab/>
        <w:t>General powers relating to works</w:t>
      </w:r>
      <w:bookmarkEnd w:id="77"/>
      <w:bookmarkEnd w:id="78"/>
      <w:bookmarkEnd w:id="79"/>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 and</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 and</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r>
        <w:t xml:space="preserve"> and</w:t>
      </w:r>
    </w:p>
    <w:p>
      <w:pPr>
        <w:pStyle w:val="Indenti"/>
        <w:keepLines/>
        <w:rPr>
          <w:snapToGrid w:val="0"/>
        </w:rPr>
      </w:pPr>
      <w:r>
        <w:rPr>
          <w:snapToGrid w:val="0"/>
        </w:rPr>
        <w:tab/>
        <w:t>(ii)</w:t>
      </w:r>
      <w:r>
        <w:rPr>
          <w:snapToGrid w:val="0"/>
        </w:rPr>
        <w:tab/>
        <w:t>utilise water;</w:t>
      </w:r>
      <w:r>
        <w:t xml:space="preserve"> and</w:t>
      </w:r>
    </w:p>
    <w:p>
      <w:pPr>
        <w:pStyle w:val="Indenti"/>
        <w:keepNext/>
        <w:rPr>
          <w:snapToGrid w:val="0"/>
        </w:rPr>
      </w:pPr>
      <w:r>
        <w:rPr>
          <w:snapToGrid w:val="0"/>
        </w:rPr>
        <w:tab/>
        <w:t>(iii)</w:t>
      </w:r>
      <w:r>
        <w:rPr>
          <w:snapToGrid w:val="0"/>
        </w:rPr>
        <w:tab/>
        <w:t>make or alter watercourses drainage, means of access and transit;</w:t>
      </w:r>
      <w:r>
        <w:t xml:space="preserve"> and</w:t>
      </w:r>
    </w:p>
    <w:p>
      <w:pPr>
        <w:pStyle w:val="Indenti"/>
        <w:keepNext/>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r>
        <w:t xml:space="preserve"> and</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No. 89 of 1994 s. 39 and 41; No. 58 of 1999 s. 83(1) and (3).]</w:t>
      </w:r>
    </w:p>
    <w:p>
      <w:pPr>
        <w:pStyle w:val="Heading5"/>
        <w:rPr>
          <w:snapToGrid w:val="0"/>
        </w:rPr>
      </w:pPr>
      <w:bookmarkStart w:id="80" w:name="_Toc37169985"/>
      <w:bookmarkStart w:id="81" w:name="_Toc37230249"/>
      <w:bookmarkStart w:id="82" w:name="_Toc11742930"/>
      <w:r>
        <w:rPr>
          <w:rStyle w:val="CharSectno"/>
          <w:spacing w:val="-4"/>
        </w:rPr>
        <w:t>50</w:t>
      </w:r>
      <w:r>
        <w:rPr>
          <w:snapToGrid w:val="0"/>
        </w:rPr>
        <w:t>.</w:t>
      </w:r>
      <w:r>
        <w:rPr>
          <w:snapToGrid w:val="0"/>
        </w:rPr>
        <w:tab/>
        <w:t>Restrictions on the exercise of the general powers</w:t>
      </w:r>
      <w:bookmarkEnd w:id="80"/>
      <w:bookmarkEnd w:id="81"/>
      <w:bookmarkEnd w:id="82"/>
    </w:p>
    <w:p>
      <w:pPr>
        <w:pStyle w:val="Subsection"/>
        <w:spacing w:before="100"/>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r>
        <w:t xml:space="preserve"> and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0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No. 89 of 1994 s. 39; No. 58 of 1999 s. 83(1).]</w:t>
      </w:r>
    </w:p>
    <w:p>
      <w:pPr>
        <w:pStyle w:val="Heading5"/>
        <w:rPr>
          <w:snapToGrid w:val="0"/>
        </w:rPr>
      </w:pPr>
      <w:bookmarkStart w:id="83" w:name="_Toc37169986"/>
      <w:bookmarkStart w:id="84" w:name="_Toc37230250"/>
      <w:bookmarkStart w:id="85" w:name="_Toc11742931"/>
      <w:r>
        <w:rPr>
          <w:rStyle w:val="CharSectno"/>
        </w:rPr>
        <w:t>51</w:t>
      </w:r>
      <w:r>
        <w:rPr>
          <w:snapToGrid w:val="0"/>
        </w:rPr>
        <w:t>.</w:t>
      </w:r>
      <w:r>
        <w:rPr>
          <w:snapToGrid w:val="0"/>
        </w:rPr>
        <w:tab/>
        <w:t>Alteration to works in streets</w:t>
      </w:r>
      <w:bookmarkEnd w:id="83"/>
      <w:bookmarkEnd w:id="84"/>
      <w:bookmarkEnd w:id="85"/>
    </w:p>
    <w:p>
      <w:pPr>
        <w:pStyle w:val="Subsection"/>
        <w:spacing w:before="100"/>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No. 89 of 1994 s. 39 and 41; No. 58 of 1999 s. 83(1) and (3).]</w:t>
      </w:r>
    </w:p>
    <w:p>
      <w:pPr>
        <w:pStyle w:val="Heading5"/>
        <w:rPr>
          <w:snapToGrid w:val="0"/>
        </w:rPr>
      </w:pPr>
      <w:bookmarkStart w:id="86" w:name="_Toc37169987"/>
      <w:bookmarkStart w:id="87" w:name="_Toc37230251"/>
      <w:bookmarkStart w:id="88" w:name="_Toc11742932"/>
      <w:r>
        <w:rPr>
          <w:rStyle w:val="CharSectno"/>
        </w:rPr>
        <w:t>52</w:t>
      </w:r>
      <w:r>
        <w:rPr>
          <w:snapToGrid w:val="0"/>
        </w:rPr>
        <w:t>.</w:t>
      </w:r>
      <w:r>
        <w:rPr>
          <w:snapToGrid w:val="0"/>
        </w:rPr>
        <w:tab/>
        <w:t>Street levels and widths</w:t>
      </w:r>
      <w:bookmarkEnd w:id="86"/>
      <w:bookmarkEnd w:id="87"/>
      <w:bookmarkEnd w:id="88"/>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No. 89 of 1994 s. 39 and 41; No. 58 of 1999 s. 83(1) and (3).]</w:t>
      </w:r>
    </w:p>
    <w:p>
      <w:pPr>
        <w:pStyle w:val="Heading5"/>
        <w:rPr>
          <w:snapToGrid w:val="0"/>
        </w:rPr>
      </w:pPr>
      <w:bookmarkStart w:id="89" w:name="_Toc37169988"/>
      <w:bookmarkStart w:id="90" w:name="_Toc37230252"/>
      <w:bookmarkStart w:id="91" w:name="_Toc11742933"/>
      <w:r>
        <w:rPr>
          <w:rStyle w:val="CharSectno"/>
        </w:rPr>
        <w:t>53</w:t>
      </w:r>
      <w:r>
        <w:rPr>
          <w:snapToGrid w:val="0"/>
        </w:rPr>
        <w:t>.</w:t>
      </w:r>
      <w:r>
        <w:rPr>
          <w:snapToGrid w:val="0"/>
        </w:rPr>
        <w:tab/>
        <w:t>Streets broken up to be reinstated without delay</w:t>
      </w:r>
      <w:bookmarkEnd w:id="89"/>
      <w:bookmarkEnd w:id="90"/>
      <w:bookmarkEnd w:id="91"/>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No. 89 of 1994 s. 39, 40 and 41; No. 58 of 1999 s. 83.]</w:t>
      </w:r>
    </w:p>
    <w:p>
      <w:pPr>
        <w:pStyle w:val="Heading5"/>
        <w:rPr>
          <w:snapToGrid w:val="0"/>
        </w:rPr>
      </w:pPr>
      <w:bookmarkStart w:id="92" w:name="_Toc37169989"/>
      <w:bookmarkStart w:id="93" w:name="_Toc37230253"/>
      <w:bookmarkStart w:id="94" w:name="_Toc11742934"/>
      <w:r>
        <w:rPr>
          <w:rStyle w:val="CharSectno"/>
        </w:rPr>
        <w:t>54</w:t>
      </w:r>
      <w:r>
        <w:rPr>
          <w:snapToGrid w:val="0"/>
        </w:rPr>
        <w:t>.</w:t>
      </w:r>
      <w:r>
        <w:rPr>
          <w:snapToGrid w:val="0"/>
        </w:rPr>
        <w:tab/>
        <w:t>Duty and powers, as to vegetation causing interference</w:t>
      </w:r>
      <w:bookmarkEnd w:id="92"/>
      <w:bookmarkEnd w:id="93"/>
      <w:bookmarkEnd w:id="94"/>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No. 89 of 1994 s. 39 and 41; No. 14 of 1996 s. 4; No. 58 of 1999 s. 83(1) and (3).]</w:t>
      </w:r>
    </w:p>
    <w:p>
      <w:pPr>
        <w:pStyle w:val="Ednotesection"/>
      </w:pPr>
      <w:r>
        <w:t>[</w:t>
      </w:r>
      <w:r>
        <w:rPr>
          <w:b/>
          <w:bCs/>
        </w:rPr>
        <w:t>55.</w:t>
      </w:r>
      <w:r>
        <w:tab/>
        <w:t>Deleted: No. 8 of 2006 s. 4.]</w:t>
      </w:r>
    </w:p>
    <w:p>
      <w:pPr>
        <w:pStyle w:val="Ednotesection"/>
      </w:pPr>
      <w:r>
        <w:t>[</w:t>
      </w:r>
      <w:r>
        <w:rPr>
          <w:b/>
        </w:rPr>
        <w:t>56.</w:t>
      </w:r>
      <w:r>
        <w:tab/>
        <w:t>Deleted: No. 58 of 1999 s. 54.]</w:t>
      </w:r>
    </w:p>
    <w:p>
      <w:pPr>
        <w:pStyle w:val="Heading5"/>
        <w:rPr>
          <w:snapToGrid w:val="0"/>
        </w:rPr>
      </w:pPr>
      <w:bookmarkStart w:id="95" w:name="_Toc37169990"/>
      <w:bookmarkStart w:id="96" w:name="_Toc37230254"/>
      <w:bookmarkStart w:id="97" w:name="_Toc11742935"/>
      <w:r>
        <w:rPr>
          <w:rStyle w:val="CharSectno"/>
        </w:rPr>
        <w:t>57</w:t>
      </w:r>
      <w:r>
        <w:rPr>
          <w:snapToGrid w:val="0"/>
        </w:rPr>
        <w:t>.</w:t>
      </w:r>
      <w:r>
        <w:rPr>
          <w:snapToGrid w:val="0"/>
        </w:rPr>
        <w:tab/>
        <w:t>Distribution system emergencies</w:t>
      </w:r>
      <w:bookmarkEnd w:id="95"/>
      <w:bookmarkEnd w:id="96"/>
      <w:bookmarkEnd w:id="97"/>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 xml:space="preserve">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 </w:t>
      </w:r>
      <w:r>
        <w:t>and</w:t>
      </w:r>
    </w:p>
    <w:p>
      <w:pPr>
        <w:pStyle w:val="Defpara"/>
      </w:pPr>
      <w:r>
        <w:tab/>
        <w:t>(b)</w:t>
      </w:r>
      <w:r>
        <w:tab/>
        <w:t>by reason of which —</w:t>
      </w:r>
    </w:p>
    <w:p>
      <w:pPr>
        <w:pStyle w:val="Defsubpara"/>
      </w:pPr>
      <w:r>
        <w:tab/>
        <w:t>(i)</w:t>
      </w:r>
      <w:r>
        <w:tab/>
        <w:t>any life or property is or may be endangered; or</w:t>
      </w:r>
    </w:p>
    <w:p>
      <w:pPr>
        <w:pStyle w:val="Defsubpara"/>
      </w:pPr>
      <w:r>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keepNext/>
        <w:rPr>
          <w:snapToGrid w:val="0"/>
        </w:rPr>
      </w:pPr>
      <w:r>
        <w:rPr>
          <w:snapToGrid w:val="0"/>
        </w:rPr>
        <w:tab/>
        <w:t>(3)</w:t>
      </w:r>
      <w:r>
        <w:rPr>
          <w:snapToGrid w:val="0"/>
        </w:rPr>
        <w:tab/>
        <w:t>When a system emergency exists —</w:t>
      </w:r>
    </w:p>
    <w:p>
      <w:pPr>
        <w:pStyle w:val="Indenta"/>
        <w:keepNext/>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Defpara"/>
      </w:pPr>
      <w:r>
        <w:tab/>
      </w:r>
      <w:r>
        <w:tab/>
        <w:t>and</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No. 24 of 1986 s. 23 and 42; No. 89 of 1994 s. 39 and 41; No. 78 of 1995 s. 37; No. 58 of 1999 s. 55; No. 33 of 2004 s. 44.]</w:t>
      </w:r>
    </w:p>
    <w:p>
      <w:pPr>
        <w:pStyle w:val="Heading5"/>
        <w:rPr>
          <w:snapToGrid w:val="0"/>
        </w:rPr>
      </w:pPr>
      <w:bookmarkStart w:id="98" w:name="_Toc37169991"/>
      <w:bookmarkStart w:id="99" w:name="_Toc37230255"/>
      <w:bookmarkStart w:id="100" w:name="_Toc11742936"/>
      <w:r>
        <w:rPr>
          <w:rStyle w:val="CharSectno"/>
        </w:rPr>
        <w:t>58</w:t>
      </w:r>
      <w:r>
        <w:rPr>
          <w:snapToGrid w:val="0"/>
        </w:rPr>
        <w:t>.</w:t>
      </w:r>
      <w:r>
        <w:rPr>
          <w:snapToGrid w:val="0"/>
        </w:rPr>
        <w:tab/>
        <w:t>Energy operator may not be bound to supply</w:t>
      </w:r>
      <w:bookmarkEnd w:id="98"/>
      <w:bookmarkEnd w:id="99"/>
      <w:bookmarkEnd w:id="100"/>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 or</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 or</w:t>
      </w:r>
    </w:p>
    <w:p>
      <w:pPr>
        <w:pStyle w:val="Indenta"/>
        <w:spacing w:before="120"/>
        <w:rPr>
          <w:snapToGrid w:val="0"/>
        </w:rPr>
      </w:pPr>
      <w:r>
        <w:rPr>
          <w:snapToGrid w:val="0"/>
        </w:rPr>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 or</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No. 24 of 1986 s. 24; No. 89 of 1994 s. 20, 39 and 41; No. 58 of 1999 s. 83(1) and (3); (correction to reprint in Gazette 22 Nov 2002 p. 5533); No. 53 of 2003 s. 113.]</w:t>
      </w:r>
    </w:p>
    <w:p>
      <w:pPr>
        <w:pStyle w:val="Heading5"/>
        <w:rPr>
          <w:snapToGrid w:val="0"/>
        </w:rPr>
      </w:pPr>
      <w:bookmarkStart w:id="101" w:name="_Toc37169992"/>
      <w:bookmarkStart w:id="102" w:name="_Toc37230256"/>
      <w:bookmarkStart w:id="103" w:name="_Toc11742937"/>
      <w:r>
        <w:rPr>
          <w:rStyle w:val="CharSectno"/>
        </w:rPr>
        <w:t>59</w:t>
      </w:r>
      <w:r>
        <w:rPr>
          <w:snapToGrid w:val="0"/>
        </w:rPr>
        <w:t>.</w:t>
      </w:r>
      <w:r>
        <w:rPr>
          <w:snapToGrid w:val="0"/>
        </w:rPr>
        <w:tab/>
        <w:t>Energy operator may supply, with or without contract</w:t>
      </w:r>
      <w:bookmarkEnd w:id="101"/>
      <w:bookmarkEnd w:id="102"/>
      <w:bookmarkEnd w:id="103"/>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No. 89 of 1994 s. 21; No. 58 of 1999 s. 83(1).]</w:t>
      </w:r>
    </w:p>
    <w:p>
      <w:pPr>
        <w:pStyle w:val="Heading5"/>
        <w:rPr>
          <w:snapToGrid w:val="0"/>
        </w:rPr>
      </w:pPr>
      <w:bookmarkStart w:id="104" w:name="_Toc37169993"/>
      <w:bookmarkStart w:id="105" w:name="_Toc37230257"/>
      <w:bookmarkStart w:id="106" w:name="_Toc11742938"/>
      <w:r>
        <w:rPr>
          <w:rStyle w:val="CharSectno"/>
        </w:rPr>
        <w:t>60</w:t>
      </w:r>
      <w:r>
        <w:rPr>
          <w:snapToGrid w:val="0"/>
        </w:rPr>
        <w:t>.</w:t>
      </w:r>
      <w:r>
        <w:rPr>
          <w:snapToGrid w:val="0"/>
        </w:rPr>
        <w:tab/>
        <w:t>Repudiation of existing contracts, and unwritten contracts</w:t>
      </w:r>
      <w:bookmarkEnd w:id="104"/>
      <w:bookmarkEnd w:id="105"/>
      <w:bookmarkEnd w:id="106"/>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No. 89 of 1994 s. 22, 39 and 41; No. 58 of 1999 s. 83(1) and (3).]</w:t>
      </w:r>
    </w:p>
    <w:p>
      <w:pPr>
        <w:pStyle w:val="Heading5"/>
        <w:rPr>
          <w:snapToGrid w:val="0"/>
        </w:rPr>
      </w:pPr>
      <w:bookmarkStart w:id="107" w:name="_Toc37169994"/>
      <w:bookmarkStart w:id="108" w:name="_Toc37230258"/>
      <w:bookmarkStart w:id="109" w:name="_Toc11742939"/>
      <w:r>
        <w:rPr>
          <w:rStyle w:val="CharSectno"/>
        </w:rPr>
        <w:t>61</w:t>
      </w:r>
      <w:r>
        <w:rPr>
          <w:snapToGrid w:val="0"/>
        </w:rPr>
        <w:t>.</w:t>
      </w:r>
      <w:r>
        <w:rPr>
          <w:snapToGrid w:val="0"/>
        </w:rPr>
        <w:tab/>
        <w:t>Agreements to supply beyond normal range</w:t>
      </w:r>
      <w:bookmarkEnd w:id="107"/>
      <w:bookmarkEnd w:id="108"/>
      <w:bookmarkEnd w:id="109"/>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del w:id="110" w:author="svcMRProcess" w:date="2020-04-08T09:31:00Z">
        <w:r>
          <w:rPr>
            <w:snapToGrid w:val="0"/>
            <w:vertAlign w:val="superscript"/>
          </w:rPr>
          <w:delText>3</w:delText>
        </w:r>
      </w:del>
      <w:ins w:id="111" w:author="svcMRProcess" w:date="2020-04-08T09:31:00Z">
        <w:r>
          <w:rPr>
            <w:snapToGrid w:val="0"/>
            <w:vertAlign w:val="superscript"/>
          </w:rPr>
          <w:t>2</w:t>
        </w:r>
      </w:ins>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No. 101 of 1981 s. 15; No. 24 of 1986 s. 25; No. 89 of 1994 s. 23, 39, 40 and 41; No. 58 of 1999 s. 83; No. 53 of 2003 s. 114.]</w:t>
      </w:r>
    </w:p>
    <w:p>
      <w:pPr>
        <w:pStyle w:val="Heading5"/>
        <w:spacing w:before="240"/>
        <w:rPr>
          <w:snapToGrid w:val="0"/>
        </w:rPr>
      </w:pPr>
      <w:bookmarkStart w:id="112" w:name="_Toc37169995"/>
      <w:bookmarkStart w:id="113" w:name="_Toc37230259"/>
      <w:bookmarkStart w:id="114" w:name="_Toc11742940"/>
      <w:r>
        <w:rPr>
          <w:rStyle w:val="CharSectno"/>
        </w:rPr>
        <w:t>62</w:t>
      </w:r>
      <w:r>
        <w:rPr>
          <w:snapToGrid w:val="0"/>
        </w:rPr>
        <w:t>.</w:t>
      </w:r>
      <w:r>
        <w:rPr>
          <w:snapToGrid w:val="0"/>
        </w:rPr>
        <w:tab/>
        <w:t>Charges for supply, conditions of supply, and termination of supply</w:t>
      </w:r>
      <w:bookmarkEnd w:id="112"/>
      <w:bookmarkEnd w:id="113"/>
      <w:bookmarkEnd w:id="114"/>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keepNext/>
        <w:rPr>
          <w:snapToGrid w:val="0"/>
        </w:rPr>
      </w:pPr>
      <w:r>
        <w:rPr>
          <w:snapToGrid w:val="0"/>
        </w:rPr>
        <w:tab/>
        <w:t>(10)</w:t>
      </w:r>
      <w:r>
        <w:rPr>
          <w:snapToGrid w:val="0"/>
        </w:rPr>
        <w:tab/>
        <w:t>For the purpose of —</w:t>
      </w:r>
    </w:p>
    <w:p>
      <w:pPr>
        <w:pStyle w:val="Indenta"/>
        <w:keepNext/>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 and</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keepNext/>
        <w:keepLines/>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keepNext/>
        <w:keepLines/>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No. 101 of 1981 s. 16; No. 89 of 1994 s. 24, 39, 40 and 41; No. 58 of 1999 s. 83.]</w:t>
      </w:r>
    </w:p>
    <w:p>
      <w:pPr>
        <w:pStyle w:val="Heading5"/>
        <w:keepLines w:val="0"/>
        <w:rPr>
          <w:snapToGrid w:val="0"/>
        </w:rPr>
      </w:pPr>
      <w:bookmarkStart w:id="115" w:name="_Toc37169996"/>
      <w:bookmarkStart w:id="116" w:name="_Toc37230260"/>
      <w:bookmarkStart w:id="117" w:name="_Toc11742941"/>
      <w:r>
        <w:rPr>
          <w:rStyle w:val="CharSectno"/>
        </w:rPr>
        <w:t>63</w:t>
      </w:r>
      <w:r>
        <w:rPr>
          <w:snapToGrid w:val="0"/>
        </w:rPr>
        <w:t>.</w:t>
      </w:r>
      <w:r>
        <w:rPr>
          <w:snapToGrid w:val="0"/>
        </w:rPr>
        <w:tab/>
        <w:t>Apportioned accounts</w:t>
      </w:r>
      <w:bookmarkEnd w:id="115"/>
      <w:bookmarkEnd w:id="116"/>
      <w:bookmarkEnd w:id="117"/>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No. 89 of 1994 s. 41; No. 58 of 1999 s. 83(3).]</w:t>
      </w:r>
    </w:p>
    <w:p>
      <w:pPr>
        <w:pStyle w:val="Heading5"/>
        <w:spacing w:before="200"/>
        <w:rPr>
          <w:snapToGrid w:val="0"/>
        </w:rPr>
      </w:pPr>
      <w:bookmarkStart w:id="118" w:name="_Toc37169997"/>
      <w:bookmarkStart w:id="119" w:name="_Toc37230261"/>
      <w:bookmarkStart w:id="120" w:name="_Toc11742942"/>
      <w:r>
        <w:rPr>
          <w:rStyle w:val="CharSectno"/>
        </w:rPr>
        <w:t>64</w:t>
      </w:r>
      <w:r>
        <w:rPr>
          <w:snapToGrid w:val="0"/>
        </w:rPr>
        <w:t>.</w:t>
      </w:r>
      <w:r>
        <w:rPr>
          <w:snapToGrid w:val="0"/>
        </w:rPr>
        <w:tab/>
        <w:t>Meters</w:t>
      </w:r>
      <w:bookmarkEnd w:id="118"/>
      <w:bookmarkEnd w:id="119"/>
      <w:bookmarkEnd w:id="120"/>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No. 24 of 1986 s. 26; No. 89 of 1994 s. 39, 40 and 41; No. 58 of 1999 s. 83.]</w:t>
      </w:r>
    </w:p>
    <w:p>
      <w:pPr>
        <w:pStyle w:val="Heading5"/>
        <w:rPr>
          <w:snapToGrid w:val="0"/>
        </w:rPr>
      </w:pPr>
      <w:bookmarkStart w:id="121" w:name="_Toc37169998"/>
      <w:bookmarkStart w:id="122" w:name="_Toc37230262"/>
      <w:bookmarkStart w:id="123" w:name="_Toc11742943"/>
      <w:r>
        <w:rPr>
          <w:rStyle w:val="CharSectno"/>
        </w:rPr>
        <w:t>65</w:t>
      </w:r>
      <w:r>
        <w:rPr>
          <w:snapToGrid w:val="0"/>
        </w:rPr>
        <w:t>.</w:t>
      </w:r>
      <w:r>
        <w:rPr>
          <w:snapToGrid w:val="0"/>
        </w:rPr>
        <w:tab/>
        <w:t>Metered accounts</w:t>
      </w:r>
      <w:bookmarkEnd w:id="121"/>
      <w:bookmarkEnd w:id="122"/>
      <w:bookmarkEnd w:id="123"/>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keepNext/>
        <w:rPr>
          <w:snapToGrid w:val="0"/>
        </w:rPr>
      </w:pPr>
      <w:r>
        <w:rPr>
          <w:snapToGrid w:val="0"/>
        </w:rPr>
        <w:tab/>
        <w:t>(d)</w:t>
      </w:r>
      <w:r>
        <w:rPr>
          <w:snapToGrid w:val="0"/>
        </w:rPr>
        <w:tab/>
        <w:t>if no such method is appropriate, such other basis as the energy operator determines,</w:t>
      </w:r>
    </w:p>
    <w:p>
      <w:pPr>
        <w:pStyle w:val="Subsection"/>
        <w:keepNext/>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keepNext/>
        <w:rPr>
          <w:snapToGrid w:val="0"/>
        </w:rPr>
      </w:pPr>
      <w:r>
        <w:rPr>
          <w:snapToGrid w:val="0"/>
        </w:rPr>
        <w:tab/>
        <w:t>(b)</w:t>
      </w:r>
      <w:r>
        <w:rPr>
          <w:snapToGrid w:val="0"/>
        </w:rPr>
        <w:tab/>
        <w:t>the period covered by an account submitted upon the basis of an assessment in respect of that period of time,</w:t>
      </w:r>
    </w:p>
    <w:p>
      <w:pPr>
        <w:pStyle w:val="Subsection"/>
        <w:keepNext/>
        <w:rPr>
          <w:snapToGrid w:val="0"/>
        </w:rPr>
      </w:pPr>
      <w:r>
        <w:rPr>
          <w:snapToGrid w:val="0"/>
        </w:rPr>
        <w:tab/>
      </w:r>
      <w:r>
        <w:rPr>
          <w:snapToGrid w:val="0"/>
        </w:rPr>
        <w:tab/>
        <w:t>whichever may result in the lower charge.</w:t>
      </w:r>
    </w:p>
    <w:p>
      <w:pPr>
        <w:pStyle w:val="Footnotesection"/>
        <w:keepNext/>
      </w:pPr>
      <w:r>
        <w:tab/>
        <w:t>[Section 65 amended: No. 89 of 1994 s. 39 and 41; No. 58 of 1999 s. 83(1) and (3); No. 53 of 2003 s. 115(1) and (2).]</w:t>
      </w:r>
    </w:p>
    <w:p>
      <w:pPr>
        <w:pStyle w:val="Heading5"/>
        <w:rPr>
          <w:snapToGrid w:val="0"/>
        </w:rPr>
      </w:pPr>
      <w:bookmarkStart w:id="124" w:name="_Toc37169999"/>
      <w:bookmarkStart w:id="125" w:name="_Toc37230263"/>
      <w:bookmarkStart w:id="126" w:name="_Toc11742944"/>
      <w:r>
        <w:rPr>
          <w:rStyle w:val="CharSectno"/>
        </w:rPr>
        <w:t>66</w:t>
      </w:r>
      <w:r>
        <w:rPr>
          <w:snapToGrid w:val="0"/>
        </w:rPr>
        <w:t>.</w:t>
      </w:r>
      <w:r>
        <w:rPr>
          <w:snapToGrid w:val="0"/>
        </w:rPr>
        <w:tab/>
        <w:t>Meter tests</w:t>
      </w:r>
      <w:bookmarkEnd w:id="124"/>
      <w:bookmarkEnd w:id="125"/>
      <w:bookmarkEnd w:id="126"/>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No. 89 of 1994 s. 39, 40 and 41; No. 58 of 1999 s. 56 and 83.]</w:t>
      </w:r>
    </w:p>
    <w:p>
      <w:pPr>
        <w:pStyle w:val="Heading5"/>
        <w:rPr>
          <w:snapToGrid w:val="0"/>
        </w:rPr>
      </w:pPr>
      <w:bookmarkStart w:id="127" w:name="_Toc37170000"/>
      <w:bookmarkStart w:id="128" w:name="_Toc37230264"/>
      <w:bookmarkStart w:id="129" w:name="_Toc11742945"/>
      <w:r>
        <w:rPr>
          <w:rStyle w:val="CharSectno"/>
        </w:rPr>
        <w:t>67</w:t>
      </w:r>
      <w:r>
        <w:rPr>
          <w:snapToGrid w:val="0"/>
        </w:rPr>
        <w:t>.</w:t>
      </w:r>
      <w:r>
        <w:rPr>
          <w:snapToGrid w:val="0"/>
        </w:rPr>
        <w:tab/>
        <w:t>Circumventing meters</w:t>
      </w:r>
      <w:bookmarkEnd w:id="127"/>
      <w:bookmarkEnd w:id="128"/>
      <w:bookmarkEnd w:id="129"/>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 or</w:t>
      </w:r>
    </w:p>
    <w:p>
      <w:pPr>
        <w:pStyle w:val="Indenta"/>
        <w:rPr>
          <w:snapToGrid w:val="0"/>
        </w:rPr>
      </w:pPr>
      <w:r>
        <w:rPr>
          <w:snapToGrid w:val="0"/>
        </w:rPr>
        <w:tab/>
        <w:t>(b)</w:t>
      </w:r>
      <w:r>
        <w:rPr>
          <w:snapToGrid w:val="0"/>
        </w:rPr>
        <w:tab/>
        <w:t>prevents that meter from operating or registering; or</w:t>
      </w:r>
    </w:p>
    <w:p>
      <w:pPr>
        <w:pStyle w:val="Indenta"/>
        <w:rPr>
          <w:snapToGrid w:val="0"/>
        </w:rPr>
      </w:pPr>
      <w:r>
        <w:rPr>
          <w:snapToGrid w:val="0"/>
        </w:rPr>
        <w:tab/>
        <w:t>(c)</w:t>
      </w:r>
      <w:r>
        <w:rPr>
          <w:snapToGrid w:val="0"/>
        </w:rPr>
        <w:tab/>
        <w:t>by any means causes that meter to operate or register otherwise than in proper order; or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No. 101 of 1981 s. 17; No. 24 of 1986 s. 27 and 42; No. 89 of 1994 s. 39 and 41; No. 58 of 1999 s. 83(1) and (3); No. 50 of 2003 s. 58(2); No. 84 of 2004 s. 80.]</w:t>
      </w:r>
    </w:p>
    <w:p>
      <w:pPr>
        <w:pStyle w:val="Heading5"/>
        <w:rPr>
          <w:snapToGrid w:val="0"/>
        </w:rPr>
      </w:pPr>
      <w:bookmarkStart w:id="130" w:name="_Toc37170001"/>
      <w:bookmarkStart w:id="131" w:name="_Toc37230265"/>
      <w:bookmarkStart w:id="132" w:name="_Toc11742946"/>
      <w:r>
        <w:rPr>
          <w:rStyle w:val="CharSectno"/>
        </w:rPr>
        <w:t>67A</w:t>
      </w:r>
      <w:r>
        <w:rPr>
          <w:snapToGrid w:val="0"/>
        </w:rPr>
        <w:t>.</w:t>
      </w:r>
      <w:r>
        <w:rPr>
          <w:snapToGrid w:val="0"/>
        </w:rPr>
        <w:tab/>
        <w:t>Liability for charges, and damage to apparatus</w:t>
      </w:r>
      <w:bookmarkEnd w:id="130"/>
      <w:bookmarkEnd w:id="131"/>
      <w:bookmarkEnd w:id="132"/>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No. 24 of 1986 s. 28; amended: No. 89 of 1994 s. 25, 39 and 41; No. 58 of 1999 s. 83(1) and (3).]</w:t>
      </w:r>
    </w:p>
    <w:p>
      <w:pPr>
        <w:pStyle w:val="Heading5"/>
        <w:rPr>
          <w:snapToGrid w:val="0"/>
        </w:rPr>
      </w:pPr>
      <w:bookmarkStart w:id="133" w:name="_Toc37170002"/>
      <w:bookmarkStart w:id="134" w:name="_Toc37230266"/>
      <w:bookmarkStart w:id="135" w:name="_Toc11742947"/>
      <w:r>
        <w:rPr>
          <w:rStyle w:val="CharSectno"/>
        </w:rPr>
        <w:t>68</w:t>
      </w:r>
      <w:r>
        <w:rPr>
          <w:snapToGrid w:val="0"/>
        </w:rPr>
        <w:t>.</w:t>
      </w:r>
      <w:r>
        <w:rPr>
          <w:snapToGrid w:val="0"/>
        </w:rPr>
        <w:tab/>
        <w:t>Inspectors</w:t>
      </w:r>
      <w:bookmarkEnd w:id="133"/>
      <w:bookmarkEnd w:id="134"/>
      <w:bookmarkEnd w:id="135"/>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 and</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No. 101 of 1981 s. 18; No. 24 of 1986 s. 29; No. 89 of 1994 s. 26; No. 58 of 1999 s. 83(2) and (3).]</w:t>
      </w:r>
    </w:p>
    <w:p>
      <w:pPr>
        <w:pStyle w:val="Heading5"/>
        <w:rPr>
          <w:snapToGrid w:val="0"/>
        </w:rPr>
      </w:pPr>
      <w:bookmarkStart w:id="136" w:name="_Toc37170003"/>
      <w:bookmarkStart w:id="137" w:name="_Toc37230267"/>
      <w:bookmarkStart w:id="138" w:name="_Toc11742948"/>
      <w:r>
        <w:rPr>
          <w:rStyle w:val="CharSectno"/>
        </w:rPr>
        <w:t>69</w:t>
      </w:r>
      <w:r>
        <w:rPr>
          <w:snapToGrid w:val="0"/>
        </w:rPr>
        <w:t>.</w:t>
      </w:r>
      <w:r>
        <w:rPr>
          <w:snapToGrid w:val="0"/>
        </w:rPr>
        <w:tab/>
        <w:t>Incriminating statements</w:t>
      </w:r>
      <w:bookmarkEnd w:id="136"/>
      <w:bookmarkEnd w:id="137"/>
      <w:bookmarkEnd w:id="138"/>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No. 89 of 1994 s. 27.]</w:t>
      </w:r>
    </w:p>
    <w:p>
      <w:pPr>
        <w:pStyle w:val="Heading5"/>
        <w:rPr>
          <w:snapToGrid w:val="0"/>
        </w:rPr>
      </w:pPr>
      <w:bookmarkStart w:id="139" w:name="_Toc37170004"/>
      <w:bookmarkStart w:id="140" w:name="_Toc37230268"/>
      <w:bookmarkStart w:id="141" w:name="_Toc11742949"/>
      <w:r>
        <w:rPr>
          <w:rStyle w:val="CharSectno"/>
        </w:rPr>
        <w:t>74</w:t>
      </w:r>
      <w:r>
        <w:rPr>
          <w:snapToGrid w:val="0"/>
        </w:rPr>
        <w:t>.</w:t>
      </w:r>
      <w:r>
        <w:rPr>
          <w:snapToGrid w:val="0"/>
        </w:rPr>
        <w:tab/>
        <w:t>Malicious damage</w:t>
      </w:r>
      <w:bookmarkEnd w:id="139"/>
      <w:bookmarkEnd w:id="140"/>
      <w:bookmarkEnd w:id="141"/>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No. 89 of 1994 s. 39; No. 58 of 1999 s. 83(1); No. 70 of 2004 s. 82; No. 59 of 2006 s. 73.]</w:t>
      </w:r>
    </w:p>
    <w:p>
      <w:pPr>
        <w:pStyle w:val="Heading5"/>
        <w:rPr>
          <w:snapToGrid w:val="0"/>
        </w:rPr>
      </w:pPr>
      <w:bookmarkStart w:id="142" w:name="_Toc37170005"/>
      <w:bookmarkStart w:id="143" w:name="_Toc37230269"/>
      <w:bookmarkStart w:id="144" w:name="_Toc11742950"/>
      <w:r>
        <w:rPr>
          <w:rStyle w:val="CharSectno"/>
        </w:rPr>
        <w:t>75</w:t>
      </w:r>
      <w:r>
        <w:rPr>
          <w:snapToGrid w:val="0"/>
        </w:rPr>
        <w:t>.</w:t>
      </w:r>
      <w:r>
        <w:rPr>
          <w:snapToGrid w:val="0"/>
        </w:rPr>
        <w:tab/>
        <w:t>Unlawful damage generally</w:t>
      </w:r>
      <w:bookmarkEnd w:id="142"/>
      <w:bookmarkEnd w:id="143"/>
      <w:bookmarkEnd w:id="144"/>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 or</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 or</w:t>
      </w:r>
    </w:p>
    <w:p>
      <w:pPr>
        <w:pStyle w:val="Indenta"/>
        <w:spacing w:before="60"/>
        <w:rPr>
          <w:snapToGrid w:val="0"/>
        </w:rPr>
      </w:pPr>
      <w:r>
        <w:rPr>
          <w:snapToGrid w:val="0"/>
        </w:rPr>
        <w:tab/>
        <w:t>(c)</w:t>
      </w:r>
      <w:r>
        <w:rPr>
          <w:snapToGrid w:val="0"/>
        </w:rPr>
        <w:tab/>
        <w:t>interrupts, impedes or obstructs the transmission, distribution or supply of energy by an energy operator; 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keepNext/>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keepNext/>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No. 24 of 1986 s. 33 and 42; No. 89 of 1994 s. 28, 39 and 41; No. 58 of 1999 s. 83(1) and (3).]</w:t>
      </w:r>
    </w:p>
    <w:p>
      <w:pPr>
        <w:pStyle w:val="Heading5"/>
        <w:rPr>
          <w:snapToGrid w:val="0"/>
        </w:rPr>
      </w:pPr>
      <w:bookmarkStart w:id="145" w:name="_Toc37170006"/>
      <w:bookmarkStart w:id="146" w:name="_Toc37230270"/>
      <w:bookmarkStart w:id="147" w:name="_Toc11742951"/>
      <w:r>
        <w:rPr>
          <w:rStyle w:val="CharSectno"/>
        </w:rPr>
        <w:t>76</w:t>
      </w:r>
      <w:r>
        <w:rPr>
          <w:snapToGrid w:val="0"/>
        </w:rPr>
        <w:t>.</w:t>
      </w:r>
      <w:r>
        <w:rPr>
          <w:snapToGrid w:val="0"/>
        </w:rPr>
        <w:tab/>
        <w:t>Unlawful entry</w:t>
      </w:r>
      <w:bookmarkEnd w:id="145"/>
      <w:bookmarkEnd w:id="146"/>
      <w:bookmarkEnd w:id="147"/>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No. 24 of 1986 s. 42; No. 89 of 1994 s. 39 and 41; No. 58 of 1999 s. 83(1) and (3).]</w:t>
      </w:r>
    </w:p>
    <w:p>
      <w:pPr>
        <w:pStyle w:val="Heading5"/>
        <w:rPr>
          <w:snapToGrid w:val="0"/>
        </w:rPr>
      </w:pPr>
      <w:bookmarkStart w:id="148" w:name="_Toc37170007"/>
      <w:bookmarkStart w:id="149" w:name="_Toc37230271"/>
      <w:bookmarkStart w:id="150" w:name="_Toc11742952"/>
      <w:r>
        <w:rPr>
          <w:rStyle w:val="CharSectno"/>
        </w:rPr>
        <w:t>77</w:t>
      </w:r>
      <w:r>
        <w:rPr>
          <w:snapToGrid w:val="0"/>
        </w:rPr>
        <w:t>.</w:t>
      </w:r>
      <w:r>
        <w:rPr>
          <w:snapToGrid w:val="0"/>
        </w:rPr>
        <w:tab/>
        <w:t>Restraint of persons</w:t>
      </w:r>
      <w:bookmarkEnd w:id="148"/>
      <w:bookmarkEnd w:id="149"/>
      <w:bookmarkEnd w:id="150"/>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No. 89 of 1994 s. 39; No. 58 of 1999 s. 83(1).]</w:t>
      </w:r>
    </w:p>
    <w:p>
      <w:pPr>
        <w:pStyle w:val="Heading5"/>
        <w:rPr>
          <w:snapToGrid w:val="0"/>
        </w:rPr>
      </w:pPr>
      <w:bookmarkStart w:id="151" w:name="_Toc37170008"/>
      <w:bookmarkStart w:id="152" w:name="_Toc37230272"/>
      <w:bookmarkStart w:id="153" w:name="_Toc11742953"/>
      <w:r>
        <w:rPr>
          <w:rStyle w:val="CharSectno"/>
        </w:rPr>
        <w:t>78</w:t>
      </w:r>
      <w:r>
        <w:rPr>
          <w:snapToGrid w:val="0"/>
        </w:rPr>
        <w:t>.</w:t>
      </w:r>
      <w:r>
        <w:rPr>
          <w:snapToGrid w:val="0"/>
        </w:rPr>
        <w:tab/>
        <w:t>Persons may be apprehended</w:t>
      </w:r>
      <w:bookmarkEnd w:id="151"/>
      <w:bookmarkEnd w:id="152"/>
      <w:bookmarkEnd w:id="153"/>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No. 59 of 2006 s. 73.]</w:t>
      </w:r>
    </w:p>
    <w:p>
      <w:pPr>
        <w:pStyle w:val="Heading5"/>
        <w:rPr>
          <w:snapToGrid w:val="0"/>
        </w:rPr>
      </w:pPr>
      <w:bookmarkStart w:id="154" w:name="_Toc37170009"/>
      <w:bookmarkStart w:id="155" w:name="_Toc37230273"/>
      <w:bookmarkStart w:id="156" w:name="_Toc11742954"/>
      <w:r>
        <w:rPr>
          <w:rStyle w:val="CharSectno"/>
        </w:rPr>
        <w:t>79</w:t>
      </w:r>
      <w:r>
        <w:rPr>
          <w:snapToGrid w:val="0"/>
        </w:rPr>
        <w:t>.</w:t>
      </w:r>
      <w:r>
        <w:rPr>
          <w:snapToGrid w:val="0"/>
        </w:rPr>
        <w:tab/>
        <w:t>Obstruction of officers etc.</w:t>
      </w:r>
      <w:bookmarkEnd w:id="154"/>
      <w:bookmarkEnd w:id="155"/>
      <w:bookmarkEnd w:id="156"/>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No. 24 of 1986 s. 42; No. 89 of 1994 s. 29, 39 and 41; No. 58 of 1999 s. 83(1) and (3).]</w:t>
      </w:r>
    </w:p>
    <w:p>
      <w:pPr>
        <w:pStyle w:val="Heading5"/>
        <w:rPr>
          <w:snapToGrid w:val="0"/>
        </w:rPr>
      </w:pPr>
      <w:bookmarkStart w:id="157" w:name="_Toc37170010"/>
      <w:bookmarkStart w:id="158" w:name="_Toc37230274"/>
      <w:bookmarkStart w:id="159" w:name="_Toc11742955"/>
      <w:r>
        <w:rPr>
          <w:rStyle w:val="CharSectno"/>
        </w:rPr>
        <w:t>80</w:t>
      </w:r>
      <w:r>
        <w:rPr>
          <w:snapToGrid w:val="0"/>
        </w:rPr>
        <w:t>.</w:t>
      </w:r>
      <w:r>
        <w:rPr>
          <w:snapToGrid w:val="0"/>
        </w:rPr>
        <w:tab/>
        <w:t>Offences generally</w:t>
      </w:r>
      <w:bookmarkEnd w:id="157"/>
      <w:bookmarkEnd w:id="158"/>
      <w:bookmarkEnd w:id="159"/>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160" w:name="_Toc37170011"/>
      <w:bookmarkStart w:id="161" w:name="_Toc37230275"/>
      <w:bookmarkStart w:id="162" w:name="_Toc11742956"/>
      <w:r>
        <w:rPr>
          <w:rStyle w:val="CharSectno"/>
        </w:rPr>
        <w:t>81</w:t>
      </w:r>
      <w:r>
        <w:rPr>
          <w:snapToGrid w:val="0"/>
        </w:rPr>
        <w:t>.</w:t>
      </w:r>
      <w:r>
        <w:rPr>
          <w:snapToGrid w:val="0"/>
        </w:rPr>
        <w:tab/>
        <w:t>General penalty</w:t>
      </w:r>
      <w:bookmarkEnd w:id="160"/>
      <w:bookmarkEnd w:id="161"/>
      <w:bookmarkEnd w:id="162"/>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No. 24 of 1986 s. 42.]</w:t>
      </w:r>
    </w:p>
    <w:p>
      <w:pPr>
        <w:pStyle w:val="Heading5"/>
        <w:rPr>
          <w:snapToGrid w:val="0"/>
        </w:rPr>
      </w:pPr>
      <w:bookmarkStart w:id="163" w:name="_Toc37170012"/>
      <w:bookmarkStart w:id="164" w:name="_Toc37230276"/>
      <w:bookmarkStart w:id="165" w:name="_Toc11742957"/>
      <w:r>
        <w:rPr>
          <w:rStyle w:val="CharSectno"/>
        </w:rPr>
        <w:t>82</w:t>
      </w:r>
      <w:r>
        <w:rPr>
          <w:snapToGrid w:val="0"/>
        </w:rPr>
        <w:t>.</w:t>
      </w:r>
      <w:r>
        <w:rPr>
          <w:snapToGrid w:val="0"/>
        </w:rPr>
        <w:tab/>
        <w:t>Recovery of moneys</w:t>
      </w:r>
      <w:bookmarkEnd w:id="163"/>
      <w:bookmarkEnd w:id="164"/>
      <w:bookmarkEnd w:id="165"/>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No. 59 of 2004 s. 141.]</w:t>
      </w:r>
    </w:p>
    <w:p>
      <w:pPr>
        <w:pStyle w:val="Heading5"/>
        <w:rPr>
          <w:snapToGrid w:val="0"/>
        </w:rPr>
      </w:pPr>
      <w:bookmarkStart w:id="166" w:name="_Toc37170013"/>
      <w:bookmarkStart w:id="167" w:name="_Toc37230277"/>
      <w:bookmarkStart w:id="168" w:name="_Toc11742958"/>
      <w:r>
        <w:rPr>
          <w:rStyle w:val="CharSectno"/>
        </w:rPr>
        <w:t>83</w:t>
      </w:r>
      <w:r>
        <w:rPr>
          <w:snapToGrid w:val="0"/>
        </w:rPr>
        <w:t>.</w:t>
      </w:r>
      <w:r>
        <w:rPr>
          <w:snapToGrid w:val="0"/>
        </w:rPr>
        <w:tab/>
        <w:t>Prosecution expenses</w:t>
      </w:r>
      <w:bookmarkEnd w:id="166"/>
      <w:bookmarkEnd w:id="167"/>
      <w:bookmarkEnd w:id="16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No. 30 of 1987 s. 8; No. 89 of 1994 s. 30.]</w:t>
      </w:r>
    </w:p>
    <w:p>
      <w:pPr>
        <w:pStyle w:val="Heading5"/>
        <w:rPr>
          <w:snapToGrid w:val="0"/>
        </w:rPr>
      </w:pPr>
      <w:bookmarkStart w:id="169" w:name="_Toc37170014"/>
      <w:bookmarkStart w:id="170" w:name="_Toc37230278"/>
      <w:bookmarkStart w:id="171" w:name="_Toc11742959"/>
      <w:r>
        <w:rPr>
          <w:rStyle w:val="CharSectno"/>
        </w:rPr>
        <w:t>84</w:t>
      </w:r>
      <w:r>
        <w:rPr>
          <w:snapToGrid w:val="0"/>
        </w:rPr>
        <w:t>.</w:t>
      </w:r>
      <w:r>
        <w:rPr>
          <w:snapToGrid w:val="0"/>
        </w:rPr>
        <w:tab/>
        <w:t>Power to institute and conduct proceedings</w:t>
      </w:r>
      <w:bookmarkEnd w:id="169"/>
      <w:bookmarkEnd w:id="170"/>
      <w:bookmarkEnd w:id="171"/>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keepNext/>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No. 89 of 1994 s. 31, 39, 40 and 41; No. 58 of 1999 s. 83; No. 59 of 2004 s. 141.]</w:t>
      </w:r>
    </w:p>
    <w:p>
      <w:pPr>
        <w:pStyle w:val="Heading5"/>
      </w:pPr>
      <w:bookmarkStart w:id="172" w:name="_Toc37170015"/>
      <w:bookmarkStart w:id="173" w:name="_Toc37230279"/>
      <w:bookmarkStart w:id="174" w:name="_Toc11742960"/>
      <w:r>
        <w:rPr>
          <w:rStyle w:val="CharSectno"/>
        </w:rPr>
        <w:t>85</w:t>
      </w:r>
      <w:r>
        <w:t>.</w:t>
      </w:r>
      <w:r>
        <w:tab/>
        <w:t>Limitation period for offences</w:t>
      </w:r>
      <w:bookmarkEnd w:id="172"/>
      <w:bookmarkEnd w:id="173"/>
      <w:bookmarkEnd w:id="174"/>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No. 59 of 2004 s. 141.]</w:t>
      </w:r>
    </w:p>
    <w:p>
      <w:pPr>
        <w:pStyle w:val="Heading5"/>
        <w:rPr>
          <w:snapToGrid w:val="0"/>
        </w:rPr>
      </w:pPr>
      <w:bookmarkStart w:id="175" w:name="_Toc37170016"/>
      <w:bookmarkStart w:id="176" w:name="_Toc37230280"/>
      <w:bookmarkStart w:id="177" w:name="_Toc11742961"/>
      <w:r>
        <w:rPr>
          <w:rStyle w:val="CharSectno"/>
        </w:rPr>
        <w:t>86</w:t>
      </w:r>
      <w:r>
        <w:rPr>
          <w:snapToGrid w:val="0"/>
        </w:rPr>
        <w:t>.</w:t>
      </w:r>
      <w:r>
        <w:rPr>
          <w:snapToGrid w:val="0"/>
        </w:rPr>
        <w:tab/>
        <w:t>Liability for the acts of others, bodies corporate etc.</w:t>
      </w:r>
      <w:bookmarkEnd w:id="175"/>
      <w:bookmarkEnd w:id="176"/>
      <w:bookmarkEnd w:id="177"/>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No. 24 of 1986 s. 34.]</w:t>
      </w:r>
    </w:p>
    <w:p>
      <w:pPr>
        <w:pStyle w:val="Heading5"/>
        <w:rPr>
          <w:snapToGrid w:val="0"/>
        </w:rPr>
      </w:pPr>
      <w:bookmarkStart w:id="178" w:name="_Toc37170017"/>
      <w:bookmarkStart w:id="179" w:name="_Toc37230281"/>
      <w:bookmarkStart w:id="180" w:name="_Toc11742962"/>
      <w:r>
        <w:rPr>
          <w:rStyle w:val="CharSectno"/>
        </w:rPr>
        <w:t>87</w:t>
      </w:r>
      <w:r>
        <w:rPr>
          <w:snapToGrid w:val="0"/>
        </w:rPr>
        <w:t>.</w:t>
      </w:r>
      <w:r>
        <w:rPr>
          <w:snapToGrid w:val="0"/>
        </w:rPr>
        <w:tab/>
        <w:t>Proof of certain matters</w:t>
      </w:r>
      <w:bookmarkEnd w:id="178"/>
      <w:bookmarkEnd w:id="179"/>
      <w:bookmarkEnd w:id="180"/>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 or</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No. 101 of 1981 s. 19; No. 24 of 1986 s. 42; No. 89 of 1994 s. 32, 39 and 41; No. 58 of 1999 s. 83(1) and (3).]</w:t>
      </w:r>
    </w:p>
    <w:p>
      <w:pPr>
        <w:pStyle w:val="Heading5"/>
        <w:rPr>
          <w:snapToGrid w:val="0"/>
        </w:rPr>
      </w:pPr>
      <w:bookmarkStart w:id="181" w:name="_Toc37170018"/>
      <w:bookmarkStart w:id="182" w:name="_Toc37230282"/>
      <w:bookmarkStart w:id="183" w:name="_Toc11742963"/>
      <w:r>
        <w:rPr>
          <w:rStyle w:val="CharSectno"/>
        </w:rPr>
        <w:t>88</w:t>
      </w:r>
      <w:r>
        <w:rPr>
          <w:snapToGrid w:val="0"/>
        </w:rPr>
        <w:t>.</w:t>
      </w:r>
      <w:r>
        <w:rPr>
          <w:snapToGrid w:val="0"/>
        </w:rPr>
        <w:tab/>
        <w:t>Evidence of documents issued by an energy operator</w:t>
      </w:r>
      <w:bookmarkEnd w:id="181"/>
      <w:bookmarkEnd w:id="182"/>
      <w:bookmarkEnd w:id="183"/>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keepLines/>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No. 101 of 1981 s. 20; No. 24 of 1986 s. 35 and 42; No. 89 of 1994 s. 33, 39 and 41; No. 58 of 1999 s. 83(1) and (3).]</w:t>
      </w:r>
    </w:p>
    <w:p>
      <w:pPr>
        <w:pStyle w:val="Ednotesection"/>
      </w:pPr>
      <w:r>
        <w:t>[</w:t>
      </w:r>
      <w:r>
        <w:rPr>
          <w:b/>
        </w:rPr>
        <w:t>89</w:t>
      </w:r>
      <w:r>
        <w:rPr>
          <w:b/>
        </w:rPr>
        <w:noBreakHyphen/>
        <w:t>96.</w:t>
      </w:r>
      <w:r>
        <w:tab/>
        <w:t>Deleted: No. 89 of 1994 s. 34.]</w:t>
      </w:r>
    </w:p>
    <w:p>
      <w:pPr>
        <w:pStyle w:val="Ednotesection"/>
      </w:pPr>
      <w:r>
        <w:t>[</w:t>
      </w:r>
      <w:r>
        <w:rPr>
          <w:b/>
        </w:rPr>
        <w:t>97.</w:t>
      </w:r>
      <w:r>
        <w:tab/>
        <w:t>Deleted: No. 60 of 1994 s. 13.]</w:t>
      </w:r>
    </w:p>
    <w:p>
      <w:pPr>
        <w:pStyle w:val="Ednotesection"/>
      </w:pPr>
      <w:r>
        <w:t>[</w:t>
      </w:r>
      <w:r>
        <w:rPr>
          <w:b/>
        </w:rPr>
        <w:t>98</w:t>
      </w:r>
      <w:r>
        <w:rPr>
          <w:b/>
        </w:rPr>
        <w:noBreakHyphen/>
        <w:t>102.</w:t>
      </w:r>
      <w:r>
        <w:tab/>
        <w:t>Deleted: No. 89 of 1994 s. 34.]</w:t>
      </w:r>
    </w:p>
    <w:p>
      <w:pPr>
        <w:pStyle w:val="Ednotesection"/>
      </w:pPr>
      <w:r>
        <w:t>[</w:t>
      </w:r>
      <w:r>
        <w:rPr>
          <w:b/>
        </w:rPr>
        <w:t>103.</w:t>
      </w:r>
      <w:r>
        <w:rPr>
          <w:b/>
        </w:rPr>
        <w:tab/>
      </w:r>
      <w:r>
        <w:t>Deleted: No. 98 of 1985 s. 3.]</w:t>
      </w:r>
    </w:p>
    <w:p>
      <w:pPr>
        <w:pStyle w:val="Ednotesection"/>
      </w:pPr>
      <w:r>
        <w:t>[</w:t>
      </w:r>
      <w:r>
        <w:rPr>
          <w:b/>
        </w:rPr>
        <w:t>104</w:t>
      </w:r>
      <w:r>
        <w:rPr>
          <w:b/>
        </w:rPr>
        <w:noBreakHyphen/>
        <w:t>108.</w:t>
      </w:r>
      <w:r>
        <w:rPr>
          <w:b/>
        </w:rPr>
        <w:tab/>
      </w:r>
      <w:r>
        <w:t>Deleted: No. 89 of 1994 s. 34.]</w:t>
      </w:r>
    </w:p>
    <w:p>
      <w:pPr>
        <w:pStyle w:val="Ednotesection"/>
      </w:pPr>
      <w:r>
        <w:t>[</w:t>
      </w:r>
      <w:r>
        <w:rPr>
          <w:b/>
        </w:rPr>
        <w:t>109.</w:t>
      </w:r>
      <w:r>
        <w:tab/>
        <w:t>Deleted: No. 101 of 1981 s. 31.]</w:t>
      </w:r>
    </w:p>
    <w:p>
      <w:pPr>
        <w:pStyle w:val="Ednotesection"/>
      </w:pPr>
      <w:r>
        <w:t>[</w:t>
      </w:r>
      <w:r>
        <w:rPr>
          <w:b/>
        </w:rPr>
        <w:t>110</w:t>
      </w:r>
      <w:r>
        <w:rPr>
          <w:b/>
        </w:rPr>
        <w:noBreakHyphen/>
        <w:t>114.</w:t>
      </w:r>
      <w:r>
        <w:rPr>
          <w:b/>
        </w:rPr>
        <w:tab/>
      </w:r>
      <w:r>
        <w:t>Deleted: No. 89 of 1994 s. 34.]</w:t>
      </w:r>
    </w:p>
    <w:p>
      <w:pPr>
        <w:pStyle w:val="Ednotesection"/>
      </w:pPr>
      <w:r>
        <w:t>[</w:t>
      </w:r>
      <w:r>
        <w:rPr>
          <w:b/>
        </w:rPr>
        <w:t>115</w:t>
      </w:r>
      <w:r>
        <w:rPr>
          <w:b/>
        </w:rPr>
        <w:noBreakHyphen/>
        <w:t>118.</w:t>
      </w:r>
      <w:r>
        <w:rPr>
          <w:b/>
        </w:rPr>
        <w:tab/>
      </w:r>
      <w:r>
        <w:t>Deleted: No. 98 of 1985 s. 3.]</w:t>
      </w:r>
    </w:p>
    <w:p>
      <w:pPr>
        <w:pStyle w:val="Ednotesection"/>
      </w:pPr>
      <w:r>
        <w:t>[</w:t>
      </w:r>
      <w:r>
        <w:rPr>
          <w:b/>
        </w:rPr>
        <w:t>119.</w:t>
      </w:r>
      <w:r>
        <w:rPr>
          <w:b/>
        </w:rPr>
        <w:tab/>
      </w:r>
      <w:r>
        <w:t>Deleted: No. 89 of 1994 s. 34.]</w:t>
      </w:r>
    </w:p>
    <w:p>
      <w:pPr>
        <w:pStyle w:val="Ednotesection"/>
      </w:pPr>
      <w:r>
        <w:t>[</w:t>
      </w:r>
      <w:r>
        <w:rPr>
          <w:b/>
        </w:rPr>
        <w:t>119A.</w:t>
      </w:r>
      <w:r>
        <w:tab/>
        <w:t>Deleted: No. 126 of 1987 s. 121.]</w:t>
      </w:r>
    </w:p>
    <w:p>
      <w:pPr>
        <w:pStyle w:val="Heading5"/>
        <w:rPr>
          <w:snapToGrid w:val="0"/>
        </w:rPr>
      </w:pPr>
      <w:bookmarkStart w:id="184" w:name="_Toc37170019"/>
      <w:bookmarkStart w:id="185" w:name="_Toc37230283"/>
      <w:bookmarkStart w:id="186" w:name="_Toc11742964"/>
      <w:r>
        <w:rPr>
          <w:rStyle w:val="CharSectno"/>
        </w:rPr>
        <w:t>120</w:t>
      </w:r>
      <w:r>
        <w:rPr>
          <w:snapToGrid w:val="0"/>
        </w:rPr>
        <w:t>.</w:t>
      </w:r>
      <w:r>
        <w:rPr>
          <w:snapToGrid w:val="0"/>
        </w:rPr>
        <w:tab/>
        <w:t>Energy operator to make good damage, and may be liable to pay compensation</w:t>
      </w:r>
      <w:bookmarkEnd w:id="184"/>
      <w:bookmarkEnd w:id="185"/>
      <w:bookmarkEnd w:id="186"/>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No. 101 of 1981 s. 37; No. 24 of 1986 s. 38; No. 89 of 1994 s. 35, 39 and 41; No. 58 of 1999 s. 82 and 83(1) and (3).]</w:t>
      </w:r>
    </w:p>
    <w:p>
      <w:pPr>
        <w:pStyle w:val="Heading5"/>
        <w:rPr>
          <w:snapToGrid w:val="0"/>
        </w:rPr>
      </w:pPr>
      <w:bookmarkStart w:id="187" w:name="_Toc37170020"/>
      <w:bookmarkStart w:id="188" w:name="_Toc37230284"/>
      <w:bookmarkStart w:id="189" w:name="_Toc11742965"/>
      <w:r>
        <w:rPr>
          <w:rStyle w:val="CharSectno"/>
        </w:rPr>
        <w:t>121</w:t>
      </w:r>
      <w:r>
        <w:rPr>
          <w:snapToGrid w:val="0"/>
        </w:rPr>
        <w:t>.</w:t>
      </w:r>
      <w:r>
        <w:rPr>
          <w:snapToGrid w:val="0"/>
        </w:rPr>
        <w:tab/>
        <w:t>Actions for damages, generally</w:t>
      </w:r>
      <w:bookmarkEnd w:id="187"/>
      <w:bookmarkEnd w:id="188"/>
      <w:bookmarkEnd w:id="189"/>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No. 101 of 1981 s. 38; No. 24 of 1986 s. 39; No. 89 of 1994 s. 36, 39, 40 and 41; No. 58 of 1999 s. 83.]</w:t>
      </w:r>
    </w:p>
    <w:p>
      <w:pPr>
        <w:pStyle w:val="Heading5"/>
        <w:rPr>
          <w:snapToGrid w:val="0"/>
        </w:rPr>
      </w:pPr>
      <w:bookmarkStart w:id="190" w:name="_Toc37170021"/>
      <w:bookmarkStart w:id="191" w:name="_Toc37230285"/>
      <w:bookmarkStart w:id="192" w:name="_Toc11742966"/>
      <w:r>
        <w:rPr>
          <w:rStyle w:val="CharSectno"/>
        </w:rPr>
        <w:t>122</w:t>
      </w:r>
      <w:r>
        <w:rPr>
          <w:snapToGrid w:val="0"/>
        </w:rPr>
        <w:t>.</w:t>
      </w:r>
      <w:r>
        <w:rPr>
          <w:snapToGrid w:val="0"/>
        </w:rPr>
        <w:tab/>
        <w:t>Protection</w:t>
      </w:r>
      <w:bookmarkEnd w:id="190"/>
      <w:bookmarkEnd w:id="191"/>
      <w:bookmarkEnd w:id="192"/>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keepLines w:val="0"/>
      </w:pPr>
      <w:r>
        <w:tab/>
        <w:t>[Section 122 inserted: No. 89 of 1994 s. 37.]</w:t>
      </w:r>
    </w:p>
    <w:p>
      <w:pPr>
        <w:pStyle w:val="Heading5"/>
        <w:rPr>
          <w:snapToGrid w:val="0"/>
        </w:rPr>
      </w:pPr>
      <w:bookmarkStart w:id="193" w:name="_Toc37170022"/>
      <w:bookmarkStart w:id="194" w:name="_Toc37230286"/>
      <w:bookmarkStart w:id="195" w:name="_Toc11742967"/>
      <w:r>
        <w:rPr>
          <w:rStyle w:val="CharSectno"/>
        </w:rPr>
        <w:t>123</w:t>
      </w:r>
      <w:r>
        <w:rPr>
          <w:snapToGrid w:val="0"/>
        </w:rPr>
        <w:t>.</w:t>
      </w:r>
      <w:r>
        <w:rPr>
          <w:snapToGrid w:val="0"/>
        </w:rPr>
        <w:tab/>
        <w:t>Regulations</w:t>
      </w:r>
      <w:bookmarkEnd w:id="193"/>
      <w:bookmarkEnd w:id="194"/>
      <w:bookmarkEnd w:id="195"/>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No. 24 of 1986 s. 40 and 42; No. 30 of 1987 s. 9; No. 89 of 1994 s. 39; No. 58 of 1999 s. 91; No. 33 of 2004 s. 45.]</w:t>
      </w:r>
    </w:p>
    <w:p>
      <w:pPr>
        <w:pStyle w:val="Heading5"/>
        <w:rPr>
          <w:snapToGrid w:val="0"/>
        </w:rPr>
      </w:pPr>
      <w:bookmarkStart w:id="196" w:name="_Toc37170023"/>
      <w:bookmarkStart w:id="197" w:name="_Toc37230287"/>
      <w:bookmarkStart w:id="198" w:name="_Toc11742968"/>
      <w:r>
        <w:rPr>
          <w:rStyle w:val="CharSectno"/>
        </w:rPr>
        <w:t>124</w:t>
      </w:r>
      <w:r>
        <w:rPr>
          <w:snapToGrid w:val="0"/>
        </w:rPr>
        <w:t>.</w:t>
      </w:r>
      <w:r>
        <w:rPr>
          <w:snapToGrid w:val="0"/>
        </w:rPr>
        <w:tab/>
        <w:t>By</w:t>
      </w:r>
      <w:r>
        <w:rPr>
          <w:snapToGrid w:val="0"/>
        </w:rPr>
        <w:noBreakHyphen/>
        <w:t>laws</w:t>
      </w:r>
      <w:bookmarkEnd w:id="196"/>
      <w:bookmarkEnd w:id="197"/>
      <w:bookmarkEnd w:id="198"/>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r>
        <w:t xml:space="preserve"> and</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r>
        <w:t xml:space="preserve"> and</w:t>
      </w:r>
    </w:p>
    <w:p>
      <w:pPr>
        <w:pStyle w:val="Indenta"/>
        <w:rPr>
          <w:snapToGrid w:val="0"/>
        </w:rPr>
      </w:pPr>
      <w:r>
        <w:rPr>
          <w:snapToGrid w:val="0"/>
        </w:rPr>
        <w:tab/>
        <w:t>(c)</w:t>
      </w:r>
      <w:r>
        <w:rPr>
          <w:snapToGrid w:val="0"/>
        </w:rPr>
        <w:tab/>
        <w:t xml:space="preserve">as to the establishment, conditions, and termination of the supply of energy; </w:t>
      </w:r>
      <w:r>
        <w:t>and</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 and</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 and</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 and</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 and</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 and</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 and</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 and</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 and</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corporation</w:t>
      </w:r>
      <w:r>
        <w:t xml:space="preserve"> includes any subsidiary, as defined in section 3(1) of the </w:t>
      </w:r>
      <w:r>
        <w:rPr>
          <w:i/>
          <w:iCs/>
        </w:rPr>
        <w:t>Electricity Corporations Act 2005</w:t>
      </w:r>
      <w:r>
        <w:t>, of the corporation.</w:t>
      </w:r>
    </w:p>
    <w:p>
      <w:pPr>
        <w:pStyle w:val="Footnotesection"/>
      </w:pPr>
      <w:r>
        <w:tab/>
        <w:t>[Section 124 amended: No. 24 of 1986 s. 41 and 42; No. 6 of 1991 s. 3; No. 89 of 1994 s. 38, 39 and 41; No. 58 of 1999 s. 92; No. 24 of 2000 s. 14(13); No. 74 of 2003 s. 51(2); No. 33 of 2004 s. 46; No. 18 of 2005 s. 139.]</w:t>
      </w:r>
    </w:p>
    <w:p>
      <w:pPr>
        <w:pStyle w:val="Heading5"/>
        <w:rPr>
          <w:snapToGrid w:val="0"/>
        </w:rPr>
      </w:pPr>
      <w:bookmarkStart w:id="199" w:name="_Toc37170024"/>
      <w:bookmarkStart w:id="200" w:name="_Toc37230288"/>
      <w:bookmarkStart w:id="201" w:name="_Toc11742969"/>
      <w:r>
        <w:rPr>
          <w:rStyle w:val="CharSectno"/>
        </w:rPr>
        <w:t>125</w:t>
      </w:r>
      <w:r>
        <w:rPr>
          <w:snapToGrid w:val="0"/>
        </w:rPr>
        <w:t>.</w:t>
      </w:r>
      <w:r>
        <w:rPr>
          <w:snapToGrid w:val="0"/>
        </w:rPr>
        <w:tab/>
        <w:t>Regulations or by</w:t>
      </w:r>
      <w:r>
        <w:rPr>
          <w:snapToGrid w:val="0"/>
        </w:rPr>
        <w:noBreakHyphen/>
        <w:t>laws, generally</w:t>
      </w:r>
      <w:bookmarkEnd w:id="199"/>
      <w:bookmarkEnd w:id="200"/>
      <w:bookmarkEnd w:id="201"/>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 and</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 or</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No. 89 of 1994 s. 39 and 41; No. 58 of 1999 s. 83(1) and (3); No. 74 of 2003 s. 51(3).]</w:t>
      </w:r>
    </w:p>
    <w:p>
      <w:pPr>
        <w:pStyle w:val="yEdnoteschedule"/>
      </w:pPr>
      <w:r>
        <w:t>[Schedule deleted: No. 60 of 1994 s. 13.]</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02" w:name="_Toc37170025"/>
      <w:bookmarkStart w:id="203" w:name="_Toc37170088"/>
      <w:bookmarkStart w:id="204" w:name="_Toc37170151"/>
      <w:bookmarkStart w:id="205" w:name="_Toc37170219"/>
      <w:bookmarkStart w:id="206" w:name="_Toc37171478"/>
      <w:bookmarkStart w:id="207" w:name="_Toc37230289"/>
      <w:bookmarkStart w:id="208" w:name="_Toc3896745"/>
      <w:bookmarkStart w:id="209" w:name="_Toc3897566"/>
      <w:bookmarkStart w:id="210" w:name="_Toc3898883"/>
      <w:bookmarkStart w:id="211" w:name="_Toc11742908"/>
      <w:bookmarkStart w:id="212" w:name="_Toc11742970"/>
      <w:r>
        <w:t>Notes</w:t>
      </w:r>
      <w:bookmarkEnd w:id="202"/>
      <w:bookmarkEnd w:id="203"/>
      <w:bookmarkEnd w:id="204"/>
      <w:bookmarkEnd w:id="205"/>
      <w:bookmarkEnd w:id="206"/>
      <w:bookmarkEnd w:id="207"/>
      <w:bookmarkEnd w:id="208"/>
      <w:bookmarkEnd w:id="209"/>
      <w:bookmarkEnd w:id="210"/>
      <w:bookmarkEnd w:id="211"/>
      <w:bookmarkEnd w:id="212"/>
    </w:p>
    <w:p>
      <w:pPr>
        <w:pStyle w:val="nStatement"/>
      </w:pPr>
      <w:del w:id="213" w:author="svcMRProcess" w:date="2020-04-08T09:31:00Z">
        <w:r>
          <w:rPr>
            <w:vertAlign w:val="superscript"/>
          </w:rPr>
          <w:delText>1</w:delText>
        </w:r>
        <w:r>
          <w:tab/>
        </w:r>
      </w:del>
      <w:r>
        <w:t xml:space="preserve">This is a compilation of the </w:t>
      </w:r>
      <w:r>
        <w:rPr>
          <w:i/>
          <w:noProof/>
        </w:rPr>
        <w:t>Energy Operators (Powers) Act 1979</w:t>
      </w:r>
      <w:r>
        <w:t xml:space="preserve"> and includes </w:t>
      </w:r>
      <w:del w:id="214" w:author="svcMRProcess" w:date="2020-04-08T09:31:00Z">
        <w:r>
          <w:delText xml:space="preserve">the </w:delText>
        </w:r>
      </w:del>
      <w:r>
        <w:t xml:space="preserve">amendments made by </w:t>
      </w:r>
      <w:del w:id="215" w:author="svcMRProcess" w:date="2020-04-08T09:31:00Z">
        <w:r>
          <w:delText xml:space="preserve">the </w:delText>
        </w:r>
      </w:del>
      <w:r>
        <w:t>other written laws</w:t>
      </w:r>
      <w:del w:id="216" w:author="svcMRProcess" w:date="2020-04-08T09:31:00Z">
        <w:r>
          <w:delText xml:space="preserve"> referred to in the following table</w:delText>
        </w:r>
        <w:r>
          <w:rPr>
            <w:vertAlign w:val="superscript"/>
          </w:rPr>
          <w:delText> 4</w:delText>
        </w:r>
        <w:r>
          <w:delText>.  The table also contains</w:delText>
        </w:r>
      </w:del>
      <w:ins w:id="217" w:author="svcMRProcess" w:date="2020-04-08T09:31:00Z">
        <w:r>
          <w:rPr>
            <w:vertAlign w:val="superscript"/>
          </w:rPr>
          <w:t> 3</w:t>
        </w:r>
        <w:r>
          <w:t>. For provisions that have come into operation, and for</w:t>
        </w:r>
      </w:ins>
      <w:r>
        <w:t xml:space="preserve"> information about any </w:t>
      </w:r>
      <w:del w:id="218" w:author="svcMRProcess" w:date="2020-04-08T09:31:00Z">
        <w:r>
          <w:delText>reprint</w:delText>
        </w:r>
      </w:del>
      <w:ins w:id="219" w:author="svcMRProcess" w:date="2020-04-08T09:31:00Z">
        <w:r>
          <w:t>reprints, see the compilation table</w:t>
        </w:r>
      </w:ins>
      <w:r>
        <w:t>.</w:t>
      </w:r>
    </w:p>
    <w:p>
      <w:pPr>
        <w:pStyle w:val="nHeading3"/>
        <w:rPr>
          <w:snapToGrid w:val="0"/>
        </w:rPr>
      </w:pPr>
      <w:bookmarkStart w:id="220" w:name="_Toc37170026"/>
      <w:bookmarkStart w:id="221" w:name="_Toc37230290"/>
      <w:bookmarkStart w:id="222" w:name="_Toc11742971"/>
      <w:r>
        <w:rPr>
          <w:snapToGrid w:val="0"/>
        </w:rPr>
        <w:t>Compilation table</w:t>
      </w:r>
      <w:bookmarkEnd w:id="220"/>
      <w:bookmarkEnd w:id="221"/>
      <w:bookmarkEnd w:id="222"/>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State Energy Commission Act 1979</w:t>
            </w:r>
            <w:r>
              <w:rPr>
                <w:vertAlign w:val="superscript"/>
              </w:rPr>
              <w:t> </w:t>
            </w:r>
            <w:del w:id="223" w:author="svcMRProcess" w:date="2020-04-08T09:31:00Z">
              <w:r>
                <w:rPr>
                  <w:vertAlign w:val="superscript"/>
                </w:rPr>
                <w:delText>5</w:delText>
              </w:r>
            </w:del>
            <w:ins w:id="224" w:author="svcMRProcess" w:date="2020-04-08T09:31:00Z">
              <w:r>
                <w:rPr>
                  <w:vertAlign w:val="superscript"/>
                </w:rPr>
                <w:t>4</w:t>
              </w:r>
            </w:ins>
          </w:p>
        </w:tc>
        <w:tc>
          <w:tcPr>
            <w:tcW w:w="1134" w:type="dxa"/>
          </w:tcPr>
          <w:p>
            <w:pPr>
              <w:pStyle w:val="nTable"/>
              <w:spacing w:after="40"/>
            </w:pPr>
            <w:r>
              <w:t>111 of 1979</w:t>
            </w:r>
          </w:p>
        </w:tc>
        <w:tc>
          <w:tcPr>
            <w:tcW w:w="1136"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State Energy Commission Amendment Act 1981</w:t>
            </w:r>
          </w:p>
        </w:tc>
        <w:tc>
          <w:tcPr>
            <w:tcW w:w="1134" w:type="dxa"/>
          </w:tcPr>
          <w:p>
            <w:pPr>
              <w:pStyle w:val="nTable"/>
              <w:spacing w:after="40"/>
            </w:pPr>
            <w:r>
              <w:t>101 of 1981</w:t>
            </w:r>
          </w:p>
        </w:tc>
        <w:tc>
          <w:tcPr>
            <w:tcW w:w="1136" w:type="dxa"/>
          </w:tcPr>
          <w:p>
            <w:pPr>
              <w:pStyle w:val="nTable"/>
              <w:spacing w:after="40"/>
            </w:pPr>
            <w:r>
              <w:t>4 Dec 1981</w:t>
            </w:r>
          </w:p>
        </w:tc>
        <w:tc>
          <w:tcPr>
            <w:tcW w:w="2551" w:type="dxa"/>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268" w:type="dxa"/>
          </w:tcPr>
          <w:p>
            <w:pPr>
              <w:pStyle w:val="nTable"/>
              <w:spacing w:after="40"/>
              <w:ind w:right="170"/>
            </w:pPr>
            <w:r>
              <w:rPr>
                <w:i/>
              </w:rPr>
              <w:t>State Energy Commission Amendment Act 1984</w:t>
            </w:r>
          </w:p>
        </w:tc>
        <w:tc>
          <w:tcPr>
            <w:tcW w:w="1134" w:type="dxa"/>
          </w:tcPr>
          <w:p>
            <w:pPr>
              <w:pStyle w:val="nTable"/>
              <w:spacing w:after="40"/>
            </w:pPr>
            <w:r>
              <w:t>36 of 1984</w:t>
            </w:r>
          </w:p>
        </w:tc>
        <w:tc>
          <w:tcPr>
            <w:tcW w:w="1136"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keepNext/>
              <w:keepLines/>
              <w:spacing w:after="40"/>
              <w:ind w:right="170"/>
            </w:pPr>
            <w:r>
              <w:rPr>
                <w:i/>
              </w:rPr>
              <w:t>State Energy Commission Amendment Act 1986</w:t>
            </w:r>
          </w:p>
        </w:tc>
        <w:tc>
          <w:tcPr>
            <w:tcW w:w="1134" w:type="dxa"/>
          </w:tcPr>
          <w:p>
            <w:pPr>
              <w:pStyle w:val="nTable"/>
              <w:keepNext/>
              <w:keepLines/>
              <w:spacing w:after="40"/>
            </w:pPr>
            <w:r>
              <w:t>24 of 1986</w:t>
            </w:r>
          </w:p>
        </w:tc>
        <w:tc>
          <w:tcPr>
            <w:tcW w:w="1136" w:type="dxa"/>
          </w:tcPr>
          <w:p>
            <w:pPr>
              <w:pStyle w:val="nTable"/>
              <w:keepNext/>
              <w:keepLines/>
              <w:spacing w:after="40"/>
            </w:pPr>
            <w:r>
              <w:t>28 Jul 1986</w:t>
            </w:r>
          </w:p>
        </w:tc>
        <w:tc>
          <w:tcPr>
            <w:tcW w:w="2551" w:type="dxa"/>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89" w:type="dxa"/>
            <w:gridSpan w:val="4"/>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268" w:type="dxa"/>
          </w:tcPr>
          <w:p>
            <w:pPr>
              <w:pStyle w:val="nTable"/>
              <w:spacing w:after="40"/>
              <w:ind w:right="170"/>
            </w:pPr>
            <w:r>
              <w:rPr>
                <w:i/>
              </w:rPr>
              <w:t>State Energy Commission Amendment Act 1987</w:t>
            </w:r>
          </w:p>
        </w:tc>
        <w:tc>
          <w:tcPr>
            <w:tcW w:w="1134" w:type="dxa"/>
          </w:tcPr>
          <w:p>
            <w:pPr>
              <w:pStyle w:val="nTable"/>
              <w:spacing w:after="40"/>
            </w:pPr>
            <w:r>
              <w:t>30 of 1987</w:t>
            </w:r>
          </w:p>
        </w:tc>
        <w:tc>
          <w:tcPr>
            <w:tcW w:w="1136" w:type="dxa"/>
          </w:tcPr>
          <w:p>
            <w:pPr>
              <w:pStyle w:val="nTable"/>
              <w:spacing w:after="40"/>
            </w:pPr>
            <w:r>
              <w:t>29 Jun 1987</w:t>
            </w:r>
          </w:p>
        </w:tc>
        <w:tc>
          <w:tcPr>
            <w:tcW w:w="2551" w:type="dxa"/>
          </w:tcPr>
          <w:p>
            <w:pPr>
              <w:pStyle w:val="nTable"/>
              <w:spacing w:after="40"/>
            </w:pPr>
            <w:r>
              <w:t>29 Jun 1987 (see s. 3)</w:t>
            </w:r>
          </w:p>
        </w:tc>
      </w:tr>
      <w:tr>
        <w:trPr>
          <w:cantSplit/>
        </w:trPr>
        <w:tc>
          <w:tcPr>
            <w:tcW w:w="2268" w:type="dxa"/>
          </w:tcPr>
          <w:p>
            <w:pPr>
              <w:pStyle w:val="nTable"/>
              <w:keepNext/>
              <w:spacing w:after="40"/>
              <w:ind w:right="170"/>
            </w:pPr>
            <w:r>
              <w:rPr>
                <w:i/>
              </w:rPr>
              <w:t>Acts Amendment (Public Service) Act 1987</w:t>
            </w:r>
            <w:r>
              <w:t xml:space="preserve"> s. 32</w:t>
            </w:r>
          </w:p>
        </w:tc>
        <w:tc>
          <w:tcPr>
            <w:tcW w:w="1134" w:type="dxa"/>
          </w:tcPr>
          <w:p>
            <w:pPr>
              <w:pStyle w:val="nTable"/>
              <w:keepNext/>
              <w:spacing w:after="40"/>
            </w:pPr>
            <w:r>
              <w:t>113 of 1987</w:t>
            </w:r>
          </w:p>
        </w:tc>
        <w:tc>
          <w:tcPr>
            <w:tcW w:w="1136"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8" w:type="dxa"/>
          </w:tcPr>
          <w:p>
            <w:pPr>
              <w:pStyle w:val="nTable"/>
              <w:keepNext/>
              <w:spacing w:after="40"/>
              <w:ind w:right="170"/>
            </w:pPr>
            <w:r>
              <w:rPr>
                <w:i/>
              </w:rPr>
              <w:t>Acts Amendment (Land Administration) Act 1987</w:t>
            </w:r>
            <w:r>
              <w:t xml:space="preserve"> Pt. XV</w:t>
            </w:r>
          </w:p>
        </w:tc>
        <w:tc>
          <w:tcPr>
            <w:tcW w:w="1134" w:type="dxa"/>
          </w:tcPr>
          <w:p>
            <w:pPr>
              <w:pStyle w:val="nTable"/>
              <w:keepNext/>
              <w:spacing w:after="40"/>
            </w:pPr>
            <w:r>
              <w:t>126 of 1987</w:t>
            </w:r>
          </w:p>
        </w:tc>
        <w:tc>
          <w:tcPr>
            <w:tcW w:w="1136" w:type="dxa"/>
          </w:tcPr>
          <w:p>
            <w:pPr>
              <w:pStyle w:val="nTable"/>
              <w:keepNext/>
              <w:spacing w:after="40"/>
            </w:pPr>
            <w:r>
              <w:t>31 Dec 1987</w:t>
            </w:r>
          </w:p>
        </w:tc>
        <w:tc>
          <w:tcPr>
            <w:tcW w:w="2551" w:type="dxa"/>
          </w:tcPr>
          <w:p>
            <w:pPr>
              <w:pStyle w:val="nTable"/>
              <w:keepNext/>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70"/>
            </w:pPr>
            <w:r>
              <w:rPr>
                <w:i/>
              </w:rPr>
              <w:t>Acts Amendment (Accountability) Act 1989</w:t>
            </w:r>
            <w:r>
              <w:t xml:space="preserve"> Pt. 5</w:t>
            </w:r>
          </w:p>
        </w:tc>
        <w:tc>
          <w:tcPr>
            <w:tcW w:w="1134" w:type="dxa"/>
          </w:tcPr>
          <w:p>
            <w:pPr>
              <w:pStyle w:val="nTable"/>
              <w:spacing w:after="40"/>
            </w:pPr>
            <w:r>
              <w:t>5 of 1989</w:t>
            </w:r>
          </w:p>
        </w:tc>
        <w:tc>
          <w:tcPr>
            <w:tcW w:w="1136" w:type="dxa"/>
          </w:tcPr>
          <w:p>
            <w:pPr>
              <w:pStyle w:val="nTable"/>
              <w:spacing w:after="40"/>
            </w:pPr>
            <w:r>
              <w:t>26 Apr 1989</w:t>
            </w:r>
          </w:p>
        </w:tc>
        <w:tc>
          <w:tcPr>
            <w:tcW w:w="2551" w:type="dxa"/>
          </w:tcPr>
          <w:p>
            <w:pPr>
              <w:pStyle w:val="nTable"/>
              <w:spacing w:after="40"/>
            </w:pPr>
            <w:r>
              <w:t xml:space="preserve">1 Jul 1989 (see s. 2 and </w:t>
            </w:r>
            <w:r>
              <w:rPr>
                <w:i/>
              </w:rPr>
              <w:t>Gazette</w:t>
            </w:r>
            <w:r>
              <w:t xml:space="preserve"> 30 Jun 1989 p. 1893)</w:t>
            </w:r>
          </w:p>
        </w:tc>
      </w:tr>
      <w:tr>
        <w:trPr>
          <w:cantSplit/>
        </w:trPr>
        <w:tc>
          <w:tcPr>
            <w:tcW w:w="2268" w:type="dxa"/>
          </w:tcPr>
          <w:p>
            <w:pPr>
              <w:pStyle w:val="nTable"/>
              <w:spacing w:after="40"/>
              <w:ind w:right="170"/>
            </w:pPr>
            <w:r>
              <w:rPr>
                <w:i/>
              </w:rPr>
              <w:t>State Energy Commission Amendment Act 1991</w:t>
            </w:r>
          </w:p>
        </w:tc>
        <w:tc>
          <w:tcPr>
            <w:tcW w:w="1134" w:type="dxa"/>
          </w:tcPr>
          <w:p>
            <w:pPr>
              <w:pStyle w:val="nTable"/>
              <w:spacing w:after="40"/>
            </w:pPr>
            <w:r>
              <w:t>6 of 1991</w:t>
            </w:r>
          </w:p>
        </w:tc>
        <w:tc>
          <w:tcPr>
            <w:tcW w:w="1136" w:type="dxa"/>
          </w:tcPr>
          <w:p>
            <w:pPr>
              <w:pStyle w:val="nTable"/>
              <w:spacing w:after="40"/>
            </w:pPr>
            <w:r>
              <w:t>5 Jun 1991</w:t>
            </w:r>
          </w:p>
        </w:tc>
        <w:tc>
          <w:tcPr>
            <w:tcW w:w="2551" w:type="dxa"/>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68" w:type="dxa"/>
          </w:tcPr>
          <w:p>
            <w:pPr>
              <w:pStyle w:val="nTable"/>
              <w:keepNext/>
              <w:keepLines/>
              <w:spacing w:after="40"/>
              <w:ind w:right="170"/>
            </w:pPr>
            <w:r>
              <w:rPr>
                <w:i/>
              </w:rPr>
              <w:t>Financial Administration Legislation Amendment Act 1993</w:t>
            </w:r>
            <w:r>
              <w:t xml:space="preserve"> s. 11 and 15</w:t>
            </w:r>
          </w:p>
        </w:tc>
        <w:tc>
          <w:tcPr>
            <w:tcW w:w="1134" w:type="dxa"/>
          </w:tcPr>
          <w:p>
            <w:pPr>
              <w:pStyle w:val="nTable"/>
              <w:keepNext/>
              <w:keepLines/>
              <w:spacing w:after="40"/>
            </w:pPr>
            <w:r>
              <w:t>6 of 1993</w:t>
            </w:r>
          </w:p>
        </w:tc>
        <w:tc>
          <w:tcPr>
            <w:tcW w:w="1136"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70"/>
            </w:pPr>
            <w:r>
              <w:rPr>
                <w:i/>
              </w:rPr>
              <w:t>Local Government (Superannuation) Legislation Amendment Act 1994</w:t>
            </w:r>
            <w:r>
              <w:t xml:space="preserve"> s. 13</w:t>
            </w:r>
          </w:p>
        </w:tc>
        <w:tc>
          <w:tcPr>
            <w:tcW w:w="1134" w:type="dxa"/>
          </w:tcPr>
          <w:p>
            <w:pPr>
              <w:pStyle w:val="nTable"/>
              <w:spacing w:after="40"/>
            </w:pPr>
            <w:r>
              <w:t>60 of 1994</w:t>
            </w:r>
          </w:p>
        </w:tc>
        <w:tc>
          <w:tcPr>
            <w:tcW w:w="1136"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cantSplit/>
        </w:trPr>
        <w:tc>
          <w:tcPr>
            <w:tcW w:w="2268" w:type="dxa"/>
          </w:tcPr>
          <w:p>
            <w:pPr>
              <w:pStyle w:val="nTable"/>
              <w:spacing w:after="40"/>
              <w:ind w:right="170"/>
              <w:rPr>
                <w:i/>
                <w:vertAlign w:val="superscript"/>
              </w:rPr>
            </w:pPr>
            <w:r>
              <w:rPr>
                <w:i/>
              </w:rPr>
              <w:t>Energy Corporations (Transitional and Consequential Provisions) Act 1994</w:t>
            </w:r>
            <w:r>
              <w:t xml:space="preserve"> Pt. 2</w:t>
            </w:r>
            <w:r>
              <w:rPr>
                <w:vertAlign w:val="superscript"/>
              </w:rPr>
              <w:t> </w:t>
            </w:r>
            <w:ins w:id="225" w:author="svcMRProcess" w:date="2020-04-08T09:31:00Z">
              <w:r>
                <w:rPr>
                  <w:vertAlign w:val="superscript"/>
                </w:rPr>
                <w:t xml:space="preserve">5, </w:t>
              </w:r>
            </w:ins>
            <w:r>
              <w:rPr>
                <w:vertAlign w:val="superscript"/>
              </w:rPr>
              <w:t>6</w:t>
            </w:r>
            <w:del w:id="226" w:author="svcMRProcess" w:date="2020-04-08T09:31:00Z">
              <w:r>
                <w:rPr>
                  <w:vertAlign w:val="superscript"/>
                </w:rPr>
                <w:delText>, 7</w:delText>
              </w:r>
            </w:del>
          </w:p>
        </w:tc>
        <w:tc>
          <w:tcPr>
            <w:tcW w:w="1134" w:type="dxa"/>
          </w:tcPr>
          <w:p>
            <w:pPr>
              <w:pStyle w:val="nTable"/>
              <w:spacing w:after="40"/>
            </w:pPr>
            <w:r>
              <w:t>89 of 1994 (as amended by No. 18 of 2005 s. 139)</w:t>
            </w:r>
          </w:p>
        </w:tc>
        <w:tc>
          <w:tcPr>
            <w:tcW w:w="1136"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70"/>
            </w:pPr>
            <w:r>
              <w:rPr>
                <w:i/>
              </w:rPr>
              <w:t>Planning Legislation Amendment Act (No. 2) 1994</w:t>
            </w:r>
            <w:r>
              <w:t xml:space="preserve"> s. 46(4)</w:t>
            </w:r>
          </w:p>
        </w:tc>
        <w:tc>
          <w:tcPr>
            <w:tcW w:w="1134" w:type="dxa"/>
          </w:tcPr>
          <w:p>
            <w:pPr>
              <w:pStyle w:val="nTable"/>
              <w:spacing w:after="40"/>
            </w:pPr>
            <w:r>
              <w:t>84 of 1994</w:t>
            </w:r>
          </w:p>
        </w:tc>
        <w:tc>
          <w:tcPr>
            <w:tcW w:w="1136"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7089" w:type="dxa"/>
            <w:gridSpan w:val="4"/>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6"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Sentencing (Consequential Provisions) Act 1995</w:t>
            </w:r>
            <w:r>
              <w:t xml:space="preserve"> Pt. 28</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Acts Amendment (Land Administration) Act 1997</w:t>
            </w:r>
            <w:r>
              <w:t xml:space="preserve"> Pt. 24 and s. 142 and 143</w:t>
            </w:r>
          </w:p>
        </w:tc>
        <w:tc>
          <w:tcPr>
            <w:tcW w:w="1134" w:type="dxa"/>
          </w:tcPr>
          <w:p>
            <w:pPr>
              <w:pStyle w:val="nTable"/>
              <w:keepNext/>
              <w:keepLines/>
              <w:spacing w:after="40"/>
            </w:pPr>
            <w:r>
              <w:t>31 of 1997</w:t>
            </w:r>
          </w:p>
        </w:tc>
        <w:tc>
          <w:tcPr>
            <w:tcW w:w="1136" w:type="dxa"/>
          </w:tcPr>
          <w:p>
            <w:pPr>
              <w:pStyle w:val="nTable"/>
              <w:keepNext/>
              <w:keepLines/>
              <w:spacing w:after="40"/>
            </w:pPr>
            <w:r>
              <w:t>3 Oct 1997</w:t>
            </w:r>
          </w:p>
        </w:tc>
        <w:tc>
          <w:tcPr>
            <w:tcW w:w="2551"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keepLines/>
              <w:spacing w:after="40"/>
              <w:ind w:right="170"/>
            </w:pPr>
            <w:r>
              <w:rPr>
                <w:i/>
              </w:rPr>
              <w:t>Gas Pipelines Access (Western Australia) Act 1998</w:t>
            </w:r>
            <w:r>
              <w:t xml:space="preserve"> Sch. 3 Div. 4</w:t>
            </w:r>
          </w:p>
        </w:tc>
        <w:tc>
          <w:tcPr>
            <w:tcW w:w="1134" w:type="dxa"/>
          </w:tcPr>
          <w:p>
            <w:pPr>
              <w:pStyle w:val="nTable"/>
              <w:keepLines/>
              <w:spacing w:after="40"/>
            </w:pPr>
            <w:r>
              <w:t>65 of 1998</w:t>
            </w:r>
          </w:p>
        </w:tc>
        <w:tc>
          <w:tcPr>
            <w:tcW w:w="1136" w:type="dxa"/>
          </w:tcPr>
          <w:p>
            <w:pPr>
              <w:pStyle w:val="nTable"/>
              <w:keepLines/>
              <w:spacing w:after="40"/>
            </w:pPr>
            <w:r>
              <w:t>15 Jan 1999</w:t>
            </w:r>
          </w:p>
        </w:tc>
        <w:tc>
          <w:tcPr>
            <w:tcW w:w="2551" w:type="dxa"/>
          </w:tcPr>
          <w:p>
            <w:pPr>
              <w:pStyle w:val="nTable"/>
              <w:keepLines/>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70"/>
            </w:pPr>
            <w:r>
              <w:rPr>
                <w:i/>
              </w:rPr>
              <w:t>Energy Coordination Amendment Act 1999</w:t>
            </w:r>
            <w:r>
              <w:t xml:space="preserve"> s. 10(1)</w:t>
            </w:r>
          </w:p>
        </w:tc>
        <w:tc>
          <w:tcPr>
            <w:tcW w:w="1134" w:type="dxa"/>
          </w:tcPr>
          <w:p>
            <w:pPr>
              <w:pStyle w:val="nTable"/>
              <w:keepNext/>
              <w:keepLines/>
              <w:spacing w:after="40"/>
            </w:pPr>
            <w:r>
              <w:t>20 of 1999</w:t>
            </w:r>
          </w:p>
        </w:tc>
        <w:tc>
          <w:tcPr>
            <w:tcW w:w="1136" w:type="dxa"/>
          </w:tcPr>
          <w:p>
            <w:pPr>
              <w:pStyle w:val="nTable"/>
              <w:keepNext/>
              <w:keepLines/>
              <w:spacing w:after="40"/>
            </w:pPr>
            <w:r>
              <w:t>24 Jun 1999</w:t>
            </w:r>
          </w:p>
        </w:tc>
        <w:tc>
          <w:tcPr>
            <w:tcW w:w="2551" w:type="dxa"/>
          </w:tcPr>
          <w:p>
            <w:pPr>
              <w:pStyle w:val="nTable"/>
              <w:keepNext/>
              <w:keepLines/>
              <w:spacing w:after="40"/>
            </w:pPr>
            <w:r>
              <w:t xml:space="preserve">16 Oct 1999 (see s. 2 and </w:t>
            </w:r>
            <w:r>
              <w:rPr>
                <w:i/>
              </w:rPr>
              <w:t>Gazette</w:t>
            </w:r>
            <w:r>
              <w:t xml:space="preserve"> 15 Oct 1999 p. 4865)</w:t>
            </w:r>
          </w:p>
        </w:tc>
      </w:tr>
      <w:tr>
        <w:trPr>
          <w:cantSplit/>
        </w:trPr>
        <w:tc>
          <w:tcPr>
            <w:tcW w:w="2268" w:type="dxa"/>
          </w:tcPr>
          <w:p>
            <w:pPr>
              <w:pStyle w:val="nTable"/>
              <w:spacing w:after="40"/>
              <w:ind w:right="170"/>
            </w:pPr>
            <w:r>
              <w:rPr>
                <w:i/>
              </w:rPr>
              <w:t>Gas Corporation (Business Disposal) Act 1999</w:t>
            </w:r>
            <w:r>
              <w:t xml:space="preserve"> s. 54-56, 77-83 and 90-92</w:t>
            </w:r>
            <w:r>
              <w:rPr>
                <w:vertAlign w:val="superscript"/>
              </w:rPr>
              <w:t> </w:t>
            </w:r>
            <w:del w:id="227" w:author="svcMRProcess" w:date="2020-04-08T09:31:00Z">
              <w:r>
                <w:rPr>
                  <w:vertAlign w:val="superscript"/>
                </w:rPr>
                <w:delText>8</w:delText>
              </w:r>
            </w:del>
            <w:ins w:id="228" w:author="svcMRProcess" w:date="2020-04-08T09:31:00Z">
              <w:r>
                <w:rPr>
                  <w:vertAlign w:val="superscript"/>
                </w:rPr>
                <w:t>7</w:t>
              </w:r>
            </w:ins>
          </w:p>
        </w:tc>
        <w:tc>
          <w:tcPr>
            <w:tcW w:w="1134" w:type="dxa"/>
          </w:tcPr>
          <w:p>
            <w:pPr>
              <w:pStyle w:val="nTable"/>
              <w:spacing w:after="40"/>
            </w:pPr>
            <w:r>
              <w:t>58 of 1999 (as amended by No. 74 of 2003 s. 51(4))</w:t>
            </w:r>
          </w:p>
        </w:tc>
        <w:tc>
          <w:tcPr>
            <w:tcW w:w="1136" w:type="dxa"/>
          </w:tcPr>
          <w:p>
            <w:pPr>
              <w:pStyle w:val="nTable"/>
              <w:spacing w:after="40"/>
            </w:pPr>
            <w:r>
              <w:t>24 Dec 1999</w:t>
            </w:r>
          </w:p>
        </w:tc>
        <w:tc>
          <w:tcPr>
            <w:tcW w:w="2551" w:type="dxa"/>
          </w:tcPr>
          <w:p>
            <w:pPr>
              <w:pStyle w:val="nTable"/>
              <w:spacing w:after="40"/>
              <w:ind w:right="-105"/>
            </w:pPr>
            <w:r>
              <w:t>s. 54-56: 24 Dec 1999 (see s. 2(1));</w:t>
            </w:r>
            <w:r>
              <w:br/>
              <w:t xml:space="preserve">s. 77-83: 1 Jul 2000 (see s. 2(2) and </w:t>
            </w:r>
            <w:r>
              <w:rPr>
                <w:i/>
              </w:rPr>
              <w:t>Gazette</w:t>
            </w:r>
            <w:r>
              <w:t xml:space="preserve"> 4 Jul 2000 p. 3545); </w:t>
            </w:r>
            <w:r>
              <w:br/>
              <w:t>s. 90</w:t>
            </w:r>
            <w:r>
              <w:noBreakHyphen/>
              <w:t xml:space="preserve">92: 16 Dec 2000 (see s. 2(5) and </w:t>
            </w:r>
            <w:r>
              <w:rPr>
                <w:i/>
              </w:rPr>
              <w:t>Gazette</w:t>
            </w:r>
            <w:r>
              <w:t xml:space="preserve"> 15 Dec 2000 p. 7201)</w:t>
            </w:r>
          </w:p>
        </w:tc>
      </w:tr>
      <w:tr>
        <w:trPr>
          <w:cantSplit/>
        </w:trPr>
        <w:tc>
          <w:tcPr>
            <w:tcW w:w="2268" w:type="dxa"/>
          </w:tcPr>
          <w:p>
            <w:pPr>
              <w:pStyle w:val="nTable"/>
              <w:spacing w:after="40"/>
              <w:ind w:right="170"/>
              <w:rPr>
                <w:i/>
              </w:rPr>
            </w:pPr>
            <w:r>
              <w:rPr>
                <w:i/>
              </w:rPr>
              <w:t>Statutes (Repeals and Minor Amendments) Act 2000</w:t>
            </w:r>
            <w:r>
              <w:t xml:space="preserve"> s. 14(13)</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68" w:type="dxa"/>
          </w:tcPr>
          <w:p>
            <w:pPr>
              <w:pStyle w:val="nTable"/>
              <w:spacing w:after="40"/>
              <w:ind w:right="170"/>
              <w:rPr>
                <w:i/>
              </w:rPr>
            </w:pPr>
            <w:r>
              <w:rPr>
                <w:i/>
              </w:rPr>
              <w:t xml:space="preserve">Sentencing Legislation Amendment and Repeal Act 2003 </w:t>
            </w:r>
            <w:r>
              <w:t>s. 58</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70"/>
              <w:rPr>
                <w:i/>
              </w:rPr>
            </w:pPr>
            <w:r>
              <w:rPr>
                <w:i/>
              </w:rPr>
              <w:t xml:space="preserve">Energy Legislation Amendment Act 2003 </w:t>
            </w:r>
            <w:r>
              <w:t>Pt. 7 Div. 2</w:t>
            </w:r>
            <w:r>
              <w:rPr>
                <w:vertAlign w:val="superscript"/>
              </w:rPr>
              <w:t> </w:t>
            </w:r>
            <w:del w:id="229" w:author="svcMRProcess" w:date="2020-04-08T09:31:00Z">
              <w:r>
                <w:rPr>
                  <w:vertAlign w:val="superscript"/>
                </w:rPr>
                <w:delText>9</w:delText>
              </w:r>
            </w:del>
            <w:ins w:id="230" w:author="svcMRProcess" w:date="2020-04-08T09:31:00Z">
              <w:r>
                <w:rPr>
                  <w:vertAlign w:val="superscript"/>
                </w:rPr>
                <w:t>8</w:t>
              </w:r>
            </w:ins>
          </w:p>
        </w:tc>
        <w:tc>
          <w:tcPr>
            <w:tcW w:w="1134" w:type="dxa"/>
          </w:tcPr>
          <w:p>
            <w:pPr>
              <w:pStyle w:val="nTable"/>
              <w:spacing w:after="40"/>
            </w:pPr>
            <w:r>
              <w:t>53 of 2003</w:t>
            </w:r>
          </w:p>
        </w:tc>
        <w:tc>
          <w:tcPr>
            <w:tcW w:w="1136" w:type="dxa"/>
          </w:tcPr>
          <w:p>
            <w:pPr>
              <w:pStyle w:val="nTable"/>
              <w:spacing w:after="40"/>
            </w:pPr>
            <w:r>
              <w:t>8 Oct 2003</w:t>
            </w:r>
          </w:p>
        </w:tc>
        <w:tc>
          <w:tcPr>
            <w:tcW w:w="2551" w:type="dxa"/>
          </w:tcPr>
          <w:p>
            <w:pPr>
              <w:pStyle w:val="nTable"/>
              <w:spacing w:after="40"/>
            </w:pPr>
            <w:r>
              <w:rPr>
                <w:spacing w:val="-2"/>
              </w:rPr>
              <w:t>8 Oct 2003 (see s. 2(1) and (2))</w:t>
            </w:r>
          </w:p>
        </w:tc>
      </w:tr>
      <w:tr>
        <w:trPr>
          <w:cantSplit/>
        </w:trPr>
        <w:tc>
          <w:tcPr>
            <w:tcW w:w="2268" w:type="dxa"/>
          </w:tcPr>
          <w:p>
            <w:pPr>
              <w:pStyle w:val="nTable"/>
              <w:spacing w:after="40"/>
              <w:ind w:right="170"/>
            </w:pPr>
            <w:r>
              <w:rPr>
                <w:i/>
              </w:rPr>
              <w:t>Statutes (Repeals and Minor Amendments) Act 2003</w:t>
            </w:r>
            <w:r>
              <w:t xml:space="preserve"> s. 51(2) and (3)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ind w:right="-114"/>
              <w:rPr>
                <w:spacing w:val="-2"/>
              </w:rPr>
            </w:pPr>
            <w:r>
              <w:rPr>
                <w:spacing w:val="-2"/>
              </w:rPr>
              <w:t>15 Dec 2003 (see s. 2)</w:t>
            </w:r>
          </w:p>
        </w:tc>
      </w:tr>
      <w:tr>
        <w:trPr>
          <w:cantSplit/>
        </w:trPr>
        <w:tc>
          <w:tcPr>
            <w:tcW w:w="2268" w:type="dxa"/>
          </w:tcPr>
          <w:p>
            <w:pPr>
              <w:pStyle w:val="nTable"/>
              <w:spacing w:after="40"/>
              <w:ind w:right="170"/>
            </w:pPr>
            <w:r>
              <w:rPr>
                <w:i/>
              </w:rPr>
              <w:t>Electricity Legislation Amendment Act 2004</w:t>
            </w:r>
            <w:r>
              <w:t xml:space="preserve"> Pt. 2 Div. 4 (s. 37-46)</w:t>
            </w:r>
          </w:p>
        </w:tc>
        <w:tc>
          <w:tcPr>
            <w:tcW w:w="1134" w:type="dxa"/>
          </w:tcPr>
          <w:p>
            <w:pPr>
              <w:pStyle w:val="nTable"/>
              <w:spacing w:after="40"/>
            </w:pPr>
            <w:r>
              <w:t>33 of 2004</w:t>
            </w:r>
          </w:p>
        </w:tc>
        <w:tc>
          <w:tcPr>
            <w:tcW w:w="1136" w:type="dxa"/>
          </w:tcPr>
          <w:p>
            <w:pPr>
              <w:pStyle w:val="nTable"/>
              <w:spacing w:after="40"/>
            </w:pPr>
            <w:r>
              <w:t>20 Oct 2004</w:t>
            </w:r>
          </w:p>
        </w:tc>
        <w:tc>
          <w:tcPr>
            <w:tcW w:w="2551" w:type="dxa"/>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6" w:type="dxa"/>
          </w:tcPr>
          <w:p>
            <w:pPr>
              <w:pStyle w:val="nTable"/>
              <w:spacing w:after="40"/>
            </w:pPr>
            <w:r>
              <w:rPr>
                <w:snapToGrid w:val="0"/>
              </w:rPr>
              <w:t>23 Nov 2004</w:t>
            </w:r>
          </w:p>
        </w:tc>
        <w:tc>
          <w:tcPr>
            <w:tcW w:w="2551" w:type="dxa"/>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tcPr>
          <w:p>
            <w:pPr>
              <w:pStyle w:val="nTable"/>
              <w:spacing w:after="40"/>
              <w:rPr>
                <w:snapToGrid w:val="0"/>
              </w:rPr>
            </w:pPr>
            <w:r>
              <w:rPr>
                <w:snapToGrid w:val="0"/>
              </w:rPr>
              <w:t>70 of 2004</w:t>
            </w:r>
          </w:p>
        </w:tc>
        <w:tc>
          <w:tcPr>
            <w:tcW w:w="1136" w:type="dxa"/>
          </w:tcPr>
          <w:p>
            <w:pPr>
              <w:pStyle w:val="nTable"/>
              <w:spacing w:after="40"/>
              <w:rPr>
                <w:snapToGrid w:val="0"/>
              </w:rPr>
            </w:pPr>
            <w:r>
              <w:rPr>
                <w:snapToGrid w:val="0"/>
              </w:rPr>
              <w:t>8 Dec 2004</w:t>
            </w:r>
          </w:p>
        </w:tc>
        <w:tc>
          <w:tcPr>
            <w:tcW w:w="2551" w:type="dxa"/>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68" w:type="dxa"/>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tcPr>
          <w:p>
            <w:pPr>
              <w:pStyle w:val="nTable"/>
              <w:spacing w:after="40"/>
              <w:rPr>
                <w:snapToGrid w:val="0"/>
              </w:rPr>
            </w:pPr>
            <w:r>
              <w:rPr>
                <w:snapToGrid w:val="0"/>
              </w:rPr>
              <w:t>18 of 2005</w:t>
            </w:r>
          </w:p>
        </w:tc>
        <w:tc>
          <w:tcPr>
            <w:tcW w:w="1136" w:type="dxa"/>
          </w:tcPr>
          <w:p>
            <w:pPr>
              <w:pStyle w:val="nTable"/>
              <w:spacing w:after="40"/>
              <w:rPr>
                <w:snapToGrid w:val="0"/>
              </w:rPr>
            </w:pPr>
            <w:r>
              <w:t>13 Oct 2005</w:t>
            </w:r>
          </w:p>
        </w:tc>
        <w:tc>
          <w:tcPr>
            <w:tcW w:w="2551" w:type="dxa"/>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68" w:type="dxa"/>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2268" w:type="dxa"/>
          </w:tcPr>
          <w:p>
            <w:pPr>
              <w:pStyle w:val="nTable"/>
              <w:spacing w:after="40"/>
              <w:ind w:right="113"/>
            </w:pPr>
            <w:r>
              <w:rPr>
                <w:i/>
                <w:snapToGrid w:val="0"/>
              </w:rPr>
              <w:t>Energy Operators (Powers) Amendment Act 2006</w:t>
            </w:r>
            <w:r>
              <w:t xml:space="preserve"> s. 1-4</w:t>
            </w:r>
          </w:p>
        </w:tc>
        <w:tc>
          <w:tcPr>
            <w:tcW w:w="1134" w:type="dxa"/>
          </w:tcPr>
          <w:p>
            <w:pPr>
              <w:pStyle w:val="nTable"/>
              <w:spacing w:after="40"/>
              <w:rPr>
                <w:snapToGrid w:val="0"/>
              </w:rPr>
            </w:pPr>
            <w:r>
              <w:rPr>
                <w:snapToGrid w:val="0"/>
              </w:rPr>
              <w:t>8 of 2006</w:t>
            </w:r>
          </w:p>
        </w:tc>
        <w:tc>
          <w:tcPr>
            <w:tcW w:w="1136" w:type="dxa"/>
          </w:tcPr>
          <w:p>
            <w:pPr>
              <w:pStyle w:val="nTable"/>
              <w:spacing w:after="40"/>
            </w:pPr>
            <w:r>
              <w:t>5 May 2006</w:t>
            </w:r>
          </w:p>
        </w:tc>
        <w:tc>
          <w:tcPr>
            <w:tcW w:w="2551" w:type="dxa"/>
          </w:tcPr>
          <w:p>
            <w:pPr>
              <w:pStyle w:val="nTable"/>
              <w:spacing w:after="40"/>
            </w:pPr>
            <w:r>
              <w:t>5 May 2006 (see s. 2)</w:t>
            </w:r>
          </w:p>
        </w:tc>
      </w:tr>
      <w:tr>
        <w:trPr>
          <w:cantSplit/>
        </w:trPr>
        <w:tc>
          <w:tcPr>
            <w:tcW w:w="2268" w:type="dxa"/>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pPr>
            <w:r>
              <w:t>16 Nov 2006</w:t>
            </w:r>
          </w:p>
        </w:tc>
        <w:tc>
          <w:tcPr>
            <w:tcW w:w="2551"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tcPr>
          <w:p>
            <w:pPr>
              <w:pStyle w:val="nTable"/>
              <w:spacing w:after="40"/>
              <w:rPr>
                <w:snapToGrid w:val="0"/>
              </w:rPr>
            </w:pPr>
            <w:r>
              <w:rPr>
                <w:snapToGrid w:val="0"/>
              </w:rPr>
              <w:t>38 of 2007</w:t>
            </w:r>
          </w:p>
        </w:tc>
        <w:tc>
          <w:tcPr>
            <w:tcW w:w="1136" w:type="dxa"/>
          </w:tcPr>
          <w:p>
            <w:pPr>
              <w:pStyle w:val="nTable"/>
              <w:spacing w:after="40"/>
            </w:pPr>
            <w:r>
              <w:t>21 Dec 2007</w:t>
            </w:r>
          </w:p>
        </w:tc>
        <w:tc>
          <w:tcPr>
            <w:tcW w:w="2551"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7089" w:type="dxa"/>
            <w:gridSpan w:val="4"/>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210</w:t>
            </w:r>
          </w:p>
        </w:tc>
        <w:tc>
          <w:tcPr>
            <w:tcW w:w="1134" w:type="dxa"/>
          </w:tcPr>
          <w:p>
            <w:pPr>
              <w:pStyle w:val="nTable"/>
              <w:spacing w:after="40"/>
              <w:rPr>
                <w:snapToGrid w:val="0"/>
              </w:rPr>
            </w:pPr>
            <w:r>
              <w:rPr>
                <w:snapToGrid w:val="0"/>
              </w:rPr>
              <w:t>25 of 2012</w:t>
            </w:r>
          </w:p>
        </w:tc>
        <w:tc>
          <w:tcPr>
            <w:tcW w:w="1136"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41</w:t>
            </w:r>
          </w:p>
        </w:tc>
        <w:tc>
          <w:tcPr>
            <w:tcW w:w="1134" w:type="dxa"/>
          </w:tcPr>
          <w:p>
            <w:pPr>
              <w:pStyle w:val="nTable"/>
              <w:spacing w:after="40"/>
              <w:rPr>
                <w:snapToGrid w:val="0"/>
              </w:rPr>
            </w:pPr>
            <w:r>
              <w:rPr>
                <w:snapToGrid w:val="0"/>
              </w:rPr>
              <w:t>25 of 2013</w:t>
            </w:r>
          </w:p>
        </w:tc>
        <w:tc>
          <w:tcPr>
            <w:tcW w:w="1136"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9" w:type="dxa"/>
            <w:gridSpan w:val="4"/>
            <w:shd w:val="clear" w:color="auto" w:fill="auto"/>
          </w:tcPr>
          <w:p>
            <w:pPr>
              <w:pStyle w:val="nTable"/>
              <w:spacing w:after="40"/>
              <w:rPr>
                <w:snapToGrid w:val="0"/>
                <w:color w:val="000000"/>
              </w:rPr>
            </w:pPr>
            <w:r>
              <w:rPr>
                <w:b/>
                <w:snapToGrid w:val="0"/>
                <w:color w:val="000000"/>
              </w:rPr>
              <w:t xml:space="preserve">Reprint 6: The </w:t>
            </w:r>
            <w:r>
              <w:rPr>
                <w:b/>
                <w:i/>
                <w:noProof/>
                <w:snapToGrid w:val="0"/>
                <w:color w:val="000000"/>
              </w:rPr>
              <w:t>Energy Operators (Powers) Act 1979</w:t>
            </w:r>
            <w:r>
              <w:rPr>
                <w:b/>
                <w:snapToGrid w:val="0"/>
                <w:color w:val="000000"/>
              </w:rPr>
              <w:t xml:space="preserve"> as at 14 Jun 2019</w:t>
            </w:r>
            <w:r>
              <w:rPr>
                <w:snapToGrid w:val="0"/>
                <w:color w:val="000000"/>
              </w:rPr>
              <w:t xml:space="preserve"> (includes amendments listed above)</w:t>
            </w:r>
          </w:p>
        </w:tc>
      </w:tr>
    </w:tbl>
    <w:p>
      <w:pPr>
        <w:pStyle w:val="nTable"/>
        <w:spacing w:after="40"/>
        <w:ind w:right="113"/>
        <w:rPr>
          <w:del w:id="231" w:author="svcMRProcess" w:date="2020-04-08T09:31:00Z"/>
          <w:i/>
        </w:rPr>
      </w:pPr>
      <w:del w:id="232" w:author="svcMRProcess" w:date="2020-04-08T09:31:00Z">
        <w:r>
          <w:rPr>
            <w:vertAlign w:val="superscript"/>
          </w:rPr>
          <w:delText>2</w:delText>
        </w:r>
      </w:del>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ins w:id="233" w:author="svcMRProcess" w:date="2020-04-08T09:31:00Z"/>
        </w:trPr>
        <w:tc>
          <w:tcPr>
            <w:tcW w:w="2268" w:type="dxa"/>
            <w:tcBorders>
              <w:bottom w:val="single" w:sz="4" w:space="0" w:color="auto"/>
            </w:tcBorders>
          </w:tcPr>
          <w:p>
            <w:pPr>
              <w:pStyle w:val="nTable"/>
              <w:spacing w:after="40"/>
              <w:ind w:right="113"/>
              <w:rPr>
                <w:ins w:id="234" w:author="svcMRProcess" w:date="2020-04-08T09:31:00Z"/>
                <w:snapToGrid w:val="0"/>
              </w:rPr>
            </w:pPr>
            <w:ins w:id="235" w:author="svcMRProcess" w:date="2020-04-08T09:31:00Z">
              <w:r>
                <w:rPr>
                  <w:i/>
                </w:rPr>
                <w:t>Electricity Industry Amendment Act 2020</w:t>
              </w:r>
              <w:r>
                <w:t xml:space="preserve"> s. 31</w:t>
              </w:r>
            </w:ins>
          </w:p>
        </w:tc>
        <w:tc>
          <w:tcPr>
            <w:tcW w:w="1134" w:type="dxa"/>
            <w:tcBorders>
              <w:bottom w:val="single" w:sz="4" w:space="0" w:color="auto"/>
            </w:tcBorders>
          </w:tcPr>
          <w:p>
            <w:pPr>
              <w:pStyle w:val="nTable"/>
              <w:spacing w:after="40"/>
              <w:rPr>
                <w:ins w:id="236" w:author="svcMRProcess" w:date="2020-04-08T09:31:00Z"/>
                <w:snapToGrid w:val="0"/>
              </w:rPr>
            </w:pPr>
            <w:ins w:id="237" w:author="svcMRProcess" w:date="2020-04-08T09:31:00Z">
              <w:r>
                <w:rPr>
                  <w:snapToGrid w:val="0"/>
                </w:rPr>
                <w:t>9 of 2020</w:t>
              </w:r>
            </w:ins>
          </w:p>
        </w:tc>
        <w:tc>
          <w:tcPr>
            <w:tcW w:w="1136" w:type="dxa"/>
            <w:tcBorders>
              <w:bottom w:val="single" w:sz="4" w:space="0" w:color="auto"/>
            </w:tcBorders>
          </w:tcPr>
          <w:p>
            <w:pPr>
              <w:pStyle w:val="nTable"/>
              <w:spacing w:after="40"/>
              <w:rPr>
                <w:ins w:id="238" w:author="svcMRProcess" w:date="2020-04-08T09:31:00Z"/>
              </w:rPr>
            </w:pPr>
            <w:ins w:id="239" w:author="svcMRProcess" w:date="2020-04-08T09:31:00Z">
              <w:r>
                <w:rPr>
                  <w:snapToGrid w:val="0"/>
                </w:rPr>
                <w:t>6 Apr 2020</w:t>
              </w:r>
            </w:ins>
          </w:p>
        </w:tc>
        <w:tc>
          <w:tcPr>
            <w:tcW w:w="2551" w:type="dxa"/>
            <w:tcBorders>
              <w:bottom w:val="single" w:sz="4" w:space="0" w:color="auto"/>
            </w:tcBorders>
          </w:tcPr>
          <w:p>
            <w:pPr>
              <w:pStyle w:val="nTable"/>
              <w:spacing w:after="40"/>
              <w:rPr>
                <w:ins w:id="240" w:author="svcMRProcess" w:date="2020-04-08T09:31:00Z"/>
                <w:snapToGrid w:val="0"/>
              </w:rPr>
            </w:pPr>
            <w:ins w:id="241" w:author="svcMRProcess" w:date="2020-04-08T09:31:00Z">
              <w:r>
                <w:rPr>
                  <w:snapToGrid w:val="0"/>
                  <w:color w:val="000000"/>
                </w:rPr>
                <w:t>7 Apr 2020 (see s. 2(b))</w:t>
              </w:r>
            </w:ins>
          </w:p>
        </w:tc>
      </w:tr>
    </w:tbl>
    <w:p>
      <w:pPr>
        <w:pStyle w:val="nHeading3"/>
        <w:rPr>
          <w:ins w:id="242" w:author="svcMRProcess" w:date="2020-04-08T09:31:00Z"/>
        </w:rPr>
      </w:pPr>
      <w:bookmarkStart w:id="243" w:name="_Toc37170027"/>
      <w:bookmarkStart w:id="244" w:name="_Toc37230291"/>
      <w:ins w:id="245" w:author="svcMRProcess" w:date="2020-04-08T09:31:00Z">
        <w:r>
          <w:t>Other notes</w:t>
        </w:r>
        <w:bookmarkEnd w:id="243"/>
        <w:bookmarkEnd w:id="244"/>
      </w:ins>
    </w:p>
    <w:p>
      <w:pPr>
        <w:pStyle w:val="nNote"/>
        <w:spacing w:before="120"/>
        <w:rPr>
          <w:snapToGrid w:val="0"/>
        </w:rPr>
      </w:pPr>
      <w:ins w:id="246" w:author="svcMRProcess" w:date="2020-04-08T09:31:00Z">
        <w:r>
          <w:rPr>
            <w:vertAlign w:val="superscript"/>
          </w:rPr>
          <w:t>1</w:t>
        </w:r>
      </w:ins>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Note"/>
        <w:spacing w:before="120"/>
        <w:rPr>
          <w:snapToGrid w:val="0"/>
        </w:rPr>
      </w:pPr>
      <w:del w:id="247" w:author="svcMRProcess" w:date="2020-04-08T09:31:00Z">
        <w:r>
          <w:rPr>
            <w:snapToGrid w:val="0"/>
            <w:vertAlign w:val="superscript"/>
          </w:rPr>
          <w:delText>3</w:delText>
        </w:r>
      </w:del>
      <w:ins w:id="248" w:author="svcMRProcess" w:date="2020-04-08T09:31:00Z">
        <w:r>
          <w:rPr>
            <w:snapToGrid w:val="0"/>
            <w:vertAlign w:val="superscript"/>
          </w:rPr>
          <w:t>2</w:t>
        </w:r>
      </w:ins>
      <w:r>
        <w:rPr>
          <w:snapToGrid w:val="0"/>
        </w:rPr>
        <w:tab/>
        <w:t xml:space="preserve">The </w:t>
      </w:r>
      <w:r>
        <w:rPr>
          <w:i/>
          <w:snapToGrid w:val="0"/>
        </w:rPr>
        <w:t>State Electricity Commission Act 1945</w:t>
      </w:r>
      <w:r>
        <w:rPr>
          <w:snapToGrid w:val="0"/>
        </w:rPr>
        <w:t xml:space="preserve"> was repealed by this Act.</w:t>
      </w:r>
    </w:p>
    <w:p>
      <w:pPr>
        <w:pStyle w:val="nNote"/>
        <w:keepNext/>
        <w:spacing w:before="120"/>
        <w:rPr>
          <w:snapToGrid w:val="0"/>
        </w:rPr>
      </w:pPr>
      <w:del w:id="249" w:author="svcMRProcess" w:date="2020-04-08T09:31:00Z">
        <w:r>
          <w:rPr>
            <w:snapToGrid w:val="0"/>
            <w:vertAlign w:val="superscript"/>
          </w:rPr>
          <w:delText>4</w:delText>
        </w:r>
      </w:del>
      <w:ins w:id="250" w:author="svcMRProcess" w:date="2020-04-08T09:31:00Z">
        <w:r>
          <w:rPr>
            <w:snapToGrid w:val="0"/>
            <w:vertAlign w:val="superscript"/>
          </w:rPr>
          <w:t>3</w:t>
        </w:r>
      </w:ins>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BlankOpen"/>
        <w:rPr>
          <w:snapToGrid w:val="0"/>
        </w:rPr>
      </w:pP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BlankClose"/>
        <w:rPr>
          <w:snapToGrid w:val="0"/>
        </w:rPr>
      </w:pPr>
    </w:p>
    <w:p>
      <w:pPr>
        <w:pStyle w:val="nNote"/>
        <w:rPr>
          <w:snapToGrid w:val="0"/>
        </w:rPr>
      </w:pPr>
      <w:del w:id="251" w:author="svcMRProcess" w:date="2020-04-08T09:31:00Z">
        <w:r>
          <w:rPr>
            <w:snapToGrid w:val="0"/>
            <w:vertAlign w:val="superscript"/>
          </w:rPr>
          <w:delText>5</w:delText>
        </w:r>
      </w:del>
      <w:ins w:id="252" w:author="svcMRProcess" w:date="2020-04-08T09:31:00Z">
        <w:r>
          <w:rPr>
            <w:snapToGrid w:val="0"/>
            <w:vertAlign w:val="superscript"/>
          </w:rPr>
          <w:t>4</w:t>
        </w:r>
      </w:ins>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Note"/>
        <w:rPr>
          <w:snapToGrid w:val="0"/>
        </w:rPr>
      </w:pPr>
      <w:del w:id="253" w:author="svcMRProcess" w:date="2020-04-08T09:31:00Z">
        <w:r>
          <w:rPr>
            <w:snapToGrid w:val="0"/>
            <w:vertAlign w:val="superscript"/>
          </w:rPr>
          <w:delText>6</w:delText>
        </w:r>
      </w:del>
      <w:ins w:id="254" w:author="svcMRProcess" w:date="2020-04-08T09:31:00Z">
        <w:r>
          <w:rPr>
            <w:snapToGrid w:val="0"/>
            <w:vertAlign w:val="superscript"/>
          </w:rPr>
          <w:t>5</w:t>
        </w:r>
      </w:ins>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Note"/>
        <w:rPr>
          <w:snapToGrid w:val="0"/>
        </w:rPr>
      </w:pPr>
      <w:del w:id="255" w:author="svcMRProcess" w:date="2020-04-08T09:31:00Z">
        <w:r>
          <w:rPr>
            <w:snapToGrid w:val="0"/>
            <w:vertAlign w:val="superscript"/>
          </w:rPr>
          <w:delText>7</w:delText>
        </w:r>
      </w:del>
      <w:ins w:id="256" w:author="svcMRProcess" w:date="2020-04-08T09:31:00Z">
        <w:r>
          <w:rPr>
            <w:snapToGrid w:val="0"/>
            <w:vertAlign w:val="superscript"/>
          </w:rPr>
          <w:t>6</w:t>
        </w:r>
      </w:ins>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BlankOpen"/>
        <w:rPr>
          <w:snapToGrid w:val="0"/>
        </w:rPr>
      </w:pPr>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r>
      <w:r>
        <w:rPr>
          <w:b/>
          <w:bCs/>
          <w:i/>
        </w:rPr>
        <w:t>assets</w:t>
      </w:r>
      <w:r>
        <w:rPr>
          <w:i/>
        </w:rPr>
        <w:t xml:space="preserve"> </w:t>
      </w:r>
      <w:r>
        <w:t xml:space="preserve">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r>
      <w:r>
        <w:rPr>
          <w:b/>
          <w:bCs/>
          <w:i/>
        </w:rPr>
        <w:t>commencement day</w:t>
      </w:r>
      <w:r>
        <w:rPr>
          <w:i/>
        </w:rPr>
        <w:t xml:space="preserve"> </w:t>
      </w:r>
      <w:r>
        <w:t>means the day on which Part 2 comes into operation;</w:t>
      </w:r>
    </w:p>
    <w:p>
      <w:pPr>
        <w:pStyle w:val="nzDefstart"/>
      </w:pPr>
      <w:r>
        <w:rPr>
          <w:b/>
          <w:bCs/>
        </w:rPr>
        <w:tab/>
      </w:r>
      <w:r>
        <w:rPr>
          <w:b/>
          <w:bCs/>
          <w:i/>
        </w:rPr>
        <w:t>Commission</w:t>
      </w:r>
      <w:r>
        <w:t xml:space="preserve"> means the Commission under the principal Act as in force before the commencement day;</w:t>
      </w:r>
    </w:p>
    <w:p>
      <w:pPr>
        <w:pStyle w:val="nzDefstart"/>
      </w:pPr>
      <w:r>
        <w:rPr>
          <w:b/>
          <w:bCs/>
        </w:rPr>
        <w:tab/>
      </w:r>
      <w:r>
        <w:rPr>
          <w:b/>
          <w:bCs/>
          <w:i/>
        </w:rPr>
        <w:t>corporation</w:t>
      </w:r>
      <w:r>
        <w:t xml:space="preserve"> means the Electricity Corporation or the Gas Corporation but in section 47 </w:t>
      </w:r>
      <w:r>
        <w:rPr>
          <w:b/>
          <w:bCs/>
          <w:i/>
        </w:rPr>
        <w:t>corporations</w:t>
      </w:r>
      <w:r>
        <w:t xml:space="preserve"> means both of those corporations;</w:t>
      </w:r>
    </w:p>
    <w:p>
      <w:pPr>
        <w:pStyle w:val="nzDefstart"/>
      </w:pPr>
      <w:r>
        <w:rPr>
          <w:b/>
          <w:bCs/>
        </w:rPr>
        <w:tab/>
      </w:r>
      <w:r>
        <w:rPr>
          <w:b/>
          <w:bCs/>
          <w:i/>
        </w:rPr>
        <w:t>Electricity Corporation</w:t>
      </w:r>
      <w:r>
        <w:t xml:space="preserve"> means the body corporate established by section 4 of the </w:t>
      </w:r>
      <w:r>
        <w:rPr>
          <w:i/>
          <w:iCs/>
        </w:rPr>
        <w:t>Electricity Corporation Act 1994</w:t>
      </w:r>
      <w:r>
        <w:t>;</w:t>
      </w:r>
    </w:p>
    <w:p>
      <w:pPr>
        <w:pStyle w:val="nzDefstart"/>
      </w:pPr>
      <w:r>
        <w:rPr>
          <w:b/>
          <w:bCs/>
        </w:rPr>
        <w:tab/>
      </w:r>
      <w:r>
        <w:rPr>
          <w:b/>
          <w:bCs/>
          <w:i/>
        </w:rPr>
        <w:t>Gas Corporation</w:t>
      </w:r>
      <w:r>
        <w:t xml:space="preserve"> means the body corporate established by section 4 of the </w:t>
      </w:r>
      <w:r>
        <w:rPr>
          <w:i/>
          <w:iCs/>
        </w:rPr>
        <w:t>Gas Corporation Act 1994</w:t>
      </w:r>
      <w:r>
        <w:t>;</w:t>
      </w:r>
    </w:p>
    <w:p>
      <w:pPr>
        <w:pStyle w:val="nzDefstart"/>
      </w:pPr>
      <w:r>
        <w:rPr>
          <w:b/>
          <w:bCs/>
        </w:rPr>
        <w:tab/>
      </w:r>
      <w:r>
        <w:rPr>
          <w:b/>
          <w:bCs/>
          <w:i/>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r>
      <w:r>
        <w:rPr>
          <w:b/>
          <w:bCs/>
          <w:i/>
        </w:rPr>
        <w:t>principal Act</w:t>
      </w:r>
      <w:r>
        <w:t xml:space="preserve"> means the </w:t>
      </w:r>
      <w:r>
        <w:rPr>
          <w:i/>
          <w:iCs/>
        </w:rPr>
        <w:t>State Energy Commission Act 1979</w:t>
      </w:r>
      <w:r>
        <w:t>;</w:t>
      </w:r>
    </w:p>
    <w:p>
      <w:pPr>
        <w:pStyle w:val="nzDefstart"/>
      </w:pPr>
      <w:r>
        <w:rPr>
          <w:b/>
          <w:bCs/>
        </w:rPr>
        <w:tab/>
      </w:r>
      <w:r>
        <w:rPr>
          <w:b/>
          <w:bCs/>
          <w:i/>
        </w:rPr>
        <w:t>right</w:t>
      </w:r>
      <w:r>
        <w:t xml:space="preserve"> means any right, power, privilege or immunity whether actual, contingent or prospective;</w:t>
      </w:r>
    </w:p>
    <w:p>
      <w:pPr>
        <w:pStyle w:val="nzDefstart"/>
      </w:pPr>
      <w:r>
        <w:rPr>
          <w:b/>
          <w:bCs/>
        </w:rPr>
        <w:tab/>
      </w:r>
      <w:r>
        <w:rPr>
          <w:b/>
          <w:bCs/>
          <w:i/>
        </w:rPr>
        <w:t>transfer order</w:t>
      </w:r>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keepNext w:val="0"/>
        <w:spacing w:before="120"/>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keepNext w:val="0"/>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r>
        <w:rPr>
          <w:b/>
          <w:bCs/>
          <w:i/>
        </w:rPr>
        <w:t>Government agreement</w:t>
      </w:r>
      <w:r>
        <w:t xml:space="preserve"> has the same meaning as it has in the </w:t>
      </w:r>
      <w:r>
        <w:rPr>
          <w:i/>
          <w:iCs/>
        </w:rPr>
        <w:t>Government Agreements Act 1979</w:t>
      </w:r>
      <w:r>
        <w:t>.</w:t>
      </w:r>
    </w:p>
    <w:p>
      <w:pPr>
        <w:pStyle w:val="nzHeading5"/>
      </w:pPr>
      <w:r>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pPr>
      <w:r>
        <w:tab/>
        <w:t>(1a)</w:t>
      </w:r>
      <w:r>
        <w:tab/>
        <w:t>In subsection (1)(b) —</w:t>
      </w:r>
    </w:p>
    <w:p>
      <w:pPr>
        <w:pStyle w:val="nzDefstart"/>
        <w:rPr>
          <w:bCs/>
        </w:rPr>
      </w:pPr>
      <w:r>
        <w:rPr>
          <w:b/>
        </w:rPr>
        <w:tab/>
      </w:r>
      <w:r>
        <w:rPr>
          <w:b/>
          <w:i/>
        </w:rPr>
        <w:t>new corporation</w:t>
      </w:r>
      <w:r>
        <w:t xml:space="preserve"> and </w:t>
      </w:r>
      <w:r>
        <w:rPr>
          <w:b/>
          <w:i/>
        </w:rPr>
        <w:t>transfer order</w:t>
      </w:r>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bCs/>
          <w:i/>
        </w:rPr>
        <w:t>relevant Act</w:t>
      </w:r>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r>
      <w:r>
        <w:rPr>
          <w:b/>
          <w:bCs/>
          <w:i/>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bCs/>
          <w:i/>
        </w:rPr>
        <w:t>relevant officials</w:t>
      </w:r>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keepNext/>
        <w:keepLines/>
      </w:pPr>
      <w:r>
        <w:tab/>
        <w:t>(b)</w:t>
      </w:r>
      <w:r>
        <w:tab/>
        <w:t>which contains a reference to the Commission,</w:t>
      </w:r>
    </w:p>
    <w:p>
      <w:pPr>
        <w:pStyle w:val="nzSubsection"/>
        <w:keepNext/>
        <w:keepLines/>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bCs/>
          <w:i/>
        </w:rPr>
        <w:t>relevant corporation</w:t>
      </w:r>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BlankClose"/>
      </w:pPr>
    </w:p>
    <w:p>
      <w:pPr>
        <w:pStyle w:val="nNote"/>
      </w:pPr>
      <w:del w:id="257" w:author="svcMRProcess" w:date="2020-04-08T09:31:00Z">
        <w:r>
          <w:rPr>
            <w:snapToGrid w:val="0"/>
            <w:vertAlign w:val="superscript"/>
          </w:rPr>
          <w:delText>8</w:delText>
        </w:r>
      </w:del>
      <w:ins w:id="258" w:author="svcMRProcess" w:date="2020-04-08T09:31:00Z">
        <w:r>
          <w:rPr>
            <w:snapToGrid w:val="0"/>
            <w:vertAlign w:val="superscript"/>
          </w:rPr>
          <w:t>7</w:t>
        </w:r>
      </w:ins>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Note"/>
      </w:pPr>
      <w:del w:id="259" w:author="svcMRProcess" w:date="2020-04-08T09:31:00Z">
        <w:r>
          <w:rPr>
            <w:vertAlign w:val="superscript"/>
          </w:rPr>
          <w:delText>9</w:delText>
        </w:r>
      </w:del>
      <w:ins w:id="260" w:author="svcMRProcess" w:date="2020-04-08T09:31:00Z">
        <w:r>
          <w:rPr>
            <w:vertAlign w:val="superscript"/>
          </w:rPr>
          <w:t>8</w:t>
        </w:r>
      </w:ins>
      <w:r>
        <w:tab/>
        <w:t xml:space="preserve">The </w:t>
      </w:r>
      <w:r>
        <w:rPr>
          <w:i/>
        </w:rPr>
        <w:t>Energy Legislation Amendment Act 2003</w:t>
      </w:r>
      <w:r>
        <w:t xml:space="preserve"> s. 115(3)</w:t>
      </w:r>
      <w:r>
        <w:noBreakHyphen/>
        <w:t>(4) and 116 read as follows:</w:t>
      </w:r>
    </w:p>
    <w:p>
      <w:pPr>
        <w:pStyle w:val="BlankOpen"/>
      </w:pP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BlankClose"/>
      </w:pPr>
    </w:p>
    <w:p/>
    <w:p>
      <w:pPr>
        <w:rPr>
          <w:del w:id="261" w:author="svcMRProcess" w:date="2020-04-08T09:31: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3" w:name="Coversheet"/>
    <w:bookmarkEnd w:id="2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612"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400"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lvlText w:val="%1."/>
      <w:lvlJc w:val="left"/>
      <w:pPr>
        <w:tabs>
          <w:tab w:val="num" w:pos="1492"/>
        </w:tabs>
        <w:ind w:left="1492" w:hanging="360"/>
      </w:pPr>
    </w:lvl>
  </w:abstractNum>
  <w:abstractNum w:abstractNumId="1">
    <w:nsid w:val="FFFFFF7D"/>
    <w:multiLevelType w:val="singleLevel"/>
    <w:tmpl w:val="028C24F8"/>
    <w:lvl w:ilvl="0">
      <w:start w:val="1"/>
      <w:numFmt w:val="decimal"/>
      <w:lvlText w:val="%1."/>
      <w:lvlJc w:val="left"/>
      <w:pPr>
        <w:tabs>
          <w:tab w:val="num" w:pos="1209"/>
        </w:tabs>
        <w:ind w:left="1209" w:hanging="360"/>
      </w:pPr>
    </w:lvl>
  </w:abstractNum>
  <w:abstractNum w:abstractNumId="2">
    <w:nsid w:val="FFFFFF7E"/>
    <w:multiLevelType w:val="singleLevel"/>
    <w:tmpl w:val="A4782E42"/>
    <w:lvl w:ilvl="0">
      <w:start w:val="1"/>
      <w:numFmt w:val="decimal"/>
      <w:lvlText w:val="%1."/>
      <w:lvlJc w:val="left"/>
      <w:pPr>
        <w:tabs>
          <w:tab w:val="num" w:pos="926"/>
        </w:tabs>
        <w:ind w:left="926" w:hanging="360"/>
      </w:pPr>
    </w:lvl>
  </w:abstractNum>
  <w:abstractNum w:abstractNumId="3">
    <w:nsid w:val="FFFFFF7F"/>
    <w:multiLevelType w:val="singleLevel"/>
    <w:tmpl w:val="3D10F8CE"/>
    <w:lvl w:ilvl="0">
      <w:start w:val="1"/>
      <w:numFmt w:val="decimal"/>
      <w:lvlText w:val="%1."/>
      <w:lvlJc w:val="left"/>
      <w:pPr>
        <w:tabs>
          <w:tab w:val="num" w:pos="643"/>
        </w:tabs>
        <w:ind w:left="643" w:hanging="360"/>
      </w:pPr>
    </w:lvl>
  </w:abstractNum>
  <w:abstractNum w:abstractNumId="4">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lvlText w:val="%1."/>
      <w:lvlJc w:val="left"/>
      <w:pPr>
        <w:tabs>
          <w:tab w:val="num" w:pos="360"/>
        </w:tabs>
        <w:ind w:left="360" w:hanging="360"/>
      </w:pPr>
    </w:lvl>
  </w:abstractNum>
  <w:abstractNum w:abstractNumId="9">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61209"/>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 w:name="WAFER_20190227134441" w:val="RemoveTocBookmarks,RemoveUnusedBookmarks,RemoveLanguageTags,UpdateStyles,UsedStyles,ResetPageSize,RemoveCustomizations"/>
    <w:docVar w:name="WAFER_20190227134441_GUID" w:val="7452747a-739f-4611-bacb-4817444457c8"/>
    <w:docVar w:name="WAFER_20190319140256" w:val="RemoveTocBookmarks,RemoveUnusedBookmarks,RemoveLanguageTags,ResetPageSize,RunningHeaders,UpdateStyles,UsedStyles"/>
    <w:docVar w:name="WAFER_20190319140256_GUID" w:val="21ffa18a-3a4a-4a2b-ac4f-1f7251bf82ec"/>
    <w:docVar w:name="WAFER_20200407161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61209_GUID" w:val="a3553b26-7b82-4bd0-90f3-74bdfeeb32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F315-0F02-4E17-B6CB-5E87B0F0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30194</Words>
  <Characters>141011</Characters>
  <Application>Microsoft Office Word</Application>
  <DocSecurity>0</DocSecurity>
  <Lines>3525</Lines>
  <Paragraphs>1306</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169899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06-a0-00 - 06-b0-01</dc:title>
  <dc:subject/>
  <dc:creator/>
  <cp:keywords/>
  <dc:description/>
  <cp:lastModifiedBy>svcMRProcess</cp:lastModifiedBy>
  <cp:revision>2</cp:revision>
  <cp:lastPrinted>2019-06-18T01:34:00Z</cp:lastPrinted>
  <dcterms:created xsi:type="dcterms:W3CDTF">2020-04-08T01:31:00Z</dcterms:created>
  <dcterms:modified xsi:type="dcterms:W3CDTF">2020-04-08T01:31:00Z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2019-06-13T16:00:00Z</vt:filetime>
  </property>
  <property fmtid="{D5CDD505-2E9C-101B-9397-08002B2CF9AE}" pid="6" name="ReprintNo">
    <vt:lpwstr>6</vt:lpwstr>
  </property>
  <property fmtid="{D5CDD505-2E9C-101B-9397-08002B2CF9AE}" pid="7" name="CommencementDate">
    <vt:lpwstr>20200407</vt:lpwstr>
  </property>
  <property fmtid="{D5CDD505-2E9C-101B-9397-08002B2CF9AE}" pid="8" name="FromSuffix">
    <vt:lpwstr>06-a0-00</vt:lpwstr>
  </property>
  <property fmtid="{D5CDD505-2E9C-101B-9397-08002B2CF9AE}" pid="9" name="FromAsAtDate">
    <vt:lpwstr>14 Jun 2019</vt:lpwstr>
  </property>
  <property fmtid="{D5CDD505-2E9C-101B-9397-08002B2CF9AE}" pid="10" name="ToSuffix">
    <vt:lpwstr>06-b0-01</vt:lpwstr>
  </property>
  <property fmtid="{D5CDD505-2E9C-101B-9397-08002B2CF9AE}" pid="11" name="ToAsAtDate">
    <vt:lpwstr>07 Apr 2020</vt:lpwstr>
  </property>
</Properties>
</file>