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Aug 2019</w:t>
      </w:r>
      <w:r>
        <w:fldChar w:fldCharType="end"/>
      </w:r>
      <w:r>
        <w:t xml:space="preserve">, </w:t>
      </w:r>
      <w:r>
        <w:fldChar w:fldCharType="begin"/>
      </w:r>
      <w:r>
        <w:instrText xml:space="preserve"> DocProperty FromSuffix </w:instrText>
      </w:r>
      <w:r>
        <w:fldChar w:fldCharType="separate"/>
      </w:r>
      <w:r>
        <w:t>04-f0-01</w:t>
      </w:r>
      <w:r>
        <w:fldChar w:fldCharType="end"/>
      </w:r>
      <w:r>
        <w:t>] and [</w:t>
      </w:r>
      <w:r>
        <w:fldChar w:fldCharType="begin"/>
      </w:r>
      <w:r>
        <w:instrText xml:space="preserve"> DocProperty ToAsAtDate</w:instrText>
      </w:r>
      <w:r>
        <w:fldChar w:fldCharType="separate"/>
      </w:r>
      <w:r>
        <w:t>18 Apr 2020</w:t>
      </w:r>
      <w:r>
        <w:fldChar w:fldCharType="end"/>
      </w:r>
      <w:r>
        <w:t xml:space="preserve">, </w:t>
      </w:r>
      <w:r>
        <w:fldChar w:fldCharType="begin"/>
      </w:r>
      <w:r>
        <w:instrText xml:space="preserve"> DocProperty ToSuffix</w:instrText>
      </w:r>
      <w:r>
        <w:fldChar w:fldCharType="separate"/>
      </w:r>
      <w:r>
        <w:t>04-g0-00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9-19T04:08:00Z"/>
        </w:rPr>
      </w:pPr>
      <w:del w:id="2" w:author="Master Repository Process" w:date="2021-09-19T04:08:00Z">
        <w:r>
          <w:lastRenderedPageBreak/>
          <w:delText>Western Australia</w:delText>
        </w:r>
      </w:del>
    </w:p>
    <w:p>
      <w:pPr>
        <w:pStyle w:val="PrincipalActReg"/>
        <w:spacing w:after="600"/>
      </w:pPr>
      <w:r>
        <w:t>Taxation Administration Act 2003</w:t>
      </w:r>
    </w:p>
    <w:p>
      <w:pPr>
        <w:pStyle w:val="NameofActReg"/>
        <w:spacing w:before="720" w:after="840"/>
      </w:pPr>
      <w:r>
        <w:t>Taxation Administration Regulations 2003</w:t>
      </w:r>
    </w:p>
    <w:p>
      <w:pPr>
        <w:pStyle w:val="Heading5"/>
        <w:spacing w:before="0"/>
      </w:pPr>
      <w:bookmarkStart w:id="3" w:name="_Toc38012645"/>
      <w:bookmarkStart w:id="4" w:name="_Toc16582753"/>
      <w:r>
        <w:rPr>
          <w:rStyle w:val="CharSectno"/>
        </w:rPr>
        <w:t>1</w:t>
      </w:r>
      <w:bookmarkStart w:id="5" w:name="_GoBack"/>
      <w:bookmarkEnd w:id="5"/>
      <w:r>
        <w:t>.</w:t>
      </w:r>
      <w:r>
        <w:tab/>
        <w:t>Citation</w:t>
      </w:r>
      <w:bookmarkEnd w:id="3"/>
      <w:bookmarkEnd w:id="4"/>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del w:id="6" w:author="Master Repository Process" w:date="2021-09-19T04:08:00Z">
        <w:r>
          <w:rPr>
            <w:spacing w:val="-2"/>
            <w:vertAlign w:val="superscript"/>
          </w:rPr>
          <w:delText> 1</w:delText>
        </w:r>
      </w:del>
      <w:r>
        <w:t>.</w:t>
      </w:r>
    </w:p>
    <w:p>
      <w:pPr>
        <w:pStyle w:val="Heading5"/>
        <w:spacing w:before="200"/>
        <w:rPr>
          <w:spacing w:val="-2"/>
        </w:rPr>
      </w:pPr>
      <w:bookmarkStart w:id="7" w:name="_Toc38012646"/>
      <w:bookmarkStart w:id="8" w:name="_Toc16582754"/>
      <w:r>
        <w:rPr>
          <w:rStyle w:val="CharSectno"/>
        </w:rPr>
        <w:t>2</w:t>
      </w:r>
      <w:r>
        <w:rPr>
          <w:spacing w:val="-2"/>
        </w:rPr>
        <w:t>.</w:t>
      </w:r>
      <w:r>
        <w:rPr>
          <w:spacing w:val="-2"/>
        </w:rPr>
        <w:tab/>
        <w:t>Commencement</w:t>
      </w:r>
      <w:bookmarkEnd w:id="7"/>
      <w:bookmarkEnd w:id="8"/>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del w:id="9" w:author="Master Repository Process" w:date="2021-09-19T04:08:00Z">
        <w:r>
          <w:rPr>
            <w:spacing w:val="-2"/>
            <w:vertAlign w:val="superscript"/>
          </w:rPr>
          <w:delText> 1</w:delText>
        </w:r>
      </w:del>
      <w:r>
        <w:rPr>
          <w:spacing w:val="-2"/>
        </w:rPr>
        <w:t>.</w:t>
      </w:r>
    </w:p>
    <w:p>
      <w:pPr>
        <w:pStyle w:val="Ednotesection"/>
      </w:pPr>
      <w:r>
        <w:t>[</w:t>
      </w:r>
      <w:r>
        <w:rPr>
          <w:b/>
        </w:rPr>
        <w:t>2A.</w:t>
      </w:r>
      <w:r>
        <w:rPr>
          <w:vertAlign w:val="superscript"/>
        </w:rPr>
        <w:t> 1M</w:t>
      </w:r>
      <w:r>
        <w:tab/>
        <w:t>Modification, to insert regulation 2A, to have effect under the Commonwealth Places (Mirror Taxes Administration) Act 1999, see note 1M.]</w:t>
      </w:r>
    </w:p>
    <w:p>
      <w:pPr>
        <w:pStyle w:val="Ednotesection"/>
      </w:pPr>
      <w:r>
        <w:t>[</w:t>
      </w:r>
      <w:r>
        <w:rPr>
          <w:b/>
        </w:rPr>
        <w:t>2A.</w:t>
      </w:r>
      <w:r>
        <w:rPr>
          <w:vertAlign w:val="superscript"/>
        </w:rPr>
        <w:t> 1MC</w:t>
      </w:r>
      <w:r>
        <w:tab/>
        <w:t>Modification, to insert regulation 2A, to have effect under the Commonwealth Places (Mirror Taxes) Act 1998 (Commonwealth), see note 1MC.]</w:t>
      </w:r>
    </w:p>
    <w:p>
      <w:pPr>
        <w:pStyle w:val="Heading5"/>
      </w:pPr>
      <w:bookmarkStart w:id="10" w:name="_Toc38012647"/>
      <w:bookmarkStart w:id="11" w:name="_Toc16582755"/>
      <w:r>
        <w:rPr>
          <w:rStyle w:val="CharSectno"/>
        </w:rPr>
        <w:t>3A</w:t>
      </w:r>
      <w:r>
        <w:t>.</w:t>
      </w:r>
      <w:r>
        <w:tab/>
        <w:t>Rates of interest under compromise assessments (section 20A)</w:t>
      </w:r>
      <w:bookmarkEnd w:id="10"/>
      <w:bookmarkEnd w:id="11"/>
    </w:p>
    <w:p>
      <w:pPr>
        <w:pStyle w:val="Subsection"/>
      </w:pPr>
      <w:r>
        <w:tab/>
      </w:r>
      <w:r>
        <w:tab/>
        <w:t xml:space="preserve">The rate of interest payable under a compromise agreement for the purposes of section 20A(3A) of the Act is — </w:t>
      </w:r>
    </w:p>
    <w:p>
      <w:pPr>
        <w:pStyle w:val="Indenta"/>
      </w:pPr>
      <w:r>
        <w:tab/>
        <w:t>(a)</w:t>
      </w:r>
      <w:r>
        <w:tab/>
        <w:t xml:space="preserve">if the agreement provides for the payment of interest by the Commissioner — </w:t>
      </w:r>
      <w:r>
        <w:rPr>
          <w:szCs w:val="24"/>
        </w:rPr>
        <w:t>1.7%</w:t>
      </w:r>
      <w:r>
        <w:t xml:space="preserve"> per annum;</w:t>
      </w:r>
    </w:p>
    <w:p>
      <w:pPr>
        <w:pStyle w:val="Indenta"/>
        <w:keepNext/>
      </w:pPr>
      <w:r>
        <w:tab/>
        <w:t>(b)</w:t>
      </w:r>
      <w:r>
        <w:tab/>
        <w:t xml:space="preserve">if the agreement provides for the payment of interest by a taxpayer — </w:t>
      </w:r>
      <w:r>
        <w:rPr>
          <w:szCs w:val="24"/>
        </w:rPr>
        <w:t>9.7%</w:t>
      </w:r>
      <w:r>
        <w:t xml:space="preserve"> per annum.</w:t>
      </w:r>
    </w:p>
    <w:p>
      <w:pPr>
        <w:pStyle w:val="Footnotesection"/>
        <w:rPr>
          <w:b/>
          <w:i w:val="0"/>
        </w:rPr>
      </w:pPr>
      <w:r>
        <w:tab/>
        <w:t>[Regulation 3A inserted: Gazette 11 Dec 2015 p. 4962; amended: Gazette 28 Jun  2019 p. 2493.]</w:t>
      </w:r>
    </w:p>
    <w:p>
      <w:pPr>
        <w:pStyle w:val="Heading5"/>
        <w:spacing w:before="200"/>
      </w:pPr>
      <w:bookmarkStart w:id="12" w:name="_Toc38012648"/>
      <w:bookmarkStart w:id="13" w:name="_Toc16582756"/>
      <w:r>
        <w:rPr>
          <w:rStyle w:val="CharSectno"/>
        </w:rPr>
        <w:t>3</w:t>
      </w:r>
      <w:r>
        <w:t>.</w:t>
      </w:r>
      <w:r>
        <w:tab/>
        <w:t>Rate of interest for refunds and credits resulting from objections (section 39)</w:t>
      </w:r>
      <w:bookmarkEnd w:id="12"/>
      <w:bookmarkEnd w:id="13"/>
    </w:p>
    <w:p>
      <w:pPr>
        <w:pStyle w:val="Subsection"/>
        <w:spacing w:before="140"/>
      </w:pPr>
      <w:r>
        <w:tab/>
      </w:r>
      <w:r>
        <w:tab/>
        <w:t xml:space="preserve">The rate of interest payable for the purposes of section 39(2) of the Act is </w:t>
      </w:r>
      <w:r>
        <w:rPr>
          <w:szCs w:val="24"/>
        </w:rPr>
        <w:t>1.7%</w:t>
      </w:r>
      <w:r>
        <w:t xml:space="preserve"> per annum.</w:t>
      </w:r>
    </w:p>
    <w:p>
      <w:pPr>
        <w:pStyle w:val="Footnotesection"/>
      </w:pPr>
      <w:r>
        <w:tab/>
        <w:t>[Regulation 3 amended: Gazette 17 May 2013 p. 1985; 17 Dec 2013 p. 6240; 26 Jun 2015 p. 2279; 11 Dec 2015 p. 4962; 28 Jun  2019 p. 2493.]</w:t>
      </w:r>
    </w:p>
    <w:p>
      <w:pPr>
        <w:pStyle w:val="Heading5"/>
        <w:spacing w:before="200"/>
      </w:pPr>
      <w:bookmarkStart w:id="14" w:name="_Toc38012649"/>
      <w:bookmarkStart w:id="15" w:name="_Toc16582757"/>
      <w:r>
        <w:rPr>
          <w:rStyle w:val="CharSectno"/>
        </w:rPr>
        <w:t>4</w:t>
      </w:r>
      <w:r>
        <w:t>.</w:t>
      </w:r>
      <w:r>
        <w:tab/>
        <w:t>Rate of interest for overpaid amounts (section 43)</w:t>
      </w:r>
      <w:bookmarkEnd w:id="14"/>
      <w:bookmarkEnd w:id="15"/>
    </w:p>
    <w:p>
      <w:pPr>
        <w:pStyle w:val="Subsection"/>
      </w:pPr>
      <w:r>
        <w:tab/>
      </w:r>
      <w:r>
        <w:tab/>
        <w:t xml:space="preserve">The rate of interest payable for the purposes of section 43(3) of the Act is </w:t>
      </w:r>
      <w:r>
        <w:rPr>
          <w:szCs w:val="24"/>
        </w:rPr>
        <w:t>1.7%</w:t>
      </w:r>
      <w:r>
        <w:t xml:space="preserve"> per annum.</w:t>
      </w:r>
    </w:p>
    <w:p>
      <w:pPr>
        <w:pStyle w:val="Footnotesection"/>
        <w:ind w:left="890" w:hanging="890"/>
      </w:pPr>
      <w:r>
        <w:tab/>
        <w:t>[Regulation 4 amended: Gazette 17 May 2013 p. 1985; 17 Dec 2013 p. 6241; 26 Jun 2015 p. 2279; 11 Dec 2015 p. 4963; 28 Jun  2019 p. 2493.]</w:t>
      </w:r>
    </w:p>
    <w:p>
      <w:pPr>
        <w:pStyle w:val="Heading5"/>
      </w:pPr>
      <w:bookmarkStart w:id="16" w:name="_Toc38012650"/>
      <w:bookmarkStart w:id="17" w:name="_Toc16582758"/>
      <w:r>
        <w:rPr>
          <w:rStyle w:val="CharSectno"/>
        </w:rPr>
        <w:t>5</w:t>
      </w:r>
      <w:r>
        <w:t>.</w:t>
      </w:r>
      <w:r>
        <w:tab/>
        <w:t>Rate of interest for outstanding amounts (section 47)</w:t>
      </w:r>
      <w:bookmarkEnd w:id="16"/>
      <w:bookmarkEnd w:id="17"/>
    </w:p>
    <w:p>
      <w:pPr>
        <w:pStyle w:val="Subsection"/>
      </w:pPr>
      <w:r>
        <w:tab/>
      </w:r>
      <w:r>
        <w:tab/>
        <w:t xml:space="preserve">The rate of interest payable for the purposes of section 47(3) of the Act is </w:t>
      </w:r>
      <w:r>
        <w:rPr>
          <w:szCs w:val="24"/>
        </w:rPr>
        <w:t>9.7%</w:t>
      </w:r>
      <w:r>
        <w:t xml:space="preserve"> per annum.</w:t>
      </w:r>
    </w:p>
    <w:p>
      <w:pPr>
        <w:pStyle w:val="Footnotesection"/>
        <w:ind w:left="890" w:hanging="890"/>
      </w:pPr>
      <w:r>
        <w:tab/>
        <w:t>[Regulation 5 amended: Gazette 13 Aug 2004 p. 3253; 28 Feb 2007 p. 639; 14 Mar 2008 p. 837; 17 May 2013 p. 1985; 17 Dec 2013 p. 6241; 26 Jun 2015 p. 2280; 11 Dec 2015 p. 4963; 28 Jun  2019 p. 2493.]</w:t>
      </w:r>
    </w:p>
    <w:p>
      <w:pPr>
        <w:pStyle w:val="Heading5"/>
      </w:pPr>
      <w:bookmarkStart w:id="18" w:name="_Toc38012651"/>
      <w:bookmarkStart w:id="19" w:name="_Toc16582759"/>
      <w:r>
        <w:rPr>
          <w:rStyle w:val="CharSectno"/>
        </w:rPr>
        <w:t>5A</w:t>
      </w:r>
      <w:r>
        <w:t>.</w:t>
      </w:r>
      <w:r>
        <w:tab/>
        <w:t>Special tax return arrangements: corrections and alterations (section 50(1)(f))</w:t>
      </w:r>
      <w:bookmarkEnd w:id="18"/>
      <w:bookmarkEnd w:id="19"/>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Gazette 13 Dec 2005 p. 5993; amended: Gazette 15 May 2009 p. 1639-40.]</w:t>
      </w:r>
    </w:p>
    <w:p>
      <w:pPr>
        <w:pStyle w:val="Heading5"/>
      </w:pPr>
      <w:bookmarkStart w:id="20" w:name="_Toc38012652"/>
      <w:bookmarkStart w:id="21" w:name="_Toc16582760"/>
      <w:r>
        <w:rPr>
          <w:rStyle w:val="CharSectno"/>
        </w:rPr>
        <w:t>5B</w:t>
      </w:r>
      <w:r>
        <w:t>.</w:t>
      </w:r>
      <w:r>
        <w:tab/>
        <w:t>Rate of interest for refunds following interim assessments (section 54(2A))</w:t>
      </w:r>
      <w:bookmarkEnd w:id="20"/>
      <w:bookmarkEnd w:id="21"/>
    </w:p>
    <w:p>
      <w:pPr>
        <w:pStyle w:val="Subsection"/>
      </w:pPr>
      <w:r>
        <w:tab/>
      </w:r>
      <w:r>
        <w:tab/>
        <w:t xml:space="preserve">The rate of interest payable for the purposes of section 54(2A) of the Act is </w:t>
      </w:r>
      <w:r>
        <w:rPr>
          <w:szCs w:val="24"/>
        </w:rPr>
        <w:t>1.7%</w:t>
      </w:r>
      <w:r>
        <w:t xml:space="preserve"> per annum.</w:t>
      </w:r>
    </w:p>
    <w:p>
      <w:pPr>
        <w:pStyle w:val="Footnotesection"/>
      </w:pPr>
      <w:r>
        <w:tab/>
        <w:t>[Regulation 5B inserted: Gazette 17 Dec 2013 p. 6241; amended: Gazette 26 Jun 2015 p. 2280; 11 Dec 2015 p. 4963; 28 Jun  2019 p. 2493.]</w:t>
      </w:r>
    </w:p>
    <w:p>
      <w:pPr>
        <w:pStyle w:val="Heading5"/>
      </w:pPr>
      <w:bookmarkStart w:id="22" w:name="_Toc38012653"/>
      <w:bookmarkStart w:id="23" w:name="_Toc13731891"/>
      <w:bookmarkStart w:id="24" w:name="_Toc16582761"/>
      <w:r>
        <w:rPr>
          <w:rStyle w:val="CharSectno"/>
        </w:rPr>
        <w:t>5C</w:t>
      </w:r>
      <w:r>
        <w:t>.</w:t>
      </w:r>
      <w:r>
        <w:tab/>
        <w:t xml:space="preserve">Rate of interest for refunds and credits resulting from </w:t>
      </w:r>
      <w:r>
        <w:rPr>
          <w:i/>
        </w:rPr>
        <w:t>Valuation of Land Act 1978</w:t>
      </w:r>
      <w:r>
        <w:t xml:space="preserve"> proceedings (section 54A)</w:t>
      </w:r>
      <w:bookmarkEnd w:id="22"/>
      <w:bookmarkEnd w:id="23"/>
      <w:bookmarkEnd w:id="24"/>
    </w:p>
    <w:p>
      <w:pPr>
        <w:pStyle w:val="Subsection"/>
      </w:pPr>
      <w:r>
        <w:tab/>
      </w:r>
      <w:r>
        <w:tab/>
        <w:t>The rate of interest payable for the purposes of section 54A(2) of the Act is 1.7% per annum.</w:t>
      </w:r>
    </w:p>
    <w:p>
      <w:pPr>
        <w:pStyle w:val="Footnotesection"/>
      </w:pPr>
      <w:r>
        <w:tab/>
        <w:t>[Regulation 5C inserted: Gazette 13 Aug 2019 p. 3042.]</w:t>
      </w:r>
    </w:p>
    <w:p>
      <w:pPr>
        <w:pStyle w:val="Heading5"/>
      </w:pPr>
      <w:bookmarkStart w:id="25" w:name="_Toc38012654"/>
      <w:bookmarkStart w:id="26" w:name="_Toc16582762"/>
      <w:r>
        <w:rPr>
          <w:rStyle w:val="CharSectno"/>
        </w:rPr>
        <w:t>6A</w:t>
      </w:r>
      <w:r>
        <w:t>.</w:t>
      </w:r>
      <w:r>
        <w:tab/>
        <w:t>Amount for writing off unused credit (section 55A(1)(a))</w:t>
      </w:r>
      <w:bookmarkEnd w:id="25"/>
      <w:bookmarkEnd w:id="26"/>
    </w:p>
    <w:p>
      <w:pPr>
        <w:pStyle w:val="Subsection"/>
      </w:pPr>
      <w:r>
        <w:tab/>
      </w:r>
      <w:r>
        <w:tab/>
        <w:t>The amount for the purposes of writing off credits under section 55A(1)(a) of the Act is $20.01.</w:t>
      </w:r>
    </w:p>
    <w:p>
      <w:pPr>
        <w:pStyle w:val="Footnotesection"/>
      </w:pPr>
      <w:r>
        <w:tab/>
        <w:t>[Regulation 6A inserted: Gazette 11 Nov 2008 p. 4845; amended: Gazette 5 Jun 2015 p. 1976.]</w:t>
      </w:r>
    </w:p>
    <w:p>
      <w:pPr>
        <w:pStyle w:val="Heading5"/>
      </w:pPr>
      <w:bookmarkStart w:id="27" w:name="_Toc38012655"/>
      <w:bookmarkStart w:id="28" w:name="_Toc16582763"/>
      <w:r>
        <w:rPr>
          <w:rStyle w:val="CharSectno"/>
        </w:rPr>
        <w:t>6</w:t>
      </w:r>
      <w:r>
        <w:t>.</w:t>
      </w:r>
      <w:r>
        <w:tab/>
        <w:t>Limit for waiving payment of tax (section 56)</w:t>
      </w:r>
      <w:bookmarkEnd w:id="27"/>
      <w:bookmarkEnd w:id="28"/>
    </w:p>
    <w:p>
      <w:pPr>
        <w:pStyle w:val="Subsection"/>
      </w:pPr>
      <w:r>
        <w:tab/>
      </w:r>
      <w:r>
        <w:tab/>
        <w:t>The limit for waiving payment of tax for the purposes of section 56(1) of the Act is $20.</w:t>
      </w:r>
    </w:p>
    <w:p>
      <w:pPr>
        <w:pStyle w:val="Heading5"/>
      </w:pPr>
      <w:bookmarkStart w:id="29" w:name="_Toc38012656"/>
      <w:bookmarkStart w:id="30" w:name="_Toc16582764"/>
      <w:r>
        <w:rPr>
          <w:rStyle w:val="CharSectno"/>
        </w:rPr>
        <w:t>7</w:t>
      </w:r>
      <w:r>
        <w:t>.</w:t>
      </w:r>
      <w:r>
        <w:tab/>
        <w:t>Statutory administrator of a taxpayer’s assets (section 64)</w:t>
      </w:r>
      <w:bookmarkEnd w:id="29"/>
      <w:bookmarkEnd w:id="30"/>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31" w:name="_Toc38012657"/>
      <w:bookmarkStart w:id="32" w:name="_Toc16582765"/>
      <w:r>
        <w:rPr>
          <w:rStyle w:val="CharSectno"/>
        </w:rPr>
        <w:t>8</w:t>
      </w:r>
      <w:r>
        <w:t>.</w:t>
      </w:r>
      <w:r>
        <w:tab/>
        <w:t>Fee for certificate (section 80)</w:t>
      </w:r>
      <w:bookmarkEnd w:id="31"/>
      <w:bookmarkEnd w:id="32"/>
    </w:p>
    <w:p>
      <w:pPr>
        <w:pStyle w:val="Subsection"/>
      </w:pPr>
      <w:r>
        <w:tab/>
      </w:r>
      <w:r>
        <w:tab/>
        <w:t>The prescribed fee for the issue of a certificate under section 80 of the Act is $50.35.</w:t>
      </w:r>
    </w:p>
    <w:p>
      <w:pPr>
        <w:pStyle w:val="Footnotesection"/>
        <w:ind w:left="890" w:hanging="890"/>
      </w:pPr>
      <w:r>
        <w:tab/>
        <w:t>[Regulation 8 inserted: Gazette 25 Jun 2010 p. 2880; amended: Gazette 5 Jun 2015 p. 1977; 24 Jun 2016 p. 2345; 27 Jun 2017 p. 3451; 12 Jun 2018 p. 1901.]</w:t>
      </w:r>
    </w:p>
    <w:p>
      <w:pPr>
        <w:pStyle w:val="Heading5"/>
      </w:pPr>
      <w:bookmarkStart w:id="33" w:name="_Toc38012658"/>
      <w:bookmarkStart w:id="34" w:name="_Toc16582766"/>
      <w:r>
        <w:rPr>
          <w:rStyle w:val="CharSectno"/>
        </w:rPr>
        <w:t>9</w:t>
      </w:r>
      <w:r>
        <w:t>.</w:t>
      </w:r>
      <w:r>
        <w:tab/>
        <w:t>Where tax records to be kept (section 89)</w:t>
      </w:r>
      <w:bookmarkEnd w:id="33"/>
      <w:bookmarkEnd w:id="34"/>
    </w:p>
    <w:p>
      <w:pPr>
        <w:pStyle w:val="Subsection"/>
      </w:pPr>
      <w:r>
        <w:tab/>
        <w:t>(1)</w:t>
      </w:r>
      <w:r>
        <w:tab/>
        <w:t xml:space="preserve">A tax record may be kept outside of Western Australia,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 </w:t>
      </w:r>
      <w:r>
        <w:rPr>
          <w:i/>
          <w:iCs/>
        </w:rPr>
        <w:t>1921</w:t>
      </w:r>
      <w:r>
        <w:t>; or</w:t>
      </w:r>
    </w:p>
    <w:p>
      <w:pPr>
        <w:pStyle w:val="Defpara"/>
      </w:pPr>
      <w:r>
        <w:tab/>
        <w:t>(d)</w:t>
      </w:r>
      <w:r>
        <w:tab/>
        <w:t xml:space="preserve">the </w:t>
      </w:r>
      <w:r>
        <w:rPr>
          <w:i/>
        </w:rPr>
        <w:t>Duties Act 2008</w:t>
      </w:r>
      <w:r>
        <w:t>; or</w:t>
      </w:r>
      <w:r>
        <w:rPr>
          <w:i/>
        </w:rPr>
        <w:t xml:space="preserve"> </w:t>
      </w:r>
    </w:p>
    <w:p>
      <w:pPr>
        <w:pStyle w:val="Indenta"/>
      </w:pPr>
      <w:r>
        <w:tab/>
        <w:t>(e)</w:t>
      </w:r>
      <w:r>
        <w:tab/>
        <w:t xml:space="preserve">the </w:t>
      </w:r>
      <w:r>
        <w:rPr>
          <w:i/>
        </w:rPr>
        <w:t>Transport (Road Passenger Services) Act 2018</w:t>
      </w:r>
      <w:r>
        <w:t xml:space="preserve"> Part 9 Division 2.</w:t>
      </w:r>
    </w:p>
    <w:p>
      <w:pPr>
        <w:pStyle w:val="Subsection"/>
      </w:pPr>
      <w:r>
        <w:tab/>
        <w:t>(2)</w:t>
      </w:r>
      <w:r>
        <w:tab/>
        <w:t>Subregulation (1) does not apply to a tax record if the Commissioner requires the person who keeps the record to bring the record into Western Australia under section 89(2).</w:t>
      </w:r>
    </w:p>
    <w:p>
      <w:pPr>
        <w:pStyle w:val="Footnotesection"/>
      </w:pPr>
      <w:r>
        <w:tab/>
        <w:t>[Regulation 9 amended: Gazette 15 May 2009 p. 1640; Act No. 17 of 2010 s. 31; Gazette 26 Feb 2019 p. 459</w:t>
      </w:r>
      <w:r>
        <w:noBreakHyphen/>
        <w:t>60.]</w:t>
      </w:r>
    </w:p>
    <w:p>
      <w:pPr>
        <w:pStyle w:val="Heading5"/>
      </w:pPr>
      <w:bookmarkStart w:id="35" w:name="_Toc38012659"/>
      <w:bookmarkStart w:id="36" w:name="_Toc16582767"/>
      <w:r>
        <w:rPr>
          <w:rStyle w:val="CharSectno"/>
        </w:rPr>
        <w:t>10</w:t>
      </w:r>
      <w:r>
        <w:t>.</w:t>
      </w:r>
      <w:r>
        <w:tab/>
        <w:t>Exemption from requirement to keep tax records (section 91)</w:t>
      </w:r>
      <w:bookmarkEnd w:id="35"/>
      <w:bookmarkEnd w:id="36"/>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Gazette 17 Dec 2004 p. 6093.]</w:t>
      </w:r>
    </w:p>
    <w:p>
      <w:pPr>
        <w:pStyle w:val="Heading5"/>
      </w:pPr>
      <w:bookmarkStart w:id="37" w:name="_Toc38012660"/>
      <w:bookmarkStart w:id="38" w:name="_Toc16582768"/>
      <w:r>
        <w:rPr>
          <w:rStyle w:val="CharSectno"/>
        </w:rPr>
        <w:t>11</w:t>
      </w:r>
      <w:r>
        <w:t>.</w:t>
      </w:r>
      <w:r>
        <w:tab/>
        <w:t>Expenses of witnesses (section 95)</w:t>
      </w:r>
      <w:bookmarkEnd w:id="37"/>
      <w:bookmarkEnd w:id="38"/>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spacing w:before="180"/>
      </w:pPr>
      <w:bookmarkStart w:id="39" w:name="_Toc38012661"/>
      <w:bookmarkStart w:id="40" w:name="_Toc16582769"/>
      <w:r>
        <w:rPr>
          <w:rStyle w:val="CharSectno"/>
        </w:rPr>
        <w:t>12</w:t>
      </w:r>
      <w:r>
        <w:t>.</w:t>
      </w:r>
      <w:r>
        <w:tab/>
        <w:t>Law enforcement agency authorised to receive confidential information (section 114)</w:t>
      </w:r>
      <w:bookmarkEnd w:id="39"/>
      <w:bookmarkEnd w:id="40"/>
    </w:p>
    <w:p>
      <w:pPr>
        <w:pStyle w:val="Subsection"/>
      </w:pPr>
      <w:r>
        <w:tab/>
      </w:r>
      <w:r>
        <w:tab/>
        <w:t>For the purposes of section 114(3)(a)(iv) of the Act, the Australian Crime Commission is authorised to receive confidential information.</w:t>
      </w:r>
    </w:p>
    <w:p>
      <w:pPr>
        <w:pStyle w:val="Heading5"/>
        <w:spacing w:before="180"/>
      </w:pPr>
      <w:bookmarkStart w:id="41" w:name="_Toc38012662"/>
      <w:bookmarkStart w:id="42" w:name="_Toc16582770"/>
      <w:r>
        <w:rPr>
          <w:rStyle w:val="CharSectno"/>
        </w:rPr>
        <w:t>13A</w:t>
      </w:r>
      <w:r>
        <w:t>.</w:t>
      </w:r>
      <w:r>
        <w:tab/>
        <w:t>Disclosure of information about vehicle licensing (section 114(3)(g))</w:t>
      </w:r>
      <w:bookmarkEnd w:id="41"/>
      <w:bookmarkEnd w:id="42"/>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Gazette 15 May 2009 p. 1641; amended: Gazette 8 Jan 2015 p. 107</w:t>
      </w:r>
      <w:r>
        <w:noBreakHyphen/>
        <w:t>8.]</w:t>
      </w:r>
    </w:p>
    <w:p>
      <w:pPr>
        <w:pStyle w:val="Heading5"/>
      </w:pPr>
      <w:bookmarkStart w:id="43" w:name="_Toc38012663"/>
      <w:bookmarkStart w:id="44" w:name="_Toc16582771"/>
      <w:r>
        <w:rPr>
          <w:rStyle w:val="CharSectno"/>
        </w:rPr>
        <w:t>13B</w:t>
      </w:r>
      <w:r>
        <w:t>.</w:t>
      </w:r>
      <w:r>
        <w:tab/>
        <w:t>Disclosure of information about petroleum matters (section 114(3)(g))</w:t>
      </w:r>
      <w:bookmarkEnd w:id="43"/>
      <w:bookmarkEnd w:id="44"/>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Gazette 15 May 2009 p. 1641.]</w:t>
      </w:r>
    </w:p>
    <w:p>
      <w:pPr>
        <w:pStyle w:val="Heading5"/>
      </w:pPr>
      <w:bookmarkStart w:id="45" w:name="_Toc38012664"/>
      <w:bookmarkStart w:id="46" w:name="_Toc16582772"/>
      <w:r>
        <w:rPr>
          <w:rStyle w:val="CharSectno"/>
        </w:rPr>
        <w:t>13C</w:t>
      </w:r>
      <w:r>
        <w:t>.</w:t>
      </w:r>
      <w:r>
        <w:tab/>
        <w:t>Disclosure of information about land transfers (section 114(3)(g))</w:t>
      </w:r>
      <w:bookmarkEnd w:id="45"/>
      <w:bookmarkEnd w:id="46"/>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Gazette 15 May 2009 p. 1642.]</w:t>
      </w:r>
    </w:p>
    <w:p>
      <w:pPr>
        <w:pStyle w:val="Heading5"/>
      </w:pPr>
      <w:bookmarkStart w:id="47" w:name="_Toc38012665"/>
      <w:bookmarkStart w:id="48" w:name="_Toc16582773"/>
      <w:r>
        <w:rPr>
          <w:rStyle w:val="CharSectno"/>
        </w:rPr>
        <w:t>13D</w:t>
      </w:r>
      <w:r>
        <w:t>.</w:t>
      </w:r>
      <w:r>
        <w:tab/>
        <w:t>Disclosure of information about a person’s taxation affairs (section 114(3)(g))</w:t>
      </w:r>
      <w:bookmarkEnd w:id="47"/>
      <w:bookmarkEnd w:id="48"/>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Gazette 9 Sep 2011 p. 3685-6.]</w:t>
      </w:r>
    </w:p>
    <w:p>
      <w:pPr>
        <w:pStyle w:val="Heading5"/>
      </w:pPr>
      <w:bookmarkStart w:id="49" w:name="_Toc38012666"/>
      <w:bookmarkStart w:id="50" w:name="_Toc16582774"/>
      <w:r>
        <w:rPr>
          <w:rStyle w:val="CharSectno"/>
        </w:rPr>
        <w:t>13E</w:t>
      </w:r>
      <w:r>
        <w:t>.</w:t>
      </w:r>
      <w:r>
        <w:tab/>
        <w:t>Disclosure of information to interstate official: first home owner grant (section 114(3)(g))</w:t>
      </w:r>
      <w:bookmarkEnd w:id="49"/>
      <w:bookmarkEnd w:id="50"/>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Gazette 17 Dec 2013 p. 6241.]</w:t>
      </w:r>
    </w:p>
    <w:p>
      <w:pPr>
        <w:pStyle w:val="Heading5"/>
      </w:pPr>
      <w:bookmarkStart w:id="51" w:name="_Toc38012667"/>
      <w:bookmarkStart w:id="52" w:name="_Toc16582775"/>
      <w:r>
        <w:rPr>
          <w:rStyle w:val="CharSectno"/>
        </w:rPr>
        <w:t>13F</w:t>
      </w:r>
      <w:r>
        <w:t>.</w:t>
      </w:r>
      <w:r>
        <w:tab/>
        <w:t>Disclosure of information to Australian Border Force Commissioner (section 114(3)(g))</w:t>
      </w:r>
      <w:bookmarkEnd w:id="51"/>
      <w:bookmarkEnd w:id="52"/>
    </w:p>
    <w:p>
      <w:pPr>
        <w:pStyle w:val="Subsection"/>
      </w:pPr>
      <w:r>
        <w:tab/>
      </w:r>
      <w:r>
        <w:tab/>
        <w:t xml:space="preserve">For the purposes of section 114(3)(g) of the Act, the Commissioner may disclose to the Australian Border Force Commissioner (as defined in the </w:t>
      </w:r>
      <w:r>
        <w:rPr>
          <w:i/>
        </w:rPr>
        <w:t>Australian Border Force Act 2015</w:t>
      </w:r>
      <w:r>
        <w:t xml:space="preserve"> (Commonwealth) section 4(1)) information or material that was disclosed to or obtained by the Commissioner under a taxation Act.</w:t>
      </w:r>
    </w:p>
    <w:p>
      <w:pPr>
        <w:pStyle w:val="Footnotesection"/>
      </w:pPr>
      <w:r>
        <w:tab/>
        <w:t>[Regulation 13F inserted: Gazette 6 Mar 2018 p. 709.]</w:t>
      </w:r>
    </w:p>
    <w:p>
      <w:pPr>
        <w:pStyle w:val="Heading5"/>
      </w:pPr>
      <w:bookmarkStart w:id="53" w:name="_Toc38012668"/>
      <w:bookmarkStart w:id="54" w:name="_Toc16582776"/>
      <w:r>
        <w:rPr>
          <w:rStyle w:val="CharSectno"/>
        </w:rPr>
        <w:t>13G</w:t>
      </w:r>
      <w:r>
        <w:t>.</w:t>
      </w:r>
      <w:r>
        <w:tab/>
        <w:t>Disclosure of information about employers of apprentices (section 114(3)(g))</w:t>
      </w:r>
      <w:bookmarkEnd w:id="53"/>
      <w:bookmarkEnd w:id="54"/>
    </w:p>
    <w:p>
      <w:pPr>
        <w:pStyle w:val="Subsection"/>
      </w:pPr>
      <w:r>
        <w:tab/>
        <w:t>(1)</w:t>
      </w:r>
      <w:r>
        <w:tab/>
        <w:t>In this regulation —</w:t>
      </w:r>
    </w:p>
    <w:p>
      <w:pPr>
        <w:pStyle w:val="Defstart"/>
      </w:pPr>
      <w:r>
        <w:tab/>
      </w:r>
      <w:r>
        <w:rPr>
          <w:rStyle w:val="CharDefText"/>
        </w:rPr>
        <w:t>chief executive officer</w:t>
      </w:r>
      <w:r>
        <w:t xml:space="preserve"> means the chief executive officer of the department of the Public Service principally assisting in the administration of the </w:t>
      </w:r>
      <w:r>
        <w:rPr>
          <w:i/>
        </w:rPr>
        <w:t xml:space="preserve">Vocational Education and Training Act 1996 </w:t>
      </w:r>
      <w:r>
        <w:t>(except Part 4);</w:t>
      </w:r>
    </w:p>
    <w:p>
      <w:pPr>
        <w:pStyle w:val="Defstart"/>
      </w:pPr>
      <w:r>
        <w:tab/>
      </w:r>
      <w:r>
        <w:rPr>
          <w:rStyle w:val="CharDefText"/>
        </w:rPr>
        <w:t>employer</w:t>
      </w:r>
      <w:r>
        <w:t xml:space="preserve"> has the meaning given in the </w:t>
      </w:r>
      <w:r>
        <w:rPr>
          <w:i/>
        </w:rPr>
        <w:t>Pay</w:t>
      </w:r>
      <w:r>
        <w:rPr>
          <w:i/>
        </w:rPr>
        <w:noBreakHyphen/>
        <w:t xml:space="preserve">roll Tax Assessment Act 2002 </w:t>
      </w:r>
      <w:r>
        <w:t>Glossary clause 1;</w:t>
      </w:r>
    </w:p>
    <w:p>
      <w:pPr>
        <w:pStyle w:val="Defstart"/>
      </w:pPr>
      <w:r>
        <w:tab/>
      </w:r>
      <w:r>
        <w:rPr>
          <w:rStyle w:val="CharDefText"/>
        </w:rPr>
        <w:t>wages</w:t>
      </w:r>
      <w:r>
        <w:t xml:space="preserve"> has the meaning given in the </w:t>
      </w:r>
      <w:r>
        <w:rPr>
          <w:i/>
        </w:rPr>
        <w:t>Pay</w:t>
      </w:r>
      <w:r>
        <w:rPr>
          <w:i/>
        </w:rPr>
        <w:noBreakHyphen/>
        <w:t xml:space="preserve">roll Tax Assessment Act 2002 </w:t>
      </w:r>
      <w:r>
        <w:t>Glossary clause 1.</w:t>
      </w:r>
    </w:p>
    <w:p>
      <w:pPr>
        <w:pStyle w:val="Subsection"/>
      </w:pPr>
      <w:r>
        <w:tab/>
        <w:t>(2)</w:t>
      </w:r>
      <w:r>
        <w:tab/>
        <w:t xml:space="preserve">For the purposes of section 114(3)(g) of the Act, the Commissioner may disclose to the chief executive officer information or material relating to an employer who pays wages to or in relation to a person who is an apprentice under a training contract registered under the </w:t>
      </w:r>
      <w:r>
        <w:rPr>
          <w:i/>
        </w:rPr>
        <w:t>Vocational Education and Training Act 1996</w:t>
      </w:r>
      <w:r>
        <w:t xml:space="preserve"> Part 7 Division 2.</w:t>
      </w:r>
    </w:p>
    <w:p>
      <w:pPr>
        <w:pStyle w:val="Footnotesection"/>
      </w:pPr>
      <w:r>
        <w:tab/>
        <w:t>[Regulation 13G inserted: Gazette 6 Mar 2018 p. 710.]</w:t>
      </w:r>
    </w:p>
    <w:p>
      <w:pPr>
        <w:pStyle w:val="Heading5"/>
      </w:pPr>
      <w:bookmarkStart w:id="55" w:name="_Toc38012669"/>
      <w:bookmarkStart w:id="56" w:name="_Toc16582777"/>
      <w:r>
        <w:rPr>
          <w:rStyle w:val="CharSectno"/>
        </w:rPr>
        <w:t>13H</w:t>
      </w:r>
      <w:r>
        <w:t>.</w:t>
      </w:r>
      <w:r>
        <w:tab/>
        <w:t>Disclosure of information about charities and not</w:t>
      </w:r>
      <w:r>
        <w:noBreakHyphen/>
        <w:t>for</w:t>
      </w:r>
      <w:r>
        <w:noBreakHyphen/>
        <w:t>profits (section 114(3)(g))</w:t>
      </w:r>
      <w:bookmarkEnd w:id="55"/>
      <w:bookmarkEnd w:id="56"/>
    </w:p>
    <w:p>
      <w:pPr>
        <w:pStyle w:val="Subsection"/>
      </w:pPr>
      <w:r>
        <w:tab/>
        <w:t>(1)</w:t>
      </w:r>
      <w:r>
        <w:tab/>
        <w:t>In this regulation —</w:t>
      </w:r>
    </w:p>
    <w:p>
      <w:pPr>
        <w:pStyle w:val="Defstart"/>
      </w:pPr>
      <w:r>
        <w:tab/>
      </w:r>
      <w:r>
        <w:rPr>
          <w:rStyle w:val="CharDefText"/>
        </w:rPr>
        <w:t>ACNC Commissioner</w:t>
      </w:r>
      <w:r>
        <w:t xml:space="preserve"> means the Commissioner of the Australian Charities and Not</w:t>
      </w:r>
      <w:r>
        <w:noBreakHyphen/>
        <w:t>for</w:t>
      </w:r>
      <w:r>
        <w:noBreakHyphen/>
        <w:t xml:space="preserve">profits Commission established by the </w:t>
      </w:r>
      <w:r>
        <w:rPr>
          <w:i/>
        </w:rPr>
        <w:t>Australian Charities and Not</w:t>
      </w:r>
      <w:r>
        <w:rPr>
          <w:i/>
        </w:rPr>
        <w:noBreakHyphen/>
        <w:t>for</w:t>
      </w:r>
      <w:r>
        <w:rPr>
          <w:i/>
        </w:rPr>
        <w:noBreakHyphen/>
        <w:t>profits Commission Act 2012</w:t>
      </w:r>
      <w:r>
        <w:t xml:space="preserve"> (Commonwealth) section 110</w:t>
      </w:r>
      <w:r>
        <w:rPr>
          <w:rFonts w:eastAsia="MS Mincho"/>
        </w:rPr>
        <w:t>-</w:t>
      </w:r>
      <w:r>
        <w:t>5.</w:t>
      </w:r>
    </w:p>
    <w:p>
      <w:pPr>
        <w:pStyle w:val="Subsection"/>
        <w:keepNext/>
      </w:pPr>
      <w:r>
        <w:tab/>
        <w:t>(2)</w:t>
      </w:r>
      <w:r>
        <w:tab/>
        <w:t>For the purposes of section 114(3)(g) of the Act, the Commissioner may, for purposes relating to the administration of a taxation Act or the</w:t>
      </w:r>
      <w:r>
        <w:rPr>
          <w:i/>
        </w:rPr>
        <w:t xml:space="preserve"> Australian Charities and Not</w:t>
      </w:r>
      <w:r>
        <w:rPr>
          <w:i/>
        </w:rPr>
        <w:noBreakHyphen/>
        <w:t>for</w:t>
      </w:r>
      <w:r>
        <w:rPr>
          <w:i/>
        </w:rPr>
        <w:noBreakHyphen/>
        <w:t>profits Commission Act 2012</w:t>
      </w:r>
      <w:r>
        <w:t xml:space="preserve"> (Commonwealth), disclose to the ACNC Commissioner information or material about the affairs of a person that was disclosed to or obtained by the Commissioner under a taxation Act.</w:t>
      </w:r>
    </w:p>
    <w:p>
      <w:pPr>
        <w:pStyle w:val="Footnotesection"/>
      </w:pPr>
      <w:r>
        <w:tab/>
        <w:t>[Regulation 13H inserted: Gazette 6 Mar 2018 p. 710.]</w:t>
      </w:r>
    </w:p>
    <w:p>
      <w:pPr>
        <w:pStyle w:val="Heading5"/>
      </w:pPr>
      <w:bookmarkStart w:id="57" w:name="_Toc38012670"/>
      <w:bookmarkStart w:id="58" w:name="_Toc16582778"/>
      <w:r>
        <w:rPr>
          <w:rStyle w:val="CharSectno"/>
        </w:rPr>
        <w:t>13I</w:t>
      </w:r>
      <w:r>
        <w:t>.</w:t>
      </w:r>
      <w:r>
        <w:tab/>
        <w:t xml:space="preserve">Disclosure of information to administrative authorities for the </w:t>
      </w:r>
      <w:r>
        <w:rPr>
          <w:i/>
        </w:rPr>
        <w:t>Rates and Charges (Rebates and Deferments) Act 1992</w:t>
      </w:r>
      <w:r>
        <w:t xml:space="preserve"> (s. 114(3)(g))</w:t>
      </w:r>
      <w:bookmarkEnd w:id="57"/>
      <w:bookmarkEnd w:id="58"/>
    </w:p>
    <w:p>
      <w:pPr>
        <w:pStyle w:val="Subsection"/>
      </w:pPr>
      <w:r>
        <w:tab/>
        <w:t>(1)</w:t>
      </w:r>
      <w:r>
        <w:tab/>
        <w:t xml:space="preserve">In this regulation — </w:t>
      </w:r>
    </w:p>
    <w:p>
      <w:pPr>
        <w:pStyle w:val="Defstart"/>
      </w:pPr>
      <w:r>
        <w:tab/>
      </w:r>
      <w:r>
        <w:rPr>
          <w:rStyle w:val="CharDefText"/>
        </w:rPr>
        <w:t>administrative authority</w:t>
      </w:r>
      <w:r>
        <w:t xml:space="preserve"> has the meaning given in the </w:t>
      </w:r>
      <w:r>
        <w:rPr>
          <w:i/>
        </w:rPr>
        <w:t>Rates and Charges (Rebates and Deferments) Act 1992</w:t>
      </w:r>
      <w:r>
        <w:t xml:space="preserve"> section 3(1).</w:t>
      </w:r>
    </w:p>
    <w:p>
      <w:pPr>
        <w:pStyle w:val="Subsection"/>
      </w:pPr>
      <w:r>
        <w:tab/>
        <w:t>(2)</w:t>
      </w:r>
      <w:r>
        <w:tab/>
        <w:t xml:space="preserve">For the purposes of section 114(3)(g) of the Act, the Commissioner may, for a purpose related to the administration of the </w:t>
      </w:r>
      <w:r>
        <w:rPr>
          <w:i/>
        </w:rPr>
        <w:t>Rates and Charges (Rebates and Deferments) Act 1992</w:t>
      </w:r>
      <w:r>
        <w:t xml:space="preserve">, disclose to an administrative authority information or material about the affairs of a person that was disclosed to or obtained by the Commissioner under the </w:t>
      </w:r>
      <w:r>
        <w:rPr>
          <w:i/>
        </w:rPr>
        <w:t>Land Tax Assessment Act 2002</w:t>
      </w:r>
      <w:r>
        <w:t>.</w:t>
      </w:r>
    </w:p>
    <w:p>
      <w:pPr>
        <w:pStyle w:val="Footnotesection"/>
        <w:ind w:left="890" w:hanging="890"/>
      </w:pPr>
      <w:r>
        <w:tab/>
        <w:t>[Regulation 13I inserted: Gazette 12 Feb 2019 p. 272.]</w:t>
      </w:r>
    </w:p>
    <w:p>
      <w:pPr>
        <w:pStyle w:val="Heading5"/>
        <w:rPr>
          <w:ins w:id="59" w:author="Master Repository Process" w:date="2021-09-19T04:08:00Z"/>
        </w:rPr>
      </w:pPr>
      <w:bookmarkStart w:id="60" w:name="_Toc38012671"/>
      <w:ins w:id="61" w:author="Master Repository Process" w:date="2021-09-19T04:08:00Z">
        <w:r>
          <w:rPr>
            <w:rStyle w:val="CharSectno"/>
          </w:rPr>
          <w:t>13J</w:t>
        </w:r>
        <w:r>
          <w:t>.</w:t>
        </w:r>
        <w:r>
          <w:tab/>
          <w:t>Disclosure of information to WorkCover WA (s. 114(3)(g))</w:t>
        </w:r>
        <w:bookmarkEnd w:id="60"/>
      </w:ins>
    </w:p>
    <w:p>
      <w:pPr>
        <w:pStyle w:val="Subsection"/>
        <w:rPr>
          <w:ins w:id="62" w:author="Master Repository Process" w:date="2021-09-19T04:08:00Z"/>
        </w:rPr>
      </w:pPr>
      <w:ins w:id="63" w:author="Master Repository Process" w:date="2021-09-19T04:08:00Z">
        <w:r>
          <w:tab/>
          <w:t>(1)</w:t>
        </w:r>
        <w:r>
          <w:tab/>
          <w:t xml:space="preserve">In this regulation — </w:t>
        </w:r>
      </w:ins>
    </w:p>
    <w:p>
      <w:pPr>
        <w:pStyle w:val="Defstart"/>
        <w:rPr>
          <w:ins w:id="64" w:author="Master Repository Process" w:date="2021-09-19T04:08:00Z"/>
        </w:rPr>
      </w:pPr>
      <w:ins w:id="65" w:author="Master Repository Process" w:date="2021-09-19T04:08:00Z">
        <w:r>
          <w:tab/>
        </w:r>
        <w:r>
          <w:rPr>
            <w:rStyle w:val="CharDefText"/>
          </w:rPr>
          <w:t>WorkCover WA</w:t>
        </w:r>
        <w:r>
          <w:t xml:space="preserve"> has the meaning given in the </w:t>
        </w:r>
        <w:r>
          <w:rPr>
            <w:i/>
          </w:rPr>
          <w:t>Workers’ Compensation and Injury Management Act 1981</w:t>
        </w:r>
        <w:r>
          <w:t xml:space="preserve"> section 5(1).</w:t>
        </w:r>
      </w:ins>
    </w:p>
    <w:p>
      <w:pPr>
        <w:pStyle w:val="Subsection"/>
        <w:rPr>
          <w:ins w:id="66" w:author="Master Repository Process" w:date="2021-09-19T04:08:00Z"/>
        </w:rPr>
      </w:pPr>
      <w:ins w:id="67" w:author="Master Repository Process" w:date="2021-09-19T04:08:00Z">
        <w:r>
          <w:tab/>
          <w:t>(2)</w:t>
        </w:r>
        <w:r>
          <w:tab/>
          <w:t xml:space="preserve">For the purposes of section 114(3)(g) of the Act, the Commissioner may disclose information or material to WorkCover WA for a purpose related to WorkCover WA carrying out its functions under the </w:t>
        </w:r>
        <w:r>
          <w:rPr>
            <w:i/>
          </w:rPr>
          <w:t>Workers’ Compensation and Injury Management Act 1981</w:t>
        </w:r>
        <w:r>
          <w:t>.</w:t>
        </w:r>
      </w:ins>
    </w:p>
    <w:p>
      <w:pPr>
        <w:pStyle w:val="Footnotesection"/>
        <w:ind w:left="890" w:hanging="890"/>
        <w:rPr>
          <w:ins w:id="68" w:author="Master Repository Process" w:date="2021-09-19T04:08:00Z"/>
        </w:rPr>
      </w:pPr>
      <w:ins w:id="69" w:author="Master Repository Process" w:date="2021-09-19T04:08:00Z">
        <w:r>
          <w:tab/>
          <w:t>[Regulation 13J inserted: SL 2020/40 r. 4.]</w:t>
        </w:r>
      </w:ins>
    </w:p>
    <w:p>
      <w:pPr>
        <w:pStyle w:val="Heading5"/>
        <w:rPr>
          <w:ins w:id="70" w:author="Master Repository Process" w:date="2021-09-19T04:08:00Z"/>
        </w:rPr>
      </w:pPr>
      <w:bookmarkStart w:id="71" w:name="_Toc38012672"/>
      <w:ins w:id="72" w:author="Master Repository Process" w:date="2021-09-19T04:08:00Z">
        <w:r>
          <w:rPr>
            <w:rStyle w:val="CharSectno"/>
          </w:rPr>
          <w:t>13K</w:t>
        </w:r>
        <w:r>
          <w:t>.</w:t>
        </w:r>
        <w:r>
          <w:tab/>
          <w:t>Disclosure of information to Corruption and Crime Commissioner (s. 114(3)(g))</w:t>
        </w:r>
        <w:bookmarkEnd w:id="71"/>
      </w:ins>
    </w:p>
    <w:p>
      <w:pPr>
        <w:pStyle w:val="Subsection"/>
        <w:rPr>
          <w:ins w:id="73" w:author="Master Repository Process" w:date="2021-09-19T04:08:00Z"/>
        </w:rPr>
      </w:pPr>
      <w:ins w:id="74" w:author="Master Repository Process" w:date="2021-09-19T04:08:00Z">
        <w:r>
          <w:tab/>
          <w:t>(1)</w:t>
        </w:r>
        <w:r>
          <w:tab/>
          <w:t xml:space="preserve">In this regulation — </w:t>
        </w:r>
      </w:ins>
    </w:p>
    <w:p>
      <w:pPr>
        <w:pStyle w:val="Defstart"/>
        <w:rPr>
          <w:ins w:id="75" w:author="Master Repository Process" w:date="2021-09-19T04:08:00Z"/>
        </w:rPr>
      </w:pPr>
      <w:ins w:id="76" w:author="Master Repository Process" w:date="2021-09-19T04:08:00Z">
        <w:r>
          <w:tab/>
        </w:r>
        <w:r>
          <w:rPr>
            <w:rStyle w:val="CharDefText"/>
          </w:rPr>
          <w:t>Corruption and Crime Commission</w:t>
        </w:r>
        <w:r>
          <w:t xml:space="preserve"> means the Commission as defined in the </w:t>
        </w:r>
        <w:r>
          <w:rPr>
            <w:i/>
          </w:rPr>
          <w:t>Corruption, Crime and Misconduct Act 2003</w:t>
        </w:r>
        <w:r>
          <w:t xml:space="preserve"> section 3(1);</w:t>
        </w:r>
      </w:ins>
    </w:p>
    <w:p>
      <w:pPr>
        <w:pStyle w:val="Defstart"/>
        <w:rPr>
          <w:ins w:id="77" w:author="Master Repository Process" w:date="2021-09-19T04:08:00Z"/>
        </w:rPr>
      </w:pPr>
      <w:ins w:id="78" w:author="Master Repository Process" w:date="2021-09-19T04:08:00Z">
        <w:r>
          <w:tab/>
        </w:r>
        <w:r>
          <w:rPr>
            <w:rStyle w:val="CharDefText"/>
          </w:rPr>
          <w:t>Corruption and Crime Commissioner</w:t>
        </w:r>
        <w:r>
          <w:t xml:space="preserve"> means the Commissioner as defined in the </w:t>
        </w:r>
        <w:r>
          <w:rPr>
            <w:i/>
          </w:rPr>
          <w:t>Corruption, Crime and Misconduct Act 2003</w:t>
        </w:r>
        <w:r>
          <w:t xml:space="preserve"> section 3(1).</w:t>
        </w:r>
      </w:ins>
    </w:p>
    <w:p>
      <w:pPr>
        <w:pStyle w:val="Subsection"/>
        <w:rPr>
          <w:ins w:id="79" w:author="Master Repository Process" w:date="2021-09-19T04:08:00Z"/>
        </w:rPr>
      </w:pPr>
      <w:ins w:id="80" w:author="Master Repository Process" w:date="2021-09-19T04:08:00Z">
        <w:r>
          <w:tab/>
          <w:t>(2)</w:t>
        </w:r>
        <w:r>
          <w:tab/>
          <w:t xml:space="preserve">For the purposes of section 114(3)(g) of the Act, the Commissioner may disclose information or material to the Corruption and Crime Commissioner for a purpose related to the Corruption and Crime Commission carrying out its functions under the </w:t>
        </w:r>
        <w:r>
          <w:rPr>
            <w:i/>
          </w:rPr>
          <w:t>Corruption, Crime and Misconduct Act 2003</w:t>
        </w:r>
        <w:r>
          <w:t>.</w:t>
        </w:r>
      </w:ins>
    </w:p>
    <w:p>
      <w:pPr>
        <w:pStyle w:val="Footnotesection"/>
        <w:ind w:left="890" w:hanging="890"/>
        <w:rPr>
          <w:ins w:id="81" w:author="Master Repository Process" w:date="2021-09-19T04:08:00Z"/>
        </w:rPr>
      </w:pPr>
      <w:ins w:id="82" w:author="Master Repository Process" w:date="2021-09-19T04:08:00Z">
        <w:r>
          <w:tab/>
          <w:t>[Regulation 13K inserted: SL 2020/40 r. 4.]</w:t>
        </w:r>
      </w:ins>
    </w:p>
    <w:p>
      <w:pPr>
        <w:pStyle w:val="Heading5"/>
        <w:spacing w:before="180"/>
      </w:pPr>
      <w:bookmarkStart w:id="83" w:name="_Toc38012673"/>
      <w:bookmarkStart w:id="84" w:name="_Toc16582779"/>
      <w:r>
        <w:rPr>
          <w:rStyle w:val="CharSectno"/>
        </w:rPr>
        <w:t>13</w:t>
      </w:r>
      <w:r>
        <w:t>.</w:t>
      </w:r>
      <w:r>
        <w:tab/>
        <w:t>Disclosure of information about pastoral lessees (section 114(3)(g))</w:t>
      </w:r>
      <w:bookmarkEnd w:id="83"/>
      <w:bookmarkEnd w:id="84"/>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Gazette 15 May 2009 p. 1642.]</w:t>
      </w:r>
    </w:p>
    <w:p>
      <w:pPr>
        <w:pStyle w:val="Heading5"/>
        <w:spacing w:before="240"/>
      </w:pPr>
      <w:bookmarkStart w:id="85" w:name="_Toc16582780"/>
      <w:bookmarkStart w:id="86" w:name="_Toc38012674"/>
      <w:r>
        <w:rPr>
          <w:rStyle w:val="CharSectno"/>
        </w:rPr>
        <w:t>14A</w:t>
      </w:r>
      <w:r>
        <w:t>.</w:t>
      </w:r>
      <w:r>
        <w:tab/>
        <w:t xml:space="preserve">Disclosure of information about </w:t>
      </w:r>
      <w:ins w:id="87" w:author="Master Repository Process" w:date="2021-09-19T04:08:00Z">
        <w:r>
          <w:t xml:space="preserve">legal practitioners and </w:t>
        </w:r>
      </w:ins>
      <w:r>
        <w:t>settlement agents (</w:t>
      </w:r>
      <w:del w:id="88" w:author="Master Repository Process" w:date="2021-09-19T04:08:00Z">
        <w:r>
          <w:delText>section</w:delText>
        </w:r>
      </w:del>
      <w:ins w:id="89" w:author="Master Repository Process" w:date="2021-09-19T04:08:00Z">
        <w:r>
          <w:t>s.</w:t>
        </w:r>
      </w:ins>
      <w:r>
        <w:t> 114</w:t>
      </w:r>
      <w:del w:id="90" w:author="Master Repository Process" w:date="2021-09-19T04:08:00Z">
        <w:r>
          <w:delText>)</w:delText>
        </w:r>
      </w:del>
      <w:bookmarkEnd w:id="85"/>
      <w:ins w:id="91" w:author="Master Repository Process" w:date="2021-09-19T04:08:00Z">
        <w:r>
          <w:t>(3)(g))</w:t>
        </w:r>
      </w:ins>
      <w:bookmarkEnd w:id="86"/>
    </w:p>
    <w:p>
      <w:pPr>
        <w:pStyle w:val="Subsection"/>
        <w:spacing w:before="180"/>
      </w:pPr>
      <w:r>
        <w:tab/>
        <w:t>(1)</w:t>
      </w:r>
      <w:r>
        <w:tab/>
        <w:t xml:space="preserve">In this regulation — </w:t>
      </w:r>
    </w:p>
    <w:p>
      <w:pPr>
        <w:pStyle w:val="Defstart"/>
        <w:rPr>
          <w:ins w:id="92" w:author="Master Repository Process" w:date="2021-09-19T04:08:00Z"/>
        </w:rPr>
      </w:pPr>
      <w:ins w:id="93" w:author="Master Repository Process" w:date="2021-09-19T04:08:00Z">
        <w:r>
          <w:tab/>
        </w:r>
        <w:r>
          <w:rPr>
            <w:rStyle w:val="CharDefText"/>
          </w:rPr>
          <w:t>Commissioner Fair Trading</w:t>
        </w:r>
        <w:r>
          <w:t xml:space="preserve"> means the Commissioner as defined in the </w:t>
        </w:r>
        <w:r>
          <w:rPr>
            <w:i/>
          </w:rPr>
          <w:t>Fair Trading Act 2010</w:t>
        </w:r>
        <w:r>
          <w:t xml:space="preserve"> section 6;</w:t>
        </w:r>
      </w:ins>
    </w:p>
    <w:p>
      <w:pPr>
        <w:pStyle w:val="Defstart"/>
        <w:keepNext/>
        <w:rPr>
          <w:ins w:id="94" w:author="Master Repository Process" w:date="2021-09-19T04:08:00Z"/>
        </w:rPr>
      </w:pPr>
      <w:ins w:id="95" w:author="Master Repository Process" w:date="2021-09-19T04:08:00Z">
        <w:r>
          <w:tab/>
        </w:r>
        <w:r>
          <w:rPr>
            <w:rStyle w:val="CharDefText"/>
          </w:rPr>
          <w:t>functions</w:t>
        </w:r>
        <w:r>
          <w:t xml:space="preserve">, in relation to a relevant recipient, means — </w:t>
        </w:r>
      </w:ins>
    </w:p>
    <w:p>
      <w:pPr>
        <w:pStyle w:val="Defpara"/>
        <w:rPr>
          <w:ins w:id="96" w:author="Master Repository Process" w:date="2021-09-19T04:08:00Z"/>
        </w:rPr>
      </w:pPr>
      <w:ins w:id="97" w:author="Master Repository Process" w:date="2021-09-19T04:08:00Z">
        <w:r>
          <w:tab/>
          <w:t>(a)</w:t>
        </w:r>
        <w:r>
          <w:tab/>
          <w:t xml:space="preserve">in the case of the Legal Practice Board — the Legal Practice Board’s functions under the </w:t>
        </w:r>
        <w:r>
          <w:rPr>
            <w:i/>
          </w:rPr>
          <w:t>Legal Profession Act 2008</w:t>
        </w:r>
        <w:r>
          <w:t>; or</w:t>
        </w:r>
      </w:ins>
    </w:p>
    <w:p>
      <w:pPr>
        <w:pStyle w:val="Defpara"/>
        <w:rPr>
          <w:ins w:id="98" w:author="Master Repository Process" w:date="2021-09-19T04:08:00Z"/>
        </w:rPr>
      </w:pPr>
      <w:ins w:id="99" w:author="Master Repository Process" w:date="2021-09-19T04:08:00Z">
        <w:r>
          <w:tab/>
          <w:t>(b)</w:t>
        </w:r>
        <w:r>
          <w:tab/>
          <w:t xml:space="preserve">in the case of the Commissioner Fair Trading — the Commissioner Fair Trading’s functions under the </w:t>
        </w:r>
        <w:r>
          <w:rPr>
            <w:i/>
          </w:rPr>
          <w:t>Fair Trading Act 2010</w:t>
        </w:r>
        <w:r>
          <w:t>;</w:t>
        </w:r>
      </w:ins>
    </w:p>
    <w:p>
      <w:pPr>
        <w:pStyle w:val="Defstart"/>
        <w:rPr>
          <w:ins w:id="100" w:author="Master Repository Process" w:date="2021-09-19T04:08:00Z"/>
        </w:rPr>
      </w:pPr>
      <w:ins w:id="101" w:author="Master Repository Process" w:date="2021-09-19T04:08:00Z">
        <w:r>
          <w:tab/>
        </w:r>
        <w:r>
          <w:rPr>
            <w:rStyle w:val="CharDefText"/>
          </w:rPr>
          <w:t>Legal Practice Board</w:t>
        </w:r>
        <w:r>
          <w:t xml:space="preserve"> means the Board as defined in the </w:t>
        </w:r>
        <w:r>
          <w:rPr>
            <w:i/>
          </w:rPr>
          <w:t>Legal Profession Act 2008</w:t>
        </w:r>
        <w:r>
          <w:t xml:space="preserve"> section 3;</w:t>
        </w:r>
      </w:ins>
    </w:p>
    <w:p>
      <w:pPr>
        <w:pStyle w:val="Defstart"/>
        <w:rPr>
          <w:ins w:id="102" w:author="Master Repository Process" w:date="2021-09-19T04:08:00Z"/>
        </w:rPr>
      </w:pPr>
      <w:ins w:id="103" w:author="Master Repository Process" w:date="2021-09-19T04:08:00Z">
        <w:r>
          <w:tab/>
        </w:r>
        <w:r>
          <w:rPr>
            <w:rStyle w:val="CharDefText"/>
          </w:rPr>
          <w:t>legal practitioner</w:t>
        </w:r>
        <w:r>
          <w:t xml:space="preserve"> means an Australian legal practitioner as defined in the </w:t>
        </w:r>
        <w:r>
          <w:rPr>
            <w:i/>
          </w:rPr>
          <w:t>Legal Profession Act 2008</w:t>
        </w:r>
        <w:r>
          <w:t xml:space="preserve"> section 3;</w:t>
        </w:r>
      </w:ins>
    </w:p>
    <w:p>
      <w:pPr>
        <w:pStyle w:val="Defstart"/>
        <w:rPr>
          <w:ins w:id="104" w:author="Master Repository Process" w:date="2021-09-19T04:08:00Z"/>
        </w:rPr>
      </w:pPr>
      <w:ins w:id="105" w:author="Master Repository Process" w:date="2021-09-19T04:08:00Z">
        <w:r>
          <w:tab/>
        </w:r>
        <w:r>
          <w:rPr>
            <w:rStyle w:val="CharDefText"/>
          </w:rPr>
          <w:t>relevant recipient</w:t>
        </w:r>
        <w:r>
          <w:t xml:space="preserve"> means — </w:t>
        </w:r>
      </w:ins>
    </w:p>
    <w:p>
      <w:pPr>
        <w:pStyle w:val="Defpara"/>
        <w:rPr>
          <w:ins w:id="106" w:author="Master Repository Process" w:date="2021-09-19T04:08:00Z"/>
        </w:rPr>
      </w:pPr>
      <w:ins w:id="107" w:author="Master Repository Process" w:date="2021-09-19T04:08:00Z">
        <w:r>
          <w:tab/>
          <w:t>(a)</w:t>
        </w:r>
        <w:r>
          <w:tab/>
          <w:t>in relation to a legal practitioner — the Legal Practice Board; or</w:t>
        </w:r>
      </w:ins>
    </w:p>
    <w:p>
      <w:pPr>
        <w:pStyle w:val="Defpara"/>
        <w:rPr>
          <w:ins w:id="108" w:author="Master Repository Process" w:date="2021-09-19T04:08:00Z"/>
        </w:rPr>
      </w:pPr>
      <w:ins w:id="109" w:author="Master Repository Process" w:date="2021-09-19T04:08:00Z">
        <w:r>
          <w:tab/>
          <w:t>(b)</w:t>
        </w:r>
        <w:r>
          <w:tab/>
          <w:t>in relation to a settlement agent — the Commissioner Fair Trading;</w:t>
        </w:r>
      </w:ins>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keepNext/>
      </w:pPr>
      <w:r>
        <w:rPr>
          <w:b/>
        </w:rPr>
        <w:tab/>
      </w:r>
      <w:r>
        <w:rPr>
          <w:rStyle w:val="CharDefText"/>
        </w:rPr>
        <w:t>STR arrangement</w:t>
      </w:r>
      <w:r>
        <w:t xml:space="preserve"> means a special tax return arrangement under which a </w:t>
      </w:r>
      <w:ins w:id="110" w:author="Master Repository Process" w:date="2021-09-19T04:08:00Z">
        <w:r>
          <w:t xml:space="preserve">legal practitioner or a </w:t>
        </w:r>
      </w:ins>
      <w:r>
        <w:t>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r>
      <w:del w:id="111" w:author="Master Repository Process" w:date="2021-09-19T04:08:00Z">
        <w:r>
          <w:delText>If —</w:delText>
        </w:r>
      </w:del>
      <w:ins w:id="112" w:author="Master Repository Process" w:date="2021-09-19T04:08:00Z">
        <w:r>
          <w:t>Subregulation (3) applies if —</w:t>
        </w:r>
      </w:ins>
      <w:r>
        <w:t xml:space="preserve"> </w:t>
      </w:r>
    </w:p>
    <w:p>
      <w:pPr>
        <w:pStyle w:val="Indenta"/>
      </w:pPr>
      <w:r>
        <w:tab/>
        <w:t>(a)</w:t>
      </w:r>
      <w:r>
        <w:tab/>
        <w:t xml:space="preserve">a </w:t>
      </w:r>
      <w:ins w:id="113" w:author="Master Repository Process" w:date="2021-09-19T04:08:00Z">
        <w:r>
          <w:t xml:space="preserve">legal practitioner or a </w:t>
        </w:r>
      </w:ins>
      <w:r>
        <w:t>settlement agent has entered into an STR arrangement; and</w:t>
      </w:r>
    </w:p>
    <w:p>
      <w:pPr>
        <w:pStyle w:val="Indenta"/>
      </w:pPr>
      <w:r>
        <w:tab/>
        <w:t>(b)</w:t>
      </w:r>
      <w:r>
        <w:tab/>
      </w:r>
      <w:del w:id="114" w:author="Master Repository Process" w:date="2021-09-19T04:08:00Z">
        <w:r>
          <w:delText xml:space="preserve">after carrying out </w:delText>
        </w:r>
      </w:del>
      <w:r>
        <w:t xml:space="preserve">an investigation </w:t>
      </w:r>
      <w:ins w:id="115" w:author="Master Repository Process" w:date="2021-09-19T04:08:00Z">
        <w:r>
          <w:t xml:space="preserve">is carried out </w:t>
        </w:r>
      </w:ins>
      <w:r>
        <w:t>under Part 8 of the Act</w:t>
      </w:r>
      <w:del w:id="116" w:author="Master Repository Process" w:date="2021-09-19T04:08:00Z">
        <w:r>
          <w:delText xml:space="preserve">, </w:delText>
        </w:r>
      </w:del>
      <w:ins w:id="117" w:author="Master Repository Process" w:date="2021-09-19T04:08:00Z">
        <w:r>
          <w:t xml:space="preserve"> in relation to </w:t>
        </w:r>
      </w:ins>
      <w:r>
        <w:t xml:space="preserve">the </w:t>
      </w:r>
      <w:del w:id="118" w:author="Master Repository Process" w:date="2021-09-19T04:08:00Z">
        <w:r>
          <w:delText>Commissioner believes on reasonable grounds that the settlement agent failed to pay tax payable under that</w:delText>
        </w:r>
      </w:del>
      <w:ins w:id="119" w:author="Master Repository Process" w:date="2021-09-19T04:08:00Z">
        <w:r>
          <w:t>STR</w:t>
        </w:r>
      </w:ins>
      <w:r>
        <w:t xml:space="preserve"> arrangement</w:t>
      </w:r>
      <w:del w:id="120" w:author="Master Repository Process" w:date="2021-09-19T04:08:00Z">
        <w:r>
          <w:delText xml:space="preserve"> by the date on which it was due for payment,</w:delText>
        </w:r>
      </w:del>
      <w:ins w:id="121" w:author="Master Repository Process" w:date="2021-09-19T04:08:00Z">
        <w:r>
          <w:t>.</w:t>
        </w:r>
      </w:ins>
    </w:p>
    <w:p>
      <w:pPr>
        <w:pStyle w:val="Subsection"/>
      </w:pPr>
      <w:r>
        <w:tab/>
      </w:r>
      <w:del w:id="122" w:author="Master Repository Process" w:date="2021-09-19T04:08:00Z">
        <w:r>
          <w:tab/>
        </w:r>
      </w:del>
      <w:ins w:id="123" w:author="Master Repository Process" w:date="2021-09-19T04:08:00Z">
        <w:r>
          <w:t>(3)</w:t>
        </w:r>
        <w:r>
          <w:tab/>
          <w:t xml:space="preserve">For </w:t>
        </w:r>
      </w:ins>
      <w:r>
        <w:t xml:space="preserve">the </w:t>
      </w:r>
      <w:del w:id="124" w:author="Master Repository Process" w:date="2021-09-19T04:08:00Z">
        <w:r>
          <w:delText>Commissioner may, under</w:delText>
        </w:r>
      </w:del>
      <w:ins w:id="125" w:author="Master Repository Process" w:date="2021-09-19T04:08:00Z">
        <w:r>
          <w:t>purposes of</w:t>
        </w:r>
      </w:ins>
      <w:r>
        <w:t xml:space="preserve"> section 114(3)(g) of the Act, </w:t>
      </w:r>
      <w:ins w:id="126" w:author="Master Repository Process" w:date="2021-09-19T04:08:00Z">
        <w:r>
          <w:t xml:space="preserve">the Commissioner may </w:t>
        </w:r>
      </w:ins>
      <w:r>
        <w:t xml:space="preserve">disclose </w:t>
      </w:r>
      <w:ins w:id="127" w:author="Master Repository Process" w:date="2021-09-19T04:08:00Z">
        <w:r>
          <w:t xml:space="preserve">to a relevant recipient, for a purpose related to the relevant recipient carrying out its functions, </w:t>
        </w:r>
      </w:ins>
      <w:r>
        <w:t xml:space="preserve">information </w:t>
      </w:r>
      <w:ins w:id="128" w:author="Master Repository Process" w:date="2021-09-19T04:08:00Z">
        <w:r>
          <w:t xml:space="preserve">or material </w:t>
        </w:r>
      </w:ins>
      <w:r>
        <w:t xml:space="preserve">relating to </w:t>
      </w:r>
      <w:ins w:id="129" w:author="Master Repository Process" w:date="2021-09-19T04:08:00Z">
        <w:r>
          <w:t xml:space="preserve">the legal practitioner or settlement agent </w:t>
        </w:r>
      </w:ins>
      <w:r>
        <w:t xml:space="preserve">that </w:t>
      </w:r>
      <w:del w:id="130" w:author="Master Repository Process" w:date="2021-09-19T04:08:00Z">
        <w:r>
          <w:delText>failure</w:delText>
        </w:r>
      </w:del>
      <w:ins w:id="131" w:author="Master Repository Process" w:date="2021-09-19T04:08:00Z">
        <w:r>
          <w:t>was disclosed</w:t>
        </w:r>
      </w:ins>
      <w:r>
        <w:t xml:space="preserve"> to </w:t>
      </w:r>
      <w:del w:id="132" w:author="Master Repository Process" w:date="2021-09-19T04:08:00Z">
        <w:r>
          <w:delText>the person for</w:delText>
        </w:r>
      </w:del>
      <w:ins w:id="133" w:author="Master Repository Process" w:date="2021-09-19T04:08:00Z">
        <w:r>
          <w:t>or obtained by</w:t>
        </w:r>
      </w:ins>
      <w:r>
        <w:t xml:space="preserve"> the </w:t>
      </w:r>
      <w:del w:id="134" w:author="Master Repository Process" w:date="2021-09-19T04:08:00Z">
        <w:r>
          <w:delText>time being designated</w:delText>
        </w:r>
      </w:del>
      <w:ins w:id="135" w:author="Master Repository Process" w:date="2021-09-19T04:08:00Z">
        <w:r>
          <w:t>Commissioner</w:t>
        </w:r>
      </w:ins>
      <w:r>
        <w:t xml:space="preserve"> as </w:t>
      </w:r>
      <w:ins w:id="136" w:author="Master Repository Process" w:date="2021-09-19T04:08:00Z">
        <w:r>
          <w:t xml:space="preserve">part of </w:t>
        </w:r>
      </w:ins>
      <w:r>
        <w:t xml:space="preserve">the </w:t>
      </w:r>
      <w:del w:id="137" w:author="Master Repository Process" w:date="2021-09-19T04:08:00Z">
        <w:r>
          <w:delText>Commissioner</w:delText>
        </w:r>
      </w:del>
      <w:ins w:id="138" w:author="Master Repository Process" w:date="2021-09-19T04:08:00Z">
        <w:r>
          <w:t>investigation</w:t>
        </w:r>
      </w:ins>
      <w:r>
        <w:t xml:space="preserve"> under</w:t>
      </w:r>
      <w:ins w:id="139" w:author="Master Repository Process" w:date="2021-09-19T04:08:00Z">
        <w:r>
          <w:t xml:space="preserve"> Part 8 of</w:t>
        </w:r>
      </w:ins>
      <w:r>
        <w:t xml:space="preserve"> the </w:t>
      </w:r>
      <w:del w:id="140" w:author="Master Repository Process" w:date="2021-09-19T04:08:00Z">
        <w:r>
          <w:rPr>
            <w:i/>
          </w:rPr>
          <w:delText xml:space="preserve">Fair Trading </w:delText>
        </w:r>
      </w:del>
      <w:r>
        <w:t>Act</w:t>
      </w:r>
      <w:del w:id="141" w:author="Master Repository Process" w:date="2021-09-19T04:08:00Z">
        <w:r>
          <w:rPr>
            <w:i/>
          </w:rPr>
          <w:delText> 2010</w:delText>
        </w:r>
        <w:r>
          <w:delText xml:space="preserve"> section 55</w:delText>
        </w:r>
      </w:del>
      <w:r>
        <w:t>.</w:t>
      </w:r>
    </w:p>
    <w:p>
      <w:pPr>
        <w:pStyle w:val="Footnotesection"/>
      </w:pPr>
      <w:r>
        <w:tab/>
        <w:t>[Regulation 14A inserted: Gazette 22 Jul 2008 p. 3355</w:t>
      </w:r>
      <w:r>
        <w:noBreakHyphen/>
        <w:t>6; amended: Gazette 5 Jun 2015 p. 1977</w:t>
      </w:r>
      <w:ins w:id="142" w:author="Master Repository Process" w:date="2021-09-19T04:08:00Z">
        <w:r>
          <w:t>; SL 2020/40 r. 5</w:t>
        </w:r>
      </w:ins>
      <w:r>
        <w:t>.]</w:t>
      </w:r>
    </w:p>
    <w:p>
      <w:pPr>
        <w:pStyle w:val="Heading5"/>
      </w:pPr>
      <w:bookmarkStart w:id="143" w:name="_Toc38012675"/>
      <w:bookmarkStart w:id="144" w:name="_Toc16582781"/>
      <w:r>
        <w:rPr>
          <w:rStyle w:val="CharSectno"/>
        </w:rPr>
        <w:t>14</w:t>
      </w:r>
      <w:r>
        <w:t>.</w:t>
      </w:r>
      <w:r>
        <w:tab/>
        <w:t>Service on Commissioner (section 115)</w:t>
      </w:r>
      <w:bookmarkEnd w:id="143"/>
      <w:bookmarkEnd w:id="144"/>
    </w:p>
    <w:p>
      <w:pPr>
        <w:pStyle w:val="Ednotesubsection"/>
      </w:pPr>
      <w:r>
        <w:tab/>
        <w:t>[(1)</w:t>
      </w:r>
      <w:r>
        <w:tab/>
        <w:t>deleted]</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XLSX);</w:t>
      </w:r>
    </w:p>
    <w:p>
      <w:pPr>
        <w:pStyle w:val="Indenta"/>
      </w:pPr>
      <w:r>
        <w:tab/>
        <w:t>(f)</w:t>
      </w:r>
      <w:r>
        <w:tab/>
        <w:t>Microsoft Word (DOC, DOCX);</w:t>
      </w:r>
    </w:p>
    <w:p>
      <w:pPr>
        <w:pStyle w:val="Ednotepara"/>
      </w:pPr>
      <w:r>
        <w:tab/>
        <w:t>[(g)</w:t>
      </w:r>
      <w:r>
        <w:tab/>
        <w:t>deleted]</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Gazette 15 May 2009 p. 1642-3; 18 Dec 2012 p. 6598; 5 Jun 2015 p. 1977; 13 Dec 2016 p. 5634; 12 Jun 2018 p. 1901.]</w:t>
      </w:r>
    </w:p>
    <w:p>
      <w:pPr>
        <w:pStyle w:val="Heading5"/>
      </w:pPr>
      <w:bookmarkStart w:id="145" w:name="_Toc38012676"/>
      <w:bookmarkStart w:id="146" w:name="_Toc13731893"/>
      <w:bookmarkStart w:id="147" w:name="_Toc16582782"/>
      <w:r>
        <w:rPr>
          <w:rStyle w:val="CharSectno"/>
        </w:rPr>
        <w:t>14AA</w:t>
      </w:r>
      <w:r>
        <w:t>.</w:t>
      </w:r>
      <w:r>
        <w:tab/>
        <w:t>When documents not served personally are taken to be served (section 117(4))</w:t>
      </w:r>
      <w:bookmarkEnd w:id="145"/>
      <w:bookmarkEnd w:id="146"/>
      <w:bookmarkEnd w:id="147"/>
    </w:p>
    <w:p>
      <w:pPr>
        <w:pStyle w:val="Subsection"/>
      </w:pPr>
      <w:r>
        <w:tab/>
        <w:t>(1)</w:t>
      </w:r>
      <w:r>
        <w:tab/>
        <w:t xml:space="preserve">For the purposes of section 117(4) of the Act, if a notice or other document is not served personally, the document is taken to be served — </w:t>
      </w:r>
    </w:p>
    <w:p>
      <w:pPr>
        <w:pStyle w:val="Indenta"/>
      </w:pPr>
      <w:r>
        <w:tab/>
        <w:t>(a)</w:t>
      </w:r>
      <w:r>
        <w:tab/>
        <w:t>if sent by post to an address within the State — on the 4</w:t>
      </w:r>
      <w:r>
        <w:rPr>
          <w:vertAlign w:val="superscript"/>
        </w:rPr>
        <w:t>th</w:t>
      </w:r>
      <w:r>
        <w:t xml:space="preserve"> business day following the day on which the document is sent to the person to whom it is addressed; or</w:t>
      </w:r>
    </w:p>
    <w:p>
      <w:pPr>
        <w:pStyle w:val="Indenta"/>
      </w:pPr>
      <w:r>
        <w:tab/>
        <w:t>(b)</w:t>
      </w:r>
      <w:r>
        <w:tab/>
        <w:t>if sent by post to an address outside the State but within Australia — on the 6</w:t>
      </w:r>
      <w:r>
        <w:rPr>
          <w:vertAlign w:val="superscript"/>
        </w:rPr>
        <w:t>th</w:t>
      </w:r>
      <w:r>
        <w:t xml:space="preserve"> business day following the day on which the document is sent to the person to whom it is addressed; or</w:t>
      </w:r>
    </w:p>
    <w:p>
      <w:pPr>
        <w:pStyle w:val="Indenta"/>
      </w:pPr>
      <w:r>
        <w:tab/>
        <w:t>(c)</w:t>
      </w:r>
      <w:r>
        <w:tab/>
        <w:t>if sent by post to an address outside Australia — on the 14</w:t>
      </w:r>
      <w:r>
        <w:rPr>
          <w:vertAlign w:val="superscript"/>
        </w:rPr>
        <w:t>th</w:t>
      </w:r>
      <w:r>
        <w:t xml:space="preserve"> business day following the day on which the document is sent to the person to whom it is addressed; or</w:t>
      </w:r>
    </w:p>
    <w:p>
      <w:pPr>
        <w:pStyle w:val="Indenta"/>
      </w:pPr>
      <w:r>
        <w:tab/>
        <w:t>(d)</w:t>
      </w:r>
      <w:r>
        <w:tab/>
        <w:t>in any other case — on the business day following the day on which the document is sent to, left for, or otherwise communicated to, the person to whom it is addressed.</w:t>
      </w:r>
    </w:p>
    <w:p>
      <w:pPr>
        <w:pStyle w:val="Subsection"/>
      </w:pPr>
      <w:r>
        <w:tab/>
        <w:t>(2)</w:t>
      </w:r>
      <w:r>
        <w:tab/>
        <w:t xml:space="preserve">If subregulation (1)(a), (b) or (c) (the </w:t>
      </w:r>
      <w:r>
        <w:rPr>
          <w:rStyle w:val="CharDefText"/>
        </w:rPr>
        <w:t>applicable subregulation</w:t>
      </w:r>
      <w:r>
        <w:t>) applies to a notice or other document sent by post to an address, but it is proven that the document was not delivered to that address on or before the business day referred to in the applicable subregulation, the document is taken to be served on the day on which it was delivered to that address.</w:t>
      </w:r>
    </w:p>
    <w:p>
      <w:pPr>
        <w:pStyle w:val="Subsection"/>
      </w:pPr>
      <w:r>
        <w:tab/>
        <w:t>(3)</w:t>
      </w:r>
      <w:r>
        <w:tab/>
        <w:t>Subregulation (1) has effect subject to subregulation (2).</w:t>
      </w:r>
    </w:p>
    <w:p>
      <w:pPr>
        <w:pStyle w:val="Footnotesection"/>
      </w:pPr>
      <w:r>
        <w:tab/>
        <w:t>[Regulation 14AA inserted: Gazette 13 Aug 2019 p. 3043.]</w:t>
      </w:r>
    </w:p>
    <w:p>
      <w:pPr>
        <w:pStyle w:val="Heading5"/>
      </w:pPr>
      <w:bookmarkStart w:id="148" w:name="_Toc38012677"/>
      <w:bookmarkStart w:id="149" w:name="_Toc16582783"/>
      <w:r>
        <w:rPr>
          <w:rStyle w:val="CharSectno"/>
        </w:rPr>
        <w:t>15</w:t>
      </w:r>
      <w:r>
        <w:t>.</w:t>
      </w:r>
      <w:r>
        <w:tab/>
        <w:t>Prescription of Commissioner as State taxation officer</w:t>
      </w:r>
      <w:bookmarkEnd w:id="148"/>
      <w:bookmarkEnd w:id="149"/>
    </w:p>
    <w:p>
      <w:pPr>
        <w:pStyle w:val="Subsection"/>
        <w:keepNext/>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50" w:name="_Toc38009496"/>
      <w:bookmarkStart w:id="151" w:name="_Toc38012678"/>
      <w:bookmarkStart w:id="152" w:name="_Toc12345215"/>
      <w:bookmarkStart w:id="153" w:name="_Toc12603470"/>
      <w:bookmarkStart w:id="154" w:name="_Toc12616262"/>
      <w:bookmarkStart w:id="155" w:name="_Toc16582696"/>
      <w:bookmarkStart w:id="156" w:name="_Toc16582784"/>
      <w:bookmarkStart w:id="157" w:name="_Toc38006977"/>
      <w:r>
        <w:t>Notes</w:t>
      </w:r>
      <w:bookmarkEnd w:id="150"/>
      <w:bookmarkEnd w:id="151"/>
      <w:bookmarkEnd w:id="152"/>
      <w:bookmarkEnd w:id="153"/>
      <w:bookmarkEnd w:id="154"/>
      <w:bookmarkEnd w:id="155"/>
      <w:bookmarkEnd w:id="156"/>
    </w:p>
    <w:p>
      <w:pPr>
        <w:pStyle w:val="nStatement"/>
      </w:pPr>
      <w:del w:id="158" w:author="Master Repository Process" w:date="2021-09-19T04:08:00Z">
        <w:r>
          <w:rPr>
            <w:vertAlign w:val="superscript"/>
          </w:rPr>
          <w:delText>1</w:delText>
        </w:r>
        <w:r>
          <w:tab/>
        </w:r>
      </w:del>
      <w:r>
        <w:t xml:space="preserve">This is a compilation of the </w:t>
      </w:r>
      <w:r>
        <w:rPr>
          <w:i/>
          <w:noProof/>
        </w:rPr>
        <w:t>Taxation Administration Regulations 2003</w:t>
      </w:r>
      <w:r>
        <w:t xml:space="preserve"> and includes </w:t>
      </w:r>
      <w:del w:id="159" w:author="Master Repository Process" w:date="2021-09-19T04:08:00Z">
        <w:r>
          <w:delText xml:space="preserve">the </w:delText>
        </w:r>
      </w:del>
      <w:r>
        <w:t xml:space="preserve">amendments made by </w:t>
      </w:r>
      <w:del w:id="160" w:author="Master Repository Process" w:date="2021-09-19T04:08:00Z">
        <w:r>
          <w:delText xml:space="preserve">the </w:delText>
        </w:r>
      </w:del>
      <w:r>
        <w:t>other written laws</w:t>
      </w:r>
      <w:del w:id="161" w:author="Master Repository Process" w:date="2021-09-19T04:08:00Z">
        <w:r>
          <w:delText xml:space="preserve"> referred to in the following table</w:delText>
        </w:r>
      </w:del>
      <w:r>
        <w:rPr>
          <w:vertAlign w:val="superscript"/>
        </w:rPr>
        <w:t> 1M,</w:t>
      </w:r>
      <w:del w:id="162" w:author="Master Repository Process" w:date="2021-09-19T04:08:00Z">
        <w:r>
          <w:rPr>
            <w:vertAlign w:val="superscript"/>
          </w:rPr>
          <w:delText xml:space="preserve"> </w:delText>
        </w:r>
      </w:del>
      <w:ins w:id="163" w:author="Master Repository Process" w:date="2021-09-19T04:08:00Z">
        <w:r>
          <w:rPr>
            <w:vertAlign w:val="superscript"/>
          </w:rPr>
          <w:t> </w:t>
        </w:r>
      </w:ins>
      <w:r>
        <w:rPr>
          <w:vertAlign w:val="superscript"/>
        </w:rPr>
        <w:t>1MC</w:t>
      </w:r>
      <w:r>
        <w:t xml:space="preserve">. </w:t>
      </w:r>
      <w:del w:id="164" w:author="Master Repository Process" w:date="2021-09-19T04:08:00Z">
        <w:r>
          <w:delText xml:space="preserve"> The table also contains</w:delText>
        </w:r>
      </w:del>
      <w:ins w:id="165" w:author="Master Repository Process" w:date="2021-09-19T04:08:00Z">
        <w:r>
          <w:t>For provisions that have come into operation, and for</w:t>
        </w:r>
      </w:ins>
      <w:r>
        <w:t xml:space="preserve"> information about any </w:t>
      </w:r>
      <w:del w:id="166" w:author="Master Repository Process" w:date="2021-09-19T04:08:00Z">
        <w:r>
          <w:delText>reprint</w:delText>
        </w:r>
      </w:del>
      <w:ins w:id="167" w:author="Master Repository Process" w:date="2021-09-19T04:08:00Z">
        <w:r>
          <w:t>reprints, see the compilation table</w:t>
        </w:r>
      </w:ins>
      <w:r>
        <w:t>.</w:t>
      </w:r>
    </w:p>
    <w:p>
      <w:pPr>
        <w:pStyle w:val="nHeading3"/>
      </w:pPr>
      <w:bookmarkStart w:id="168" w:name="_Toc38012679"/>
      <w:bookmarkStart w:id="169" w:name="_Toc16582785"/>
      <w:r>
        <w:t>Compilation table</w:t>
      </w:r>
      <w:bookmarkEnd w:id="168"/>
      <w:bookmarkEnd w:id="16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170" w:author="Master Repository Process" w:date="2021-09-19T04:08:00Z">
              <w:r>
                <w:rPr>
                  <w:b/>
                </w:rPr>
                <w:delText>Gazettal</w:delText>
              </w:r>
            </w:del>
            <w:ins w:id="171" w:author="Master Repository Process" w:date="2021-09-19T04:08: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blPrEx>
          <w:tblBorders>
            <w:top w:val="none" w:sz="0" w:space="0" w:color="auto"/>
            <w:bottom w:val="none" w:sz="0" w:space="0" w:color="auto"/>
            <w:insideH w:val="none" w:sz="0" w:space="0" w:color="auto"/>
          </w:tblBorders>
        </w:tblPrEx>
        <w:tc>
          <w:tcPr>
            <w:tcW w:w="3119" w:type="dxa"/>
          </w:tcPr>
          <w:p>
            <w:pPr>
              <w:pStyle w:val="nTable"/>
              <w:keepNext/>
              <w:spacing w:after="40"/>
              <w:rPr>
                <w:i/>
                <w:noProof/>
                <w:snapToGrid w:val="0"/>
              </w:rPr>
            </w:pPr>
            <w:r>
              <w:rPr>
                <w:i/>
                <w:noProof/>
                <w:snapToGrid w:val="0"/>
              </w:rPr>
              <w:t>Taxation Administration Amendment Regulations 2009</w:t>
            </w:r>
          </w:p>
        </w:tc>
        <w:tc>
          <w:tcPr>
            <w:tcW w:w="1276" w:type="dxa"/>
          </w:tcPr>
          <w:p>
            <w:pPr>
              <w:pStyle w:val="nTable"/>
              <w:keepNext/>
              <w:spacing w:after="40"/>
            </w:pPr>
            <w:r>
              <w:t>15 May 2009 p. 1639-43</w:t>
            </w:r>
          </w:p>
        </w:tc>
        <w:tc>
          <w:tcPr>
            <w:tcW w:w="2693" w:type="dxa"/>
          </w:tcPr>
          <w:p>
            <w:pPr>
              <w:pStyle w:val="nTable"/>
              <w:keepNext/>
              <w:spacing w:after="40"/>
            </w:pPr>
            <w:r>
              <w:t>r. 1 and 2: 15 May 2009 (see r. 2(a));</w:t>
            </w:r>
            <w:r>
              <w:br/>
              <w:t>Regulations other than r. 1 and 2: 16 May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Taxation Administration Amendment Regulations (No. 2) 2015</w:t>
            </w:r>
          </w:p>
        </w:tc>
        <w:tc>
          <w:tcPr>
            <w:tcW w:w="1276" w:type="dxa"/>
            <w:shd w:val="clear" w:color="auto" w:fill="auto"/>
          </w:tcPr>
          <w:p>
            <w:pPr>
              <w:pStyle w:val="nTable"/>
              <w:keepNext/>
              <w:spacing w:after="40"/>
            </w:pPr>
            <w:r>
              <w:t>26 Jun 2015 p. 2279</w:t>
            </w:r>
            <w:r>
              <w:noBreakHyphen/>
              <w:t>80</w:t>
            </w:r>
          </w:p>
        </w:tc>
        <w:tc>
          <w:tcPr>
            <w:tcW w:w="2693" w:type="dxa"/>
            <w:shd w:val="clear" w:color="auto" w:fill="auto"/>
          </w:tcPr>
          <w:p>
            <w:pPr>
              <w:pStyle w:val="nTable"/>
              <w:keepNext/>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tc>
          <w:tcPr>
            <w:tcW w:w="3119" w:type="dxa"/>
            <w:tcBorders>
              <w:top w:val="nil"/>
              <w:bottom w:val="nil"/>
            </w:tcBorders>
          </w:tcPr>
          <w:p>
            <w:pPr>
              <w:pStyle w:val="nTable"/>
              <w:spacing w:after="40"/>
            </w:pPr>
            <w:r>
              <w:rPr>
                <w:i/>
              </w:rPr>
              <w:t xml:space="preserve">Taxation Administration Amendment Regulations (No. 3) 2015 </w:t>
            </w:r>
          </w:p>
        </w:tc>
        <w:tc>
          <w:tcPr>
            <w:tcW w:w="1276" w:type="dxa"/>
            <w:tcBorders>
              <w:top w:val="nil"/>
              <w:bottom w:val="nil"/>
            </w:tcBorders>
          </w:tcPr>
          <w:p>
            <w:pPr>
              <w:pStyle w:val="nTable"/>
              <w:spacing w:after="40"/>
            </w:pPr>
            <w:r>
              <w:t>11 Dec 2015 p. 4962-3</w:t>
            </w:r>
          </w:p>
        </w:tc>
        <w:tc>
          <w:tcPr>
            <w:tcW w:w="2693" w:type="dxa"/>
            <w:tcBorders>
              <w:top w:val="nil"/>
              <w:bottom w:val="nil"/>
            </w:tcBorders>
          </w:tcPr>
          <w:p>
            <w:pPr>
              <w:pStyle w:val="nTable"/>
              <w:spacing w:after="40"/>
            </w:pPr>
            <w:r>
              <w:t xml:space="preserve">r. 1 and 2: 11 Dec 2015 </w:t>
            </w:r>
            <w:r>
              <w:rPr>
                <w:bCs/>
                <w:snapToGrid w:val="0"/>
                <w:spacing w:val="-2"/>
              </w:rPr>
              <w:t>(see r. 2(a));</w:t>
            </w:r>
            <w:r>
              <w:br/>
              <w:t>Regulations other than r. 1 and 2: 1 Jan 2016 (see r. 2(b))</w:t>
            </w:r>
          </w:p>
        </w:tc>
      </w:tr>
      <w:tr>
        <w:tc>
          <w:tcPr>
            <w:tcW w:w="3119" w:type="dxa"/>
            <w:tcBorders>
              <w:top w:val="nil"/>
              <w:bottom w:val="nil"/>
            </w:tcBorders>
          </w:tcPr>
          <w:p>
            <w:pPr>
              <w:pStyle w:val="nTable"/>
              <w:spacing w:after="40"/>
              <w:rPr>
                <w:i/>
              </w:rPr>
            </w:pPr>
            <w:r>
              <w:rPr>
                <w:i/>
              </w:rPr>
              <w:t>Taxation Administration Amendment Regulations 2016</w:t>
            </w:r>
          </w:p>
        </w:tc>
        <w:tc>
          <w:tcPr>
            <w:tcW w:w="1276" w:type="dxa"/>
            <w:tcBorders>
              <w:top w:val="nil"/>
              <w:bottom w:val="nil"/>
            </w:tcBorders>
          </w:tcPr>
          <w:p>
            <w:pPr>
              <w:pStyle w:val="nTable"/>
              <w:spacing w:after="40"/>
            </w:pPr>
            <w:r>
              <w:t>24 Jun 2016 p. 2344</w:t>
            </w:r>
            <w:r>
              <w:noBreakHyphen/>
              <w:t>5</w:t>
            </w:r>
          </w:p>
        </w:tc>
        <w:tc>
          <w:tcPr>
            <w:tcW w:w="2693" w:type="dxa"/>
            <w:tcBorders>
              <w:top w:val="nil"/>
              <w:bottom w:val="nil"/>
            </w:tcBorders>
          </w:tcPr>
          <w:p>
            <w:pPr>
              <w:pStyle w:val="nTable"/>
              <w:spacing w:after="40"/>
            </w:pPr>
            <w:r>
              <w:t>r. 1 and 2: 24 Jun 2016</w:t>
            </w:r>
            <w:r>
              <w:rPr>
                <w:bCs/>
                <w:snapToGrid w:val="0"/>
                <w:spacing w:val="-2"/>
              </w:rPr>
              <w:t xml:space="preserve"> (see r. 2(a));</w:t>
            </w:r>
            <w:r>
              <w:br/>
              <w:t>Regulations other than r. 1 and 2: 1 Jul 2016 (see r. 2(b))</w:t>
            </w:r>
          </w:p>
        </w:tc>
      </w:tr>
      <w:tr>
        <w:tc>
          <w:tcPr>
            <w:tcW w:w="3119" w:type="dxa"/>
            <w:tcBorders>
              <w:top w:val="nil"/>
              <w:bottom w:val="nil"/>
            </w:tcBorders>
          </w:tcPr>
          <w:p>
            <w:pPr>
              <w:pStyle w:val="nTable"/>
              <w:spacing w:after="40"/>
              <w:rPr>
                <w:i/>
              </w:rPr>
            </w:pPr>
            <w:r>
              <w:rPr>
                <w:i/>
              </w:rPr>
              <w:t>Taxation Administration Amendment Regulations (No. 2) 2016</w:t>
            </w:r>
          </w:p>
        </w:tc>
        <w:tc>
          <w:tcPr>
            <w:tcW w:w="1276" w:type="dxa"/>
            <w:tcBorders>
              <w:top w:val="nil"/>
              <w:bottom w:val="nil"/>
            </w:tcBorders>
          </w:tcPr>
          <w:p>
            <w:pPr>
              <w:pStyle w:val="nTable"/>
              <w:spacing w:after="40"/>
            </w:pPr>
            <w:r>
              <w:t>13 Dec 2016 p. 5634</w:t>
            </w:r>
          </w:p>
        </w:tc>
        <w:tc>
          <w:tcPr>
            <w:tcW w:w="2693" w:type="dxa"/>
            <w:tcBorders>
              <w:top w:val="nil"/>
              <w:bottom w:val="nil"/>
            </w:tcBorders>
          </w:tcPr>
          <w:p>
            <w:pPr>
              <w:pStyle w:val="nTable"/>
              <w:spacing w:after="40"/>
            </w:pPr>
            <w:r>
              <w:t>r. 1 and 2: 13 Dec 2016</w:t>
            </w:r>
            <w:r>
              <w:rPr>
                <w:bCs/>
                <w:snapToGrid w:val="0"/>
                <w:spacing w:val="-2"/>
              </w:rPr>
              <w:t xml:space="preserve"> (see r. 2(a));</w:t>
            </w:r>
            <w:r>
              <w:br/>
              <w:t>Regulations other than r. 1 and 2: 14 Dec 2016 (see r. 2(b))</w:t>
            </w:r>
          </w:p>
        </w:tc>
      </w:tr>
      <w:tr>
        <w:tc>
          <w:tcPr>
            <w:tcW w:w="3119" w:type="dxa"/>
            <w:tcBorders>
              <w:top w:val="nil"/>
              <w:bottom w:val="nil"/>
            </w:tcBorders>
          </w:tcPr>
          <w:p>
            <w:pPr>
              <w:pStyle w:val="nTable"/>
              <w:spacing w:after="40"/>
              <w:rPr>
                <w:i/>
              </w:rPr>
            </w:pPr>
            <w:r>
              <w:rPr>
                <w:i/>
              </w:rPr>
              <w:t>Taxation Administration Amendment Regulations 2017</w:t>
            </w:r>
          </w:p>
        </w:tc>
        <w:tc>
          <w:tcPr>
            <w:tcW w:w="1276" w:type="dxa"/>
            <w:tcBorders>
              <w:top w:val="nil"/>
              <w:bottom w:val="nil"/>
            </w:tcBorders>
          </w:tcPr>
          <w:p>
            <w:pPr>
              <w:pStyle w:val="nTable"/>
              <w:spacing w:after="40"/>
            </w:pPr>
            <w:r>
              <w:t>27 Jun 2017 p. 3450</w:t>
            </w:r>
            <w:r>
              <w:noBreakHyphen/>
              <w:t>1</w:t>
            </w:r>
          </w:p>
        </w:tc>
        <w:tc>
          <w:tcPr>
            <w:tcW w:w="2693" w:type="dxa"/>
            <w:tcBorders>
              <w:top w:val="nil"/>
              <w:bottom w:val="nil"/>
            </w:tcBorders>
          </w:tcPr>
          <w:p>
            <w:pPr>
              <w:pStyle w:val="nTable"/>
              <w:spacing w:after="40"/>
            </w:pPr>
            <w:r>
              <w:t>r. 1 and 2: 27 Jun 2017</w:t>
            </w:r>
            <w:r>
              <w:rPr>
                <w:bCs/>
                <w:snapToGrid w:val="0"/>
                <w:spacing w:val="-2"/>
              </w:rPr>
              <w:t xml:space="preserve"> (see r. 2(a));</w:t>
            </w:r>
            <w:r>
              <w:br/>
              <w:t>Regulations other than r. 1 and 2: 1 Jul 2017 (see r. 2(b))</w:t>
            </w:r>
          </w:p>
        </w:tc>
      </w:tr>
      <w:tr>
        <w:tc>
          <w:tcPr>
            <w:tcW w:w="3119" w:type="dxa"/>
            <w:tcBorders>
              <w:top w:val="nil"/>
              <w:bottom w:val="nil"/>
            </w:tcBorders>
          </w:tcPr>
          <w:p>
            <w:pPr>
              <w:pStyle w:val="nTable"/>
              <w:spacing w:after="40"/>
              <w:rPr>
                <w:i/>
              </w:rPr>
            </w:pPr>
            <w:r>
              <w:rPr>
                <w:i/>
              </w:rPr>
              <w:t>Taxation Administration Amendment Regulations 2018</w:t>
            </w:r>
          </w:p>
        </w:tc>
        <w:tc>
          <w:tcPr>
            <w:tcW w:w="1276" w:type="dxa"/>
            <w:tcBorders>
              <w:top w:val="nil"/>
              <w:bottom w:val="nil"/>
            </w:tcBorders>
          </w:tcPr>
          <w:p>
            <w:pPr>
              <w:pStyle w:val="nTable"/>
              <w:spacing w:after="40"/>
            </w:pPr>
            <w:r>
              <w:t>6 Mar 2018 p. 709</w:t>
            </w:r>
            <w:r>
              <w:noBreakHyphen/>
              <w:t>10</w:t>
            </w:r>
          </w:p>
        </w:tc>
        <w:tc>
          <w:tcPr>
            <w:tcW w:w="2693" w:type="dxa"/>
            <w:tcBorders>
              <w:top w:val="nil"/>
              <w:bottom w:val="nil"/>
            </w:tcBorders>
          </w:tcPr>
          <w:p>
            <w:pPr>
              <w:pStyle w:val="nTable"/>
              <w:spacing w:after="40"/>
            </w:pPr>
            <w:r>
              <w:t>r. 1 and 2: 6 Mar 2018</w:t>
            </w:r>
            <w:r>
              <w:rPr>
                <w:bCs/>
                <w:snapToGrid w:val="0"/>
                <w:spacing w:val="-2"/>
              </w:rPr>
              <w:t xml:space="preserve"> (see r. 2(a));</w:t>
            </w:r>
            <w:r>
              <w:br/>
              <w:t>Regulations other than r. 1 and 2: 7 Mar 2018 (see r. 2(b))</w:t>
            </w:r>
          </w:p>
        </w:tc>
      </w:tr>
      <w:tr>
        <w:tc>
          <w:tcPr>
            <w:tcW w:w="3119" w:type="dxa"/>
            <w:tcBorders>
              <w:top w:val="nil"/>
              <w:bottom w:val="nil"/>
            </w:tcBorders>
          </w:tcPr>
          <w:p>
            <w:pPr>
              <w:pStyle w:val="nTable"/>
              <w:keepNext/>
              <w:spacing w:after="40"/>
            </w:pPr>
            <w:r>
              <w:rPr>
                <w:i/>
              </w:rPr>
              <w:t>Taxation Administration Amendment Regulations (No. 2) 2018</w:t>
            </w:r>
          </w:p>
        </w:tc>
        <w:tc>
          <w:tcPr>
            <w:tcW w:w="1276" w:type="dxa"/>
            <w:tcBorders>
              <w:top w:val="nil"/>
              <w:bottom w:val="nil"/>
            </w:tcBorders>
          </w:tcPr>
          <w:p>
            <w:pPr>
              <w:pStyle w:val="nTable"/>
              <w:keepNext/>
              <w:spacing w:after="40"/>
            </w:pPr>
            <w:r>
              <w:t>12 Jun 2018 p. 1901</w:t>
            </w:r>
          </w:p>
        </w:tc>
        <w:tc>
          <w:tcPr>
            <w:tcW w:w="2693" w:type="dxa"/>
            <w:tcBorders>
              <w:top w:val="nil"/>
              <w:bottom w:val="nil"/>
            </w:tcBorders>
          </w:tcPr>
          <w:p>
            <w:pPr>
              <w:pStyle w:val="nTable"/>
              <w:keepNext/>
              <w:spacing w:after="40"/>
            </w:pPr>
            <w:r>
              <w:t>r. 1 and 2: 12 Jun 2018</w:t>
            </w:r>
            <w:r>
              <w:rPr>
                <w:bCs/>
                <w:snapToGrid w:val="0"/>
                <w:spacing w:val="-2"/>
              </w:rPr>
              <w:t xml:space="preserve"> (see r. 2(a));</w:t>
            </w:r>
            <w:r>
              <w:br/>
              <w:t>r. 3 and 5: 13 Jun 2018 (see r. 2(c));</w:t>
            </w:r>
            <w:r>
              <w:br/>
              <w:t>r. 4: 1 Jul 2018 (see r. 2(b))</w:t>
            </w:r>
          </w:p>
        </w:tc>
      </w:tr>
      <w:tr>
        <w:tc>
          <w:tcPr>
            <w:tcW w:w="7088" w:type="dxa"/>
            <w:gridSpan w:val="3"/>
            <w:tcBorders>
              <w:top w:val="nil"/>
              <w:bottom w:val="nil"/>
            </w:tcBorders>
            <w:shd w:val="clear" w:color="auto" w:fill="auto"/>
          </w:tcPr>
          <w:p>
            <w:pPr>
              <w:pStyle w:val="nTable"/>
              <w:spacing w:after="40"/>
            </w:pPr>
            <w:r>
              <w:rPr>
                <w:b/>
              </w:rPr>
              <w:t xml:space="preserve">Reprint 4: The </w:t>
            </w:r>
            <w:r>
              <w:rPr>
                <w:b/>
                <w:i/>
                <w:noProof/>
              </w:rPr>
              <w:t>Taxation Administration Regulations 2003</w:t>
            </w:r>
            <w:r>
              <w:rPr>
                <w:b/>
              </w:rPr>
              <w:t xml:space="preserve"> as at 5 Oct 2018</w:t>
            </w:r>
            <w:r>
              <w:t xml:space="preserve"> (includes amendments listed above)</w:t>
            </w:r>
          </w:p>
        </w:tc>
      </w:tr>
      <w:tr>
        <w:tc>
          <w:tcPr>
            <w:tcW w:w="3119" w:type="dxa"/>
            <w:tcBorders>
              <w:top w:val="nil"/>
              <w:bottom w:val="nil"/>
            </w:tcBorders>
          </w:tcPr>
          <w:p>
            <w:pPr>
              <w:pStyle w:val="nTable"/>
              <w:spacing w:after="40"/>
            </w:pPr>
            <w:r>
              <w:rPr>
                <w:i/>
              </w:rPr>
              <w:t>Taxation Administration Amendment Regulations 2019</w:t>
            </w:r>
          </w:p>
        </w:tc>
        <w:tc>
          <w:tcPr>
            <w:tcW w:w="1276" w:type="dxa"/>
            <w:tcBorders>
              <w:top w:val="nil"/>
              <w:bottom w:val="nil"/>
            </w:tcBorders>
          </w:tcPr>
          <w:p>
            <w:pPr>
              <w:pStyle w:val="nTable"/>
              <w:spacing w:after="40"/>
            </w:pPr>
            <w:r>
              <w:t>12 Feb 2019 p. 271</w:t>
            </w:r>
            <w:r>
              <w:noBreakHyphen/>
              <w:t>2</w:t>
            </w:r>
          </w:p>
        </w:tc>
        <w:tc>
          <w:tcPr>
            <w:tcW w:w="2693" w:type="dxa"/>
            <w:tcBorders>
              <w:top w:val="nil"/>
              <w:bottom w:val="nil"/>
            </w:tcBorders>
          </w:tcPr>
          <w:p>
            <w:pPr>
              <w:pStyle w:val="nTable"/>
              <w:spacing w:after="40"/>
            </w:pPr>
            <w:r>
              <w:t>r. 1 and 2: 12 Feb 2019</w:t>
            </w:r>
            <w:r>
              <w:rPr>
                <w:bCs/>
                <w:snapToGrid w:val="0"/>
                <w:spacing w:val="-2"/>
              </w:rPr>
              <w:t xml:space="preserve"> (see r. 2(a));</w:t>
            </w:r>
            <w:r>
              <w:br/>
              <w:t>Regulations other than r. 1 and 2: 13 Feb 2019 (see r. 2(b))</w:t>
            </w:r>
          </w:p>
        </w:tc>
      </w:tr>
      <w:tr>
        <w:tc>
          <w:tcPr>
            <w:tcW w:w="3119" w:type="dxa"/>
            <w:tcBorders>
              <w:top w:val="nil"/>
              <w:bottom w:val="nil"/>
            </w:tcBorders>
          </w:tcPr>
          <w:p>
            <w:pPr>
              <w:pStyle w:val="nTable"/>
              <w:spacing w:after="40"/>
              <w:rPr>
                <w:i/>
              </w:rPr>
            </w:pPr>
            <w:r>
              <w:rPr>
                <w:i/>
              </w:rPr>
              <w:t>Taxation Administration Amendment Regulations (No. 2) 2019</w:t>
            </w:r>
          </w:p>
        </w:tc>
        <w:tc>
          <w:tcPr>
            <w:tcW w:w="1276" w:type="dxa"/>
            <w:tcBorders>
              <w:top w:val="nil"/>
              <w:bottom w:val="nil"/>
            </w:tcBorders>
          </w:tcPr>
          <w:p>
            <w:pPr>
              <w:pStyle w:val="nTable"/>
              <w:spacing w:after="40"/>
            </w:pPr>
            <w:r>
              <w:t>26 Feb 2019 p. 459-60</w:t>
            </w:r>
          </w:p>
        </w:tc>
        <w:tc>
          <w:tcPr>
            <w:tcW w:w="2693" w:type="dxa"/>
            <w:tcBorders>
              <w:top w:val="nil"/>
              <w:bottom w:val="nil"/>
            </w:tcBorders>
          </w:tcPr>
          <w:p>
            <w:pPr>
              <w:pStyle w:val="nTable"/>
              <w:spacing w:after="40"/>
            </w:pPr>
            <w:r>
              <w:t>r. 1 and 2: 26 Feb 2019 (see r. 2(a));</w:t>
            </w:r>
            <w:r>
              <w:br/>
              <w:t xml:space="preserve">Regulations other than r. 1 and 2: 1 Apr 2019 (see r. 2(b) and </w:t>
            </w:r>
            <w:r>
              <w:rPr>
                <w:i/>
              </w:rPr>
              <w:t>Gazette</w:t>
            </w:r>
            <w:r>
              <w:t xml:space="preserve"> 26 Feb 2019 p. 449-50)</w:t>
            </w:r>
          </w:p>
        </w:tc>
      </w:tr>
      <w:tr>
        <w:tc>
          <w:tcPr>
            <w:tcW w:w="3119" w:type="dxa"/>
            <w:tcBorders>
              <w:top w:val="nil"/>
              <w:bottom w:val="nil"/>
            </w:tcBorders>
          </w:tcPr>
          <w:p>
            <w:pPr>
              <w:pStyle w:val="nTable"/>
              <w:keepNext/>
              <w:spacing w:after="40"/>
              <w:rPr>
                <w:i/>
              </w:rPr>
            </w:pPr>
            <w:r>
              <w:rPr>
                <w:i/>
              </w:rPr>
              <w:t xml:space="preserve">Finance Regulations Amendment (Interest Rates) Regulations 2019 </w:t>
            </w:r>
            <w:r>
              <w:t>Pt. 3</w:t>
            </w:r>
          </w:p>
        </w:tc>
        <w:tc>
          <w:tcPr>
            <w:tcW w:w="1276" w:type="dxa"/>
            <w:tcBorders>
              <w:top w:val="nil"/>
              <w:bottom w:val="nil"/>
            </w:tcBorders>
          </w:tcPr>
          <w:p>
            <w:pPr>
              <w:pStyle w:val="nTable"/>
              <w:keepNext/>
              <w:spacing w:after="40"/>
            </w:pPr>
            <w:r>
              <w:t>28 Jun 2019 p. 2492</w:t>
            </w:r>
            <w:r>
              <w:noBreakHyphen/>
              <w:t>3</w:t>
            </w:r>
          </w:p>
        </w:tc>
        <w:tc>
          <w:tcPr>
            <w:tcW w:w="2693" w:type="dxa"/>
            <w:tcBorders>
              <w:top w:val="nil"/>
              <w:bottom w:val="nil"/>
            </w:tcBorders>
          </w:tcPr>
          <w:p>
            <w:pPr>
              <w:pStyle w:val="nTable"/>
              <w:keepNext/>
              <w:spacing w:after="40"/>
            </w:pPr>
            <w:r>
              <w:t>1 Jul 2019</w:t>
            </w:r>
            <w:r>
              <w:rPr>
                <w:snapToGrid w:val="0"/>
                <w:spacing w:val="-2"/>
              </w:rPr>
              <w:t xml:space="preserve"> (see r. 2(b))</w:t>
            </w:r>
          </w:p>
        </w:tc>
      </w:tr>
      <w:tr>
        <w:tc>
          <w:tcPr>
            <w:tcW w:w="3119" w:type="dxa"/>
            <w:tcBorders>
              <w:top w:val="nil"/>
              <w:bottom w:val="nil"/>
            </w:tcBorders>
          </w:tcPr>
          <w:p>
            <w:pPr>
              <w:pStyle w:val="nTable"/>
              <w:spacing w:after="40"/>
            </w:pPr>
            <w:r>
              <w:rPr>
                <w:i/>
              </w:rPr>
              <w:t>Finance Regulations Amendment Regulations 2019</w:t>
            </w:r>
            <w:r>
              <w:t xml:space="preserve"> Pt. 4</w:t>
            </w:r>
          </w:p>
        </w:tc>
        <w:tc>
          <w:tcPr>
            <w:tcW w:w="1276" w:type="dxa"/>
            <w:tcBorders>
              <w:top w:val="nil"/>
              <w:bottom w:val="nil"/>
            </w:tcBorders>
          </w:tcPr>
          <w:p>
            <w:pPr>
              <w:pStyle w:val="nTable"/>
              <w:keepNext/>
              <w:spacing w:after="40"/>
            </w:pPr>
            <w:r>
              <w:t>13 Aug 2019 p. 3041</w:t>
            </w:r>
            <w:r>
              <w:noBreakHyphen/>
              <w:t>3</w:t>
            </w:r>
          </w:p>
        </w:tc>
        <w:tc>
          <w:tcPr>
            <w:tcW w:w="2693" w:type="dxa"/>
            <w:tcBorders>
              <w:top w:val="nil"/>
              <w:bottom w:val="nil"/>
            </w:tcBorders>
          </w:tcPr>
          <w:p>
            <w:pPr>
              <w:pStyle w:val="nTable"/>
              <w:keepNext/>
              <w:spacing w:after="40"/>
            </w:pPr>
            <w:r>
              <w:t>14 Aug 2019 (see r. 2(c))</w:t>
            </w:r>
          </w:p>
        </w:tc>
      </w:tr>
      <w:tr>
        <w:trPr>
          <w:ins w:id="172" w:author="Master Repository Process" w:date="2021-09-19T04:08:00Z"/>
        </w:trPr>
        <w:tc>
          <w:tcPr>
            <w:tcW w:w="3119" w:type="dxa"/>
            <w:tcBorders>
              <w:top w:val="nil"/>
              <w:bottom w:val="single" w:sz="8" w:space="0" w:color="auto"/>
            </w:tcBorders>
          </w:tcPr>
          <w:p>
            <w:pPr>
              <w:pStyle w:val="nTable"/>
              <w:spacing w:after="40"/>
              <w:rPr>
                <w:ins w:id="173" w:author="Master Repository Process" w:date="2021-09-19T04:08:00Z"/>
                <w:i/>
              </w:rPr>
            </w:pPr>
            <w:ins w:id="174" w:author="Master Repository Process" w:date="2021-09-19T04:08:00Z">
              <w:r>
                <w:rPr>
                  <w:i/>
                </w:rPr>
                <w:t>Taxation Administration Amendment Regulations 2020</w:t>
              </w:r>
            </w:ins>
          </w:p>
        </w:tc>
        <w:tc>
          <w:tcPr>
            <w:tcW w:w="1276" w:type="dxa"/>
            <w:tcBorders>
              <w:top w:val="nil"/>
              <w:bottom w:val="single" w:sz="8" w:space="0" w:color="auto"/>
            </w:tcBorders>
          </w:tcPr>
          <w:p>
            <w:pPr>
              <w:pStyle w:val="nTable"/>
              <w:keepNext/>
              <w:spacing w:after="40"/>
              <w:rPr>
                <w:ins w:id="175" w:author="Master Repository Process" w:date="2021-09-19T04:08:00Z"/>
              </w:rPr>
            </w:pPr>
            <w:ins w:id="176" w:author="Master Repository Process" w:date="2021-09-19T04:08:00Z">
              <w:r>
                <w:t>SL 2020/40 17 Apr 2020</w:t>
              </w:r>
            </w:ins>
          </w:p>
        </w:tc>
        <w:tc>
          <w:tcPr>
            <w:tcW w:w="2693" w:type="dxa"/>
            <w:tcBorders>
              <w:top w:val="nil"/>
              <w:bottom w:val="single" w:sz="8" w:space="0" w:color="auto"/>
            </w:tcBorders>
          </w:tcPr>
          <w:p>
            <w:pPr>
              <w:pStyle w:val="nTable"/>
              <w:keepNext/>
              <w:spacing w:after="40"/>
              <w:rPr>
                <w:ins w:id="177" w:author="Master Repository Process" w:date="2021-09-19T04:08:00Z"/>
              </w:rPr>
            </w:pPr>
            <w:ins w:id="178" w:author="Master Repository Process" w:date="2021-09-19T04:08:00Z">
              <w:r>
                <w:t>r. 1 and 2: 17 Apr 2020</w:t>
              </w:r>
              <w:r>
                <w:br/>
                <w:t>(see r. 2(a));</w:t>
              </w:r>
              <w:r>
                <w:br/>
                <w:t>Regulations other than r. 1 and 2: 18 Apr 2020 (see r. 2(b))</w:t>
              </w:r>
            </w:ins>
          </w:p>
        </w:tc>
      </w:tr>
    </w:tbl>
    <w:p>
      <w:pPr>
        <w:pStyle w:val="nHeading3"/>
        <w:rPr>
          <w:ins w:id="179" w:author="Master Repository Process" w:date="2021-09-19T04:08:00Z"/>
        </w:rPr>
      </w:pPr>
      <w:bookmarkStart w:id="180" w:name="_Toc38012680"/>
      <w:ins w:id="181" w:author="Master Repository Process" w:date="2021-09-19T04:08:00Z">
        <w:r>
          <w:t>Other notes</w:t>
        </w:r>
        <w:bookmarkEnd w:id="180"/>
      </w:ins>
    </w:p>
    <w:p>
      <w:pPr>
        <w:pStyle w:val="nNote"/>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xml:space="preserve">. If a modification is to replace or insert a numbered provision, the new provision is identified by the superscript 1M appearing after the provision number. </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w:t>
      </w:r>
      <w:del w:id="182" w:author="Master Repository Process" w:date="2021-09-19T04:08:00Z">
        <w:r>
          <w:delText xml:space="preserve"> </w:delText>
        </w:r>
      </w:del>
      <w:ins w:id="183" w:author="Master Repository Process" w:date="2021-09-19T04:08:00Z">
        <w:r>
          <w:t> </w:t>
        </w:r>
      </w:ins>
      <w:r>
        <w:t xml:space="preserve">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w:t>
      </w:r>
      <w:del w:id="184" w:author="Master Repository Process" w:date="2021-09-19T04:08:00Z">
        <w:r>
          <w:delText xml:space="preserve"> </w:delText>
        </w:r>
      </w:del>
    </w:p>
    <w:p>
      <w:pPr>
        <w:rPr>
          <w:ins w:id="185" w:author="Master Repository Process" w:date="2021-09-19T04:08:00Z"/>
        </w:rPr>
      </w:pPr>
    </w:p>
    <w:p>
      <w:pPr>
        <w:sectPr>
          <w:headerReference w:type="even" r:id="rId21"/>
          <w:headerReference w:type="default" r:id="rId22"/>
          <w:pgSz w:w="11907" w:h="16840" w:code="9"/>
          <w:pgMar w:top="2376" w:right="2404" w:bottom="3544" w:left="2404" w:header="720" w:footer="3380" w:gutter="0"/>
          <w:cols w:space="720"/>
          <w:noEndnote/>
          <w:docGrid w:linePitch="326"/>
        </w:sectPr>
      </w:pPr>
      <w:bookmarkStart w:id="187" w:name="Start_Cursor"/>
      <w:bookmarkEnd w:id="187"/>
    </w:p>
    <w:bookmarkEnd w:id="157"/>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8" w:name="Coversheet"/>
    <w:bookmarkEnd w:id="1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6" w:name="Compilation"/>
    <w:bookmarkEnd w:id="1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17090616"/>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 w:name="WAFER_20180213154505" w:val="RemoveTocBookmarks,RemoveUnusedBookmarks,RemoveLanguageTags,UsedStyles,ResetPageSize,RemoveCustomizations"/>
    <w:docVar w:name="WAFER_20180213154505_GUID" w:val="64620132-87e1-4827-82ad-c3e71357f1a0"/>
    <w:docVar w:name="WAFER_20180306123042" w:val="RemoveTocBookmarks,RemoveUnusedBookmarks,RemoveLanguageTags,UsedStyles,RemoveTrackChanges"/>
    <w:docVar w:name="WAFER_20180306123042_GUID" w:val="626f79e7-6277-43b9-a353-be2104aad2d5"/>
    <w:docVar w:name="WAFER_20180306123107" w:val="RemoveTocBookmarks,RemoveLanguageTags,RemoveTrackChanges,RunningHeaders"/>
    <w:docVar w:name="WAFER_20180306123107_GUID" w:val="7fa70688-fc60-4ed9-b36c-116c6b116c82"/>
    <w:docVar w:name="WAFER_20190211112222" w:val="RemoveTocBookmarks,RemoveUnusedBookmarks,RemoveLanguageTags,UsedStyles,ResetPageSize"/>
    <w:docVar w:name="WAFER_20190211112222_GUID" w:val="ea0cecf8-4ab6-43f3-9874-0cdc0758feeb"/>
    <w:docVar w:name="WAFER_20190226114235" w:val="RemoveTocBookmarks,RemoveUnusedBookmarks,RemoveLanguageTags,UpdateStyles,UsedStyles,ResetPageSize"/>
    <w:docVar w:name="WAFER_20190226114235_GUID" w:val="6d540c33-71b6-4c85-869a-0356501f3ee9"/>
    <w:docVar w:name="WAFER_20190326121118" w:val="RemoveTocBookmarks,RemoveUnusedBookmarks,RemoveLanguageTags,ResetPageSize,RunningHeaders,UpdateStyles,UsedStyles"/>
    <w:docVar w:name="WAFER_20190326121118_GUID" w:val="ba59d497-bc61-491c-ba7f-42e5c6611e8c"/>
    <w:docVar w:name="WAFER_20190624161903" w:val="RemoveTocBookmarks,RemoveUnusedBookmarks,RemoveLanguageTags,ResetPageSize,RunningHeaders,UpdateStyles,UsedStyles"/>
    <w:docVar w:name="WAFER_20190624161903_GUID" w:val="ac2df974-4dfe-4f92-a46c-321dbaf2b0dc"/>
    <w:docVar w:name="WAFER_20200417090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90616_GUID" w:val="0762af92-af01-4bd3-a256-bedcb7190a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FA840CC-BD2B-4AE3-9559-CC6FC8B0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4500</Words>
  <Characters>22189</Characters>
  <Application>Microsoft Office Word</Application>
  <DocSecurity>0</DocSecurity>
  <Lines>693</Lines>
  <Paragraphs>365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04-f0-01 - 04-g0-00</dc:title>
  <dc:subject/>
  <dc:creator/>
  <cp:keywords/>
  <dc:description/>
  <cp:lastModifiedBy>Master Repository Process</cp:lastModifiedBy>
  <cp:revision>2</cp:revision>
  <cp:lastPrinted>2019-02-12T00:58:00Z</cp:lastPrinted>
  <dcterms:created xsi:type="dcterms:W3CDTF">2021-09-18T20:08:00Z</dcterms:created>
  <dcterms:modified xsi:type="dcterms:W3CDTF">2021-09-18T20:08:00Z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edAsAt">
    <vt:filetime>2018-10-04T16:00:00Z</vt:filetime>
  </property>
  <property fmtid="{D5CDD505-2E9C-101B-9397-08002B2CF9AE}" pid="6" name="ReprintNo">
    <vt:lpwstr>4</vt:lpwstr>
  </property>
  <property fmtid="{D5CDD505-2E9C-101B-9397-08002B2CF9AE}" pid="7" name="CommencementDate">
    <vt:lpwstr>20200418</vt:lpwstr>
  </property>
  <property fmtid="{D5CDD505-2E9C-101B-9397-08002B2CF9AE}" pid="8" name="FromSuffix">
    <vt:lpwstr>04-f0-01</vt:lpwstr>
  </property>
  <property fmtid="{D5CDD505-2E9C-101B-9397-08002B2CF9AE}" pid="9" name="FromAsAtDate">
    <vt:lpwstr>14 Aug 2019</vt:lpwstr>
  </property>
  <property fmtid="{D5CDD505-2E9C-101B-9397-08002B2CF9AE}" pid="10" name="ToSuffix">
    <vt:lpwstr>04-g0-00</vt:lpwstr>
  </property>
  <property fmtid="{D5CDD505-2E9C-101B-9397-08002B2CF9AE}" pid="11" name="ToAsAtDate">
    <vt:lpwstr>18 Apr 2020</vt:lpwstr>
  </property>
</Properties>
</file>