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2017</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23 May 2020</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2T11:46:00Z"/>
        </w:rPr>
      </w:pPr>
      <w:del w:id="2" w:author="Master Repository Process" w:date="2021-09-12T11:46:00Z">
        <w:r>
          <w:lastRenderedPageBreak/>
          <w:delText>Western Australia</w:delText>
        </w:r>
      </w:del>
    </w:p>
    <w:p>
      <w:pPr>
        <w:pStyle w:val="PrincipalActReg"/>
      </w:pPr>
      <w:r>
        <w:t>Restraining Orders Act 1997</w:t>
      </w:r>
    </w:p>
    <w:p>
      <w:pPr>
        <w:pStyle w:val="NameofActReg"/>
        <w:spacing w:before="680" w:after="1080"/>
      </w:pPr>
      <w:r>
        <w:t>Restraining Orders Regulations 1997</w:t>
      </w:r>
    </w:p>
    <w:p>
      <w:pPr>
        <w:pStyle w:val="Heading2"/>
        <w:pageBreakBefore w:val="0"/>
      </w:pPr>
      <w:bookmarkStart w:id="3" w:name="_Toc40967106"/>
      <w:bookmarkStart w:id="4" w:name="_Toc40971748"/>
      <w:bookmarkStart w:id="5" w:name="_Toc41035974"/>
      <w:bookmarkStart w:id="6" w:name="_Toc378769631"/>
      <w:bookmarkStart w:id="7" w:name="_Toc425172192"/>
      <w:bookmarkStart w:id="8" w:name="_Toc435093079"/>
      <w:bookmarkStart w:id="9" w:name="_Toc474230439"/>
      <w:bookmarkStart w:id="10" w:name="_Toc485390161"/>
      <w:bookmarkStart w:id="11" w:name="_Toc485630943"/>
      <w:bookmarkStart w:id="12" w:name="_Toc485635876"/>
      <w:bookmarkStart w:id="13" w:name="_Toc499212770"/>
      <w:bookmarkStart w:id="14" w:name="_Toc499212863"/>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6" w:name="_Toc41035975"/>
      <w:bookmarkStart w:id="17" w:name="_Toc378769632"/>
      <w:bookmarkStart w:id="18" w:name="_Toc499212864"/>
      <w:r>
        <w:rPr>
          <w:rStyle w:val="CharSectno"/>
        </w:rPr>
        <w:t>1</w:t>
      </w:r>
      <w:r>
        <w:rPr>
          <w:snapToGrid w:val="0"/>
        </w:rPr>
        <w:t>.</w:t>
      </w:r>
      <w:r>
        <w:rPr>
          <w:snapToGrid w:val="0"/>
        </w:rPr>
        <w:tab/>
        <w:t>Citation</w:t>
      </w:r>
      <w:bookmarkEnd w:id="16"/>
      <w:bookmarkEnd w:id="17"/>
      <w:bookmarkEnd w:id="18"/>
    </w:p>
    <w:p>
      <w:pPr>
        <w:pStyle w:val="Subsection"/>
        <w:rPr>
          <w:snapToGrid w:val="0"/>
        </w:rPr>
      </w:pPr>
      <w:r>
        <w:rPr>
          <w:snapToGrid w:val="0"/>
        </w:rPr>
        <w:tab/>
      </w:r>
      <w:r>
        <w:rPr>
          <w:snapToGrid w:val="0"/>
        </w:rPr>
        <w:tab/>
        <w:t xml:space="preserve">These regulations may be cited as the </w:t>
      </w:r>
      <w:r>
        <w:rPr>
          <w:i/>
          <w:snapToGrid w:val="0"/>
        </w:rPr>
        <w:t>Restraining Orders Regulations 1997</w:t>
      </w:r>
      <w:del w:id="19" w:author="Master Repository Process" w:date="2021-09-12T11:46:00Z">
        <w:r>
          <w:rPr>
            <w:i/>
            <w:snapToGrid w:val="0"/>
          </w:rPr>
          <w:delText> </w:delText>
        </w:r>
        <w:r>
          <w:rPr>
            <w:snapToGrid w:val="0"/>
            <w:vertAlign w:val="superscript"/>
          </w:rPr>
          <w:delText>1</w:delText>
        </w:r>
      </w:del>
      <w:r>
        <w:rPr>
          <w:snapToGrid w:val="0"/>
        </w:rPr>
        <w:t>.</w:t>
      </w:r>
    </w:p>
    <w:p>
      <w:pPr>
        <w:pStyle w:val="Heading5"/>
        <w:rPr>
          <w:snapToGrid w:val="0"/>
        </w:rPr>
      </w:pPr>
      <w:bookmarkStart w:id="20" w:name="_Toc41035976"/>
      <w:bookmarkStart w:id="21" w:name="_Toc378769633"/>
      <w:bookmarkStart w:id="22" w:name="_Toc499212865"/>
      <w:r>
        <w:rPr>
          <w:rStyle w:val="CharSectno"/>
        </w:rPr>
        <w:t>2</w:t>
      </w:r>
      <w:r>
        <w:rPr>
          <w:snapToGrid w:val="0"/>
        </w:rPr>
        <w:t>.</w:t>
      </w:r>
      <w:r>
        <w:rPr>
          <w:snapToGrid w:val="0"/>
        </w:rPr>
        <w:tab/>
        <w:t>Commencement</w:t>
      </w:r>
      <w:bookmarkEnd w:id="20"/>
      <w:bookmarkEnd w:id="21"/>
      <w:bookmarkEnd w:id="22"/>
    </w:p>
    <w:p>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del w:id="23" w:author="Master Repository Process" w:date="2021-09-12T11:46:00Z">
        <w:r>
          <w:rPr>
            <w:snapToGrid w:val="0"/>
            <w:vertAlign w:val="superscript"/>
          </w:rPr>
          <w:delText> 1</w:delText>
        </w:r>
      </w:del>
      <w:r>
        <w:rPr>
          <w:snapToGrid w:val="0"/>
        </w:rPr>
        <w:t>.</w:t>
      </w:r>
    </w:p>
    <w:p>
      <w:pPr>
        <w:pStyle w:val="Heading5"/>
      </w:pPr>
      <w:bookmarkStart w:id="24" w:name="_Toc41035977"/>
      <w:bookmarkStart w:id="25" w:name="_Toc378769634"/>
      <w:bookmarkStart w:id="26" w:name="_Toc499212866"/>
      <w:r>
        <w:rPr>
          <w:rStyle w:val="CharSectno"/>
        </w:rPr>
        <w:t>2A</w:t>
      </w:r>
      <w:r>
        <w:t>.</w:t>
      </w:r>
      <w:r>
        <w:tab/>
        <w:t>Terms used</w:t>
      </w:r>
      <w:bookmarkEnd w:id="24"/>
      <w:bookmarkEnd w:id="25"/>
      <w:bookmarkEnd w:id="26"/>
    </w:p>
    <w:p>
      <w:pPr>
        <w:pStyle w:val="Subsection"/>
      </w:pPr>
      <w:r>
        <w:tab/>
      </w:r>
      <w:r>
        <w:tab/>
        <w:t>In these regulations —</w:t>
      </w:r>
    </w:p>
    <w:p>
      <w:pPr>
        <w:pStyle w:val="Defstart"/>
      </w:pPr>
      <w:r>
        <w:tab/>
      </w:r>
      <w:r>
        <w:rPr>
          <w:rStyle w:val="CharDefText"/>
        </w:rPr>
        <w:t>form</w:t>
      </w:r>
      <w:r>
        <w:t xml:space="preserve"> followed by a designation means the form of that designation in Schedule 1;</w:t>
      </w:r>
    </w:p>
    <w:p>
      <w:pPr>
        <w:pStyle w:val="Defstart"/>
        <w:keepNext/>
      </w:pPr>
      <w:r>
        <w:tab/>
      </w:r>
      <w:r>
        <w:rPr>
          <w:rStyle w:val="CharDefText"/>
        </w:rPr>
        <w:t>proceedings under the Act</w:t>
      </w:r>
      <w:r>
        <w:t xml:space="preserve"> means —</w:t>
      </w:r>
    </w:p>
    <w:p>
      <w:pPr>
        <w:pStyle w:val="Defpara"/>
      </w:pPr>
      <w:r>
        <w:tab/>
        <w:t>(a)</w:t>
      </w:r>
      <w:r>
        <w:tab/>
        <w:t>the hearing of an application; or</w:t>
      </w:r>
    </w:p>
    <w:p>
      <w:pPr>
        <w:pStyle w:val="Defpara"/>
      </w:pPr>
      <w:r>
        <w:tab/>
        <w:t>(b)</w:t>
      </w:r>
      <w:r>
        <w:tab/>
        <w:t>proceedings for an offence against the Act;</w:t>
      </w:r>
    </w:p>
    <w:p>
      <w:pPr>
        <w:pStyle w:val="Defstart"/>
      </w:pPr>
      <w:r>
        <w:rPr>
          <w:b/>
        </w:rPr>
        <w:tab/>
      </w:r>
      <w:r>
        <w:rPr>
          <w:rStyle w:val="CharDefText"/>
        </w:rPr>
        <w:t>restrained person</w:t>
      </w:r>
      <w:r>
        <w:t>, in relation to a restraining order, means the person who is bound by the order.</w:t>
      </w:r>
    </w:p>
    <w:p>
      <w:pPr>
        <w:pStyle w:val="Footnotesection"/>
      </w:pPr>
      <w:r>
        <w:tab/>
        <w:t>[Regulation 2A inserted: Gazette 26 Nov 2004 p. 5259</w:t>
      </w:r>
      <w:r>
        <w:noBreakHyphen/>
        <w:t>60; amended: Gazette 7 Feb 2017 p. 1164.]</w:t>
      </w:r>
    </w:p>
    <w:p>
      <w:pPr>
        <w:pStyle w:val="Heading5"/>
        <w:rPr>
          <w:snapToGrid w:val="0"/>
        </w:rPr>
      </w:pPr>
      <w:bookmarkStart w:id="27" w:name="_Toc41035978"/>
      <w:bookmarkStart w:id="28" w:name="_Toc378769635"/>
      <w:bookmarkStart w:id="29" w:name="_Toc499212867"/>
      <w:r>
        <w:rPr>
          <w:rStyle w:val="CharSectno"/>
        </w:rPr>
        <w:t>3</w:t>
      </w:r>
      <w:r>
        <w:rPr>
          <w:snapToGrid w:val="0"/>
        </w:rPr>
        <w:t>.</w:t>
      </w:r>
      <w:r>
        <w:rPr>
          <w:snapToGrid w:val="0"/>
        </w:rPr>
        <w:tab/>
        <w:t>Forms (Sch. 1)</w:t>
      </w:r>
      <w:bookmarkEnd w:id="27"/>
      <w:bookmarkEnd w:id="28"/>
      <w:bookmarkEnd w:id="29"/>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 xml:space="preserve">It is sufficient compliance with the Act if a form substantially in compliance with the </w:t>
      </w:r>
      <w:r>
        <w:t>form in Schedule 1</w:t>
      </w:r>
      <w:r>
        <w:rPr>
          <w:snapToGrid w:val="0"/>
        </w:rPr>
        <w:t xml:space="preserve"> is used.</w:t>
      </w:r>
    </w:p>
    <w:p>
      <w:pPr>
        <w:pStyle w:val="Footnotesection"/>
      </w:pPr>
      <w:r>
        <w:tab/>
        <w:t>[Regulation 3 amended: Gazette 26 Nov 2004 p. 5260; 7 Feb 2017 p. 1164 .]</w:t>
      </w:r>
    </w:p>
    <w:p>
      <w:pPr>
        <w:pStyle w:val="Heading2"/>
      </w:pPr>
      <w:bookmarkStart w:id="30" w:name="_Toc40967111"/>
      <w:bookmarkStart w:id="31" w:name="_Toc40971753"/>
      <w:bookmarkStart w:id="32" w:name="_Toc41035979"/>
      <w:bookmarkStart w:id="33" w:name="_Toc378769636"/>
      <w:bookmarkStart w:id="34" w:name="_Toc425172197"/>
      <w:bookmarkStart w:id="35" w:name="_Toc435093084"/>
      <w:bookmarkStart w:id="36" w:name="_Toc474230444"/>
      <w:bookmarkStart w:id="37" w:name="_Toc485390166"/>
      <w:bookmarkStart w:id="38" w:name="_Toc485630948"/>
      <w:bookmarkStart w:id="39" w:name="_Toc485635881"/>
      <w:bookmarkStart w:id="40" w:name="_Toc499212775"/>
      <w:bookmarkStart w:id="41" w:name="_Toc499212868"/>
      <w:r>
        <w:rPr>
          <w:rStyle w:val="CharPartNo"/>
        </w:rPr>
        <w:t>Part 2</w:t>
      </w:r>
      <w:r>
        <w:rPr>
          <w:rStyle w:val="CharDivNo"/>
        </w:rPr>
        <w:t> </w:t>
      </w:r>
      <w:r>
        <w:t>—</w:t>
      </w:r>
      <w:r>
        <w:rPr>
          <w:rStyle w:val="CharDivText"/>
        </w:rPr>
        <w:t> </w:t>
      </w:r>
      <w:r>
        <w:rPr>
          <w:rStyle w:val="CharPartText"/>
        </w:rPr>
        <w:t>Firearms and other weapons</w:t>
      </w:r>
      <w:bookmarkEnd w:id="30"/>
      <w:bookmarkEnd w:id="31"/>
      <w:bookmarkEnd w:id="32"/>
      <w:bookmarkEnd w:id="33"/>
      <w:bookmarkEnd w:id="34"/>
      <w:bookmarkEnd w:id="35"/>
      <w:bookmarkEnd w:id="36"/>
      <w:bookmarkEnd w:id="37"/>
      <w:bookmarkEnd w:id="38"/>
      <w:bookmarkEnd w:id="39"/>
      <w:bookmarkEnd w:id="40"/>
      <w:bookmarkEnd w:id="41"/>
    </w:p>
    <w:p>
      <w:pPr>
        <w:pStyle w:val="Footnoteheading"/>
        <w:tabs>
          <w:tab w:val="left" w:pos="851"/>
        </w:tabs>
      </w:pPr>
      <w:r>
        <w:tab/>
        <w:t>[Heading amended: Gazette 26 Nov 2004 p. 5260.]</w:t>
      </w:r>
    </w:p>
    <w:p>
      <w:pPr>
        <w:pStyle w:val="Heading5"/>
        <w:rPr>
          <w:snapToGrid w:val="0"/>
        </w:rPr>
      </w:pPr>
      <w:bookmarkStart w:id="42" w:name="_Toc41035980"/>
      <w:bookmarkStart w:id="43" w:name="_Toc378769637"/>
      <w:bookmarkStart w:id="44" w:name="_Toc499212869"/>
      <w:r>
        <w:rPr>
          <w:rStyle w:val="CharSectno"/>
        </w:rPr>
        <w:t>4</w:t>
      </w:r>
      <w:r>
        <w:rPr>
          <w:snapToGrid w:val="0"/>
        </w:rPr>
        <w:t>.</w:t>
      </w:r>
      <w:r>
        <w:rPr>
          <w:snapToGrid w:val="0"/>
        </w:rPr>
        <w:tab/>
        <w:t>Giving up possession of firearms</w:t>
      </w:r>
      <w:bookmarkEnd w:id="42"/>
      <w:bookmarkEnd w:id="43"/>
      <w:bookmarkEnd w:id="44"/>
    </w:p>
    <w:p>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pPr>
        <w:pStyle w:val="Subsection"/>
        <w:rPr>
          <w:snapToGrid w:val="0"/>
        </w:rPr>
      </w:pPr>
      <w:r>
        <w:rPr>
          <w:snapToGrid w:val="0"/>
        </w:rPr>
        <w:tab/>
        <w:t>(2)</w:t>
      </w:r>
      <w:r>
        <w:rPr>
          <w:snapToGrid w:val="0"/>
        </w:rPr>
        <w:tab/>
        <w:t>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w:t>
      </w:r>
    </w:p>
    <w:p>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w:t>
      </w:r>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once there, immediately give the firearm or firearms licence to the police officer.</w:t>
      </w:r>
    </w:p>
    <w:p>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w:t>
      </w:r>
    </w:p>
    <w:p>
      <w:pPr>
        <w:pStyle w:val="Indenta"/>
        <w:rPr>
          <w:snapToGrid w:val="0"/>
        </w:rPr>
      </w:pPr>
      <w:r>
        <w:rPr>
          <w:snapToGrid w:val="0"/>
        </w:rPr>
        <w:tab/>
        <w:t>(a)</w:t>
      </w:r>
      <w:r>
        <w:rPr>
          <w:snapToGrid w:val="0"/>
        </w:rPr>
        <w:tab/>
        <w:t>must comply with subregulation (3) or (4), as the case requires, in respect of the firearms licence; but</w:t>
      </w:r>
    </w:p>
    <w:p>
      <w:pPr>
        <w:pStyle w:val="Indenta"/>
        <w:rPr>
          <w:snapToGrid w:val="0"/>
        </w:rPr>
      </w:pPr>
      <w:r>
        <w:rPr>
          <w:snapToGrid w:val="0"/>
        </w:rPr>
        <w:tab/>
        <w:t>(b)</w:t>
      </w:r>
      <w:r>
        <w:rPr>
          <w:snapToGrid w:val="0"/>
        </w:rPr>
        <w:tab/>
        <w:t>need not comply with subregulation (3) or (4), as the case requires, in respect of that firearm.</w:t>
      </w:r>
    </w:p>
    <w:p>
      <w:pPr>
        <w:pStyle w:val="Heading5"/>
        <w:rPr>
          <w:snapToGrid w:val="0"/>
        </w:rPr>
      </w:pPr>
      <w:bookmarkStart w:id="45" w:name="_Toc41035981"/>
      <w:bookmarkStart w:id="46" w:name="_Toc378769638"/>
      <w:bookmarkStart w:id="47" w:name="_Toc499212870"/>
      <w:r>
        <w:rPr>
          <w:rStyle w:val="CharSectno"/>
        </w:rPr>
        <w:t>5</w:t>
      </w:r>
      <w:r>
        <w:rPr>
          <w:snapToGrid w:val="0"/>
        </w:rPr>
        <w:t>.</w:t>
      </w:r>
      <w:r>
        <w:rPr>
          <w:snapToGrid w:val="0"/>
        </w:rPr>
        <w:tab/>
        <w:t>Dealing with firearms surrendered (</w:t>
      </w:r>
      <w:r>
        <w:t>Act</w:t>
      </w:r>
      <w:r>
        <w:rPr>
          <w:snapToGrid w:val="0"/>
        </w:rPr>
        <w:t xml:space="preserve"> s. 14) or seized (</w:t>
      </w:r>
      <w:r>
        <w:t>Act</w:t>
      </w:r>
      <w:r>
        <w:rPr>
          <w:snapToGrid w:val="0"/>
        </w:rPr>
        <w:t> s. 62E)</w:t>
      </w:r>
      <w:bookmarkEnd w:id="45"/>
      <w:bookmarkEnd w:id="46"/>
      <w:bookmarkEnd w:id="47"/>
    </w:p>
    <w:p>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w:t>
      </w:r>
    </w:p>
    <w:p>
      <w:pPr>
        <w:pStyle w:val="Indenta"/>
        <w:rPr>
          <w:snapToGrid w:val="0"/>
        </w:rPr>
      </w:pPr>
      <w:r>
        <w:rPr>
          <w:snapToGrid w:val="0"/>
        </w:rPr>
        <w:tab/>
        <w:t>(a)</w:t>
      </w:r>
      <w:r>
        <w:rPr>
          <w:snapToGrid w:val="0"/>
        </w:rPr>
        <w:tab/>
        <w:t>the restraining order ceases to be in force; or</w:t>
      </w:r>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w:t>
      </w:r>
    </w:p>
    <w:p>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w:t>
      </w:r>
    </w:p>
    <w:p>
      <w:pPr>
        <w:pStyle w:val="Footnotesection"/>
      </w:pPr>
      <w:r>
        <w:tab/>
        <w:t>[Regulation 5 amended: Gazette 26 Nov 2004 p. 5260.]</w:t>
      </w:r>
    </w:p>
    <w:p>
      <w:pPr>
        <w:pStyle w:val="Heading5"/>
      </w:pPr>
      <w:bookmarkStart w:id="48" w:name="_Toc41035982"/>
      <w:bookmarkStart w:id="49" w:name="_Toc378769639"/>
      <w:bookmarkStart w:id="50" w:name="_Toc499212871"/>
      <w:r>
        <w:rPr>
          <w:rStyle w:val="CharSectno"/>
        </w:rPr>
        <w:t>5A</w:t>
      </w:r>
      <w:r>
        <w:t>.</w:t>
      </w:r>
      <w:r>
        <w:tab/>
        <w:t>Dealing with firearms seized (Act s. 62B(2)(c))</w:t>
      </w:r>
      <w:bookmarkEnd w:id="48"/>
      <w:bookmarkEnd w:id="49"/>
      <w:bookmarkEnd w:id="50"/>
    </w:p>
    <w:p>
      <w:pPr>
        <w:pStyle w:val="Subsection"/>
      </w:pPr>
      <w:r>
        <w:tab/>
      </w:r>
      <w:r>
        <w:tab/>
        <w:t xml:space="preserve">A firearm seized under section 62B(2)(c) of the Act is to be dealt with in the same manner as a firearm seized under section 24(2) of the </w:t>
      </w:r>
      <w:r>
        <w:rPr>
          <w:i/>
        </w:rPr>
        <w:t>Firearms Act 1973</w:t>
      </w:r>
      <w:r>
        <w:t>.</w:t>
      </w:r>
    </w:p>
    <w:p>
      <w:pPr>
        <w:pStyle w:val="Footnotesection"/>
      </w:pPr>
      <w:r>
        <w:tab/>
        <w:t>[Regulation 5A inserted: Gazette 26 Nov 2004 p. 5261.]</w:t>
      </w:r>
    </w:p>
    <w:p>
      <w:pPr>
        <w:pStyle w:val="Heading5"/>
      </w:pPr>
      <w:bookmarkStart w:id="51" w:name="_Toc41035983"/>
      <w:bookmarkStart w:id="52" w:name="_Toc378769640"/>
      <w:bookmarkStart w:id="53" w:name="_Toc499212872"/>
      <w:r>
        <w:rPr>
          <w:rStyle w:val="CharSectno"/>
        </w:rPr>
        <w:t>5B</w:t>
      </w:r>
      <w:r>
        <w:t>.</w:t>
      </w:r>
      <w:r>
        <w:tab/>
        <w:t>Dealing with other weapons seized (Act s. 62B(2)(c))</w:t>
      </w:r>
      <w:bookmarkEnd w:id="51"/>
      <w:bookmarkEnd w:id="52"/>
      <w:bookmarkEnd w:id="53"/>
    </w:p>
    <w:p>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 Gazette 26 Nov 2004 p. 5261.]</w:t>
      </w:r>
    </w:p>
    <w:p>
      <w:pPr>
        <w:pStyle w:val="Heading2"/>
      </w:pPr>
      <w:bookmarkStart w:id="54" w:name="_Toc40967116"/>
      <w:bookmarkStart w:id="55" w:name="_Toc40971758"/>
      <w:bookmarkStart w:id="56" w:name="_Toc41035984"/>
      <w:bookmarkStart w:id="57" w:name="_Toc378769641"/>
      <w:bookmarkStart w:id="58" w:name="_Toc425172202"/>
      <w:bookmarkStart w:id="59" w:name="_Toc435093089"/>
      <w:bookmarkStart w:id="60" w:name="_Toc474230449"/>
      <w:bookmarkStart w:id="61" w:name="_Toc485390171"/>
      <w:bookmarkStart w:id="62" w:name="_Toc485630953"/>
      <w:bookmarkStart w:id="63" w:name="_Toc485635886"/>
      <w:bookmarkStart w:id="64" w:name="_Toc499212780"/>
      <w:bookmarkStart w:id="65" w:name="_Toc499212873"/>
      <w:r>
        <w:rPr>
          <w:rStyle w:val="CharPartNo"/>
        </w:rPr>
        <w:t>Part 3</w:t>
      </w:r>
      <w:r>
        <w:rPr>
          <w:rStyle w:val="CharDivNo"/>
        </w:rPr>
        <w:t> </w:t>
      </w:r>
      <w:r>
        <w:t>—</w:t>
      </w:r>
      <w:r>
        <w:rPr>
          <w:rStyle w:val="CharDivText"/>
        </w:rPr>
        <w:t> </w:t>
      </w:r>
      <w:r>
        <w:rPr>
          <w:rStyle w:val="CharPartText"/>
        </w:rPr>
        <w:t>Practice and procedure</w:t>
      </w:r>
      <w:bookmarkEnd w:id="54"/>
      <w:bookmarkEnd w:id="55"/>
      <w:bookmarkEnd w:id="56"/>
      <w:bookmarkEnd w:id="57"/>
      <w:bookmarkEnd w:id="58"/>
      <w:bookmarkEnd w:id="59"/>
      <w:bookmarkEnd w:id="60"/>
      <w:bookmarkEnd w:id="61"/>
      <w:bookmarkEnd w:id="62"/>
      <w:bookmarkEnd w:id="63"/>
      <w:bookmarkEnd w:id="64"/>
      <w:bookmarkEnd w:id="65"/>
    </w:p>
    <w:p>
      <w:pPr>
        <w:pStyle w:val="Ednotesection"/>
      </w:pPr>
      <w:r>
        <w:t>[</w:t>
      </w:r>
      <w:r>
        <w:rPr>
          <w:b/>
        </w:rPr>
        <w:t>6</w:t>
      </w:r>
      <w:r>
        <w:t>.</w:t>
      </w:r>
      <w:r>
        <w:tab/>
        <w:t>Deleted: Gazette 7 Feb 2017 p. 1164.]</w:t>
      </w:r>
    </w:p>
    <w:p>
      <w:pPr>
        <w:pStyle w:val="Heading5"/>
      </w:pPr>
      <w:bookmarkStart w:id="66" w:name="_Toc41035985"/>
      <w:bookmarkStart w:id="67" w:name="_Toc378769643"/>
      <w:bookmarkStart w:id="68" w:name="_Toc499212874"/>
      <w:r>
        <w:rPr>
          <w:rStyle w:val="CharSectno"/>
        </w:rPr>
        <w:t>6A</w:t>
      </w:r>
      <w:r>
        <w:t>.</w:t>
      </w:r>
      <w:r>
        <w:tab/>
        <w:t>Application to correct minor error in restraining orders (Act s. 49A)</w:t>
      </w:r>
      <w:bookmarkEnd w:id="66"/>
      <w:bookmarkEnd w:id="67"/>
      <w:bookmarkEnd w:id="68"/>
    </w:p>
    <w:p>
      <w:pPr>
        <w:pStyle w:val="Ednotesubsection"/>
      </w:pPr>
      <w:r>
        <w:tab/>
        <w:t>[(1)</w:t>
      </w:r>
      <w:r>
        <w:tab/>
        <w:t>deleted]</w:t>
      </w:r>
    </w:p>
    <w:p>
      <w:pPr>
        <w:pStyle w:val="Subsection"/>
      </w:pPr>
      <w:r>
        <w:tab/>
        <w:t>(2)</w:t>
      </w:r>
      <w:r>
        <w:tab/>
        <w:t>Subject to subregulation (3), an application under subregulation (1)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Where an order is made under subregulation (3), the registrar is to ensure that the other party to the restraining order is given notice of the application, and is to fix a hearing and summons both parties to the hearing.</w:t>
      </w:r>
    </w:p>
    <w:p>
      <w:pPr>
        <w:pStyle w:val="Subsection"/>
      </w:pPr>
      <w:r>
        <w:tab/>
        <w:t>(5)</w:t>
      </w:r>
      <w:r>
        <w:tab/>
        <w:t>A copy of a restraining order corrected under section 49A of the Act is to be —</w:t>
      </w:r>
    </w:p>
    <w:p>
      <w:pPr>
        <w:pStyle w:val="Indenta"/>
      </w:pPr>
      <w:r>
        <w:tab/>
        <w:t>(a)</w:t>
      </w:r>
      <w:r>
        <w:tab/>
        <w:t>served on the person who is bound by the restraining order; and</w:t>
      </w:r>
    </w:p>
    <w:p>
      <w:pPr>
        <w:pStyle w:val="Indenta"/>
      </w:pPr>
      <w:r>
        <w:tab/>
        <w:t>(b)</w:t>
      </w:r>
      <w:r>
        <w:tab/>
        <w:t>delivered to —</w:t>
      </w:r>
    </w:p>
    <w:p>
      <w:pPr>
        <w:pStyle w:val="Indenti"/>
      </w:pPr>
      <w:r>
        <w:tab/>
        <w:t>(i)</w:t>
      </w:r>
      <w:r>
        <w:tab/>
        <w:t>the person protected by the order; or</w:t>
      </w:r>
    </w:p>
    <w:p>
      <w:pPr>
        <w:pStyle w:val="Indenti"/>
      </w:pPr>
      <w:r>
        <w:tab/>
        <w:t>(ii)</w:t>
      </w:r>
      <w:r>
        <w:tab/>
        <w:t>the parent or guardian of that person, if the parent or guardian made the application for the restraining order on behalf of that person;</w:t>
      </w:r>
    </w:p>
    <w:p>
      <w:pPr>
        <w:pStyle w:val="Indenta"/>
      </w:pPr>
      <w:r>
        <w:tab/>
      </w:r>
      <w:r>
        <w:tab/>
        <w:t>and</w:t>
      </w:r>
    </w:p>
    <w:p>
      <w:pPr>
        <w:pStyle w:val="Indenta"/>
      </w:pPr>
      <w:r>
        <w:tab/>
        <w:t>(c)</w:t>
      </w:r>
      <w:r>
        <w:tab/>
        <w:t>delivered to the Commissioner of Police; and</w:t>
      </w:r>
    </w:p>
    <w:p>
      <w:pPr>
        <w:pStyle w:val="Indenta"/>
      </w:pPr>
      <w:r>
        <w:tab/>
        <w:t>(d)</w:t>
      </w:r>
      <w:r>
        <w:tab/>
        <w:t>placed on the court’s records.</w:t>
      </w:r>
    </w:p>
    <w:p>
      <w:pPr>
        <w:pStyle w:val="Subsection"/>
        <w:keepNext/>
      </w:pPr>
      <w:r>
        <w:tab/>
        <w:t>(6)</w:t>
      </w:r>
      <w:r>
        <w:tab/>
        <w:t>The correction of restraining order under section 49A of the Act does not affect the time when the restraining order came into force or the duration of the restraining order.</w:t>
      </w:r>
    </w:p>
    <w:p>
      <w:pPr>
        <w:pStyle w:val="Footnotesection"/>
      </w:pPr>
      <w:r>
        <w:tab/>
        <w:t>[Regulation 6A inserted: Gazette 26 Nov 2004 p. 5261</w:t>
      </w:r>
      <w:r>
        <w:noBreakHyphen/>
        <w:t>2; amended: Gazette 31 Jul 2007 p. 3802; 7 Feb 2017 p. 1164.]</w:t>
      </w:r>
    </w:p>
    <w:p>
      <w:pPr>
        <w:pStyle w:val="Heading5"/>
      </w:pPr>
      <w:bookmarkStart w:id="69" w:name="_Toc41035986"/>
      <w:bookmarkStart w:id="70" w:name="_Toc378769644"/>
      <w:bookmarkStart w:id="71" w:name="_Toc499212875"/>
      <w:r>
        <w:rPr>
          <w:rStyle w:val="CharSectno"/>
        </w:rPr>
        <w:t>6B</w:t>
      </w:r>
      <w:r>
        <w:t>.</w:t>
      </w:r>
      <w:r>
        <w:tab/>
        <w:t>Order that child be allowed to give oral evidence (Act s. 53A)</w:t>
      </w:r>
      <w:bookmarkEnd w:id="69"/>
      <w:bookmarkEnd w:id="70"/>
      <w:bookmarkEnd w:id="71"/>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Ednotesubsection"/>
        <w:spacing w:before="0"/>
      </w:pPr>
      <w:r>
        <w:tab/>
        <w:t>[(3)</w:t>
      </w:r>
      <w:r>
        <w:tab/>
        <w:t>deleted]</w:t>
      </w:r>
    </w:p>
    <w:p>
      <w:pPr>
        <w:pStyle w:val="Subsection"/>
      </w:pPr>
      <w:r>
        <w:tab/>
        <w:t>(4)</w:t>
      </w:r>
      <w:r>
        <w:tab/>
        <w:t>If an application referred to in subregulation (1) is made, the registrar is to give notice of the application to all other parties to the proceedings.</w:t>
      </w:r>
    </w:p>
    <w:p>
      <w:pPr>
        <w:pStyle w:val="Footnotesection"/>
      </w:pPr>
      <w:r>
        <w:tab/>
        <w:t>[Regulation 6B inserted: Gazette 26 Nov 2004 p. 5262</w:t>
      </w:r>
      <w:r>
        <w:noBreakHyphen/>
        <w:t>3; amended: Gazette 31 Jul 2007 p. 3802; 7 Feb 2017 p. 1164.]</w:t>
      </w:r>
    </w:p>
    <w:p>
      <w:pPr>
        <w:pStyle w:val="Heading5"/>
      </w:pPr>
      <w:bookmarkStart w:id="72" w:name="_Toc41035987"/>
      <w:bookmarkStart w:id="73" w:name="_Toc378769645"/>
      <w:bookmarkStart w:id="74" w:name="_Toc499212876"/>
      <w:r>
        <w:rPr>
          <w:rStyle w:val="CharSectno"/>
        </w:rPr>
        <w:t>6C</w:t>
      </w:r>
      <w:r>
        <w:t>.</w:t>
      </w:r>
      <w:r>
        <w:tab/>
        <w:t>Attendance at hearings</w:t>
      </w:r>
      <w:bookmarkEnd w:id="72"/>
      <w:bookmarkEnd w:id="73"/>
      <w:bookmarkEnd w:id="74"/>
    </w:p>
    <w:p>
      <w:pPr>
        <w:pStyle w:val="Subsection"/>
      </w:pPr>
      <w:r>
        <w:tab/>
        <w:t>(1)</w:t>
      </w:r>
      <w:r>
        <w:tab/>
        <w:t>For the avoidance of doubt, a person is not to be taken to have failed to attend a hearing if the person is represented at the hearing by —</w:t>
      </w:r>
    </w:p>
    <w:p>
      <w:pPr>
        <w:pStyle w:val="Indenta"/>
      </w:pPr>
      <w:r>
        <w:tab/>
        <w:t>(a)</w:t>
      </w:r>
      <w:r>
        <w:tab/>
        <w:t>a legal practitioner; or</w:t>
      </w:r>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Subregulation (1) does not apply if the person has failed to attend a hearing —</w:t>
      </w:r>
    </w:p>
    <w:p>
      <w:pPr>
        <w:pStyle w:val="Indenta"/>
      </w:pPr>
      <w:r>
        <w:tab/>
        <w:t>(a)</w:t>
      </w:r>
      <w:r>
        <w:tab/>
        <w:t>after being summonsed; or</w:t>
      </w:r>
    </w:p>
    <w:p>
      <w:pPr>
        <w:pStyle w:val="Indenta"/>
      </w:pPr>
      <w:r>
        <w:tab/>
        <w:t>(b)</w:t>
      </w:r>
      <w:r>
        <w:tab/>
        <w:t>where, in the opinion of the court, the hearing cannot take place without the physical presence of the person.</w:t>
      </w:r>
    </w:p>
    <w:p>
      <w:pPr>
        <w:pStyle w:val="Footnotesection"/>
      </w:pPr>
      <w:r>
        <w:tab/>
        <w:t>[Regulation 6C inserted: Gazette 26 Nov 2004 p. 5263.]</w:t>
      </w:r>
    </w:p>
    <w:p>
      <w:pPr>
        <w:pStyle w:val="Heading5"/>
      </w:pPr>
      <w:bookmarkStart w:id="75" w:name="_Toc41035988"/>
      <w:bookmarkStart w:id="76" w:name="_Toc378769646"/>
      <w:bookmarkStart w:id="77" w:name="_Toc499212877"/>
      <w:r>
        <w:rPr>
          <w:rStyle w:val="CharSectno"/>
        </w:rPr>
        <w:t>6D</w:t>
      </w:r>
      <w:r>
        <w:t>.</w:t>
      </w:r>
      <w:r>
        <w:tab/>
        <w:t>Certificate to effect that person who is bound by restraining order was present in court when order was made (Act s. 55(3a))</w:t>
      </w:r>
      <w:bookmarkEnd w:id="75"/>
      <w:bookmarkEnd w:id="76"/>
      <w:bookmarkEnd w:id="77"/>
    </w:p>
    <w:p>
      <w:pPr>
        <w:pStyle w:val="Subsection"/>
      </w:pPr>
      <w:r>
        <w:tab/>
      </w:r>
      <w:r>
        <w:tab/>
        <w:t>Where a person bound by a restraining order is present in court when the order is made, the registrar of the court must, in accordance with any applicable rules of court, certify that this was done.</w:t>
      </w:r>
    </w:p>
    <w:p>
      <w:pPr>
        <w:pStyle w:val="Footnotesection"/>
      </w:pPr>
      <w:r>
        <w:tab/>
        <w:t>[Regulation 6D inserted: Gazette 26 Nov 2004 p. 5264; amended: Gazette 31 Jul 2007 p. 3802; 7 Feb 2017 p. 1165.]</w:t>
      </w:r>
    </w:p>
    <w:p>
      <w:pPr>
        <w:pStyle w:val="Heading5"/>
        <w:rPr>
          <w:snapToGrid w:val="0"/>
        </w:rPr>
      </w:pPr>
      <w:bookmarkStart w:id="78" w:name="_Toc41035989"/>
      <w:bookmarkStart w:id="79" w:name="_Toc378769647"/>
      <w:bookmarkStart w:id="80" w:name="_Toc499212878"/>
      <w:r>
        <w:rPr>
          <w:rStyle w:val="CharSectno"/>
        </w:rPr>
        <w:t>7</w:t>
      </w:r>
      <w:r>
        <w:rPr>
          <w:snapToGrid w:val="0"/>
        </w:rPr>
        <w:t>.</w:t>
      </w:r>
      <w:r>
        <w:rPr>
          <w:snapToGrid w:val="0"/>
        </w:rPr>
        <w:tab/>
        <w:t>Telephone applications, adjournment of</w:t>
      </w:r>
      <w:bookmarkEnd w:id="78"/>
      <w:bookmarkEnd w:id="79"/>
      <w:bookmarkEnd w:id="80"/>
    </w:p>
    <w:p>
      <w:pPr>
        <w:pStyle w:val="Subsection"/>
        <w:rPr>
          <w:snapToGrid w:val="0"/>
        </w:rPr>
      </w:pPr>
      <w:r>
        <w:rPr>
          <w:snapToGrid w:val="0"/>
        </w:rPr>
        <w:tab/>
        <w:t>(1)</w:t>
      </w:r>
      <w:r>
        <w:rPr>
          <w:snapToGrid w:val="0"/>
        </w:rPr>
        <w:tab/>
        <w:t xml:space="preserve">If the hearing of a telephone application is adjourned the </w:t>
      </w:r>
      <w:r>
        <w:t>registrar of the court where the magistrate hearing the telephone application is based</w:t>
      </w:r>
      <w:r>
        <w:rPr>
          <w:snapToGrid w:val="0"/>
        </w:rPr>
        <w:t xml:space="preserve"> is to ensure that the adjourned hearing is listed —</w:t>
      </w:r>
    </w:p>
    <w:p>
      <w:pPr>
        <w:pStyle w:val="Indenta"/>
        <w:rPr>
          <w:snapToGrid w:val="0"/>
        </w:rPr>
      </w:pPr>
      <w:r>
        <w:rPr>
          <w:snapToGrid w:val="0"/>
        </w:rPr>
        <w:tab/>
        <w:t>(a)</w:t>
      </w:r>
      <w:r>
        <w:rPr>
          <w:snapToGrid w:val="0"/>
        </w:rPr>
        <w:tab/>
        <w:t>if the respondent is a child, in the Children’s Court; or</w:t>
      </w:r>
    </w:p>
    <w:p>
      <w:pPr>
        <w:pStyle w:val="Indenta"/>
        <w:rPr>
          <w:snapToGrid w:val="0"/>
        </w:rPr>
      </w:pPr>
      <w:r>
        <w:rPr>
          <w:snapToGrid w:val="0"/>
        </w:rPr>
        <w:tab/>
        <w:t>(b)</w:t>
      </w:r>
      <w:r>
        <w:rPr>
          <w:snapToGrid w:val="0"/>
        </w:rPr>
        <w:tab/>
        <w:t>otherwise, in the Magistrates Court</w:t>
      </w:r>
      <w:del w:id="81" w:author="Master Repository Process" w:date="2021-09-12T11:46:00Z">
        <w:r>
          <w:rPr>
            <w:snapToGrid w:val="0"/>
          </w:rPr>
          <w:delText xml:space="preserve"> </w:delText>
        </w:r>
        <w:r>
          <w:rPr>
            <w:snapToGrid w:val="0"/>
            <w:vertAlign w:val="superscript"/>
          </w:rPr>
          <w:delText>2</w:delText>
        </w:r>
      </w:del>
      <w:ins w:id="82" w:author="Master Repository Process" w:date="2021-09-12T11:46:00Z">
        <w:r>
          <w:rPr>
            <w:snapToGrid w:val="0"/>
          </w:rPr>
          <w:t> </w:t>
        </w:r>
        <w:r>
          <w:rPr>
            <w:snapToGrid w:val="0"/>
            <w:vertAlign w:val="superscript"/>
          </w:rPr>
          <w:t>1</w:t>
        </w:r>
      </w:ins>
      <w:r>
        <w:rPr>
          <w:snapToGrid w:val="0"/>
        </w:rPr>
        <w:t>,</w:t>
      </w:r>
    </w:p>
    <w:p>
      <w:pPr>
        <w:pStyle w:val="Subsection"/>
        <w:rPr>
          <w:snapToGrid w:val="0"/>
        </w:rPr>
      </w:pPr>
      <w:r>
        <w:rPr>
          <w:snapToGrid w:val="0"/>
        </w:rPr>
        <w:tab/>
      </w:r>
      <w:r>
        <w:rPr>
          <w:snapToGrid w:val="0"/>
        </w:rPr>
        <w:tab/>
        <w:t>nearest to the applicant’s usual place of residence.</w:t>
      </w:r>
    </w:p>
    <w:p>
      <w:pPr>
        <w:pStyle w:val="Subsection"/>
        <w:rPr>
          <w:snapToGrid w:val="0"/>
        </w:rPr>
      </w:pPr>
      <w:r>
        <w:rPr>
          <w:snapToGrid w:val="0"/>
        </w:rPr>
        <w:tab/>
        <w:t>(2)</w:t>
      </w:r>
      <w:r>
        <w:rPr>
          <w:snapToGrid w:val="0"/>
        </w:rPr>
        <w:tab/>
        <w:t xml:space="preserve">If the court </w:t>
      </w:r>
      <w:r>
        <w:t xml:space="preserve">in which the adjourned hearing is to be listed under </w:t>
      </w:r>
      <w:r>
        <w:rPr>
          <w:snapToGrid w:val="0"/>
        </w:rPr>
        <w:t xml:space="preserve">subregulation (1) is not the court where the magistrate hearing the telephone application is based, the magistrate is to transfer the matter to the court </w:t>
      </w:r>
      <w:r>
        <w:t xml:space="preserve">in which the adjourned hearing is to be listed under </w:t>
      </w:r>
      <w:r>
        <w:rPr>
          <w:snapToGrid w:val="0"/>
        </w:rPr>
        <w:t>subregulation (1).</w:t>
      </w:r>
    </w:p>
    <w:p>
      <w:pPr>
        <w:pStyle w:val="Footnotesection"/>
      </w:pPr>
      <w:r>
        <w:tab/>
        <w:t>[Regulation 7 amended: Gazette 31 Jul 2007 p. 3800.]</w:t>
      </w:r>
    </w:p>
    <w:p>
      <w:pPr>
        <w:pStyle w:val="Heading5"/>
        <w:rPr>
          <w:snapToGrid w:val="0"/>
        </w:rPr>
      </w:pPr>
      <w:bookmarkStart w:id="83" w:name="_Toc41035990"/>
      <w:bookmarkStart w:id="84" w:name="_Toc378769648"/>
      <w:bookmarkStart w:id="85" w:name="_Toc499212879"/>
      <w:r>
        <w:rPr>
          <w:rStyle w:val="CharSectno"/>
        </w:rPr>
        <w:t>8</w:t>
      </w:r>
      <w:r>
        <w:rPr>
          <w:snapToGrid w:val="0"/>
        </w:rPr>
        <w:t>.</w:t>
      </w:r>
      <w:r>
        <w:rPr>
          <w:snapToGrid w:val="0"/>
        </w:rPr>
        <w:tab/>
        <w:t>Procedure when restraining order made during bail hearing (Act s. 63)</w:t>
      </w:r>
      <w:bookmarkEnd w:id="83"/>
      <w:bookmarkEnd w:id="84"/>
      <w:bookmarkEnd w:id="85"/>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w:t>
      </w:r>
    </w:p>
    <w:p>
      <w:pPr>
        <w:pStyle w:val="Indenta"/>
        <w:rPr>
          <w:snapToGrid w:val="0"/>
        </w:rPr>
      </w:pPr>
      <w:r>
        <w:rPr>
          <w:snapToGrid w:val="0"/>
        </w:rPr>
        <w:tab/>
        <w:t>(a)</w:t>
      </w:r>
      <w:r>
        <w:rPr>
          <w:snapToGrid w:val="0"/>
        </w:rPr>
        <w:tab/>
        <w:t xml:space="preserve">make a written record of the </w:t>
      </w:r>
      <w:r>
        <w:t>proceedings; and</w:t>
      </w:r>
    </w:p>
    <w:p>
      <w:pPr>
        <w:pStyle w:val="Indenta"/>
        <w:rPr>
          <w:snapToGrid w:val="0"/>
        </w:rPr>
      </w:pPr>
      <w:r>
        <w:rPr>
          <w:snapToGrid w:val="0"/>
        </w:rPr>
        <w:tab/>
        <w:t>(b)</w:t>
      </w:r>
      <w:r>
        <w:rPr>
          <w:snapToGrid w:val="0"/>
        </w:rPr>
        <w:tab/>
        <w:t>cause the record to be forwarded to the court in which the restrained person is bailed to appear.</w:t>
      </w:r>
    </w:p>
    <w:p>
      <w:pPr>
        <w:pStyle w:val="Subsection"/>
        <w:rPr>
          <w:snapToGrid w:val="0"/>
        </w:rPr>
      </w:pPr>
      <w:r>
        <w:rPr>
          <w:snapToGrid w:val="0"/>
        </w:rPr>
        <w:tab/>
        <w:t>(3)</w:t>
      </w:r>
      <w:r>
        <w:rPr>
          <w:snapToGrid w:val="0"/>
        </w:rPr>
        <w:tab/>
        <w:t>The judicial officer may cause the record to be forwarded to the court personally, by ordinary prepaid post or by fax.</w:t>
      </w:r>
    </w:p>
    <w:p>
      <w:pPr>
        <w:pStyle w:val="Subsection"/>
        <w:rPr>
          <w:snapToGrid w:val="0"/>
        </w:rPr>
      </w:pPr>
      <w:r>
        <w:rPr>
          <w:snapToGrid w:val="0"/>
        </w:rPr>
        <w:tab/>
        <w:t>(4)</w:t>
      </w:r>
      <w:r>
        <w:rPr>
          <w:snapToGrid w:val="0"/>
        </w:rPr>
        <w:tab/>
        <w:t>If the record is forwarded by fax the judicial officer must —</w:t>
      </w:r>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For the purposes of section 10(1) of the Act a reference to the court is to be read as a reference to the court in which the restrained person is bailed to appear.</w:t>
      </w:r>
    </w:p>
    <w:p>
      <w:pPr>
        <w:pStyle w:val="Footnotesection"/>
      </w:pPr>
      <w:bookmarkStart w:id="86" w:name="_Toc378769649"/>
      <w:r>
        <w:tab/>
        <w:t>[Regulation 8 amended: Gazette 7 Feb 2017 p. 1165.]</w:t>
      </w:r>
    </w:p>
    <w:p>
      <w:pPr>
        <w:pStyle w:val="Heading5"/>
        <w:rPr>
          <w:snapToGrid w:val="0"/>
        </w:rPr>
      </w:pPr>
      <w:bookmarkStart w:id="87" w:name="_Toc41035991"/>
      <w:bookmarkStart w:id="88" w:name="_Toc499212880"/>
      <w:r>
        <w:rPr>
          <w:rStyle w:val="CharSectno"/>
        </w:rPr>
        <w:t>9</w:t>
      </w:r>
      <w:r>
        <w:rPr>
          <w:snapToGrid w:val="0"/>
        </w:rPr>
        <w:t>.</w:t>
      </w:r>
      <w:r>
        <w:rPr>
          <w:snapToGrid w:val="0"/>
        </w:rPr>
        <w:tab/>
        <w:t>Procedure when restraining order made during other proceedings (Act s. 63)</w:t>
      </w:r>
      <w:bookmarkEnd w:id="87"/>
      <w:bookmarkEnd w:id="86"/>
      <w:bookmarkEnd w:id="88"/>
    </w:p>
    <w:p>
      <w:pPr>
        <w:pStyle w:val="Subsection"/>
        <w:rPr>
          <w:snapToGrid w:val="0"/>
        </w:rPr>
      </w:pPr>
      <w:r>
        <w:rPr>
          <w:snapToGrid w:val="0"/>
        </w:rPr>
        <w:tab/>
        <w:t>(1)</w:t>
      </w:r>
      <w:r>
        <w:rPr>
          <w:snapToGrid w:val="0"/>
        </w:rPr>
        <w:tab/>
        <w:t>This regulation applies to —</w:t>
      </w:r>
    </w:p>
    <w:p>
      <w:pPr>
        <w:pStyle w:val="Indenta"/>
        <w:rPr>
          <w:snapToGrid w:val="0"/>
        </w:rPr>
      </w:pPr>
      <w:r>
        <w:rPr>
          <w:snapToGrid w:val="0"/>
        </w:rPr>
        <w:tab/>
        <w:t>(a)</w:t>
      </w:r>
      <w:r>
        <w:rPr>
          <w:snapToGrid w:val="0"/>
        </w:rPr>
        <w:tab/>
        <w:t>the Magistrates Court</w:t>
      </w:r>
      <w:r>
        <w:rPr>
          <w:snapToGrid w:val="0"/>
          <w:vertAlign w:val="superscript"/>
        </w:rPr>
        <w:t> </w:t>
      </w:r>
      <w:del w:id="89" w:author="Master Repository Process" w:date="2021-09-12T11:46:00Z">
        <w:r>
          <w:rPr>
            <w:snapToGrid w:val="0"/>
            <w:vertAlign w:val="superscript"/>
          </w:rPr>
          <w:delText>2</w:delText>
        </w:r>
      </w:del>
      <w:ins w:id="90" w:author="Master Repository Process" w:date="2021-09-12T11:46:00Z">
        <w:r>
          <w:rPr>
            <w:snapToGrid w:val="0"/>
            <w:vertAlign w:val="superscript"/>
          </w:rPr>
          <w:t>1</w:t>
        </w:r>
      </w:ins>
      <w:r>
        <w:rPr>
          <w:snapToGrid w:val="0"/>
        </w:rPr>
        <w:t>; and</w:t>
      </w:r>
    </w:p>
    <w:p>
      <w:pPr>
        <w:pStyle w:val="Indenta"/>
        <w:rPr>
          <w:snapToGrid w:val="0"/>
        </w:rPr>
      </w:pPr>
      <w:r>
        <w:rPr>
          <w:snapToGrid w:val="0"/>
        </w:rPr>
        <w:tab/>
        <w:t>(b)</w:t>
      </w:r>
      <w:r>
        <w:rPr>
          <w:snapToGrid w:val="0"/>
        </w:rPr>
        <w:tab/>
        <w:t>the Children’s Court when constituted so as not to include a judge of that court; and</w:t>
      </w:r>
    </w:p>
    <w:p>
      <w:pPr>
        <w:pStyle w:val="Indenta"/>
        <w:rPr>
          <w:snapToGrid w:val="0"/>
        </w:rPr>
      </w:pPr>
      <w:r>
        <w:rPr>
          <w:snapToGrid w:val="0"/>
        </w:rPr>
        <w:tab/>
        <w:t>(c)</w:t>
      </w:r>
      <w:r>
        <w:rPr>
          <w:snapToGrid w:val="0"/>
        </w:rPr>
        <w:tab/>
        <w:t>any other court when constituted so as not to include a judge of that court.</w:t>
      </w:r>
    </w:p>
    <w:p>
      <w:pPr>
        <w:pStyle w:val="Subsection"/>
        <w:rPr>
          <w:snapToGrid w:val="0"/>
        </w:rPr>
      </w:pPr>
      <w:r>
        <w:rPr>
          <w:snapToGrid w:val="0"/>
        </w:rPr>
        <w:tab/>
        <w:t>(2)</w:t>
      </w:r>
      <w:r>
        <w:rPr>
          <w:snapToGrid w:val="0"/>
        </w:rPr>
        <w:tab/>
        <w:t xml:space="preserve">When a court to which this regulation applies makes a restraining order under section 63 of the Act the court is to make a written record of the proceedings </w:t>
      </w:r>
      <w:r>
        <w:t>and</w:t>
      </w:r>
      <w:r>
        <w:rPr>
          <w:snapToGrid w:val="0"/>
        </w:rPr>
        <w:t xml:space="preserve"> cause the record to be placed on the court records.</w:t>
      </w:r>
    </w:p>
    <w:p>
      <w:pPr>
        <w:pStyle w:val="Footnotesection"/>
      </w:pPr>
      <w:bookmarkStart w:id="91" w:name="_Toc378769650"/>
      <w:r>
        <w:tab/>
        <w:t>[Regulation 9 amended: Gazette 7 Feb 2017 p. 1165.]</w:t>
      </w:r>
    </w:p>
    <w:p>
      <w:pPr>
        <w:pStyle w:val="Heading5"/>
      </w:pPr>
      <w:bookmarkStart w:id="92" w:name="_Toc41035992"/>
      <w:bookmarkStart w:id="93" w:name="_Toc499212881"/>
      <w:r>
        <w:rPr>
          <w:rStyle w:val="CharSectno"/>
        </w:rPr>
        <w:t>9A</w:t>
      </w:r>
      <w:r>
        <w:t>.</w:t>
      </w:r>
      <w:r>
        <w:tab/>
        <w:t>Procedure for applying for oral or substituted service (Act s. 55(2) and 60(1))</w:t>
      </w:r>
      <w:bookmarkEnd w:id="92"/>
      <w:bookmarkEnd w:id="91"/>
      <w:bookmarkEnd w:id="93"/>
    </w:p>
    <w:p>
      <w:pPr>
        <w:pStyle w:val="Subsection"/>
      </w:pPr>
      <w:r>
        <w:tab/>
        <w:t>(1)</w:t>
      </w:r>
      <w:r>
        <w:tab/>
        <w:t>An application —</w:t>
      </w:r>
    </w:p>
    <w:p>
      <w:pPr>
        <w:pStyle w:val="Indenta"/>
      </w:pPr>
      <w:r>
        <w:tab/>
        <w:t>(a)</w:t>
      </w:r>
      <w:r>
        <w:tab/>
        <w:t>to a registrar for an order authorising oral service of a restraining order under section 55(2) of the Act; or</w:t>
      </w:r>
    </w:p>
    <w:p>
      <w:pPr>
        <w:pStyle w:val="Indenta"/>
      </w:pPr>
      <w:r>
        <w:tab/>
        <w:t>(b)</w:t>
      </w:r>
      <w:r>
        <w:tab/>
        <w:t>to the court for an order authorising substituted service of a restraining order under section 60(1) of the Act,</w:t>
      </w:r>
    </w:p>
    <w:p>
      <w:pPr>
        <w:pStyle w:val="Subsection"/>
      </w:pPr>
      <w:r>
        <w:tab/>
      </w:r>
      <w:r>
        <w:tab/>
        <w:t>is to be made in accordance with this regulation.</w:t>
      </w:r>
    </w:p>
    <w:p>
      <w:pPr>
        <w:pStyle w:val="Subsection"/>
      </w:pPr>
      <w:r>
        <w:tab/>
        <w:t>(2)</w:t>
      </w:r>
      <w:r>
        <w:tab/>
        <w:t>The application is to be made by a police officer.</w:t>
      </w:r>
    </w:p>
    <w:p>
      <w:pPr>
        <w:pStyle w:val="Subsection"/>
      </w:pPr>
      <w:r>
        <w:tab/>
        <w:t>(3)</w:t>
      </w:r>
      <w:r>
        <w:tab/>
        <w:t>The application is to specify the previous attempts to serve the restraining order, including any incidents of deliberate avoidance.</w:t>
      </w:r>
    </w:p>
    <w:p>
      <w:pPr>
        <w:pStyle w:val="Subsection"/>
      </w:pPr>
      <w:r>
        <w:tab/>
        <w:t>(4)</w:t>
      </w:r>
      <w:r>
        <w:tab/>
        <w:t>When a police officer effects oral service in accordance with an order under section 55(2) or 60(1) of the Act, the police officer is to notify the court of that service in accordance with any applicable rules of court.</w:t>
      </w:r>
    </w:p>
    <w:p>
      <w:pPr>
        <w:pStyle w:val="Subsection"/>
      </w:pPr>
      <w:r>
        <w:tab/>
        <w:t>(5)</w:t>
      </w:r>
      <w:r>
        <w:tab/>
        <w:t>After the court has received that notification, the court is to post a copy of the order to the last known residential address of the person against whom the restraining order was sought.</w:t>
      </w:r>
    </w:p>
    <w:p>
      <w:pPr>
        <w:pStyle w:val="Footnotesection"/>
      </w:pPr>
      <w:r>
        <w:tab/>
        <w:t>[Regulation 9A inserted: Gazette 31 Jul 2007 p. 3800</w:t>
      </w:r>
      <w:r>
        <w:noBreakHyphen/>
        <w:t>1; amended: Gazette 7 Feb 2017 p. 1165.]</w:t>
      </w:r>
    </w:p>
    <w:p>
      <w:pPr>
        <w:pStyle w:val="Heading5"/>
        <w:rPr>
          <w:ins w:id="94" w:author="Master Repository Process" w:date="2021-09-12T11:46:00Z"/>
        </w:rPr>
      </w:pPr>
      <w:bookmarkStart w:id="95" w:name="_Toc41035993"/>
      <w:ins w:id="96" w:author="Master Repository Process" w:date="2021-09-12T11:46:00Z">
        <w:r>
          <w:rPr>
            <w:rStyle w:val="CharSectno"/>
          </w:rPr>
          <w:t>9B</w:t>
        </w:r>
        <w:r>
          <w:t>.</w:t>
        </w:r>
        <w:r>
          <w:tab/>
          <w:t>Procedure for effecting substituted service of FVRO without court order (Act s. 60(1A)(b) and (2)(b))</w:t>
        </w:r>
        <w:bookmarkEnd w:id="95"/>
      </w:ins>
    </w:p>
    <w:p>
      <w:pPr>
        <w:pStyle w:val="Subsection"/>
        <w:keepNext/>
        <w:rPr>
          <w:ins w:id="97" w:author="Master Repository Process" w:date="2021-09-12T11:46:00Z"/>
        </w:rPr>
      </w:pPr>
      <w:ins w:id="98" w:author="Master Repository Process" w:date="2021-09-12T11:46:00Z">
        <w:r>
          <w:tab/>
          <w:t>(1)</w:t>
        </w:r>
        <w:r>
          <w:tab/>
          <w:t xml:space="preserve">In this regulation — </w:t>
        </w:r>
      </w:ins>
    </w:p>
    <w:p>
      <w:pPr>
        <w:pStyle w:val="Defstart"/>
        <w:rPr>
          <w:ins w:id="99" w:author="Master Repository Process" w:date="2021-09-12T11:46:00Z"/>
        </w:rPr>
      </w:pPr>
      <w:ins w:id="100" w:author="Master Repository Process" w:date="2021-09-12T11:46:00Z">
        <w:r>
          <w:tab/>
        </w:r>
        <w:r>
          <w:rPr>
            <w:rStyle w:val="CharDefText"/>
          </w:rPr>
          <w:t>senior officer</w:t>
        </w:r>
        <w:r>
          <w:t xml:space="preserve"> means a </w:t>
        </w:r>
        <w:r>
          <w:rPr>
            <w:szCs w:val="24"/>
          </w:rPr>
          <w:t>police officer who is, or is acting as, a sergeant or an officer above the rank of sergeant.</w:t>
        </w:r>
      </w:ins>
    </w:p>
    <w:p>
      <w:pPr>
        <w:pStyle w:val="Subsection"/>
        <w:rPr>
          <w:ins w:id="101" w:author="Master Repository Process" w:date="2021-09-12T11:46:00Z"/>
        </w:rPr>
      </w:pPr>
      <w:ins w:id="102" w:author="Master Repository Process" w:date="2021-09-12T11:46:00Z">
        <w:r>
          <w:tab/>
          <w:t>(2)</w:t>
        </w:r>
        <w:r>
          <w:tab/>
          <w:t xml:space="preserve">For the purposes of section 60(1A)(b) of the Act, the following steps are prescribed for a person attempting to serve an FVRO who has failed to achieve personal service (the </w:t>
        </w:r>
        <w:r>
          <w:rPr>
            <w:rStyle w:val="CharDefText"/>
          </w:rPr>
          <w:t>latest attempt</w:t>
        </w:r>
        <w:r>
          <w:t>) —</w:t>
        </w:r>
      </w:ins>
    </w:p>
    <w:p>
      <w:pPr>
        <w:pStyle w:val="Indenta"/>
        <w:rPr>
          <w:ins w:id="103" w:author="Master Repository Process" w:date="2021-09-12T11:46:00Z"/>
        </w:rPr>
      </w:pPr>
      <w:ins w:id="104" w:author="Master Repository Process" w:date="2021-09-12T11:46:00Z">
        <w:r>
          <w:tab/>
          <w:t>(a)</w:t>
        </w:r>
        <w:r>
          <w:tab/>
          <w:t>the person must ensure that at least 2 unsuccessful attempts, in addition to the latest attempt, have been made to achieve personal service of the FVRO;</w:t>
        </w:r>
      </w:ins>
    </w:p>
    <w:p>
      <w:pPr>
        <w:pStyle w:val="Indenta"/>
        <w:rPr>
          <w:ins w:id="105" w:author="Master Repository Process" w:date="2021-09-12T11:46:00Z"/>
        </w:rPr>
      </w:pPr>
      <w:ins w:id="106" w:author="Master Repository Process" w:date="2021-09-12T11:46:00Z">
        <w:r>
          <w:tab/>
          <w:t>(b)</w:t>
        </w:r>
        <w:r>
          <w:tab/>
          <w:t xml:space="preserve">the person must obtain a senior officer’s approval of service of the </w:t>
        </w:r>
        <w:r>
          <w:rPr>
            <w:szCs w:val="24"/>
          </w:rPr>
          <w:t>FVRO by substituted service.</w:t>
        </w:r>
      </w:ins>
    </w:p>
    <w:p>
      <w:pPr>
        <w:pStyle w:val="Subsection"/>
        <w:rPr>
          <w:ins w:id="107" w:author="Master Repository Process" w:date="2021-09-12T11:46:00Z"/>
        </w:rPr>
      </w:pPr>
      <w:ins w:id="108" w:author="Master Repository Process" w:date="2021-09-12T11:46:00Z">
        <w:r>
          <w:tab/>
          <w:t>(3)</w:t>
        </w:r>
        <w:r>
          <w:tab/>
          <w:t xml:space="preserve">Subregulation (2)(a) does not apply if a state of emergency declaration is in force under the </w:t>
        </w:r>
        <w:r>
          <w:rPr>
            <w:i/>
          </w:rPr>
          <w:t>Emergency Management Act 2005</w:t>
        </w:r>
        <w:r>
          <w:t xml:space="preserve"> section 56.</w:t>
        </w:r>
      </w:ins>
    </w:p>
    <w:p>
      <w:pPr>
        <w:pStyle w:val="Subsection"/>
        <w:rPr>
          <w:ins w:id="109" w:author="Master Repository Process" w:date="2021-09-12T11:46:00Z"/>
        </w:rPr>
      </w:pPr>
      <w:ins w:id="110" w:author="Master Repository Process" w:date="2021-09-12T11:46:00Z">
        <w:r>
          <w:tab/>
          <w:t>(4)</w:t>
        </w:r>
        <w:r>
          <w:tab/>
          <w:t xml:space="preserve">A senior officer who approves substituted service of an FVRO under subregulation (2)(b) must keep a record of — </w:t>
        </w:r>
      </w:ins>
    </w:p>
    <w:p>
      <w:pPr>
        <w:pStyle w:val="Indenta"/>
        <w:rPr>
          <w:ins w:id="111" w:author="Master Repository Process" w:date="2021-09-12T11:46:00Z"/>
        </w:rPr>
      </w:pPr>
      <w:ins w:id="112" w:author="Master Repository Process" w:date="2021-09-12T11:46:00Z">
        <w:r>
          <w:tab/>
          <w:t>(a)</w:t>
        </w:r>
        <w:r>
          <w:tab/>
          <w:t>any unsuccessful attempts to serve the FVRO; and</w:t>
        </w:r>
      </w:ins>
    </w:p>
    <w:p>
      <w:pPr>
        <w:pStyle w:val="Indenta"/>
        <w:rPr>
          <w:ins w:id="113" w:author="Master Repository Process" w:date="2021-09-12T11:46:00Z"/>
        </w:rPr>
      </w:pPr>
      <w:ins w:id="114" w:author="Master Repository Process" w:date="2021-09-12T11:46:00Z">
        <w:r>
          <w:tab/>
          <w:t>(b)</w:t>
        </w:r>
        <w:r>
          <w:tab/>
          <w:t>the senior officer’s approval of service of the FVRO by substituted service.</w:t>
        </w:r>
      </w:ins>
    </w:p>
    <w:p>
      <w:pPr>
        <w:pStyle w:val="Subsection"/>
        <w:rPr>
          <w:ins w:id="115" w:author="Master Repository Process" w:date="2021-09-12T11:46:00Z"/>
        </w:rPr>
      </w:pPr>
      <w:ins w:id="116" w:author="Master Repository Process" w:date="2021-09-12T11:46:00Z">
        <w:r>
          <w:tab/>
          <w:t>(5)</w:t>
        </w:r>
        <w:r>
          <w:tab/>
          <w:t>For the purposes of section 60(2)(b) of the Act, an FVRO is served by substituted service if the person serving it effects oral service in accordance with section 55(5) to (7) of the Act.</w:t>
        </w:r>
      </w:ins>
    </w:p>
    <w:p>
      <w:pPr>
        <w:pStyle w:val="Footnotesection"/>
        <w:rPr>
          <w:ins w:id="117" w:author="Master Repository Process" w:date="2021-09-12T11:46:00Z"/>
        </w:rPr>
      </w:pPr>
      <w:ins w:id="118" w:author="Master Repository Process" w:date="2021-09-12T11:46:00Z">
        <w:r>
          <w:tab/>
          <w:t>[Regulation 9B inserted: SL 2020/63 r. 4.]</w:t>
        </w:r>
      </w:ins>
    </w:p>
    <w:p>
      <w:pPr>
        <w:pStyle w:val="Heading5"/>
        <w:rPr>
          <w:snapToGrid w:val="0"/>
        </w:rPr>
      </w:pPr>
      <w:bookmarkStart w:id="119" w:name="_Toc41035994"/>
      <w:bookmarkStart w:id="120" w:name="_Toc378769651"/>
      <w:bookmarkStart w:id="121" w:name="_Toc499212882"/>
      <w:r>
        <w:rPr>
          <w:rStyle w:val="CharSectno"/>
        </w:rPr>
        <w:t>10</w:t>
      </w:r>
      <w:r>
        <w:rPr>
          <w:snapToGrid w:val="0"/>
        </w:rPr>
        <w:t>.</w:t>
      </w:r>
      <w:r>
        <w:rPr>
          <w:snapToGrid w:val="0"/>
        </w:rPr>
        <w:tab/>
        <w:t>Service of documents</w:t>
      </w:r>
      <w:bookmarkEnd w:id="119"/>
      <w:bookmarkEnd w:id="120"/>
      <w:bookmarkEnd w:id="121"/>
    </w:p>
    <w:p>
      <w:pPr>
        <w:pStyle w:val="Subsection"/>
        <w:rPr>
          <w:snapToGrid w:val="0"/>
        </w:rPr>
      </w:pPr>
      <w:r>
        <w:rPr>
          <w:snapToGrid w:val="0"/>
        </w:rPr>
        <w:tab/>
        <w:t>(1)</w:t>
      </w:r>
      <w:r>
        <w:rPr>
          <w:snapToGrid w:val="0"/>
        </w:rPr>
        <w:tab/>
        <w:t>Personal or oral service of a restraining order is to be effected by the</w:t>
      </w:r>
      <w:r>
        <w:t xml:space="preserve"> registrar</w:t>
      </w:r>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registrar</w:t>
      </w:r>
      <w:r>
        <w:rPr>
          <w:snapToGrid w:val="0"/>
        </w:rPr>
        <w:t>.</w:t>
      </w:r>
    </w:p>
    <w:p>
      <w:pPr>
        <w:pStyle w:val="Subsection"/>
        <w:keepNext/>
        <w:keepLines/>
        <w:rPr>
          <w:snapToGrid w:val="0"/>
        </w:rPr>
      </w:pPr>
      <w:r>
        <w:rPr>
          <w:snapToGrid w:val="0"/>
        </w:rPr>
        <w:tab/>
        <w:t>(2)</w:t>
      </w:r>
      <w:r>
        <w:rPr>
          <w:snapToGrid w:val="0"/>
        </w:rPr>
        <w:tab/>
        <w:t xml:space="preserve">When a document is given by the </w:t>
      </w:r>
      <w:r>
        <w:t xml:space="preserve">registrar </w:t>
      </w:r>
      <w:r>
        <w:rPr>
          <w:snapToGrid w:val="0"/>
        </w:rPr>
        <w:t>to a police officer</w:t>
      </w:r>
      <w:r>
        <w:t>, prison officer or other authorised person for service, the officer or other person</w:t>
      </w:r>
      <w:r>
        <w:rPr>
          <w:snapToGrid w:val="0"/>
        </w:rPr>
        <w:t xml:space="preserve"> is to take all reasonable steps to serve that document in the manner directed by the </w:t>
      </w:r>
      <w:r>
        <w:t>registrar</w:t>
      </w:r>
      <w:r>
        <w:rPr>
          <w:snapToGrid w:val="0"/>
        </w:rPr>
        <w:t>.</w:t>
      </w:r>
    </w:p>
    <w:p>
      <w:pPr>
        <w:pStyle w:val="Footnotesection"/>
      </w:pPr>
      <w:r>
        <w:tab/>
        <w:t>[Regulation 10 amended: Gazette 8 Jan 2002 p. 33; 31 Jul 2007 p. 3802.]</w:t>
      </w:r>
    </w:p>
    <w:p>
      <w:pPr>
        <w:pStyle w:val="Heading5"/>
        <w:rPr>
          <w:snapToGrid w:val="0"/>
        </w:rPr>
      </w:pPr>
      <w:bookmarkStart w:id="122" w:name="_Toc41035995"/>
      <w:bookmarkStart w:id="123" w:name="_Toc378769652"/>
      <w:bookmarkStart w:id="124" w:name="_Toc499212883"/>
      <w:r>
        <w:rPr>
          <w:rStyle w:val="CharSectno"/>
        </w:rPr>
        <w:t>10A</w:t>
      </w:r>
      <w:r>
        <w:rPr>
          <w:snapToGrid w:val="0"/>
        </w:rPr>
        <w:t>.</w:t>
      </w:r>
      <w:r>
        <w:rPr>
          <w:snapToGrid w:val="0"/>
        </w:rPr>
        <w:tab/>
        <w:t>Use of closed circuit television or screening arrangements</w:t>
      </w:r>
      <w:bookmarkEnd w:id="122"/>
      <w:bookmarkEnd w:id="123"/>
      <w:bookmarkEnd w:id="124"/>
    </w:p>
    <w:p>
      <w:pPr>
        <w:pStyle w:val="Subsection"/>
        <w:rPr>
          <w:snapToGrid w:val="0"/>
        </w:rPr>
      </w:pPr>
      <w:r>
        <w:rPr>
          <w:snapToGrid w:val="0"/>
        </w:rPr>
        <w:tab/>
        <w:t>(1)</w:t>
      </w:r>
      <w:r>
        <w:rPr>
          <w:snapToGrid w:val="0"/>
        </w:rPr>
        <w:tab/>
        <w:t>If a court hearing a matter relating to a restraining order is of the opinion that, if special arrangements are not made, a party to the matter or a witness would be likely —</w:t>
      </w:r>
    </w:p>
    <w:p>
      <w:pPr>
        <w:pStyle w:val="Indenta"/>
        <w:rPr>
          <w:snapToGrid w:val="0"/>
        </w:rPr>
      </w:pPr>
      <w:r>
        <w:rPr>
          <w:snapToGrid w:val="0"/>
        </w:rPr>
        <w:tab/>
        <w:t>(a)</w:t>
      </w:r>
      <w:r>
        <w:rPr>
          <w:snapToGrid w:val="0"/>
        </w:rPr>
        <w:tab/>
        <w:t>to be unable to give evidence, or to give evidence satisfactorily; or</w:t>
      </w:r>
    </w:p>
    <w:p>
      <w:pPr>
        <w:pStyle w:val="Indenta"/>
        <w:rPr>
          <w:snapToGrid w:val="0"/>
        </w:rPr>
      </w:pPr>
      <w:r>
        <w:rPr>
          <w:snapToGrid w:val="0"/>
        </w:rPr>
        <w:tab/>
        <w:t>(b)</w:t>
      </w:r>
      <w:r>
        <w:rPr>
          <w:snapToGrid w:val="0"/>
        </w:rPr>
        <w:tab/>
        <w:t>to suffer severe emotional trauma or be unnecessarily intimidated or distressed,</w:t>
      </w:r>
    </w:p>
    <w:p>
      <w:pPr>
        <w:pStyle w:val="Subsection"/>
        <w:rPr>
          <w:snapToGrid w:val="0"/>
        </w:rPr>
      </w:pPr>
      <w:r>
        <w:rPr>
          <w:snapToGrid w:val="0"/>
        </w:rPr>
        <w:tab/>
      </w:r>
      <w:r>
        <w:rPr>
          <w:snapToGrid w:val="0"/>
        </w:rPr>
        <w:tab/>
        <w:t>the court may make such arrangements as it thinks fit, using closed circuit television or screens, one</w:t>
      </w:r>
      <w:r>
        <w:rPr>
          <w:snapToGrid w:val="0"/>
        </w:rPr>
        <w:noBreakHyphen/>
        <w:t>way glass or other suitable shielding devices, to reduce the likelihood of that circumstance occurring.</w:t>
      </w:r>
    </w:p>
    <w:p>
      <w:pPr>
        <w:pStyle w:val="Subsection"/>
        <w:rPr>
          <w:snapToGrid w:val="0"/>
        </w:rPr>
      </w:pPr>
      <w:r>
        <w:rPr>
          <w:snapToGrid w:val="0"/>
        </w:rPr>
        <w:tab/>
        <w:t>(2)</w:t>
      </w:r>
      <w:r>
        <w:rPr>
          <w:snapToGrid w:val="0"/>
        </w:rPr>
        <w:tab/>
        <w:t>When considering whether to make arrangements under subregulation (1) in respect of a person the court may have regard to —</w:t>
      </w:r>
    </w:p>
    <w:p>
      <w:pPr>
        <w:pStyle w:val="Indenta"/>
        <w:rPr>
          <w:snapToGrid w:val="0"/>
        </w:rPr>
      </w:pPr>
      <w:r>
        <w:rPr>
          <w:snapToGrid w:val="0"/>
        </w:rPr>
        <w:tab/>
        <w:t>(a)</w:t>
      </w:r>
      <w:r>
        <w:rPr>
          <w:snapToGrid w:val="0"/>
        </w:rPr>
        <w:tab/>
        <w:t>the person’s age; and</w:t>
      </w:r>
    </w:p>
    <w:p>
      <w:pPr>
        <w:pStyle w:val="Indenta"/>
        <w:rPr>
          <w:snapToGrid w:val="0"/>
        </w:rPr>
      </w:pPr>
      <w:r>
        <w:rPr>
          <w:snapToGrid w:val="0"/>
        </w:rPr>
        <w:tab/>
        <w:t>(b)</w:t>
      </w:r>
      <w:r>
        <w:rPr>
          <w:snapToGrid w:val="0"/>
        </w:rPr>
        <w:tab/>
        <w:t>the person’s cultural background; and</w:t>
      </w:r>
    </w:p>
    <w:p>
      <w:pPr>
        <w:pStyle w:val="Indenta"/>
        <w:rPr>
          <w:snapToGrid w:val="0"/>
        </w:rPr>
      </w:pPr>
      <w:r>
        <w:rPr>
          <w:snapToGrid w:val="0"/>
        </w:rPr>
        <w:tab/>
        <w:t>(c)</w:t>
      </w:r>
      <w:r>
        <w:rPr>
          <w:snapToGrid w:val="0"/>
        </w:rPr>
        <w:tab/>
        <w:t xml:space="preserve">any physical disability or mental impairment (as defined in the </w:t>
      </w:r>
      <w:r>
        <w:rPr>
          <w:i/>
          <w:snapToGrid w:val="0"/>
        </w:rPr>
        <w:t>Criminal Law (Mentally Impaired Accused) Act 1996</w:t>
      </w:r>
      <w:r>
        <w:rPr>
          <w:snapToGrid w:val="0"/>
          <w:vertAlign w:val="superscript"/>
        </w:rPr>
        <w:t> </w:t>
      </w:r>
      <w:del w:id="125" w:author="Master Repository Process" w:date="2021-09-12T11:46:00Z">
        <w:r>
          <w:rPr>
            <w:snapToGrid w:val="0"/>
            <w:vertAlign w:val="superscript"/>
          </w:rPr>
          <w:delText>3</w:delText>
        </w:r>
      </w:del>
      <w:ins w:id="126" w:author="Master Repository Process" w:date="2021-09-12T11:46:00Z">
        <w:r>
          <w:rPr>
            <w:snapToGrid w:val="0"/>
            <w:vertAlign w:val="superscript"/>
          </w:rPr>
          <w:t>2</w:t>
        </w:r>
      </w:ins>
      <w:r>
        <w:rPr>
          <w:snapToGrid w:val="0"/>
        </w:rPr>
        <w:t>) of the person; and</w:t>
      </w:r>
    </w:p>
    <w:p>
      <w:pPr>
        <w:pStyle w:val="Indenta"/>
        <w:rPr>
          <w:snapToGrid w:val="0"/>
        </w:rPr>
      </w:pPr>
      <w:r>
        <w:rPr>
          <w:snapToGrid w:val="0"/>
        </w:rPr>
        <w:tab/>
        <w:t>(d)</w:t>
      </w:r>
      <w:r>
        <w:rPr>
          <w:snapToGrid w:val="0"/>
        </w:rPr>
        <w:tab/>
        <w:t>the relationship of the person to any other person involved in the proceedings; and</w:t>
      </w:r>
    </w:p>
    <w:p>
      <w:pPr>
        <w:pStyle w:val="Indenta"/>
        <w:rPr>
          <w:snapToGrid w:val="0"/>
        </w:rPr>
      </w:pPr>
      <w:r>
        <w:rPr>
          <w:snapToGrid w:val="0"/>
        </w:rPr>
        <w:tab/>
        <w:t>(e)</w:t>
      </w:r>
      <w:r>
        <w:rPr>
          <w:snapToGrid w:val="0"/>
        </w:rPr>
        <w:tab/>
        <w:t>the effect on the person of the presence of another person; and</w:t>
      </w:r>
    </w:p>
    <w:p>
      <w:pPr>
        <w:pStyle w:val="Indenta"/>
        <w:rPr>
          <w:snapToGrid w:val="0"/>
        </w:rPr>
      </w:pPr>
      <w:r>
        <w:rPr>
          <w:snapToGrid w:val="0"/>
        </w:rPr>
        <w:tab/>
        <w:t>(f)</w:t>
      </w:r>
      <w:r>
        <w:rPr>
          <w:snapToGrid w:val="0"/>
        </w:rPr>
        <w:tab/>
        <w:t>the nature of the subject</w:t>
      </w:r>
      <w:r>
        <w:rPr>
          <w:snapToGrid w:val="0"/>
        </w:rPr>
        <w:noBreakHyphen/>
        <w:t>matter of the proceedings; and</w:t>
      </w:r>
    </w:p>
    <w:p>
      <w:pPr>
        <w:pStyle w:val="Indenta"/>
        <w:keepNext/>
        <w:rPr>
          <w:snapToGrid w:val="0"/>
        </w:rPr>
      </w:pPr>
      <w:r>
        <w:rPr>
          <w:snapToGrid w:val="0"/>
        </w:rPr>
        <w:tab/>
        <w:t>(g)</w:t>
      </w:r>
      <w:r>
        <w:rPr>
          <w:snapToGrid w:val="0"/>
        </w:rPr>
        <w:tab/>
        <w:t>the expressed views of the person; and</w:t>
      </w:r>
    </w:p>
    <w:p>
      <w:pPr>
        <w:pStyle w:val="Indenta"/>
        <w:rPr>
          <w:snapToGrid w:val="0"/>
        </w:rPr>
      </w:pPr>
      <w:r>
        <w:rPr>
          <w:snapToGrid w:val="0"/>
        </w:rPr>
        <w:tab/>
        <w:t>(h)</w:t>
      </w:r>
      <w:r>
        <w:rPr>
          <w:snapToGrid w:val="0"/>
        </w:rPr>
        <w:tab/>
        <w:t>any other factor the court considers relevant.</w:t>
      </w:r>
    </w:p>
    <w:p>
      <w:pPr>
        <w:pStyle w:val="Subsection"/>
        <w:rPr>
          <w:snapToGrid w:val="0"/>
        </w:rPr>
      </w:pPr>
      <w:r>
        <w:rPr>
          <w:snapToGrid w:val="0"/>
        </w:rPr>
        <w:tab/>
        <w:t>(3)</w:t>
      </w:r>
      <w:r>
        <w:rPr>
          <w:snapToGrid w:val="0"/>
        </w:rPr>
        <w:tab/>
        <w:t>When making arrangements under subregulation (1) the court must ensure that —</w:t>
      </w:r>
    </w:p>
    <w:p>
      <w:pPr>
        <w:pStyle w:val="Indenta"/>
        <w:rPr>
          <w:snapToGrid w:val="0"/>
        </w:rPr>
      </w:pPr>
      <w:r>
        <w:rPr>
          <w:snapToGrid w:val="0"/>
        </w:rPr>
        <w:tab/>
        <w:t>(a)</w:t>
      </w:r>
      <w:r>
        <w:rPr>
          <w:snapToGrid w:val="0"/>
        </w:rPr>
        <w:tab/>
        <w:t>the judicial officer and all parties to the matter (or their counsel, if any) are able to see, hear and speak to each witness while he or she is giving evidence; and</w:t>
      </w:r>
    </w:p>
    <w:p>
      <w:pPr>
        <w:pStyle w:val="Indenta"/>
        <w:rPr>
          <w:snapToGrid w:val="0"/>
        </w:rPr>
      </w:pPr>
      <w:r>
        <w:rPr>
          <w:snapToGrid w:val="0"/>
        </w:rPr>
        <w:tab/>
        <w:t>(b)</w:t>
      </w:r>
      <w:r>
        <w:rPr>
          <w:snapToGrid w:val="0"/>
        </w:rPr>
        <w:tab/>
        <w:t>each party to the matter has the means of communicating with his or her counsel at all times; and</w:t>
      </w:r>
    </w:p>
    <w:p>
      <w:pPr>
        <w:pStyle w:val="Indenta"/>
        <w:rPr>
          <w:snapToGrid w:val="0"/>
        </w:rPr>
      </w:pPr>
      <w:r>
        <w:rPr>
          <w:snapToGrid w:val="0"/>
        </w:rPr>
        <w:tab/>
        <w:t>(c)</w:t>
      </w:r>
      <w:r>
        <w:rPr>
          <w:snapToGrid w:val="0"/>
        </w:rPr>
        <w:tab/>
        <w:t>if a person takes part in the proceedings from outside the court room the person is able to see, hear and speak to the judicial officer at all times.</w:t>
      </w:r>
    </w:p>
    <w:p>
      <w:pPr>
        <w:pStyle w:val="Subsection"/>
        <w:rPr>
          <w:snapToGrid w:val="0"/>
        </w:rPr>
      </w:pPr>
      <w:r>
        <w:rPr>
          <w:snapToGrid w:val="0"/>
        </w:rPr>
        <w:tab/>
        <w:t>(4)</w:t>
      </w:r>
      <w:r>
        <w:rPr>
          <w:snapToGrid w:val="0"/>
        </w:rPr>
        <w:tab/>
        <w:t>The court may make arrangements under subregulation (1) —</w:t>
      </w:r>
    </w:p>
    <w:p>
      <w:pPr>
        <w:pStyle w:val="Indenta"/>
        <w:rPr>
          <w:snapToGrid w:val="0"/>
        </w:rPr>
      </w:pPr>
      <w:r>
        <w:rPr>
          <w:snapToGrid w:val="0"/>
        </w:rPr>
        <w:tab/>
        <w:t>(a)</w:t>
      </w:r>
      <w:r>
        <w:rPr>
          <w:snapToGrid w:val="0"/>
        </w:rPr>
        <w:tab/>
        <w:t>on the application of a party to the matter, at the request of a witness, or of its own motion; and</w:t>
      </w:r>
    </w:p>
    <w:p>
      <w:pPr>
        <w:pStyle w:val="Indenta"/>
        <w:rPr>
          <w:snapToGrid w:val="0"/>
        </w:rPr>
      </w:pPr>
      <w:r>
        <w:rPr>
          <w:snapToGrid w:val="0"/>
        </w:rPr>
        <w:tab/>
        <w:t>(b)</w:t>
      </w:r>
      <w:r>
        <w:rPr>
          <w:snapToGrid w:val="0"/>
        </w:rPr>
        <w:tab/>
        <w:t>at any stage of proceedings.</w:t>
      </w:r>
    </w:p>
    <w:p>
      <w:pPr>
        <w:pStyle w:val="Subsection"/>
        <w:rPr>
          <w:snapToGrid w:val="0"/>
        </w:rPr>
      </w:pPr>
      <w:r>
        <w:rPr>
          <w:snapToGrid w:val="0"/>
        </w:rPr>
        <w:tab/>
        <w:t>(5)</w:t>
      </w:r>
      <w:r>
        <w:rPr>
          <w:snapToGrid w:val="0"/>
        </w:rPr>
        <w:tab/>
        <w:t xml:space="preserve">Whenever a matter relating to </w:t>
      </w:r>
      <w:r>
        <w:t>an FVRO or VRO</w:t>
      </w:r>
      <w:r>
        <w:rPr>
          <w:snapToGrid w:val="0"/>
        </w:rPr>
        <w:t xml:space="preserve"> comes before a court, the court must consider whether it ought to make arrangements under subregulation (1).</w:t>
      </w:r>
    </w:p>
    <w:p>
      <w:pPr>
        <w:pStyle w:val="Subsection"/>
        <w:rPr>
          <w:snapToGrid w:val="0"/>
        </w:rPr>
      </w:pPr>
      <w:r>
        <w:rPr>
          <w:snapToGrid w:val="0"/>
        </w:rPr>
        <w:tab/>
        <w:t>(6)</w:t>
      </w:r>
      <w:r>
        <w:rPr>
          <w:snapToGrid w:val="0"/>
        </w:rPr>
        <w:tab/>
        <w:t>If a court considers that arrangements ought to be made under subregulation (1) but the necessary facilities are not available, the court may transfer the matter to another court where those facilities are available if to do so is practicable and will not unfairly prejudice any party to the matter.</w:t>
      </w:r>
    </w:p>
    <w:p>
      <w:pPr>
        <w:pStyle w:val="Footnotesection"/>
      </w:pPr>
      <w:r>
        <w:tab/>
        <w:t>[Regulation 10A inserted: Gazette 27 Mar 1998 p. 1714; amended: Gazette 7 Feb 2017 p. 1165.]</w:t>
      </w:r>
    </w:p>
    <w:p>
      <w:pPr>
        <w:pStyle w:val="Heading2"/>
      </w:pPr>
      <w:bookmarkStart w:id="127" w:name="_Toc40967127"/>
      <w:bookmarkStart w:id="128" w:name="_Toc40971770"/>
      <w:bookmarkStart w:id="129" w:name="_Toc41035996"/>
      <w:bookmarkStart w:id="130" w:name="_Toc378769653"/>
      <w:bookmarkStart w:id="131" w:name="_Toc425172214"/>
      <w:bookmarkStart w:id="132" w:name="_Toc435093101"/>
      <w:bookmarkStart w:id="133" w:name="_Toc474230461"/>
      <w:bookmarkStart w:id="134" w:name="_Toc485390182"/>
      <w:bookmarkStart w:id="135" w:name="_Toc485630964"/>
      <w:bookmarkStart w:id="136" w:name="_Toc485635897"/>
      <w:bookmarkStart w:id="137" w:name="_Toc499212791"/>
      <w:bookmarkStart w:id="138" w:name="_Toc499212884"/>
      <w:r>
        <w:rPr>
          <w:rStyle w:val="CharPartNo"/>
        </w:rPr>
        <w:t>Part 4</w:t>
      </w:r>
      <w:r>
        <w:rPr>
          <w:rStyle w:val="CharDivNo"/>
        </w:rPr>
        <w:t> </w:t>
      </w:r>
      <w:r>
        <w:t>—</w:t>
      </w:r>
      <w:r>
        <w:rPr>
          <w:rStyle w:val="CharDivText"/>
        </w:rPr>
        <w:t> </w:t>
      </w:r>
      <w:r>
        <w:rPr>
          <w:rStyle w:val="CharPartText"/>
        </w:rPr>
        <w:t>Interstate restraining orders</w:t>
      </w:r>
      <w:bookmarkEnd w:id="127"/>
      <w:bookmarkEnd w:id="128"/>
      <w:bookmarkEnd w:id="129"/>
      <w:bookmarkEnd w:id="130"/>
      <w:bookmarkEnd w:id="131"/>
      <w:bookmarkEnd w:id="132"/>
      <w:bookmarkEnd w:id="133"/>
      <w:bookmarkEnd w:id="134"/>
      <w:bookmarkEnd w:id="135"/>
      <w:bookmarkEnd w:id="136"/>
      <w:bookmarkEnd w:id="137"/>
      <w:bookmarkEnd w:id="138"/>
    </w:p>
    <w:p>
      <w:pPr>
        <w:pStyle w:val="Ednotesection"/>
      </w:pPr>
      <w:r>
        <w:t>[</w:t>
      </w:r>
      <w:r>
        <w:rPr>
          <w:b/>
        </w:rPr>
        <w:t>11.</w:t>
      </w:r>
      <w:r>
        <w:tab/>
        <w:t>Deleted: Gazette 26 Nov 2004 p. 5264.]</w:t>
      </w:r>
    </w:p>
    <w:p>
      <w:pPr>
        <w:pStyle w:val="Heading5"/>
        <w:rPr>
          <w:snapToGrid w:val="0"/>
        </w:rPr>
      </w:pPr>
      <w:bookmarkStart w:id="139" w:name="_Toc41035997"/>
      <w:bookmarkStart w:id="140" w:name="_Toc378769654"/>
      <w:bookmarkStart w:id="141" w:name="_Toc499212885"/>
      <w:r>
        <w:rPr>
          <w:rStyle w:val="CharSectno"/>
        </w:rPr>
        <w:t>12</w:t>
      </w:r>
      <w:r>
        <w:rPr>
          <w:snapToGrid w:val="0"/>
        </w:rPr>
        <w:t>.</w:t>
      </w:r>
      <w:r>
        <w:rPr>
          <w:snapToGrid w:val="0"/>
        </w:rPr>
        <w:tab/>
        <w:t>Application for registration of interstate order</w:t>
      </w:r>
      <w:bookmarkEnd w:id="139"/>
      <w:bookmarkEnd w:id="140"/>
      <w:bookmarkEnd w:id="141"/>
    </w:p>
    <w:p>
      <w:pPr>
        <w:pStyle w:val="Subsection"/>
        <w:rPr>
          <w:snapToGrid w:val="0"/>
        </w:rPr>
      </w:pPr>
      <w:r>
        <w:rPr>
          <w:snapToGrid w:val="0"/>
        </w:rPr>
        <w:tab/>
      </w:r>
      <w:r>
        <w:rPr>
          <w:snapToGrid w:val="0"/>
        </w:rPr>
        <w:tab/>
        <w:t>An application for registration of an interstate order is to be accompanied by —</w:t>
      </w:r>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 xml:space="preserve">such evidence of effective service of the interstate order on the person bound by it as the </w:t>
      </w:r>
      <w:r>
        <w:t xml:space="preserve">registrar </w:t>
      </w:r>
      <w:r>
        <w:rPr>
          <w:snapToGrid w:val="0"/>
        </w:rPr>
        <w:t>considers appropriate.</w:t>
      </w:r>
    </w:p>
    <w:p>
      <w:pPr>
        <w:pStyle w:val="Footnotesection"/>
      </w:pPr>
      <w:r>
        <w:tab/>
        <w:t>[Regulation 12 amended: Gazette 31 Jul 2007 p. 3802; 7 Feb 2017 p. 1165.]</w:t>
      </w:r>
    </w:p>
    <w:p>
      <w:pPr>
        <w:pStyle w:val="Heading2"/>
      </w:pPr>
      <w:bookmarkStart w:id="142" w:name="_Toc40967129"/>
      <w:bookmarkStart w:id="143" w:name="_Toc40971772"/>
      <w:bookmarkStart w:id="144" w:name="_Toc41035998"/>
      <w:bookmarkStart w:id="145" w:name="_Toc378769655"/>
      <w:bookmarkStart w:id="146" w:name="_Toc425172216"/>
      <w:bookmarkStart w:id="147" w:name="_Toc435093103"/>
      <w:bookmarkStart w:id="148" w:name="_Toc474230463"/>
      <w:bookmarkStart w:id="149" w:name="_Toc485390184"/>
      <w:bookmarkStart w:id="150" w:name="_Toc485630966"/>
      <w:bookmarkStart w:id="151" w:name="_Toc485635899"/>
      <w:bookmarkStart w:id="152" w:name="_Toc499212793"/>
      <w:bookmarkStart w:id="153" w:name="_Toc499212886"/>
      <w:r>
        <w:rPr>
          <w:rStyle w:val="CharPartNo"/>
        </w:rPr>
        <w:t>Part 5</w:t>
      </w:r>
      <w:r>
        <w:rPr>
          <w:b w:val="0"/>
        </w:rPr>
        <w:t> </w:t>
      </w:r>
      <w:r>
        <w:t>—</w:t>
      </w:r>
      <w:r>
        <w:rPr>
          <w:b w:val="0"/>
        </w:rPr>
        <w:t> </w:t>
      </w:r>
      <w:r>
        <w:rPr>
          <w:rStyle w:val="CharPartText"/>
        </w:rPr>
        <w:t>General</w:t>
      </w:r>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tabs>
          <w:tab w:val="left" w:pos="851"/>
        </w:tabs>
      </w:pPr>
      <w:r>
        <w:tab/>
        <w:t>[Heading inserted: Gazette 26 Nov 2004 p. 5264.]</w:t>
      </w:r>
    </w:p>
    <w:p>
      <w:pPr>
        <w:pStyle w:val="Heading5"/>
      </w:pPr>
      <w:bookmarkStart w:id="154" w:name="_Toc41035999"/>
      <w:bookmarkStart w:id="155" w:name="_Toc378769656"/>
      <w:bookmarkStart w:id="156" w:name="_Toc499212887"/>
      <w:r>
        <w:rPr>
          <w:rStyle w:val="CharSectno"/>
        </w:rPr>
        <w:t>13</w:t>
      </w:r>
      <w:r>
        <w:t>.</w:t>
      </w:r>
      <w:r>
        <w:tab/>
        <w:t>Property that may be recovered when FVRO or VRO made (Act s. 10G(5) or 13(5))</w:t>
      </w:r>
      <w:bookmarkEnd w:id="154"/>
      <w:bookmarkEnd w:id="155"/>
      <w:bookmarkEnd w:id="156"/>
    </w:p>
    <w:p>
      <w:pPr>
        <w:pStyle w:val="Subsection"/>
      </w:pPr>
      <w:r>
        <w:tab/>
      </w:r>
      <w:r>
        <w:tab/>
        <w:t>For the purposes of sections 10G(5) and 13(5)of the Act, property that may be recovered by a person from a place specified in an FVRO or VRO may include any, or all, of the following —</w:t>
      </w:r>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 Gazette 26 Nov 2004 p. 5264; amended: Gazette 7 Feb 2017 p. 1166.]</w:t>
      </w:r>
    </w:p>
    <w:p>
      <w:pPr>
        <w:pStyle w:val="Heading5"/>
      </w:pPr>
      <w:bookmarkStart w:id="157" w:name="_Toc41036000"/>
      <w:bookmarkStart w:id="158" w:name="_Toc378769657"/>
      <w:bookmarkStart w:id="159" w:name="_Toc499212888"/>
      <w:r>
        <w:rPr>
          <w:rStyle w:val="CharSectno"/>
        </w:rPr>
        <w:t>14</w:t>
      </w:r>
      <w:r>
        <w:t>.</w:t>
      </w:r>
      <w:r>
        <w:tab/>
        <w:t>Procedures for recovering property under terms of FVRO or VRO (Act s. 10G(5)(b) or 13(5)(b))</w:t>
      </w:r>
      <w:bookmarkEnd w:id="157"/>
      <w:bookmarkEnd w:id="158"/>
      <w:bookmarkEnd w:id="159"/>
    </w:p>
    <w:p>
      <w:pPr>
        <w:pStyle w:val="Subsection"/>
      </w:pPr>
      <w:r>
        <w:tab/>
        <w:t>(1)</w:t>
      </w:r>
      <w:r>
        <w:tab/>
        <w:t>For the purposes of section 10G(5)(b) or 13(5)(b) of the Act, the procedures set out in this regulation are the procedures in accordance with which property specified in an FVRO or VRO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tab/>
        <w:t>(4)</w:t>
      </w:r>
      <w:r>
        <w:tab/>
        <w:t>If the person seeking to recover the property is unable to negotiate a mutually convenient time for the recovery of the property, or to carry out an agreement reached as to the recovery of the property, due to the terms of the FVRO or VRO, or for any other reason, the person wishing to recover the property may seek the assistance of a police officer.</w:t>
      </w:r>
    </w:p>
    <w:p>
      <w:pPr>
        <w:pStyle w:val="Footnotesection"/>
      </w:pPr>
      <w:r>
        <w:tab/>
        <w:t>[Regulation 14 inserted: Gazette 26 Nov 2004 p. 5265; amended: Gazette 7 Feb 2017 p. 1166.]</w:t>
      </w:r>
    </w:p>
    <w:p>
      <w:pPr>
        <w:pStyle w:val="Heading5"/>
      </w:pPr>
      <w:bookmarkStart w:id="160" w:name="_Toc41036001"/>
      <w:bookmarkStart w:id="161" w:name="_Toc472950885"/>
      <w:bookmarkStart w:id="162" w:name="_Toc472950905"/>
      <w:bookmarkStart w:id="163" w:name="_Toc472952429"/>
      <w:bookmarkStart w:id="164" w:name="_Toc499212889"/>
      <w:bookmarkStart w:id="165" w:name="_Toc378769658"/>
      <w:r>
        <w:rPr>
          <w:rStyle w:val="CharSectno"/>
        </w:rPr>
        <w:t>14A</w:t>
      </w:r>
      <w:r>
        <w:t>.</w:t>
      </w:r>
      <w:r>
        <w:tab/>
        <w:t>Prescribed persons for disclosure of information (s. 70(1A))</w:t>
      </w:r>
      <w:bookmarkEnd w:id="160"/>
      <w:bookmarkEnd w:id="161"/>
      <w:bookmarkEnd w:id="162"/>
      <w:bookmarkEnd w:id="163"/>
      <w:bookmarkEnd w:id="164"/>
    </w:p>
    <w:p>
      <w:pPr>
        <w:pStyle w:val="Subsection"/>
      </w:pPr>
      <w:r>
        <w:tab/>
      </w:r>
      <w:r>
        <w:tab/>
        <w:t>For the purposes of section 70(1A) of the Act, the following persons are prescribed —</w:t>
      </w:r>
    </w:p>
    <w:p>
      <w:pPr>
        <w:pStyle w:val="Indenta"/>
      </w:pPr>
      <w:r>
        <w:tab/>
        <w:t>(a)</w:t>
      </w:r>
      <w:r>
        <w:tab/>
        <w:t>the Commissioner of Police;</w:t>
      </w:r>
    </w:p>
    <w:p>
      <w:pPr>
        <w:pStyle w:val="Indenta"/>
      </w:pPr>
      <w:r>
        <w:tab/>
        <w:t>(b)</w:t>
      </w:r>
      <w:r>
        <w:tab/>
        <w:t xml:space="preserve">a member of staff of the ACC as defined in the </w:t>
      </w:r>
      <w:r>
        <w:rPr>
          <w:i/>
        </w:rPr>
        <w:t>Australian Crime Commission Act 2002</w:t>
      </w:r>
      <w:r>
        <w:t xml:space="preserve"> (Commonwealth).</w:t>
      </w:r>
    </w:p>
    <w:p>
      <w:pPr>
        <w:pStyle w:val="PermNoteHeading"/>
      </w:pPr>
      <w:r>
        <w:tab/>
        <w:t xml:space="preserve">Note for this regulation: the ACC or Australian Crime Commission established by the </w:t>
      </w:r>
      <w:r>
        <w:rPr>
          <w:i/>
        </w:rPr>
        <w:t>Australian Crime Commission Act 2002</w:t>
      </w:r>
      <w:r>
        <w:t xml:space="preserve"> (Commonwealth) is, pursuant to the </w:t>
      </w:r>
      <w:r>
        <w:rPr>
          <w:i/>
        </w:rPr>
        <w:t>Australian Crime Commission Regulations 2002</w:t>
      </w:r>
      <w:r>
        <w:t xml:space="preserve"> regulation 3A, known as the Australian Criminal Intelligence Commission.</w:t>
      </w:r>
    </w:p>
    <w:p>
      <w:pPr>
        <w:pStyle w:val="Footnotesection"/>
      </w:pPr>
      <w:r>
        <w:tab/>
        <w:t>[Regulation 14A inserted: Gazette 7 Feb 2017 p. 1166</w:t>
      </w:r>
      <w:r>
        <w:noBreakHyphen/>
        <w:t>7.]</w:t>
      </w:r>
    </w:p>
    <w:p>
      <w:pPr>
        <w:pStyle w:val="Heading5"/>
      </w:pPr>
      <w:bookmarkStart w:id="166" w:name="_Toc41036002"/>
      <w:bookmarkStart w:id="167" w:name="_Toc499212890"/>
      <w:r>
        <w:rPr>
          <w:rStyle w:val="CharSectno"/>
        </w:rPr>
        <w:t>15</w:t>
      </w:r>
      <w:r>
        <w:t>.</w:t>
      </w:r>
      <w:r>
        <w:tab/>
        <w:t>Exchange of information (Act s. 70A)</w:t>
      </w:r>
      <w:bookmarkEnd w:id="166"/>
      <w:bookmarkEnd w:id="165"/>
      <w:bookmarkEnd w:id="167"/>
    </w:p>
    <w:p>
      <w:pPr>
        <w:pStyle w:val="Subsection"/>
      </w:pPr>
      <w:r>
        <w:tab/>
      </w:r>
      <w:r>
        <w:tab/>
        <w:t>For the purposes of section 70A of the Act, the following information about a person protected by an FVRO or VRO, or a child affected by such an order, is prescribed information —</w:t>
      </w:r>
    </w:p>
    <w:p>
      <w:pPr>
        <w:pStyle w:val="Indenta"/>
      </w:pPr>
      <w:r>
        <w:tab/>
        <w:t>(a)</w:t>
      </w:r>
      <w:r>
        <w:tab/>
        <w:t>the name, address, telephone number, age and ethnicity and other details of —</w:t>
      </w:r>
    </w:p>
    <w:p>
      <w:pPr>
        <w:pStyle w:val="Indenti"/>
      </w:pPr>
      <w:r>
        <w:tab/>
        <w:t>(i)</w:t>
      </w:r>
      <w:r>
        <w:tab/>
        <w:t>the person or child; or</w:t>
      </w:r>
    </w:p>
    <w:p>
      <w:pPr>
        <w:pStyle w:val="Indenti"/>
      </w:pPr>
      <w:r>
        <w:tab/>
        <w:t>(ii)</w:t>
      </w:r>
      <w:r>
        <w:tab/>
        <w:t>a person who is bound by the FVRO or VRO; or</w:t>
      </w:r>
    </w:p>
    <w:p>
      <w:pPr>
        <w:pStyle w:val="Indenti"/>
      </w:pPr>
      <w:r>
        <w:tab/>
        <w:t>(iii)</w:t>
      </w:r>
      <w:r>
        <w:tab/>
        <w:t>an offender or alleged offender responsible for, or involved in, any offence relevant to the granting of the FVRO or VRO;</w:t>
      </w:r>
    </w:p>
    <w:p>
      <w:pPr>
        <w:pStyle w:val="Indenta"/>
      </w:pPr>
      <w:r>
        <w:tab/>
        <w:t>(b)</w:t>
      </w:r>
      <w:r>
        <w:tab/>
        <w:t>a description of any offence relevant to the granting of the FVRO or VRO and an abridged description of the circumstances of its commission;</w:t>
      </w:r>
    </w:p>
    <w:p>
      <w:pPr>
        <w:pStyle w:val="Indenta"/>
      </w:pPr>
      <w:r>
        <w:tab/>
        <w:t>(c)</w:t>
      </w:r>
      <w:r>
        <w:tab/>
        <w:t>any information about the grounds on which the FVRO or VRO was granted;</w:t>
      </w:r>
    </w:p>
    <w:p>
      <w:pPr>
        <w:pStyle w:val="Indenta"/>
      </w:pPr>
      <w:r>
        <w:tab/>
        <w:t>(d)</w:t>
      </w:r>
      <w:r>
        <w:tab/>
        <w:t>the name, rank and any other relevant identifying information of any police officer in charge of investigating any offence relevant to the granting of the FVRO or VRO;</w:t>
      </w:r>
    </w:p>
    <w:p>
      <w:pPr>
        <w:pStyle w:val="Indenta"/>
      </w:pPr>
      <w:r>
        <w:tab/>
        <w:t>(e)</w:t>
      </w:r>
      <w:r>
        <w:tab/>
        <w:t>the police station or office where information is held —</w:t>
      </w:r>
    </w:p>
    <w:p>
      <w:pPr>
        <w:pStyle w:val="Indenti"/>
      </w:pPr>
      <w:r>
        <w:tab/>
        <w:t>(i)</w:t>
      </w:r>
      <w:r>
        <w:tab/>
        <w:t>about the investigation of any offence relevant to the granting of the FVRO or VRO or the breach of that order; or</w:t>
      </w:r>
    </w:p>
    <w:p>
      <w:pPr>
        <w:pStyle w:val="Indenti"/>
      </w:pPr>
      <w:r>
        <w:tab/>
        <w:t>(ii)</w:t>
      </w:r>
      <w:r>
        <w:tab/>
        <w:t>about the grounds on which the order was granted;</w:t>
      </w:r>
    </w:p>
    <w:p>
      <w:pPr>
        <w:pStyle w:val="Indenta"/>
      </w:pPr>
      <w:r>
        <w:tab/>
        <w:t>(f)</w:t>
      </w:r>
      <w:r>
        <w:tab/>
        <w:t>the status of the investigation and prosecution of any offence relevant to the granting of the FVRO or VRO by a police officer.</w:t>
      </w:r>
    </w:p>
    <w:p>
      <w:pPr>
        <w:pStyle w:val="Footnotesection"/>
      </w:pPr>
      <w:r>
        <w:tab/>
        <w:t>[Regulation 15 inserted: Gazette 26 Nov 2004 p. 5265</w:t>
      </w:r>
      <w:r>
        <w:noBreakHyphen/>
        <w:t>6; amended: Gazette 7 Feb 2017 p. 1167.]</w:t>
      </w:r>
    </w:p>
    <w:p>
      <w:pPr>
        <w:pStyle w:val="Heading5"/>
      </w:pPr>
      <w:bookmarkStart w:id="168" w:name="_Toc41036003"/>
      <w:bookmarkStart w:id="169" w:name="_Toc378769659"/>
      <w:bookmarkStart w:id="170" w:name="_Toc499212891"/>
      <w:r>
        <w:rPr>
          <w:rStyle w:val="CharSectno"/>
        </w:rPr>
        <w:t>16</w:t>
      </w:r>
      <w:r>
        <w:t>.</w:t>
      </w:r>
      <w:r>
        <w:tab/>
        <w:t>Prescribed countries (Act s. 79A)</w:t>
      </w:r>
      <w:bookmarkEnd w:id="168"/>
      <w:bookmarkEnd w:id="169"/>
      <w:bookmarkEnd w:id="170"/>
    </w:p>
    <w:p>
      <w:pPr>
        <w:pStyle w:val="Subsection"/>
      </w:pPr>
      <w:r>
        <w:tab/>
      </w:r>
      <w:r>
        <w:tab/>
        <w:t xml:space="preserve">For the purposes of section 79A of the Act, the following countries are prescribed — </w:t>
      </w:r>
    </w:p>
    <w:tbl>
      <w:tblPr>
        <w:tblW w:w="0" w:type="auto"/>
        <w:tblInd w:w="1526" w:type="dxa"/>
        <w:tblLayout w:type="fixed"/>
        <w:tblLook w:val="0000" w:firstRow="0" w:lastRow="0" w:firstColumn="0" w:lastColumn="0" w:noHBand="0" w:noVBand="0"/>
      </w:tblPr>
      <w:tblGrid>
        <w:gridCol w:w="2764"/>
      </w:tblGrid>
      <w:tr>
        <w:tc>
          <w:tcPr>
            <w:tcW w:w="2764" w:type="dxa"/>
          </w:tcPr>
          <w:p>
            <w:pPr>
              <w:pStyle w:val="TableNAm"/>
            </w:pPr>
            <w:r>
              <w:t>Canada</w:t>
            </w:r>
          </w:p>
        </w:tc>
      </w:tr>
      <w:tr>
        <w:tc>
          <w:tcPr>
            <w:tcW w:w="2764" w:type="dxa"/>
          </w:tcPr>
          <w:p>
            <w:pPr>
              <w:pStyle w:val="TableNAm"/>
            </w:pPr>
            <w:r>
              <w:t>Ireland</w:t>
            </w:r>
          </w:p>
        </w:tc>
      </w:tr>
      <w:tr>
        <w:tc>
          <w:tcPr>
            <w:tcW w:w="2764" w:type="dxa"/>
          </w:tcPr>
          <w:p>
            <w:pPr>
              <w:pStyle w:val="TableNAm"/>
            </w:pPr>
            <w:r>
              <w:t>United Kingdom.</w:t>
            </w:r>
          </w:p>
        </w:tc>
      </w:tr>
    </w:tbl>
    <w:p>
      <w:pPr>
        <w:pStyle w:val="Footnotesection"/>
      </w:pPr>
      <w:r>
        <w:tab/>
        <w:t>[Regulation 16 inserted: Gazette 12 Jan 2010 p. 56.]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71" w:name="_Toc40967135"/>
      <w:bookmarkStart w:id="172" w:name="_Toc40971778"/>
      <w:bookmarkStart w:id="173" w:name="_Toc41036004"/>
      <w:bookmarkStart w:id="174" w:name="_Toc378769660"/>
      <w:bookmarkStart w:id="175" w:name="_Toc425172221"/>
      <w:bookmarkStart w:id="176" w:name="_Toc435093108"/>
      <w:bookmarkStart w:id="177" w:name="_Toc474230469"/>
      <w:bookmarkStart w:id="178" w:name="_Toc485390190"/>
      <w:bookmarkStart w:id="179" w:name="_Toc485630972"/>
      <w:bookmarkStart w:id="180" w:name="_Toc485635905"/>
      <w:bookmarkStart w:id="181" w:name="_Toc499212799"/>
      <w:bookmarkStart w:id="182" w:name="_Toc499212892"/>
      <w:r>
        <w:rPr>
          <w:rStyle w:val="CharSchNo"/>
        </w:rPr>
        <w:t>Schedule 1 </w:t>
      </w:r>
      <w:r>
        <w:t xml:space="preserve">— </w:t>
      </w:r>
      <w:r>
        <w:rPr>
          <w:rStyle w:val="CharSchText"/>
        </w:rPr>
        <w:t>Forms</w:t>
      </w:r>
      <w:bookmarkEnd w:id="171"/>
      <w:bookmarkEnd w:id="172"/>
      <w:bookmarkEnd w:id="173"/>
      <w:bookmarkEnd w:id="174"/>
      <w:bookmarkEnd w:id="175"/>
      <w:bookmarkEnd w:id="176"/>
      <w:bookmarkEnd w:id="177"/>
      <w:bookmarkEnd w:id="178"/>
      <w:bookmarkEnd w:id="179"/>
      <w:bookmarkEnd w:id="180"/>
      <w:bookmarkEnd w:id="181"/>
      <w:bookmarkEnd w:id="182"/>
    </w:p>
    <w:p>
      <w:pPr>
        <w:pStyle w:val="yShoulderClause"/>
        <w:spacing w:before="0"/>
      </w:pPr>
      <w:r>
        <w:t>[r. 3]</w:t>
      </w:r>
    </w:p>
    <w:p>
      <w:pPr>
        <w:pStyle w:val="yFootnoteheading"/>
      </w:pPr>
      <w:r>
        <w:tab/>
        <w:t>[Heading inserted: Gazette 26 Nov 2004 p. 5267.]</w:t>
      </w:r>
    </w:p>
    <w:p>
      <w:pPr>
        <w:pStyle w:val="yEdnoteschedule"/>
      </w:pPr>
      <w:r>
        <w:t>[Forms 1</w:t>
      </w:r>
      <w:r>
        <w:noBreakHyphen/>
        <w:t>9 deleted: Gazette 7 Feb 2017 p. 1167.]</w:t>
      </w:r>
    </w:p>
    <w:p>
      <w:pPr>
        <w:pStyle w:val="yTHeadingNAm"/>
      </w:pPr>
      <w:r>
        <w:rPr>
          <w:rStyle w:val="CharSClsNo"/>
        </w:rPr>
        <w:t>Form 10</w:t>
      </w:r>
      <w:r>
        <w:t> — Police order</w:t>
      </w:r>
    </w:p>
    <w:p>
      <w:pPr>
        <w:pStyle w:val="yTHeadingNAm"/>
        <w:spacing w:before="0"/>
        <w:rPr>
          <w:b w:val="0"/>
          <w:sz w:val="20"/>
        </w:rPr>
      </w:pPr>
      <w:r>
        <w:rPr>
          <w:b w:val="0"/>
          <w:sz w:val="20"/>
        </w:rPr>
        <w:t>Part A — Police order</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3"/>
        <w:gridCol w:w="1125"/>
        <w:gridCol w:w="1411"/>
        <w:gridCol w:w="54"/>
        <w:gridCol w:w="1332"/>
        <w:gridCol w:w="201"/>
      </w:tblGrid>
      <w:tr>
        <w:trPr>
          <w:gridAfter w:val="5"/>
          <w:wAfter w:w="4123" w:type="dxa"/>
          <w:cantSplit/>
          <w:trHeight w:val="226"/>
        </w:trPr>
        <w:tc>
          <w:tcPr>
            <w:tcW w:w="2945"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Part 2A Division 3A</w:t>
            </w:r>
          </w:p>
          <w:p>
            <w:pPr>
              <w:pStyle w:val="yTableNAm"/>
              <w:spacing w:before="0"/>
              <w:jc w:val="center"/>
              <w:rPr>
                <w:b/>
              </w:rPr>
            </w:pPr>
            <w:r>
              <w:rPr>
                <w:b/>
              </w:rPr>
              <w:t>Police Order</w:t>
            </w:r>
          </w:p>
        </w:tc>
      </w:tr>
      <w:tr>
        <w:tblPrEx>
          <w:tblCellMar>
            <w:left w:w="108" w:type="dxa"/>
            <w:right w:w="108" w:type="dxa"/>
          </w:tblCellMar>
        </w:tblPrEx>
        <w:trPr>
          <w:gridAfter w:val="1"/>
          <w:wAfter w:w="201" w:type="dxa"/>
        </w:trPr>
        <w:tc>
          <w:tcPr>
            <w:tcW w:w="6867" w:type="dxa"/>
            <w:gridSpan w:val="7"/>
            <w:tcBorders>
              <w:top w:val="nil"/>
              <w:left w:val="nil"/>
              <w:right w:val="nil"/>
            </w:tcBorders>
          </w:tcPr>
          <w:p>
            <w:pPr>
              <w:pStyle w:val="yTableNAm"/>
              <w:spacing w:before="0"/>
              <w:rPr>
                <w:sz w:val="10"/>
              </w:rPr>
            </w:pPr>
          </w:p>
        </w:tc>
      </w:tr>
      <w:tr>
        <w:trPr>
          <w:cantSplit/>
          <w:trHeight w:val="80"/>
        </w:trPr>
        <w:tc>
          <w:tcPr>
            <w:tcW w:w="984"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Person who is bound by this order</w:t>
            </w:r>
          </w:p>
        </w:tc>
        <w:tc>
          <w:tcPr>
            <w:tcW w:w="4497" w:type="dxa"/>
            <w:gridSpan w:val="4"/>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587"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4497"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587"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Home</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Work</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6084" w:type="dxa"/>
            <w:gridSpan w:val="7"/>
            <w:tcBorders>
              <w:bottom w:val="single" w:sz="4" w:space="0" w:color="000000"/>
              <w:right w:val="single" w:sz="4" w:space="0" w:color="000000"/>
            </w:tcBorders>
          </w:tcPr>
          <w:p>
            <w:pPr>
              <w:pStyle w:val="yTableNAm"/>
              <w:tabs>
                <w:tab w:val="clear" w:pos="567"/>
                <w:tab w:val="left" w:pos="1106"/>
                <w:tab w:val="left" w:pos="2665"/>
                <w:tab w:val="left" w:pos="4366"/>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7068" w:type="dxa"/>
            <w:gridSpan w:val="8"/>
            <w:tcBorders>
              <w:top w:val="single" w:sz="4" w:space="0" w:color="000000"/>
              <w:left w:val="nil"/>
              <w:bottom w:val="nil"/>
              <w:right w:val="nil"/>
            </w:tcBorders>
          </w:tcPr>
          <w:p>
            <w:pPr>
              <w:pStyle w:val="yTableNAm"/>
              <w:spacing w:before="0"/>
              <w:rPr>
                <w:sz w:val="14"/>
              </w:rPr>
            </w:pPr>
          </w:p>
        </w:tc>
      </w:tr>
      <w:tr>
        <w:trPr>
          <w:cantSplit/>
          <w:trHeight w:val="80"/>
        </w:trPr>
        <w:tc>
          <w:tcPr>
            <w:tcW w:w="98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 xml:space="preserve">Person protected   </w:t>
            </w:r>
          </w:p>
        </w:tc>
        <w:tc>
          <w:tcPr>
            <w:tcW w:w="4551"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533" w:type="dxa"/>
            <w:gridSpan w:val="2"/>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4551"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533" w:type="dxa"/>
            <w:gridSpan w:val="2"/>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984"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6084" w:type="dxa"/>
            <w:gridSpan w:val="7"/>
            <w:tcBorders>
              <w:top w:val="single" w:sz="4" w:space="0" w:color="auto"/>
              <w:left w:val="nil"/>
              <w:bottom w:val="nil"/>
              <w:right w:val="nil"/>
            </w:tcBorders>
          </w:tcPr>
          <w:p>
            <w:pPr>
              <w:pStyle w:val="yTableNAm"/>
              <w:spacing w:before="0"/>
              <w:rPr>
                <w:sz w:val="14"/>
              </w:rPr>
            </w:pPr>
          </w:p>
        </w:tc>
      </w:tr>
      <w:tr>
        <w:trPr>
          <w:cantSplit/>
          <w:trHeight w:val="567"/>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p>
        </w:tc>
        <w:tc>
          <w:tcPr>
            <w:tcW w:w="6084"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cantSplit/>
          <w:trHeight w:hRule="exact" w:val="80"/>
        </w:trPr>
        <w:tc>
          <w:tcPr>
            <w:tcW w:w="984" w:type="dxa"/>
            <w:tcBorders>
              <w:top w:val="nil"/>
              <w:left w:val="nil"/>
              <w:bottom w:val="nil"/>
              <w:right w:val="nil"/>
            </w:tcBorders>
            <w:shd w:val="clear" w:color="auto" w:fill="FFFFFF"/>
          </w:tcPr>
          <w:p>
            <w:pPr>
              <w:pStyle w:val="yTableNAm"/>
              <w:spacing w:before="0"/>
              <w:rPr>
                <w:sz w:val="14"/>
              </w:rPr>
            </w:pPr>
          </w:p>
        </w:tc>
        <w:tc>
          <w:tcPr>
            <w:tcW w:w="6084" w:type="dxa"/>
            <w:gridSpan w:val="7"/>
            <w:tcBorders>
              <w:top w:val="nil"/>
              <w:left w:val="nil"/>
              <w:bottom w:val="nil"/>
              <w:right w:val="nil"/>
            </w:tcBorders>
          </w:tcPr>
          <w:p>
            <w:pPr>
              <w:pStyle w:val="yTableNAm"/>
              <w:spacing w:before="0"/>
              <w:rPr>
                <w:sz w:val="14"/>
              </w:rPr>
            </w:pPr>
          </w:p>
        </w:tc>
      </w:tr>
      <w:tr>
        <w:trPr>
          <w:cantSplit/>
          <w:trHeight w:val="3440"/>
        </w:trPr>
        <w:tc>
          <w:tcPr>
            <w:tcW w:w="98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the order</w:t>
            </w:r>
          </w:p>
        </w:tc>
        <w:tc>
          <w:tcPr>
            <w:tcW w:w="608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8" w:type="dxa"/>
            <w:gridSpan w:val="2"/>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998"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val="356"/>
        </w:trPr>
        <w:tc>
          <w:tcPr>
            <w:tcW w:w="992" w:type="dxa"/>
            <w:gridSpan w:val="2"/>
            <w:tcBorders>
              <w:top w:val="single" w:sz="4" w:space="0" w:color="000000"/>
              <w:left w:val="single" w:sz="4" w:space="0" w:color="000000"/>
              <w:right w:val="nil"/>
            </w:tcBorders>
            <w:shd w:val="pct10" w:color="auto" w:fill="auto"/>
          </w:tcPr>
          <w:p>
            <w:pPr>
              <w:pStyle w:val="yTableNAm"/>
              <w:spacing w:before="0"/>
              <w:rPr>
                <w:sz w:val="14"/>
              </w:rPr>
            </w:pPr>
            <w:r>
              <w:rPr>
                <w:sz w:val="14"/>
              </w:rPr>
              <w:t>Order expires</w:t>
            </w:r>
          </w:p>
        </w:tc>
        <w:tc>
          <w:tcPr>
            <w:tcW w:w="6076" w:type="dxa"/>
            <w:gridSpan w:val="6"/>
            <w:tcBorders>
              <w:top w:val="single" w:sz="4" w:space="0" w:color="000000"/>
              <w:left w:val="single" w:sz="4" w:space="0" w:color="000000"/>
              <w:right w:val="single" w:sz="4" w:space="0" w:color="auto"/>
            </w:tcBorders>
          </w:tcPr>
          <w:p>
            <w:pPr>
              <w:pStyle w:val="yTableNAm"/>
              <w:spacing w:before="0"/>
              <w:rPr>
                <w:sz w:val="14"/>
              </w:rPr>
            </w:pPr>
            <w:r>
              <w:rPr>
                <w:sz w:val="14"/>
              </w:rPr>
              <w:t>This order will expire at              a.m./p.m. on the            day of                     20</w:t>
            </w:r>
          </w:p>
          <w:p>
            <w:pPr>
              <w:pStyle w:val="yTableNAm"/>
              <w:spacing w:before="0"/>
              <w:rPr>
                <w:sz w:val="14"/>
              </w:rPr>
            </w:pPr>
            <w:r>
              <w:rPr>
                <w:sz w:val="14"/>
              </w:rPr>
              <w:t>[Note that this order cannot remain in force for a period longer than 72 hours after it has been served.]</w:t>
            </w: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p>
        </w:tc>
        <w:tc>
          <w:tcPr>
            <w:tcW w:w="6076"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700"/>
        </w:trPr>
        <w:tc>
          <w:tcPr>
            <w:tcW w:w="984" w:type="dxa"/>
            <w:vMerge w:val="restart"/>
            <w:tcBorders>
              <w:top w:val="single" w:sz="4" w:space="0" w:color="auto"/>
              <w:left w:val="single" w:sz="4" w:space="0" w:color="000000"/>
              <w:bottom w:val="nil"/>
              <w:right w:val="nil"/>
            </w:tcBorders>
            <w:shd w:val="pct10" w:color="auto" w:fill="auto"/>
          </w:tcPr>
          <w:p>
            <w:pPr>
              <w:pStyle w:val="yTableNAm"/>
              <w:keepNext/>
              <w:spacing w:before="0"/>
              <w:rPr>
                <w:sz w:val="14"/>
              </w:rPr>
            </w:pPr>
            <w:r>
              <w:rPr>
                <w:sz w:val="14"/>
              </w:rPr>
              <w:t>Issuing police officer</w:t>
            </w: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keepNext/>
              <w:spacing w:before="0"/>
              <w:rPr>
                <w:sz w:val="14"/>
              </w:rPr>
            </w:pPr>
            <w:r>
              <w:rPr>
                <w:sz w:val="14"/>
              </w:rPr>
              <w:t>Name and other identifying information:</w:t>
            </w:r>
          </w:p>
        </w:tc>
      </w:tr>
      <w:tr>
        <w:trPr>
          <w:cantSplit/>
          <w:trHeight w:val="270"/>
        </w:trPr>
        <w:tc>
          <w:tcPr>
            <w:tcW w:w="984" w:type="dxa"/>
            <w:vMerge/>
            <w:tcBorders>
              <w:top w:val="nil"/>
              <w:left w:val="single" w:sz="4" w:space="0" w:color="000000"/>
              <w:bottom w:val="single" w:sz="4" w:space="0" w:color="auto"/>
              <w:right w:val="nil"/>
            </w:tcBorders>
            <w:shd w:val="pct10" w:color="auto" w:fill="auto"/>
          </w:tcPr>
          <w:p>
            <w:pPr>
              <w:pStyle w:val="yTableNAm"/>
              <w:spacing w:before="0"/>
              <w:rPr>
                <w:sz w:val="14"/>
              </w:rPr>
            </w:pP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Signature:</w:t>
            </w:r>
          </w:p>
        </w:tc>
      </w:tr>
      <w:tr>
        <w:trPr>
          <w:cantSplit/>
          <w:trHeight w:val="80"/>
        </w:trPr>
        <w:tc>
          <w:tcPr>
            <w:tcW w:w="7068" w:type="dxa"/>
            <w:gridSpan w:val="8"/>
            <w:tcBorders>
              <w:top w:val="nil"/>
              <w:left w:val="nil"/>
              <w:bottom w:val="single" w:sz="4" w:space="0" w:color="auto"/>
              <w:right w:val="nil"/>
            </w:tcBorders>
          </w:tcPr>
          <w:p>
            <w:pPr>
              <w:pStyle w:val="yTableNAm"/>
              <w:spacing w:before="0"/>
              <w:rPr>
                <w:sz w:val="14"/>
              </w:rPr>
            </w:pPr>
            <w:r>
              <w:rPr>
                <w:sz w:val="14"/>
              </w:rPr>
              <w:t xml:space="preserve"> </w:t>
            </w:r>
          </w:p>
        </w:tc>
      </w:tr>
      <w:tr>
        <w:trPr>
          <w:cantSplit/>
          <w:trHeight w:val="80"/>
        </w:trPr>
        <w:tc>
          <w:tcPr>
            <w:tcW w:w="7068" w:type="dxa"/>
            <w:gridSpan w:val="8"/>
            <w:tcBorders>
              <w:top w:val="single" w:sz="4" w:space="0" w:color="auto"/>
              <w:left w:val="single" w:sz="4" w:space="0" w:color="auto"/>
              <w:bottom w:val="single" w:sz="4" w:space="0" w:color="auto"/>
              <w:right w:val="single" w:sz="4" w:space="0" w:color="auto"/>
            </w:tcBorders>
          </w:tcPr>
          <w:p>
            <w:pPr>
              <w:pStyle w:val="yTableNAm"/>
              <w:jc w:val="center"/>
            </w:pPr>
            <w:r>
              <w:rPr>
                <w:b/>
                <w:sz w:val="20"/>
              </w:rPr>
              <w:t>THIS IS A NATIONALLY RECOGNISED ORDER</w:t>
            </w:r>
          </w:p>
        </w:tc>
      </w:tr>
    </w:tbl>
    <w:p>
      <w:pPr>
        <w:pStyle w:val="yTHeadingNAm"/>
        <w:spacing w:before="0"/>
        <w:rPr>
          <w:b w:val="0"/>
          <w:sz w:val="20"/>
        </w:rPr>
      </w:pPr>
      <w:r>
        <w:rPr>
          <w:b w:val="0"/>
          <w:sz w:val="20"/>
        </w:rPr>
        <w:t>Form 10 — Police order</w:t>
      </w:r>
    </w:p>
    <w:p>
      <w:pPr>
        <w:pStyle w:val="yTHeadingNAm"/>
        <w:spacing w:before="0"/>
        <w:rPr>
          <w:b w:val="0"/>
          <w:sz w:val="20"/>
        </w:rPr>
      </w:pPr>
      <w:r>
        <w:rPr>
          <w:b w:val="0"/>
          <w:sz w:val="20"/>
        </w:rPr>
        <w:t>Part B — Information to be on the proof of service copy</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179"/>
      </w:tblGrid>
      <w:tr>
        <w:trPr>
          <w:cantSplit/>
          <w:trHeight w:val="240"/>
        </w:trPr>
        <w:tc>
          <w:tcPr>
            <w:tcW w:w="7068"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b/>
              </w:rPr>
            </w:pPr>
            <w:r>
              <w:rPr>
                <w:b/>
              </w:rPr>
              <w:br w:type="page"/>
              <w:t>Certificate of Service</w:t>
            </w:r>
          </w:p>
        </w:tc>
      </w:tr>
      <w:tr>
        <w:trPr>
          <w:cantSplit/>
          <w:trHeight w:hRule="exact" w:val="79"/>
        </w:trPr>
        <w:tc>
          <w:tcPr>
            <w:tcW w:w="7068" w:type="dxa"/>
            <w:gridSpan w:val="4"/>
            <w:tcBorders>
              <w:top w:val="single" w:sz="12" w:space="0" w:color="000000"/>
              <w:left w:val="nil"/>
              <w:bottom w:val="nil"/>
              <w:right w:val="nil"/>
            </w:tcBorders>
            <w:shd w:val="clear" w:color="auto" w:fill="FFFFFF"/>
          </w:tcPr>
          <w:p>
            <w:pPr>
              <w:pStyle w:val="yTableNAm"/>
              <w:spacing w:before="0"/>
              <w:rPr>
                <w:sz w:val="14"/>
              </w:rPr>
            </w:pPr>
          </w:p>
        </w:tc>
      </w:tr>
      <w:tr>
        <w:trPr>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Person served</w:t>
            </w:r>
          </w:p>
          <w:p>
            <w:pPr>
              <w:pStyle w:val="yTableNAm"/>
              <w:spacing w:before="0"/>
              <w:rPr>
                <w:sz w:val="12"/>
              </w:rPr>
            </w:pPr>
            <w:r>
              <w:rPr>
                <w:sz w:val="12"/>
              </w:rPr>
              <w:t>[Person who is bound by the order]</w:t>
            </w:r>
          </w:p>
        </w:tc>
        <w:tc>
          <w:tcPr>
            <w:tcW w:w="6075" w:type="dxa"/>
            <w:gridSpan w:val="2"/>
            <w:tcBorders>
              <w:top w:val="single" w:sz="4" w:space="0" w:color="000000"/>
              <w:bottom w:val="single" w:sz="4" w:space="0" w:color="auto"/>
              <w:right w:val="single" w:sz="4" w:space="0" w:color="000000"/>
            </w:tcBorders>
          </w:tcPr>
          <w:p>
            <w:pPr>
              <w:pStyle w:val="yTableNAm"/>
              <w:spacing w:before="0"/>
              <w:rPr>
                <w:sz w:val="14"/>
              </w:rPr>
            </w:pPr>
            <w:r>
              <w:rPr>
                <w:sz w:val="14"/>
              </w:rPr>
              <w:t>Name:</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Date of birth:</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Signature:</w:t>
            </w:r>
          </w:p>
        </w:tc>
      </w:tr>
      <w:tr>
        <w:trPr>
          <w:cantSplit/>
          <w:trHeight w:hRule="exact" w:val="80"/>
        </w:trPr>
        <w:tc>
          <w:tcPr>
            <w:tcW w:w="993" w:type="dxa"/>
            <w:gridSpan w:val="2"/>
            <w:tcBorders>
              <w:top w:val="single" w:sz="4" w:space="0" w:color="000000"/>
              <w:left w:val="nil"/>
              <w:bottom w:val="nil"/>
              <w:right w:val="nil"/>
            </w:tcBorders>
            <w:shd w:val="clear" w:color="auto" w:fill="FFFFFF"/>
          </w:tcPr>
          <w:p>
            <w:pPr>
              <w:pStyle w:val="yTableNAm"/>
              <w:spacing w:before="0"/>
              <w:rPr>
                <w:sz w:val="14"/>
              </w:rPr>
            </w:pPr>
          </w:p>
        </w:tc>
        <w:tc>
          <w:tcPr>
            <w:tcW w:w="6075" w:type="dxa"/>
            <w:gridSpan w:val="2"/>
            <w:tcBorders>
              <w:top w:val="single" w:sz="4" w:space="0" w:color="auto"/>
              <w:left w:val="nil"/>
              <w:bottom w:val="nil"/>
              <w:right w:val="nil"/>
            </w:tcBorders>
          </w:tcPr>
          <w:p>
            <w:pPr>
              <w:pStyle w:val="yTableNAm"/>
              <w:spacing w:before="0"/>
              <w:rPr>
                <w:sz w:val="14"/>
              </w:rPr>
            </w:pPr>
          </w:p>
        </w:tc>
      </w:tr>
      <w:tr>
        <w:trPr>
          <w:cantSplit/>
          <w:trHeight w:val="80"/>
        </w:trPr>
        <w:tc>
          <w:tcPr>
            <w:tcW w:w="960" w:type="dxa"/>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Details of Service</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Place where order served:</w:t>
            </w:r>
          </w:p>
        </w:tc>
      </w:tr>
      <w:tr>
        <w:trPr>
          <w:cantSplit/>
          <w:trHeight w:val="210"/>
        </w:trPr>
        <w:tc>
          <w:tcPr>
            <w:tcW w:w="960" w:type="dxa"/>
            <w:vMerge/>
            <w:tcBorders>
              <w:left w:val="single" w:sz="4" w:space="0" w:color="000000"/>
              <w:bottom w:val="single" w:sz="4" w:space="0" w:color="000000"/>
            </w:tcBorders>
            <w:shd w:val="pct10" w:color="auto" w:fill="FFFFFF"/>
          </w:tcPr>
          <w:p>
            <w:pPr>
              <w:pStyle w:val="yTableNAm"/>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NAm"/>
              <w:spacing w:before="0"/>
              <w:rPr>
                <w:sz w:val="14"/>
              </w:rPr>
            </w:pPr>
            <w:r>
              <w:rPr>
                <w:sz w:val="14"/>
              </w:rPr>
              <w:t>Date of service:</w:t>
            </w:r>
          </w:p>
        </w:tc>
        <w:tc>
          <w:tcPr>
            <w:tcW w:w="3179" w:type="dxa"/>
            <w:tcBorders>
              <w:top w:val="single" w:sz="2" w:space="0" w:color="000000"/>
              <w:left w:val="single" w:sz="2" w:space="0" w:color="000000"/>
              <w:bottom w:val="single" w:sz="4" w:space="0" w:color="000000"/>
              <w:right w:val="single" w:sz="4" w:space="0" w:color="000000"/>
            </w:tcBorders>
          </w:tcPr>
          <w:p>
            <w:pPr>
              <w:pStyle w:val="yTableNAm"/>
              <w:spacing w:before="0"/>
              <w:rPr>
                <w:sz w:val="14"/>
              </w:rPr>
            </w:pPr>
            <w:r>
              <w:rPr>
                <w:sz w:val="14"/>
              </w:rPr>
              <w:t>Time of service:</w:t>
            </w:r>
          </w:p>
        </w:tc>
      </w:tr>
      <w:tr>
        <w:trPr>
          <w:cantSplit/>
          <w:trHeight w:hRule="exact" w:val="80"/>
        </w:trPr>
        <w:tc>
          <w:tcPr>
            <w:tcW w:w="960" w:type="dxa"/>
            <w:tcBorders>
              <w:top w:val="nil"/>
              <w:left w:val="nil"/>
              <w:bottom w:val="nil"/>
              <w:right w:val="nil"/>
            </w:tcBorders>
          </w:tcPr>
          <w:p>
            <w:pPr>
              <w:pStyle w:val="yTableNAm"/>
              <w:spacing w:before="0"/>
              <w:rPr>
                <w:sz w:val="14"/>
              </w:rPr>
            </w:pPr>
          </w:p>
          <w:p>
            <w:pPr>
              <w:pStyle w:val="yTableNAm"/>
              <w:spacing w:before="0"/>
              <w:rPr>
                <w:sz w:val="14"/>
              </w:rPr>
            </w:pPr>
          </w:p>
        </w:tc>
        <w:tc>
          <w:tcPr>
            <w:tcW w:w="6108" w:type="dxa"/>
            <w:gridSpan w:val="3"/>
            <w:tcBorders>
              <w:top w:val="nil"/>
              <w:left w:val="nil"/>
              <w:bottom w:val="nil"/>
              <w:right w:val="nil"/>
            </w:tcBorders>
          </w:tcPr>
          <w:p>
            <w:pPr>
              <w:pStyle w:val="yTableNAm"/>
              <w:spacing w:before="0"/>
              <w:rPr>
                <w:sz w:val="14"/>
              </w:rPr>
            </w:pPr>
          </w:p>
        </w:tc>
      </w:tr>
      <w:tr>
        <w:trPr>
          <w:cantSplit/>
          <w:trHeight w:val="1460"/>
        </w:trPr>
        <w:tc>
          <w:tcPr>
            <w:tcW w:w="960" w:type="dxa"/>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Officer servicing order</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Name and other identifying information:</w:t>
            </w:r>
          </w:p>
          <w:p>
            <w:pPr>
              <w:pStyle w:val="yTableNAm"/>
              <w:spacing w:before="0"/>
              <w:rPr>
                <w:sz w:val="14"/>
              </w:rPr>
            </w:pPr>
          </w:p>
          <w:p>
            <w:pPr>
              <w:pStyle w:val="yTableNAm"/>
              <w:spacing w:before="0"/>
              <w:rPr>
                <w:sz w:val="14"/>
              </w:rPr>
            </w:pPr>
            <w:r>
              <w:rPr>
                <w:sz w:val="14"/>
              </w:rPr>
              <w:t>I certify that on the day and at the time and place set out above:</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I personally served this order on the person bound by this order.</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 xml:space="preserve">I gave the explanation required by the </w:t>
            </w:r>
            <w:r>
              <w:rPr>
                <w:i/>
                <w:sz w:val="14"/>
              </w:rPr>
              <w:t>Restraining Orders Act 1997</w:t>
            </w:r>
            <w:r>
              <w:rPr>
                <w:sz w:val="14"/>
              </w:rPr>
              <w:t xml:space="preserve"> section 30E(3)to the person bound by this order and the person protected by this order.</w:t>
            </w:r>
          </w:p>
          <w:p>
            <w:pPr>
              <w:pStyle w:val="yTableNAm"/>
              <w:spacing w:before="0"/>
              <w:rPr>
                <w:sz w:val="14"/>
              </w:rPr>
            </w:pPr>
          </w:p>
          <w:p>
            <w:pPr>
              <w:pStyle w:val="yTableNAm"/>
              <w:spacing w:before="0"/>
              <w:rPr>
                <w:sz w:val="14"/>
              </w:rPr>
            </w:pPr>
            <w:r>
              <w:rPr>
                <w:sz w:val="14"/>
              </w:rPr>
              <w:t>Signature:</w:t>
            </w:r>
          </w:p>
          <w:p>
            <w:pPr>
              <w:pStyle w:val="yTableNAm"/>
              <w:spacing w:before="0"/>
              <w:rPr>
                <w:sz w:val="14"/>
              </w:rPr>
            </w:pPr>
            <w:r>
              <w:rPr>
                <w:sz w:val="14"/>
              </w:rPr>
              <w:t>Date:</w:t>
            </w:r>
          </w:p>
        </w:tc>
      </w:tr>
    </w:tbl>
    <w:p>
      <w:pPr>
        <w:pStyle w:val="yTHeadingNAm"/>
        <w:spacing w:before="120"/>
        <w:rPr>
          <w:sz w:val="20"/>
        </w:rPr>
      </w:pPr>
      <w:r>
        <w:rPr>
          <w:sz w:val="20"/>
        </w:rPr>
        <w:t>ISSUING POLICE OFFICER</w:t>
      </w:r>
    </w:p>
    <w:p>
      <w:pPr>
        <w:pStyle w:val="yTHeadingNAm"/>
        <w:spacing w:before="0" w:after="120"/>
        <w:rPr>
          <w:sz w:val="20"/>
        </w:rPr>
      </w:pPr>
      <w:r>
        <w:rPr>
          <w:sz w:val="20"/>
        </w:rPr>
        <w:t>IMPORTANT INFORMATION: ORDERS AGAINST CHILDREN</w:t>
      </w:r>
    </w:p>
    <w:tbl>
      <w:tblPr>
        <w:tblW w:w="70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1"/>
      </w:tblGrid>
      <w:tr>
        <w:trPr>
          <w:trHeight w:val="640"/>
        </w:trPr>
        <w:tc>
          <w:tcPr>
            <w:tcW w:w="7011" w:type="dxa"/>
            <w:tcBorders>
              <w:bottom w:val="single" w:sz="4" w:space="0" w:color="auto"/>
            </w:tcBorders>
          </w:tcPr>
          <w:p>
            <w:pPr>
              <w:pStyle w:val="yTableNAm"/>
              <w:spacing w:before="0"/>
              <w:rPr>
                <w:sz w:val="18"/>
              </w:rPr>
            </w:pPr>
            <w:r>
              <w:rPr>
                <w:sz w:val="18"/>
              </w:rPr>
              <w:t xml:space="preserve">Note that the </w:t>
            </w:r>
            <w:r>
              <w:rPr>
                <w:i/>
                <w:sz w:val="18"/>
              </w:rPr>
              <w:t>Restraining Orders Act 1997</w:t>
            </w:r>
            <w:r>
              <w:rPr>
                <w:sz w:val="18"/>
              </w:rPr>
              <w:t xml:space="preserve"> section 30D reads as follows:</w:t>
            </w:r>
          </w:p>
          <w:p>
            <w:pPr>
              <w:pStyle w:val="yTableNAm"/>
              <w:tabs>
                <w:tab w:val="clear" w:pos="567"/>
                <w:tab w:val="left" w:pos="601"/>
              </w:tabs>
              <w:spacing w:before="220"/>
              <w:ind w:left="601" w:hanging="601"/>
              <w:rPr>
                <w:b/>
                <w:sz w:val="18"/>
              </w:rPr>
            </w:pPr>
            <w:r>
              <w:rPr>
                <w:b/>
                <w:sz w:val="18"/>
                <w:szCs w:val="18"/>
              </w:rPr>
              <w:t>30D</w:t>
            </w:r>
            <w:r>
              <w:rPr>
                <w:b/>
                <w:sz w:val="18"/>
              </w:rPr>
              <w:t>.</w:t>
            </w:r>
            <w:r>
              <w:rPr>
                <w:b/>
                <w:sz w:val="18"/>
              </w:rPr>
              <w:tab/>
              <w:t>Police orders against children</w:t>
            </w:r>
          </w:p>
          <w:p>
            <w:pPr>
              <w:pStyle w:val="yTableNAm"/>
              <w:tabs>
                <w:tab w:val="clear" w:pos="567"/>
                <w:tab w:val="left" w:pos="601"/>
                <w:tab w:val="left" w:pos="1026"/>
              </w:tabs>
              <w:spacing w:before="80"/>
              <w:ind w:left="1026" w:hanging="1026"/>
              <w:rPr>
                <w:sz w:val="18"/>
              </w:rPr>
            </w:pPr>
            <w:r>
              <w:rPr>
                <w:sz w:val="18"/>
              </w:rPr>
              <w:tab/>
              <w:t>(1)</w:t>
            </w:r>
            <w:r>
              <w:rPr>
                <w:sz w:val="18"/>
              </w:rPr>
              <w:tab/>
              <w:t>A police order cannot impose restraints on a child unless the child is in a family relationship with the person for whose benefit the order is made.</w:t>
            </w:r>
          </w:p>
          <w:p>
            <w:pPr>
              <w:pStyle w:val="yTableNAm"/>
              <w:tabs>
                <w:tab w:val="clear" w:pos="567"/>
                <w:tab w:val="left" w:pos="601"/>
                <w:tab w:val="left" w:pos="1026"/>
              </w:tabs>
              <w:spacing w:before="80"/>
              <w:ind w:left="1026" w:hanging="1026"/>
              <w:rPr>
                <w:sz w:val="18"/>
              </w:rPr>
            </w:pPr>
            <w:r>
              <w:rPr>
                <w:sz w:val="18"/>
              </w:rPr>
              <w:tab/>
              <w:t>(2)</w:t>
            </w:r>
            <w:r>
              <w:rPr>
                <w:sz w:val="18"/>
              </w:rPr>
              <w:tab/>
              <w:t>A police officer must not make a police order against a child that might affect the care and wellbeing of the child unless the police officer is satisfied that appropriate arrangements have been made for the care and wellbeing of the child.</w:t>
            </w:r>
          </w:p>
          <w:p>
            <w:pPr>
              <w:pStyle w:val="yTableNAm"/>
              <w:spacing w:before="0"/>
              <w:rPr>
                <w:sz w:val="18"/>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C — Information to be on the copy of order given to the person bound by a police order</w:t>
      </w:r>
    </w:p>
    <w:p>
      <w:pPr>
        <w:pStyle w:val="yTHeadingNAm"/>
        <w:spacing w:before="0"/>
        <w:rPr>
          <w:sz w:val="20"/>
        </w:rPr>
      </w:pPr>
      <w:r>
        <w:rPr>
          <w:sz w:val="20"/>
        </w:rPr>
        <w:t>PERSON BOUND BY THIS ORDER</w:t>
      </w:r>
    </w:p>
    <w:p>
      <w:pPr>
        <w:pStyle w:val="yTHeadingNAm"/>
        <w:spacing w:before="0" w:after="120"/>
        <w:rPr>
          <w:sz w:val="20"/>
        </w:rPr>
      </w:pPr>
      <w:r>
        <w:rPr>
          <w:sz w:val="20"/>
        </w:rPr>
        <w:t>IMPORTANT INFORMATION</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against you.</w:t>
            </w:r>
          </w:p>
          <w:p>
            <w:pPr>
              <w:pStyle w:val="yTableNAm"/>
              <w:spacing w:before="0"/>
              <w:rPr>
                <w:sz w:val="18"/>
              </w:rPr>
            </w:pPr>
            <w:r>
              <w:rPr>
                <w:sz w:val="18"/>
              </w:rPr>
              <w:t>In this police order you are referred to as the person who is bound by this order.</w:t>
            </w:r>
          </w:p>
          <w:p>
            <w:pPr>
              <w:pStyle w:val="yTableNAm"/>
              <w:spacing w:before="0"/>
              <w:rPr>
                <w:sz w:val="18"/>
              </w:rPr>
            </w:pPr>
            <w:r>
              <w:rPr>
                <w:sz w:val="18"/>
              </w:rPr>
              <w:t>This police order came into force when it was served on you.</w:t>
            </w:r>
          </w:p>
          <w:p>
            <w:pPr>
              <w:pStyle w:val="yTableNAm"/>
              <w:spacing w:before="0"/>
              <w:rPr>
                <w:sz w:val="18"/>
              </w:rPr>
            </w:pPr>
            <w:r>
              <w:rPr>
                <w:sz w:val="18"/>
              </w:rPr>
              <w:t>You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on you — this means that you are not to do certain things.</w:t>
            </w:r>
          </w:p>
          <w:p>
            <w:pPr>
              <w:pStyle w:val="yTableNAm"/>
              <w:spacing w:before="0"/>
              <w:rPr>
                <w:sz w:val="18"/>
              </w:rPr>
            </w:pPr>
            <w:r>
              <w:rPr>
                <w:sz w:val="18"/>
              </w:rPr>
              <w:t>This police order has been issued to —</w:t>
            </w:r>
          </w:p>
          <w:p>
            <w:pPr>
              <w:pStyle w:val="yTableNAm"/>
            </w:pPr>
            <w:r>
              <w:rPr>
                <w:sz w:val="18"/>
                <w:szCs w:val="18"/>
              </w:rPr>
              <w:sym w:font="Wingdings 2" w:char="F097"/>
            </w:r>
            <w:r>
              <w:rPr>
                <w:sz w:val="18"/>
                <w:szCs w:val="18"/>
              </w:rPr>
              <w:tab/>
              <w:t>ensure that a person is protected from family violence; or</w:t>
            </w:r>
          </w:p>
          <w:p>
            <w:pPr>
              <w:pStyle w:val="yTableNAm"/>
              <w:rPr>
                <w:sz w:val="18"/>
              </w:rPr>
            </w:pPr>
            <w:r>
              <w:rPr>
                <w:sz w:val="18"/>
              </w:rPr>
              <w:sym w:font="Wingdings 2" w:char="F097"/>
            </w:r>
            <w:r>
              <w:rPr>
                <w:sz w:val="18"/>
              </w:rPr>
              <w:tab/>
              <w:t>prevent behaviour that could reasonably be expected to cause a person to apprehend that family violence will be committed against them; or</w:t>
            </w:r>
          </w:p>
          <w:p>
            <w:pPr>
              <w:pStyle w:val="yTableNAm"/>
              <w:rPr>
                <w:sz w:val="18"/>
              </w:rPr>
            </w:pPr>
            <w:r>
              <w:rPr>
                <w:sz w:val="18"/>
              </w:rPr>
              <w:sym w:font="Wingdings 2" w:char="F097"/>
            </w:r>
            <w:r>
              <w:rPr>
                <w:sz w:val="18"/>
              </w:rPr>
              <w:tab/>
              <w:t>ensure that children are not exposed to family violence.</w:t>
            </w:r>
          </w:p>
          <w:p>
            <w:pPr>
              <w:pStyle w:val="yTableNAm"/>
              <w:rPr>
                <w:sz w:val="18"/>
              </w:rPr>
            </w:pPr>
            <w:r>
              <w:rPr>
                <w:sz w:val="18"/>
              </w:rPr>
              <w:t>A child is exposed to family violence if the child sees or hears the violence or otherwise experiences the effects of family violence, for example, cleaning up a site after property damage.</w:t>
            </w:r>
          </w:p>
          <w:p>
            <w:pPr>
              <w:pStyle w:val="yTableNAm"/>
              <w:spacing w:before="0"/>
              <w:rPr>
                <w:sz w:val="18"/>
              </w:rPr>
            </w:pPr>
          </w:p>
          <w:p>
            <w:pPr>
              <w:pStyle w:val="yTableNAm"/>
              <w:spacing w:before="0"/>
              <w:rPr>
                <w:sz w:val="18"/>
                <w:szCs w:val="18"/>
              </w:rPr>
            </w:pPr>
            <w:r>
              <w:rPr>
                <w:sz w:val="18"/>
                <w:szCs w:val="18"/>
              </w:rPr>
              <w:t>When this nationally recognised police order was served on you it became immediately enforceable in all Australian States, the Northern Territory and the Australian Capital Territory under a national recognition scheme for domestic violence orders.  If you breach this order when you are in Australia but outside Western Australia, you will be subject to the penalties that apply in the jurisdiction in which the breach occurred.</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may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61A(6) of the Act not to impose such a penalty.</w:t>
            </w:r>
          </w:p>
          <w:p>
            <w:pPr>
              <w:pStyle w:val="yTableNAm"/>
              <w:spacing w:before="0"/>
              <w:rPr>
                <w:sz w:val="18"/>
              </w:rPr>
            </w:pPr>
          </w:p>
          <w:p>
            <w:pPr>
              <w:pStyle w:val="yTableNAm"/>
            </w:pPr>
            <w:r>
              <w:rPr>
                <w:sz w:val="18"/>
                <w:szCs w:val="18"/>
              </w:rPr>
              <w:t>Counselling and support services may be of assistance to you.</w:t>
            </w:r>
          </w:p>
          <w:p>
            <w:pPr>
              <w:pStyle w:val="yTableNAm"/>
              <w:rPr>
                <w:sz w:val="18"/>
              </w:rPr>
            </w:pPr>
          </w:p>
          <w:p>
            <w:pPr>
              <w:pStyle w:val="yTableNAm"/>
              <w:rPr>
                <w:sz w:val="18"/>
              </w:rPr>
            </w:pPr>
            <w:r>
              <w:rPr>
                <w:sz w:val="18"/>
              </w:rPr>
              <w:t>Any police officer may serve this order.</w:t>
            </w:r>
          </w:p>
          <w:p>
            <w:pPr>
              <w:pStyle w:val="yTableNAm"/>
              <w:spacing w:before="0"/>
              <w:rPr>
                <w:sz w:val="18"/>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D — Information to be on the copy of a police order given to a person protected by a police order</w:t>
      </w:r>
    </w:p>
    <w:p>
      <w:pPr>
        <w:pStyle w:val="yTHeadingNAm"/>
        <w:spacing w:before="0"/>
        <w:rPr>
          <w:sz w:val="20"/>
        </w:rPr>
      </w:pPr>
      <w:r>
        <w:rPr>
          <w:sz w:val="20"/>
        </w:rPr>
        <w:t>IMPORTANT INFORMATION</w:t>
      </w:r>
    </w:p>
    <w:p>
      <w:pPr>
        <w:pStyle w:val="yTHeadingNAm"/>
        <w:spacing w:before="0" w:after="120"/>
        <w:rPr>
          <w:sz w:val="20"/>
        </w:rPr>
      </w:pPr>
      <w:r>
        <w:rPr>
          <w:sz w:val="20"/>
        </w:rPr>
        <w:t>FOR PERSON PROTECTED BY A POLICE ORDER</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for your benefit.</w:t>
            </w:r>
          </w:p>
          <w:p>
            <w:pPr>
              <w:pStyle w:val="yTableNAm"/>
              <w:spacing w:before="0"/>
              <w:rPr>
                <w:sz w:val="18"/>
              </w:rPr>
            </w:pPr>
            <w:r>
              <w:rPr>
                <w:sz w:val="18"/>
              </w:rPr>
              <w:t>In this police order you are referred to as the person protected.</w:t>
            </w:r>
          </w:p>
          <w:p>
            <w:pPr>
              <w:pStyle w:val="yTableNAm"/>
              <w:spacing w:before="0"/>
              <w:rPr>
                <w:sz w:val="18"/>
              </w:rPr>
            </w:pPr>
            <w:r>
              <w:rPr>
                <w:sz w:val="18"/>
              </w:rPr>
              <w:t>This police order came into force when it was served on the person who is bound by the order.</w:t>
            </w:r>
          </w:p>
          <w:p>
            <w:pPr>
              <w:pStyle w:val="yTableNAm"/>
              <w:spacing w:before="0"/>
              <w:rPr>
                <w:sz w:val="18"/>
              </w:rPr>
            </w:pPr>
            <w:r>
              <w:rPr>
                <w:sz w:val="18"/>
              </w:rPr>
              <w:t>The person bound by this order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to protect you.</w:t>
            </w:r>
          </w:p>
          <w:p>
            <w:pPr>
              <w:pStyle w:val="yTableNAm"/>
              <w:spacing w:before="0"/>
              <w:rPr>
                <w:sz w:val="18"/>
              </w:rPr>
            </w:pPr>
            <w:r>
              <w:rPr>
                <w:sz w:val="18"/>
              </w:rPr>
              <w:t>This police order has been issued to —</w:t>
            </w:r>
          </w:p>
          <w:p>
            <w:pPr>
              <w:pStyle w:val="yTableNAm"/>
            </w:pPr>
            <w:r>
              <w:rPr>
                <w:sz w:val="18"/>
                <w:szCs w:val="18"/>
              </w:rPr>
              <w:sym w:font="Wingdings 2" w:char="F097"/>
            </w:r>
            <w:r>
              <w:rPr>
                <w:sz w:val="18"/>
                <w:szCs w:val="18"/>
              </w:rPr>
              <w:tab/>
              <w:t>ensure that a person is protected from family violence; or</w:t>
            </w:r>
          </w:p>
          <w:p>
            <w:pPr>
              <w:pStyle w:val="yTableNAm"/>
              <w:rPr>
                <w:sz w:val="18"/>
              </w:rPr>
            </w:pPr>
            <w:r>
              <w:rPr>
                <w:sz w:val="18"/>
              </w:rPr>
              <w:sym w:font="Wingdings 2" w:char="F097"/>
            </w:r>
            <w:r>
              <w:rPr>
                <w:sz w:val="18"/>
              </w:rPr>
              <w:tab/>
              <w:t>prevent behaviour that could reasonably be expected to cause a person to apprehend that family violence will be committed against them; or</w:t>
            </w:r>
          </w:p>
          <w:p>
            <w:pPr>
              <w:pStyle w:val="yTableNAm"/>
              <w:rPr>
                <w:sz w:val="18"/>
              </w:rPr>
            </w:pPr>
            <w:r>
              <w:rPr>
                <w:sz w:val="18"/>
              </w:rPr>
              <w:sym w:font="Wingdings 2" w:char="F097"/>
            </w:r>
            <w:r>
              <w:rPr>
                <w:sz w:val="18"/>
              </w:rPr>
              <w:tab/>
              <w:t>ensure that children are not exposed to family violence.</w:t>
            </w:r>
          </w:p>
          <w:p>
            <w:pPr>
              <w:pStyle w:val="yTableNAm"/>
              <w:rPr>
                <w:sz w:val="18"/>
              </w:rPr>
            </w:pPr>
            <w:r>
              <w:rPr>
                <w:sz w:val="18"/>
              </w:rPr>
              <w:t>A child is exposed to family violence if the child sees or hears the violence or otherwise experiences the effects of family violence, for example, cleaning up a site after property damage.</w:t>
            </w:r>
          </w:p>
          <w:p>
            <w:pPr>
              <w:pStyle w:val="yTableNAm"/>
              <w:spacing w:before="0"/>
              <w:rPr>
                <w:sz w:val="18"/>
              </w:rPr>
            </w:pPr>
            <w:r>
              <w:rPr>
                <w:sz w:val="18"/>
              </w:rPr>
              <w:t>The person bound by this order commits an offence if he or she fails to comply with this order.</w:t>
            </w:r>
          </w:p>
          <w:p>
            <w:pPr>
              <w:pStyle w:val="yTableNAm"/>
              <w:spacing w:before="0"/>
              <w:rPr>
                <w:sz w:val="18"/>
              </w:rPr>
            </w:pPr>
          </w:p>
          <w:p>
            <w:pPr>
              <w:pStyle w:val="yTableNAm"/>
              <w:spacing w:before="0"/>
              <w:rPr>
                <w:sz w:val="18"/>
              </w:rPr>
            </w:pPr>
            <w:r>
              <w:rPr>
                <w:sz w:val="18"/>
              </w:rPr>
              <w:t>You must not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invite or encourage the person bound by this order to breach this order;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by your actions cause the person bound by this order to breach the order.</w:t>
            </w:r>
          </w:p>
          <w:p>
            <w:pPr>
              <w:pStyle w:val="yTableNAm"/>
              <w:spacing w:before="0"/>
              <w:rPr>
                <w:sz w:val="18"/>
              </w:rPr>
            </w:pPr>
          </w:p>
          <w:p>
            <w:pPr>
              <w:pStyle w:val="yTableNAm"/>
              <w:spacing w:before="0"/>
              <w:rPr>
                <w:sz w:val="18"/>
                <w:szCs w:val="18"/>
              </w:rPr>
            </w:pPr>
            <w:r>
              <w:rPr>
                <w:sz w:val="18"/>
                <w:szCs w:val="18"/>
              </w:rPr>
              <w:t>When this nationally recognised police order was served on the person who is bound by this order it became immediately enforceable in all Australian States, the Northern Territory and the Australian Capital Territory under a national recognition scheme for domestic violence orders.  If the person who is bound by this order breaches this order when the person is in Australia but outside Western Australia, the person will be subject to the penalties that apply in the jurisdiction in which the breach occurred.</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the person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spacing w:before="0"/>
              <w:rPr>
                <w:sz w:val="18"/>
              </w:rPr>
            </w:pPr>
          </w:p>
          <w:p>
            <w:pPr>
              <w:pStyle w:val="yTableNAm"/>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pPr>
            <w:r>
              <w:rPr>
                <w:sz w:val="18"/>
                <w:szCs w:val="18"/>
              </w:rPr>
              <w:t>Counselling and support services may be of assistance to you.</w:t>
            </w:r>
          </w:p>
          <w:p>
            <w:pPr>
              <w:pStyle w:val="yTableNAm"/>
              <w:rPr>
                <w:sz w:val="18"/>
              </w:rPr>
            </w:pPr>
            <w:r>
              <w:rPr>
                <w:sz w:val="18"/>
              </w:rPr>
              <w:t>Any police officer may serve this order.</w:t>
            </w:r>
          </w:p>
          <w:p>
            <w:pPr>
              <w:pStyle w:val="yTableNAm"/>
              <w:spacing w:before="0"/>
              <w:rPr>
                <w:sz w:val="18"/>
              </w:rPr>
            </w:pPr>
          </w:p>
        </w:tc>
      </w:tr>
    </w:tbl>
    <w:p>
      <w:pPr>
        <w:pStyle w:val="yFootnotesection"/>
        <w:tabs>
          <w:tab w:val="clear" w:pos="893"/>
        </w:tabs>
        <w:ind w:left="720" w:hanging="720"/>
      </w:pPr>
      <w:r>
        <w:tab/>
        <w:t>[Form 10 inserted: Gazette 4 May 2012 p. 1856-9; amended: Gazette 7 Feb 2017 p. 1167</w:t>
      </w:r>
      <w:r>
        <w:noBreakHyphen/>
        <w:t>8; 24 Nov 2017 p. 5678</w:t>
      </w:r>
      <w:r>
        <w:noBreakHyphen/>
        <w:t>9.]</w:t>
      </w:r>
    </w:p>
    <w:p>
      <w:pPr>
        <w:pStyle w:val="yEdnoteschedule"/>
      </w:pPr>
      <w:r>
        <w:t>[Forms 11</w:t>
      </w:r>
      <w:r>
        <w:noBreakHyphen/>
        <w:t>13, 14A and 14 deleted: Gazette 7 Feb 2017 p. 1167.]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84" w:name="_Toc40971779"/>
      <w:bookmarkStart w:id="185" w:name="_Toc41036005"/>
      <w:bookmarkStart w:id="186" w:name="_Toc378769661"/>
      <w:bookmarkStart w:id="187" w:name="_Toc425172222"/>
      <w:bookmarkStart w:id="188" w:name="_Toc435093109"/>
      <w:bookmarkStart w:id="189" w:name="_Toc474230470"/>
      <w:bookmarkStart w:id="190" w:name="_Toc485390191"/>
      <w:bookmarkStart w:id="191" w:name="_Toc485630973"/>
      <w:bookmarkStart w:id="192" w:name="_Toc485635906"/>
      <w:bookmarkStart w:id="193" w:name="_Toc499212800"/>
      <w:bookmarkStart w:id="194" w:name="_Toc499212893"/>
      <w:bookmarkStart w:id="195" w:name="_Toc40967138"/>
      <w:r>
        <w:t>Notes</w:t>
      </w:r>
      <w:bookmarkEnd w:id="184"/>
      <w:bookmarkEnd w:id="185"/>
      <w:bookmarkEnd w:id="186"/>
      <w:bookmarkEnd w:id="187"/>
      <w:bookmarkEnd w:id="188"/>
      <w:bookmarkEnd w:id="189"/>
      <w:bookmarkEnd w:id="190"/>
      <w:bookmarkEnd w:id="191"/>
      <w:bookmarkEnd w:id="192"/>
      <w:bookmarkEnd w:id="193"/>
      <w:bookmarkEnd w:id="194"/>
    </w:p>
    <w:p>
      <w:pPr>
        <w:pStyle w:val="nStatement"/>
      </w:pPr>
      <w:del w:id="196" w:author="Master Repository Process" w:date="2021-09-12T11:46:00Z">
        <w:r>
          <w:rPr>
            <w:snapToGrid w:val="0"/>
            <w:vertAlign w:val="superscript"/>
          </w:rPr>
          <w:delText>1</w:delText>
        </w:r>
        <w:r>
          <w:rPr>
            <w:snapToGrid w:val="0"/>
          </w:rPr>
          <w:tab/>
        </w:r>
      </w:del>
      <w:r>
        <w:t xml:space="preserve">This is a compilation of the </w:t>
      </w:r>
      <w:r>
        <w:rPr>
          <w:i/>
          <w:noProof/>
        </w:rPr>
        <w:t>Restraining Orders Regulations 1997</w:t>
      </w:r>
      <w:r>
        <w:t xml:space="preserve"> and includes </w:t>
      </w:r>
      <w:del w:id="197" w:author="Master Repository Process" w:date="2021-09-12T11:46:00Z">
        <w:r>
          <w:rPr>
            <w:snapToGrid w:val="0"/>
          </w:rPr>
          <w:delText xml:space="preserve">the </w:delText>
        </w:r>
      </w:del>
      <w:r>
        <w:t xml:space="preserve">amendments made by </w:t>
      </w:r>
      <w:del w:id="198" w:author="Master Repository Process" w:date="2021-09-12T11:46:00Z">
        <w:r>
          <w:rPr>
            <w:snapToGrid w:val="0"/>
          </w:rPr>
          <w:delText xml:space="preserve">the </w:delText>
        </w:r>
      </w:del>
      <w:r>
        <w:t>other written laws</w:t>
      </w:r>
      <w:del w:id="199" w:author="Master Repository Process" w:date="2021-09-12T11:46:00Z">
        <w:r>
          <w:rPr>
            <w:snapToGrid w:val="0"/>
          </w:rPr>
          <w:delText xml:space="preserve"> referred to in the following table.  The table also contains</w:delText>
        </w:r>
      </w:del>
      <w:ins w:id="200" w:author="Master Repository Process" w:date="2021-09-12T11:46:00Z">
        <w:r>
          <w:t>. For provisions that have come into operation, and for</w:t>
        </w:r>
      </w:ins>
      <w:r>
        <w:t xml:space="preserve"> information about any </w:t>
      </w:r>
      <w:del w:id="201" w:author="Master Repository Process" w:date="2021-09-12T11:46:00Z">
        <w:r>
          <w:rPr>
            <w:snapToGrid w:val="0"/>
          </w:rPr>
          <w:delText>reprint.</w:delText>
        </w:r>
      </w:del>
      <w:ins w:id="202" w:author="Master Repository Process" w:date="2021-09-12T11:46:00Z">
        <w:r>
          <w:t>reprints, see the compilation table.</w:t>
        </w:r>
      </w:ins>
    </w:p>
    <w:p>
      <w:pPr>
        <w:pStyle w:val="nHeading3"/>
      </w:pPr>
      <w:bookmarkStart w:id="203" w:name="_Toc41036006"/>
      <w:bookmarkStart w:id="204" w:name="_Toc378769662"/>
      <w:bookmarkStart w:id="205" w:name="_Toc499212894"/>
      <w:r>
        <w:t>Compilation table</w:t>
      </w:r>
      <w:bookmarkEnd w:id="203"/>
      <w:bookmarkEnd w:id="204"/>
      <w:bookmarkEnd w:id="2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06" w:author="Master Repository Process" w:date="2021-09-12T11:46:00Z">
              <w:r>
                <w:rPr>
                  <w:b/>
                </w:rPr>
                <w:delText>Gazettal</w:delText>
              </w:r>
            </w:del>
            <w:ins w:id="207" w:author="Master Repository Process" w:date="2021-09-12T11:46: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before="60" w:after="60"/>
            </w:pPr>
            <w:r>
              <w:rPr>
                <w:i/>
              </w:rPr>
              <w:t>Restraining Orders Regulations 1997</w:t>
            </w:r>
          </w:p>
        </w:tc>
        <w:tc>
          <w:tcPr>
            <w:tcW w:w="1276" w:type="dxa"/>
          </w:tcPr>
          <w:p>
            <w:pPr>
              <w:pStyle w:val="nTable"/>
              <w:spacing w:before="60" w:after="60"/>
            </w:pPr>
            <w:r>
              <w:t>12 Sep 1997 p. 5079</w:t>
            </w:r>
            <w:r>
              <w:noBreakHyphen/>
              <w:t>146 (correction 16 Sep 1997 p. 5235)</w:t>
            </w:r>
          </w:p>
        </w:tc>
        <w:tc>
          <w:tcPr>
            <w:tcW w:w="2693" w:type="dxa"/>
          </w:tcPr>
          <w:p>
            <w:pPr>
              <w:pStyle w:val="nTable"/>
              <w:spacing w:before="60" w:after="60"/>
            </w:pPr>
            <w:r>
              <w:t xml:space="preserve">15 Sep 1997 (see r. 2 and </w:t>
            </w:r>
            <w:r>
              <w:rPr>
                <w:i/>
              </w:rPr>
              <w:t>Gazette</w:t>
            </w:r>
            <w:r>
              <w:t xml:space="preserve"> 12 Sep 1997 p. 5149)</w:t>
            </w:r>
          </w:p>
        </w:tc>
      </w:tr>
      <w:tr>
        <w:tblPrEx>
          <w:tblBorders>
            <w:top w:val="none" w:sz="0" w:space="0" w:color="auto"/>
            <w:bottom w:val="none" w:sz="0" w:space="0" w:color="auto"/>
            <w:insideH w:val="none" w:sz="0" w:space="0" w:color="auto"/>
          </w:tblBorders>
        </w:tblPrEx>
        <w:tc>
          <w:tcPr>
            <w:tcW w:w="3118" w:type="dxa"/>
          </w:tcPr>
          <w:p>
            <w:pPr>
              <w:pStyle w:val="nTable"/>
              <w:spacing w:before="60" w:after="60"/>
            </w:pPr>
            <w:r>
              <w:rPr>
                <w:i/>
              </w:rPr>
              <w:t>Restraining Orders Amendment Regulations 1998</w:t>
            </w:r>
          </w:p>
        </w:tc>
        <w:tc>
          <w:tcPr>
            <w:tcW w:w="1276" w:type="dxa"/>
          </w:tcPr>
          <w:p>
            <w:pPr>
              <w:pStyle w:val="nTable"/>
              <w:spacing w:before="60" w:after="60"/>
            </w:pPr>
            <w:r>
              <w:t>27 Mar 1998 p. 1714</w:t>
            </w:r>
          </w:p>
        </w:tc>
        <w:tc>
          <w:tcPr>
            <w:tcW w:w="2693" w:type="dxa"/>
          </w:tcPr>
          <w:p>
            <w:pPr>
              <w:pStyle w:val="nTable"/>
              <w:spacing w:before="60" w:after="60"/>
            </w:pPr>
            <w:r>
              <w:t>27 Mar 1998</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(No. 2) 2001</w:t>
            </w:r>
          </w:p>
        </w:tc>
        <w:tc>
          <w:tcPr>
            <w:tcW w:w="1276" w:type="dxa"/>
          </w:tcPr>
          <w:p>
            <w:pPr>
              <w:pStyle w:val="nTable"/>
              <w:spacing w:before="60" w:after="60"/>
            </w:pPr>
            <w:r>
              <w:t>8 Jan 2002 p. 32</w:t>
            </w:r>
            <w:r>
              <w:noBreakHyphen/>
              <w:t>3</w:t>
            </w:r>
          </w:p>
        </w:tc>
        <w:tc>
          <w:tcPr>
            <w:tcW w:w="2693" w:type="dxa"/>
          </w:tcPr>
          <w:p>
            <w:pPr>
              <w:pStyle w:val="nTable"/>
              <w:spacing w:before="60" w:after="60"/>
            </w:pPr>
            <w:r>
              <w:t>8 Jan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60" w:after="60"/>
            </w:pPr>
            <w:r>
              <w:rPr>
                <w:b/>
              </w:rPr>
              <w:t xml:space="preserve">Reprint 1: The </w:t>
            </w:r>
            <w:r>
              <w:rPr>
                <w:b/>
                <w:i/>
              </w:rPr>
              <w:t xml:space="preserve">Restraining Orders Regulations 1997 </w:t>
            </w:r>
            <w:r>
              <w:rPr>
                <w:b/>
              </w:rPr>
              <w:t>as at 13 Feb 2004</w:t>
            </w:r>
            <w:r>
              <w:t xml:space="preserve"> </w:t>
            </w:r>
            <w:r>
              <w:br/>
              <w:t>(includes amendments listed above)</w:t>
            </w:r>
            <w:r>
              <w:rPr>
                <w:i/>
              </w:rPr>
              <w:t xml:space="preserve"> </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2004</w:t>
            </w:r>
          </w:p>
        </w:tc>
        <w:tc>
          <w:tcPr>
            <w:tcW w:w="1276" w:type="dxa"/>
          </w:tcPr>
          <w:p>
            <w:pPr>
              <w:pStyle w:val="nTable"/>
              <w:spacing w:before="60" w:after="60"/>
            </w:pPr>
            <w:r>
              <w:t>26 Nov 2004 p. 5257</w:t>
            </w:r>
            <w:r>
              <w:noBreakHyphen/>
              <w:t>305</w:t>
            </w:r>
          </w:p>
        </w:tc>
        <w:tc>
          <w:tcPr>
            <w:tcW w:w="2693" w:type="dxa"/>
          </w:tcPr>
          <w:p>
            <w:pPr>
              <w:pStyle w:val="nTable"/>
              <w:spacing w:before="60" w:after="60"/>
            </w:pPr>
            <w:r>
              <w:t>1 Dec 2004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60" w:after="60"/>
            </w:pPr>
            <w:r>
              <w:rPr>
                <w:b/>
              </w:rPr>
              <w:t xml:space="preserve">Reprint 2: The </w:t>
            </w:r>
            <w:r>
              <w:rPr>
                <w:b/>
                <w:i/>
              </w:rPr>
              <w:t xml:space="preserve">Restraining Orders Regulations 1997 </w:t>
            </w:r>
            <w:r>
              <w:rPr>
                <w:b/>
              </w:rPr>
              <w:t>as at 16 Mar 2007</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2007</w:t>
            </w:r>
          </w:p>
        </w:tc>
        <w:tc>
          <w:tcPr>
            <w:tcW w:w="1276" w:type="dxa"/>
          </w:tcPr>
          <w:p>
            <w:pPr>
              <w:pStyle w:val="nTable"/>
              <w:spacing w:before="60" w:after="60"/>
            </w:pPr>
            <w:r>
              <w:t>31 Jul 2007 p. 3800</w:t>
            </w:r>
            <w:r>
              <w:noBreakHyphen/>
              <w:t>2</w:t>
            </w:r>
          </w:p>
        </w:tc>
        <w:tc>
          <w:tcPr>
            <w:tcW w:w="2693" w:type="dxa"/>
          </w:tcPr>
          <w:p>
            <w:pPr>
              <w:pStyle w:val="nTable"/>
              <w:spacing w:before="60" w:after="6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2009</w:t>
            </w:r>
          </w:p>
        </w:tc>
        <w:tc>
          <w:tcPr>
            <w:tcW w:w="1276" w:type="dxa"/>
          </w:tcPr>
          <w:p>
            <w:pPr>
              <w:pStyle w:val="nTable"/>
              <w:spacing w:before="60" w:after="60"/>
            </w:pPr>
            <w:r>
              <w:t>12 Jan 2010 p. 55-6</w:t>
            </w:r>
          </w:p>
        </w:tc>
        <w:tc>
          <w:tcPr>
            <w:tcW w:w="2693" w:type="dxa"/>
          </w:tcPr>
          <w:p>
            <w:pPr>
              <w:pStyle w:val="nTable"/>
              <w:spacing w:before="60" w:after="60"/>
              <w:rPr>
                <w:snapToGrid w:val="0"/>
              </w:rPr>
            </w:pPr>
            <w:r>
              <w:rPr>
                <w:snapToGrid w:val="0"/>
              </w:rPr>
              <w:t>r. 1 and 2: 12 Jan 2010 (see r. 2(a));</w:t>
            </w:r>
            <w:r>
              <w:rPr>
                <w:snapToGrid w:val="0"/>
              </w:rPr>
              <w:br/>
              <w:t>Regulations other than r. 1 and 2: 13 Jan 2010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before="60" w:after="60"/>
              <w:rPr>
                <w:i/>
              </w:rPr>
            </w:pPr>
            <w:r>
              <w:rPr>
                <w:i/>
              </w:rPr>
              <w:t>Restraining Orders Amendment Regulations 2012</w:t>
            </w:r>
          </w:p>
        </w:tc>
        <w:tc>
          <w:tcPr>
            <w:tcW w:w="1276" w:type="dxa"/>
            <w:shd w:val="clear" w:color="auto" w:fill="auto"/>
          </w:tcPr>
          <w:p>
            <w:pPr>
              <w:pStyle w:val="nTable"/>
              <w:spacing w:before="60" w:after="60"/>
            </w:pPr>
            <w:r>
              <w:t>4 May 2012 p. 1847-60</w:t>
            </w:r>
          </w:p>
        </w:tc>
        <w:tc>
          <w:tcPr>
            <w:tcW w:w="2693" w:type="dxa"/>
            <w:shd w:val="clear" w:color="auto" w:fill="auto"/>
          </w:tcPr>
          <w:p>
            <w:pPr>
              <w:pStyle w:val="nTable"/>
              <w:spacing w:before="60" w:after="60"/>
              <w:rPr>
                <w:snapToGrid w:val="0"/>
              </w:rPr>
            </w:pPr>
            <w:r>
              <w:rPr>
                <w:snapToGrid w:val="0"/>
              </w:rPr>
              <w:t>r. 1 and 2: 4 May 2012 (see r. 2(a));</w:t>
            </w:r>
            <w:r>
              <w:rPr>
                <w:snapToGrid w:val="0"/>
              </w:rPr>
              <w:br/>
              <w:t>Regulations other than r. 1 and 2: 5 May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before="60" w:after="60"/>
              <w:rPr>
                <w:snapToGrid w:val="0"/>
              </w:rPr>
            </w:pPr>
            <w:r>
              <w:rPr>
                <w:b/>
              </w:rPr>
              <w:t xml:space="preserve">Reprint 3: The </w:t>
            </w:r>
            <w:r>
              <w:rPr>
                <w:b/>
                <w:i/>
              </w:rPr>
              <w:t xml:space="preserve">Restraining Orders Regulations 1997 </w:t>
            </w:r>
            <w:r>
              <w:rPr>
                <w:b/>
              </w:rPr>
              <w:t>as at 6 Jul 2012</w:t>
            </w:r>
            <w:r>
              <w:t xml:space="preserve"> </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before="60" w:after="60"/>
            </w:pPr>
            <w:r>
              <w:rPr>
                <w:i/>
              </w:rPr>
              <w:t>Restraining Orders Amendment Regulations 2017</w:t>
            </w:r>
          </w:p>
        </w:tc>
        <w:tc>
          <w:tcPr>
            <w:tcW w:w="1276" w:type="dxa"/>
            <w:shd w:val="clear" w:color="auto" w:fill="auto"/>
          </w:tcPr>
          <w:p>
            <w:pPr>
              <w:pStyle w:val="nTable"/>
              <w:keepNext/>
              <w:spacing w:before="60" w:after="60"/>
            </w:pPr>
            <w:r>
              <w:t>7 Feb 2017 p. 1164</w:t>
            </w:r>
            <w:r>
              <w:noBreakHyphen/>
              <w:t>8</w:t>
            </w:r>
          </w:p>
        </w:tc>
        <w:tc>
          <w:tcPr>
            <w:tcW w:w="2693" w:type="dxa"/>
            <w:shd w:val="clear" w:color="auto" w:fill="auto"/>
          </w:tcPr>
          <w:p>
            <w:pPr>
              <w:pStyle w:val="nTable"/>
              <w:keepNext/>
              <w:spacing w:before="60" w:after="60"/>
              <w:rPr>
                <w:snapToGrid w:val="0"/>
              </w:rPr>
            </w:pPr>
            <w:r>
              <w:rPr>
                <w:snapToGrid w:val="0"/>
              </w:rPr>
              <w:t>r. 1 and 2: 7 Feb 2017 (see r. 2(a));</w:t>
            </w:r>
            <w:r>
              <w:rPr>
                <w:snapToGrid w:val="0"/>
              </w:rPr>
              <w:br/>
              <w:t>r. 17: 8 Feb 2017 (see r. 2(b));</w:t>
            </w:r>
            <w:r>
              <w:rPr>
                <w:snapToGrid w:val="0"/>
              </w:rPr>
              <w:br/>
            </w:r>
            <w:r>
              <w:t xml:space="preserve">r. 3-16, 18 and 19: 1 Jul 2017 (see r. 2(c) and </w:t>
            </w:r>
            <w:r>
              <w:rPr>
                <w:i/>
              </w:rPr>
              <w:t>Gazette</w:t>
            </w:r>
            <w:r>
              <w:t xml:space="preserve"> 7 Feb 2017 p. 1157)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before="60" w:after="60"/>
              <w:rPr>
                <w:i/>
              </w:rPr>
            </w:pPr>
            <w:r>
              <w:rPr>
                <w:i/>
              </w:rPr>
              <w:t>Restraining Orders Amendment Regulations (No. 2) 2017</w:t>
            </w:r>
          </w:p>
        </w:tc>
        <w:tc>
          <w:tcPr>
            <w:tcW w:w="1276" w:type="dxa"/>
            <w:shd w:val="clear" w:color="auto" w:fill="auto"/>
          </w:tcPr>
          <w:p>
            <w:pPr>
              <w:pStyle w:val="nTable"/>
              <w:keepNext/>
              <w:spacing w:before="60" w:after="60"/>
            </w:pPr>
            <w:r>
              <w:t>24 Nov 2017 p. 5678</w:t>
            </w:r>
            <w:r>
              <w:noBreakHyphen/>
              <w:t>9</w:t>
            </w:r>
          </w:p>
        </w:tc>
        <w:tc>
          <w:tcPr>
            <w:tcW w:w="2693" w:type="dxa"/>
            <w:shd w:val="clear" w:color="auto" w:fill="auto"/>
          </w:tcPr>
          <w:p>
            <w:pPr>
              <w:pStyle w:val="nTable"/>
              <w:keepNext/>
              <w:spacing w:before="60" w:after="60"/>
              <w:rPr>
                <w:snapToGrid w:val="0"/>
              </w:rPr>
            </w:pPr>
            <w:r>
              <w:rPr>
                <w:snapToGrid w:val="0"/>
              </w:rPr>
              <w:t>r. 1 and 2: 24 Nov 2017 (see r. 2(a));</w:t>
            </w:r>
            <w:r>
              <w:rPr>
                <w:snapToGrid w:val="0"/>
              </w:rPr>
              <w:br/>
              <w:t xml:space="preserve">Regulations other than r. 1 and 2: 25 Nov 2017 </w:t>
            </w:r>
            <w:r>
              <w:t xml:space="preserve">(see r. 2(b) and </w:t>
            </w:r>
            <w:r>
              <w:rPr>
                <w:i/>
              </w:rPr>
              <w:t>Gazette</w:t>
            </w:r>
            <w:r>
              <w:t xml:space="preserve"> 24 Nov 2017 p. 5671)</w:t>
            </w:r>
          </w:p>
        </w:tc>
      </w:tr>
    </w:tbl>
    <w:p>
      <w:pPr>
        <w:pStyle w:val="nTable"/>
        <w:keepNext/>
        <w:spacing w:before="60" w:after="60"/>
        <w:rPr>
          <w:del w:id="208" w:author="Master Repository Process" w:date="2021-09-12T11:46:00Z"/>
          <w:i/>
        </w:rPr>
      </w:pPr>
      <w:del w:id="209" w:author="Master Repository Process" w:date="2021-09-12T11:46: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210" w:author="Master Repository Process" w:date="2021-09-12T11:46:00Z"/>
        </w:trPr>
        <w:tc>
          <w:tcPr>
            <w:tcW w:w="3118" w:type="dxa"/>
            <w:tcBorders>
              <w:bottom w:val="single" w:sz="8" w:space="0" w:color="auto"/>
            </w:tcBorders>
            <w:shd w:val="clear" w:color="auto" w:fill="auto"/>
          </w:tcPr>
          <w:p>
            <w:pPr>
              <w:pStyle w:val="nTable"/>
              <w:keepNext/>
              <w:spacing w:before="60" w:after="60"/>
              <w:rPr>
                <w:ins w:id="211" w:author="Master Repository Process" w:date="2021-09-12T11:46:00Z"/>
                <w:i/>
              </w:rPr>
            </w:pPr>
            <w:ins w:id="212" w:author="Master Repository Process" w:date="2021-09-12T11:46:00Z">
              <w:r>
                <w:rPr>
                  <w:i/>
                </w:rPr>
                <w:t>Restraining Orders Amendment Regulations 2020</w:t>
              </w:r>
            </w:ins>
          </w:p>
        </w:tc>
        <w:tc>
          <w:tcPr>
            <w:tcW w:w="1276" w:type="dxa"/>
            <w:tcBorders>
              <w:bottom w:val="single" w:sz="8" w:space="0" w:color="auto"/>
            </w:tcBorders>
            <w:shd w:val="clear" w:color="auto" w:fill="auto"/>
          </w:tcPr>
          <w:p>
            <w:pPr>
              <w:pStyle w:val="nTable"/>
              <w:keepNext/>
              <w:spacing w:before="60" w:after="60"/>
              <w:rPr>
                <w:ins w:id="213" w:author="Master Repository Process" w:date="2021-09-12T11:46:00Z"/>
              </w:rPr>
            </w:pPr>
            <w:ins w:id="214" w:author="Master Repository Process" w:date="2021-09-12T11:46:00Z">
              <w:r>
                <w:t>SL 2020/63 22 May 2020</w:t>
              </w:r>
            </w:ins>
          </w:p>
        </w:tc>
        <w:tc>
          <w:tcPr>
            <w:tcW w:w="2693" w:type="dxa"/>
            <w:tcBorders>
              <w:bottom w:val="single" w:sz="8" w:space="0" w:color="auto"/>
            </w:tcBorders>
            <w:shd w:val="clear" w:color="auto" w:fill="auto"/>
          </w:tcPr>
          <w:p>
            <w:pPr>
              <w:pStyle w:val="nTable"/>
              <w:keepNext/>
              <w:spacing w:before="60" w:after="60"/>
              <w:rPr>
                <w:ins w:id="215" w:author="Master Repository Process" w:date="2021-09-12T11:46:00Z"/>
                <w:snapToGrid w:val="0"/>
              </w:rPr>
            </w:pPr>
            <w:ins w:id="216" w:author="Master Repository Process" w:date="2021-09-12T11:46:00Z">
              <w:r>
                <w:rPr>
                  <w:snapToGrid w:val="0"/>
                </w:rPr>
                <w:t xml:space="preserve">r. 1 and 2: </w:t>
              </w:r>
              <w:r>
                <w:t>22 May 2020</w:t>
              </w:r>
              <w:r>
                <w:rPr>
                  <w:snapToGrid w:val="0"/>
                </w:rPr>
                <w:t xml:space="preserve"> (see r. 2(a));</w:t>
              </w:r>
              <w:r>
                <w:rPr>
                  <w:snapToGrid w:val="0"/>
                </w:rPr>
                <w:br/>
                <w:t xml:space="preserve">Regulations other than r. 1 and 2: </w:t>
              </w:r>
              <w:r>
                <w:t>23 May 2020</w:t>
              </w:r>
              <w:r>
                <w:rPr>
                  <w:snapToGrid w:val="0"/>
                </w:rPr>
                <w:t xml:space="preserve"> </w:t>
              </w:r>
              <w:r>
                <w:t>(see r. 2(b))</w:t>
              </w:r>
            </w:ins>
          </w:p>
        </w:tc>
      </w:tr>
    </w:tbl>
    <w:p>
      <w:pPr>
        <w:pStyle w:val="nHeading3"/>
        <w:rPr>
          <w:ins w:id="217" w:author="Master Repository Process" w:date="2021-09-12T11:46:00Z"/>
        </w:rPr>
      </w:pPr>
      <w:bookmarkStart w:id="218" w:name="_Toc41036007"/>
      <w:ins w:id="219" w:author="Master Repository Process" w:date="2021-09-12T11:46:00Z">
        <w:r>
          <w:t>Other notes</w:t>
        </w:r>
        <w:bookmarkEnd w:id="218"/>
      </w:ins>
    </w:p>
    <w:p>
      <w:pPr>
        <w:pStyle w:val="nSubsection"/>
      </w:pPr>
      <w:ins w:id="220" w:author="Master Repository Process" w:date="2021-09-12T11:46:00Z">
        <w:r>
          <w:rPr>
            <w:vertAlign w:val="superscript"/>
          </w:rPr>
          <w:t>1</w:t>
        </w:r>
      </w:ins>
      <w:r>
        <w:tab/>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pPr>
        <w:pStyle w:val="nSubsection"/>
        <w:rPr>
          <w:iCs/>
        </w:rPr>
      </w:pPr>
      <w:del w:id="221" w:author="Master Repository Process" w:date="2021-09-12T11:46:00Z">
        <w:r>
          <w:rPr>
            <w:vertAlign w:val="superscript"/>
          </w:rPr>
          <w:delText>3</w:delText>
        </w:r>
      </w:del>
      <w:ins w:id="222" w:author="Master Repository Process" w:date="2021-09-12T11:46:00Z">
        <w:r>
          <w:rPr>
            <w:vertAlign w:val="superscript"/>
          </w:rPr>
          <w:t>2</w:t>
        </w:r>
      </w:ins>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sz w:val="19"/>
        </w:rPr>
        <w:t>Criminal Procedure and Appeals (Consequential and Other Provisions) Act 2004</w:t>
      </w:r>
      <w:r>
        <w:rPr>
          <w:iCs/>
          <w:snapToGrid w:val="0"/>
          <w:sz w:val="19"/>
        </w:rPr>
        <w:t xml:space="preserve"> s. 82. The reference was changed under the </w:t>
      </w:r>
      <w:r>
        <w:rPr>
          <w:i/>
          <w:snapToGrid w:val="0"/>
          <w:sz w:val="19"/>
        </w:rPr>
        <w:t>Reprints Act 1984</w:t>
      </w:r>
      <w:r>
        <w:rPr>
          <w:iCs/>
          <w:snapToGrid w:val="0"/>
          <w:sz w:val="19"/>
        </w:rPr>
        <w:t xml:space="preserve"> s. 7(3)(gb).</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195"/>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4" w:name="Coversheet"/>
    <w:bookmarkEnd w:id="2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r>
  </w:tbl>
  <w:p>
    <w:pPr>
      <w:pStyle w:val="Header"/>
      <w:pBdr>
        <w:top w:val="single" w:sz="4" w:space="1" w:color="auto"/>
      </w:pBdr>
    </w:pPr>
    <w:bookmarkStart w:id="183" w:name="Schedule"/>
    <w:bookmarkEnd w:id="1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4EF1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1877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5C3D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700A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AA8D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FA5E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A8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7CCA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AC8C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6C9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63EC73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21152320"/>
    <w:docVar w:name="WAFER_20140129115219" w:val="RemoveTocBookmarks,RemoveUnusedBookmarks,RemoveLanguageTags,UsedStyles,ResetPageSize,UpdateArrangement"/>
    <w:docVar w:name="WAFER_20140129115219_GUID" w:val="c85c243e-6e0d-4f03-85a9-74b37c454768"/>
    <w:docVar w:name="WAFER_20140129130419" w:val="RemoveTocBookmarks,RunningHeaders"/>
    <w:docVar w:name="WAFER_20140129130419_GUID" w:val="687825a1-6468-45e8-82b3-92f8ecd5159d"/>
    <w:docVar w:name="WAFER_20150720160749" w:val="ResetPageSize,UpdateArrangement,UpdateNTable"/>
    <w:docVar w:name="WAFER_20150720160749_GUID" w:val="0101eb99-3a2d-432e-8154-eaeb44aba38b"/>
    <w:docVar w:name="WAFER_20151112113949" w:val="UpdateStyles,UsedStyles"/>
    <w:docVar w:name="WAFER_20151112113949_GUID" w:val="d34ef3c8-37d0-4820-8c5e-a995818c9a99"/>
    <w:docVar w:name="WAFER_20151201111301" w:val="RemoveTrackChanges"/>
    <w:docVar w:name="WAFER_20151201111301_GUID" w:val="ef826719-2e50-4779-930a-d27d3b06bd55"/>
    <w:docVar w:name="WAFER_202005211523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52320_GUID" w:val="f90e4ad3-fea6-48be-9493-ff15577c49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07C968-1134-4EF7-97CD-8ADABC99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5723</Words>
  <Characters>26728</Characters>
  <Application>Microsoft Office Word</Application>
  <DocSecurity>0</DocSecurity>
  <Lines>763</Lines>
  <Paragraphs>432</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03-d0-01 - 03-e0-00</dc:title>
  <dc:subject/>
  <dc:creator/>
  <cp:keywords/>
  <dc:description/>
  <cp:lastModifiedBy>Master Repository Process</cp:lastModifiedBy>
  <cp:revision>2</cp:revision>
  <cp:lastPrinted>2017-06-27T06:08:00Z</cp:lastPrinted>
  <dcterms:created xsi:type="dcterms:W3CDTF">2021-09-12T03:46:00Z</dcterms:created>
  <dcterms:modified xsi:type="dcterms:W3CDTF">2021-09-12T03:46:00Z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DocumentType">
    <vt:lpwstr>Reg</vt:lpwstr>
  </property>
  <property fmtid="{D5CDD505-2E9C-101B-9397-08002B2CF9AE}" pid="4" name="OwlsUID">
    <vt:i4>4745</vt:i4>
  </property>
  <property fmtid="{D5CDD505-2E9C-101B-9397-08002B2CF9AE}" pid="5" name="ReprintNo">
    <vt:lpwstr>3</vt:lpwstr>
  </property>
  <property fmtid="{D5CDD505-2E9C-101B-9397-08002B2CF9AE}" pid="6" name="ReprintedAsAt">
    <vt:filetime>2012-07-05T16:00:00Z</vt:filetime>
  </property>
  <property fmtid="{D5CDD505-2E9C-101B-9397-08002B2CF9AE}" pid="7" name="CommencementDate">
    <vt:lpwstr>20200523</vt:lpwstr>
  </property>
  <property fmtid="{D5CDD505-2E9C-101B-9397-08002B2CF9AE}" pid="8" name="FromSuffix">
    <vt:lpwstr>03-d0-01</vt:lpwstr>
  </property>
  <property fmtid="{D5CDD505-2E9C-101B-9397-08002B2CF9AE}" pid="9" name="FromAsAtDate">
    <vt:lpwstr>25 Nov 2017</vt:lpwstr>
  </property>
  <property fmtid="{D5CDD505-2E9C-101B-9397-08002B2CF9AE}" pid="10" name="ToSuffix">
    <vt:lpwstr>03-e0-00</vt:lpwstr>
  </property>
  <property fmtid="{D5CDD505-2E9C-101B-9397-08002B2CF9AE}" pid="11" name="ToAsAtDate">
    <vt:lpwstr>23 May 2020</vt:lpwstr>
  </property>
</Properties>
</file>