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2020</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01 Jun 2020</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1473519"/>
      <w:bookmarkStart w:id="2" w:name="_Toc41487414"/>
      <w:bookmarkStart w:id="3" w:name="_Toc41551868"/>
      <w:bookmarkStart w:id="4" w:name="_Toc41552620"/>
      <w:bookmarkStart w:id="5" w:name="_Toc41638678"/>
      <w:bookmarkStart w:id="6" w:name="_Toc39500980"/>
      <w:bookmarkStart w:id="7" w:name="_Toc39566638"/>
      <w:bookmarkStart w:id="8" w:name="_Toc39575178"/>
      <w:bookmarkStart w:id="9" w:name="_Toc4163841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spacing w:before="240"/>
      </w:pPr>
      <w:bookmarkStart w:id="11" w:name="_Toc41638679"/>
      <w:bookmarkStart w:id="12" w:name="_Toc41638412"/>
      <w:r>
        <w:rPr>
          <w:rStyle w:val="CharSectno"/>
        </w:rPr>
        <w:t>1</w:t>
      </w:r>
      <w:r>
        <w:t>.</w:t>
      </w:r>
      <w:r>
        <w:tab/>
        <w:t>Citation</w:t>
      </w:r>
      <w:bookmarkEnd w:id="11"/>
      <w:bookmarkEnd w:id="12"/>
    </w:p>
    <w:p>
      <w:pPr>
        <w:pStyle w:val="Subsection"/>
      </w:pPr>
      <w:r>
        <w:tab/>
      </w:r>
      <w:r>
        <w:tab/>
        <w:t xml:space="preserve">These rules are the </w:t>
      </w:r>
      <w:r>
        <w:rPr>
          <w:i/>
        </w:rPr>
        <w:t>Magistrates Court (Civil Proceedings) Rules 2005</w:t>
      </w:r>
      <w:r>
        <w:t>.</w:t>
      </w:r>
    </w:p>
    <w:p>
      <w:pPr>
        <w:pStyle w:val="Heading5"/>
        <w:spacing w:before="240"/>
      </w:pPr>
      <w:bookmarkStart w:id="13" w:name="_Toc41638680"/>
      <w:bookmarkStart w:id="14" w:name="_Toc41638413"/>
      <w:r>
        <w:rPr>
          <w:rStyle w:val="CharSectno"/>
        </w:rPr>
        <w:t>2</w:t>
      </w:r>
      <w:r>
        <w:t>.</w:t>
      </w:r>
      <w:r>
        <w:tab/>
        <w:t>Commencement</w:t>
      </w:r>
      <w:bookmarkEnd w:id="13"/>
      <w:bookmarkEnd w:id="14"/>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5" w:name="_Toc41638681"/>
      <w:bookmarkStart w:id="16" w:name="_Toc41638414"/>
      <w:r>
        <w:rPr>
          <w:rStyle w:val="CharSectno"/>
        </w:rPr>
        <w:t>3</w:t>
      </w:r>
      <w:r>
        <w:t>.</w:t>
      </w:r>
      <w:r>
        <w:tab/>
        <w:t xml:space="preserve">These rules to be read with </w:t>
      </w:r>
      <w:r>
        <w:rPr>
          <w:i/>
          <w:iCs/>
        </w:rPr>
        <w:t>Magistrates Court (General) Rules 2005</w:t>
      </w:r>
      <w:bookmarkEnd w:id="15"/>
      <w:bookmarkEnd w:id="16"/>
    </w:p>
    <w:p>
      <w:pPr>
        <w:pStyle w:val="Subsection"/>
      </w:pPr>
      <w:r>
        <w:tab/>
      </w:r>
      <w:r>
        <w:tab/>
        <w:t xml:space="preserve">These rules are to be read with the </w:t>
      </w:r>
      <w:r>
        <w:rPr>
          <w:i/>
          <w:iCs/>
        </w:rPr>
        <w:t>Magistrates Court (General) Rules 2005</w:t>
      </w:r>
      <w:r>
        <w:t>.</w:t>
      </w:r>
    </w:p>
    <w:p>
      <w:pPr>
        <w:pStyle w:val="Heading5"/>
        <w:spacing w:before="240"/>
      </w:pPr>
      <w:bookmarkStart w:id="17" w:name="_Toc41638682"/>
      <w:bookmarkStart w:id="18" w:name="_Toc41638415"/>
      <w:r>
        <w:rPr>
          <w:rStyle w:val="CharSectno"/>
        </w:rPr>
        <w:t>4</w:t>
      </w:r>
      <w:r>
        <w:t>.</w:t>
      </w:r>
      <w:r>
        <w:tab/>
        <w:t>Terms used</w:t>
      </w:r>
      <w:bookmarkEnd w:id="17"/>
      <w:bookmarkEnd w:id="18"/>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rPr>
          <w:del w:id="19" w:author="Master Repository Process" w:date="2021-08-29T11:49:00Z"/>
        </w:rPr>
      </w:pPr>
      <w:del w:id="20" w:author="Master Repository Process" w:date="2021-08-29T11:49:00Z">
        <w:r>
          <w:rPr>
            <w:b/>
          </w:rPr>
          <w:tab/>
        </w:r>
        <w:r>
          <w:rPr>
            <w:rStyle w:val="CharDefText"/>
          </w:rPr>
          <w:delText>listing conference</w:delText>
        </w:r>
        <w:r>
          <w:delText xml:space="preserve"> means a conference held under Part 10;</w:delText>
        </w:r>
      </w:del>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rPr>
          <w:ins w:id="21" w:author="Master Repository Process" w:date="2021-08-29T11:49:00Z"/>
        </w:rPr>
      </w:pPr>
      <w:ins w:id="22" w:author="Master Repository Process" w:date="2021-08-29T11:49:00Z">
        <w:r>
          <w:tab/>
        </w:r>
        <w:r>
          <w:rPr>
            <w:rStyle w:val="CharDefText"/>
          </w:rPr>
          <w:t>status conference</w:t>
        </w:r>
        <w:r>
          <w:t xml:space="preserve"> means a conference held under Part 10;</w:t>
        </w:r>
      </w:ins>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w:t>
      </w:r>
      <w:ins w:id="23" w:author="Master Repository Process" w:date="2021-08-29T11:49:00Z">
        <w:r>
          <w:t>4; SL 2020/67 r. </w:t>
        </w:r>
      </w:ins>
      <w:r>
        <w:t>4.]</w:t>
      </w:r>
    </w:p>
    <w:p>
      <w:pPr>
        <w:pStyle w:val="Heading5"/>
      </w:pPr>
      <w:bookmarkStart w:id="24" w:name="_Toc41638683"/>
      <w:bookmarkStart w:id="25" w:name="_Toc41638416"/>
      <w:r>
        <w:rPr>
          <w:rStyle w:val="CharSectno"/>
        </w:rPr>
        <w:t>5</w:t>
      </w:r>
      <w:r>
        <w:t>.</w:t>
      </w:r>
      <w:r>
        <w:tab/>
        <w:t>Application of these rules</w:t>
      </w:r>
      <w:bookmarkEnd w:id="24"/>
      <w:bookmarkEnd w:id="25"/>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26" w:name="_Toc41473525"/>
      <w:bookmarkStart w:id="27" w:name="_Toc41487420"/>
      <w:bookmarkStart w:id="28" w:name="_Toc41551874"/>
      <w:bookmarkStart w:id="29" w:name="_Toc41552626"/>
      <w:bookmarkStart w:id="30" w:name="_Toc41638684"/>
      <w:bookmarkStart w:id="31" w:name="_Toc39500986"/>
      <w:bookmarkStart w:id="32" w:name="_Toc39566644"/>
      <w:bookmarkStart w:id="33" w:name="_Toc39575184"/>
      <w:bookmarkStart w:id="34" w:name="_Toc41638417"/>
      <w:r>
        <w:rPr>
          <w:rStyle w:val="CharPartNo"/>
        </w:rPr>
        <w:t>Part 2</w:t>
      </w:r>
      <w:r>
        <w:t> — </w:t>
      </w:r>
      <w:r>
        <w:rPr>
          <w:rStyle w:val="CharPartText"/>
        </w:rPr>
        <w:t>Claims generally</w:t>
      </w:r>
      <w:bookmarkEnd w:id="26"/>
      <w:bookmarkEnd w:id="27"/>
      <w:bookmarkEnd w:id="28"/>
      <w:bookmarkEnd w:id="29"/>
      <w:bookmarkEnd w:id="30"/>
      <w:bookmarkEnd w:id="31"/>
      <w:bookmarkEnd w:id="32"/>
      <w:bookmarkEnd w:id="33"/>
      <w:bookmarkEnd w:id="34"/>
    </w:p>
    <w:p>
      <w:pPr>
        <w:pStyle w:val="Heading5"/>
      </w:pPr>
      <w:bookmarkStart w:id="35" w:name="_Toc41638685"/>
      <w:bookmarkStart w:id="36" w:name="_Toc41638418"/>
      <w:r>
        <w:rPr>
          <w:rStyle w:val="CharSectno"/>
        </w:rPr>
        <w:t>6</w:t>
      </w:r>
      <w:r>
        <w:t>.</w:t>
      </w:r>
      <w:r>
        <w:tab/>
        <w:t>Application of this Part</w:t>
      </w:r>
      <w:bookmarkEnd w:id="35"/>
      <w:bookmarkEnd w:id="36"/>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37" w:name="_Toc41638686"/>
      <w:bookmarkStart w:id="38" w:name="_Toc41638419"/>
      <w:r>
        <w:rPr>
          <w:rStyle w:val="CharSectno"/>
        </w:rPr>
        <w:t>7</w:t>
      </w:r>
      <w:r>
        <w:t>.</w:t>
      </w:r>
      <w:r>
        <w:tab/>
        <w:t>Originating claim, making and serving</w:t>
      </w:r>
      <w:bookmarkEnd w:id="37"/>
      <w:bookmarkEnd w:id="38"/>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39" w:name="_Toc41638687"/>
      <w:bookmarkStart w:id="40" w:name="_Toc41638420"/>
      <w:r>
        <w:rPr>
          <w:rStyle w:val="CharSectno"/>
        </w:rPr>
        <w:t>7A</w:t>
      </w:r>
      <w:r>
        <w:t>.</w:t>
      </w:r>
      <w:r>
        <w:tab/>
        <w:t>Statement of claim</w:t>
      </w:r>
      <w:bookmarkEnd w:id="39"/>
      <w:bookmarkEnd w:id="40"/>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w:t>
      </w:r>
      <w:del w:id="41" w:author="Master Repository Process" w:date="2021-08-29T11:49:00Z">
        <w:r>
          <w:delText xml:space="preserve"> counterclaim or</w:delText>
        </w:r>
      </w:del>
      <w:r>
        <w:t xml:space="preserve">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r>
      <w:del w:id="42" w:author="Master Repository Process" w:date="2021-08-29T11:49:00Z">
        <w:r>
          <w:delText xml:space="preserve">a summary of </w:delText>
        </w:r>
      </w:del>
      <w:r>
        <w:t xml:space="preserve">the </w:t>
      </w:r>
      <w:ins w:id="43" w:author="Master Repository Process" w:date="2021-08-29T11:49:00Z">
        <w:r>
          <w:t xml:space="preserve">material </w:t>
        </w:r>
      </w:ins>
      <w:r>
        <w:t>facts relevant to the claim;</w:t>
      </w:r>
    </w:p>
    <w:p>
      <w:pPr>
        <w:pStyle w:val="Indenta"/>
        <w:rPr>
          <w:ins w:id="44" w:author="Master Repository Process" w:date="2021-08-29T11:49:00Z"/>
        </w:rPr>
      </w:pPr>
      <w:r>
        <w:tab/>
        <w:t>(b)</w:t>
      </w:r>
      <w:r>
        <w:tab/>
      </w:r>
      <w:ins w:id="45" w:author="Master Repository Process" w:date="2021-08-29T11:49:00Z">
        <w:r>
          <w:t>any necessary particulars of the claim;</w:t>
        </w:r>
      </w:ins>
    </w:p>
    <w:p>
      <w:pPr>
        <w:pStyle w:val="Indenta"/>
      </w:pPr>
      <w:ins w:id="46" w:author="Master Repository Process" w:date="2021-08-29T11:49:00Z">
        <w:r>
          <w:tab/>
          <w:t>(c)</w:t>
        </w:r>
        <w:r>
          <w:tab/>
        </w:r>
      </w:ins>
      <w:r>
        <w:t>the legal basis of the claim;</w:t>
      </w:r>
    </w:p>
    <w:p>
      <w:pPr>
        <w:pStyle w:val="Indenta"/>
        <w:rPr>
          <w:del w:id="47" w:author="Master Repository Process" w:date="2021-08-29T11:49:00Z"/>
        </w:rPr>
      </w:pPr>
      <w:del w:id="48" w:author="Master Repository Process" w:date="2021-08-29T11:49:00Z">
        <w:r>
          <w:tab/>
          <w:delText>(c)</w:delText>
        </w:r>
        <w:r>
          <w:tab/>
          <w:delText>the basic contentions of the party;</w:delText>
        </w:r>
      </w:del>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rPr>
          <w:ins w:id="49" w:author="Master Repository Process" w:date="2021-08-29T11:49:00Z"/>
        </w:rPr>
      </w:pPr>
      <w:ins w:id="50" w:author="Master Repository Process" w:date="2021-08-29T11:49:00Z">
        <w:r>
          <w:tab/>
          <w:t>(3A)</w:t>
        </w:r>
        <w:r>
          <w:tab/>
          <w:t>A statement of claim is not to include evidence.</w:t>
        </w:r>
      </w:ins>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w:t>
      </w:r>
      <w:ins w:id="51" w:author="Master Repository Process" w:date="2021-08-29T11:49:00Z">
        <w:r>
          <w:t>; SL 2020/67 r. 5</w:t>
        </w:r>
      </w:ins>
      <w:r>
        <w:t>.]</w:t>
      </w:r>
    </w:p>
    <w:p>
      <w:pPr>
        <w:pStyle w:val="Heading5"/>
      </w:pPr>
      <w:bookmarkStart w:id="52" w:name="_Toc41638688"/>
      <w:bookmarkStart w:id="53" w:name="_Toc41638421"/>
      <w:r>
        <w:rPr>
          <w:rStyle w:val="CharSectno"/>
        </w:rPr>
        <w:t>8</w:t>
      </w:r>
      <w:r>
        <w:t>.</w:t>
      </w:r>
      <w:r>
        <w:tab/>
      </w:r>
      <w:del w:id="54" w:author="Master Repository Process" w:date="2021-08-29T11:49:00Z">
        <w:r>
          <w:delText>Counterclaim or</w:delText>
        </w:r>
      </w:del>
      <w:ins w:id="55" w:author="Master Repository Process" w:date="2021-08-29T11:49:00Z">
        <w:r>
          <w:t>Making and serving</w:t>
        </w:r>
      </w:ins>
      <w:r>
        <w:t xml:space="preserve"> third party claim</w:t>
      </w:r>
      <w:bookmarkEnd w:id="52"/>
      <w:del w:id="56" w:author="Master Repository Process" w:date="2021-08-29T11:49:00Z">
        <w:r>
          <w:delText>, making and serving</w:delText>
        </w:r>
      </w:del>
      <w:bookmarkEnd w:id="53"/>
    </w:p>
    <w:p>
      <w:pPr>
        <w:pStyle w:val="Subsection"/>
      </w:pPr>
      <w:r>
        <w:tab/>
        <w:t>(1)</w:t>
      </w:r>
      <w:r>
        <w:tab/>
        <w:t xml:space="preserve">If a party wants to make a </w:t>
      </w:r>
      <w:del w:id="57" w:author="Master Repository Process" w:date="2021-08-29T11:49:00Z">
        <w:r>
          <w:delText xml:space="preserve">counterclaim or </w:delText>
        </w:r>
      </w:del>
      <w:r>
        <w:t>third party claim the party must lodge the approved form.</w:t>
      </w:r>
    </w:p>
    <w:p>
      <w:pPr>
        <w:pStyle w:val="Subsection"/>
      </w:pPr>
      <w:r>
        <w:tab/>
        <w:t>(2)</w:t>
      </w:r>
      <w:r>
        <w:tab/>
        <w:t>The</w:t>
      </w:r>
      <w:ins w:id="58" w:author="Master Repository Process" w:date="2021-08-29T11:49:00Z">
        <w:r>
          <w:t xml:space="preserve"> third party</w:t>
        </w:r>
      </w:ins>
      <w:r>
        <w:t xml:space="preserv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w:t>
      </w:r>
      <w:ins w:id="59" w:author="Master Repository Process" w:date="2021-08-29T11:49:00Z">
        <w:r>
          <w:t xml:space="preserve"> third party</w:t>
        </w:r>
      </w:ins>
      <w:r>
        <w:t xml:space="preserv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rPr>
          <w:del w:id="60" w:author="Master Repository Process" w:date="2021-08-29T11:49:00Z"/>
        </w:rPr>
      </w:pPr>
      <w:del w:id="61" w:author="Master Repository Process" w:date="2021-08-29T11:49:00Z">
        <w:r>
          <w:tab/>
          <w:delText>(5)</w:delText>
        </w:r>
        <w:r>
          <w:tab/>
          <w:delText>Unless the contrary intention appears, the provisions in these rules that apply to claims apply also to counterclaims and third party claims.</w:delText>
        </w:r>
      </w:del>
    </w:p>
    <w:p>
      <w:pPr>
        <w:pStyle w:val="Ednotesubsection"/>
        <w:rPr>
          <w:ins w:id="62" w:author="Master Repository Process" w:date="2021-08-29T11:49:00Z"/>
        </w:rPr>
      </w:pPr>
      <w:ins w:id="63" w:author="Master Repository Process" w:date="2021-08-29T11:49:00Z">
        <w:r>
          <w:tab/>
          <w:t>[(5)</w:t>
        </w:r>
        <w:r>
          <w:tab/>
          <w:t>deleted]</w:t>
        </w:r>
      </w:ins>
    </w:p>
    <w:p>
      <w:pPr>
        <w:pStyle w:val="Footnotesection"/>
      </w:pPr>
      <w:r>
        <w:tab/>
        <w:t>[Rule 8 inserted: Gazette 3 Jun 2008 p. 2124; amended: Gazette 2 Jul 2010 p. 3192; 30 Sep 2016 p. 4178</w:t>
      </w:r>
      <w:ins w:id="64" w:author="Master Repository Process" w:date="2021-08-29T11:49:00Z">
        <w:r>
          <w:t>; SL 2020/67 r. 6</w:t>
        </w:r>
      </w:ins>
      <w:r>
        <w:t>.]</w:t>
      </w:r>
    </w:p>
    <w:p>
      <w:pPr>
        <w:pStyle w:val="Heading5"/>
      </w:pPr>
      <w:bookmarkStart w:id="65" w:name="_Toc41638689"/>
      <w:bookmarkStart w:id="66" w:name="_Toc41638422"/>
      <w:r>
        <w:rPr>
          <w:rStyle w:val="CharSectno"/>
        </w:rPr>
        <w:t>9</w:t>
      </w:r>
      <w:r>
        <w:t>.</w:t>
      </w:r>
      <w:r>
        <w:tab/>
        <w:t>Response to claim</w:t>
      </w:r>
      <w:bookmarkEnd w:id="65"/>
      <w:bookmarkEnd w:id="66"/>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67" w:name="_Toc41638423"/>
      <w:bookmarkStart w:id="68" w:name="_Toc41638690"/>
      <w:r>
        <w:rPr>
          <w:rStyle w:val="CharSectno"/>
        </w:rPr>
        <w:t>10</w:t>
      </w:r>
      <w:r>
        <w:t>.</w:t>
      </w:r>
      <w:r>
        <w:tab/>
        <w:t>Statement of defence</w:t>
      </w:r>
      <w:bookmarkEnd w:id="67"/>
      <w:ins w:id="69" w:author="Master Repository Process" w:date="2021-08-29T11:49:00Z">
        <w:r>
          <w:t xml:space="preserve"> or statement of defence and counterclaim</w:t>
        </w:r>
      </w:ins>
      <w:bookmarkEnd w:id="68"/>
    </w:p>
    <w:p>
      <w:pPr>
        <w:pStyle w:val="Subsection"/>
      </w:pPr>
      <w:r>
        <w:tab/>
        <w:t>(1)</w:t>
      </w:r>
      <w:r>
        <w:tab/>
        <w:t xml:space="preserve">Unless the party has lodged and served its statement of defence with its response under rule 9, the party must lodge and serve its statement of defence </w:t>
      </w:r>
      <w:ins w:id="70" w:author="Master Repository Process" w:date="2021-08-29T11:49:00Z">
        <w:r>
          <w:t xml:space="preserve">or, if the party wants to make a counterclaim, its statement of defence and counterclaim, </w:t>
        </w:r>
      </w:ins>
      <w:r>
        <w:t>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rPr>
          <w:ins w:id="71" w:author="Master Repository Process" w:date="2021-08-29T11:49:00Z"/>
        </w:rPr>
      </w:pPr>
      <w:ins w:id="72" w:author="Master Repository Process" w:date="2021-08-29T11:49:00Z">
        <w:r>
          <w:tab/>
          <w:t>(2A)</w:t>
        </w:r>
        <w:r>
          <w:tab/>
          <w:t>A statement of defence and counterclaim must be in the approved form.</w:t>
        </w:r>
      </w:ins>
    </w:p>
    <w:p>
      <w:pPr>
        <w:pStyle w:val="Subsection"/>
        <w:keepNext/>
      </w:pPr>
      <w:r>
        <w:tab/>
        <w:t>(3)</w:t>
      </w:r>
      <w:r>
        <w:tab/>
        <w:t xml:space="preserve">Unless otherwise ordered by the registrar under rule 41B, the statement of defence </w:t>
      </w:r>
      <w:ins w:id="73" w:author="Master Repository Process" w:date="2021-08-29T11:49:00Z">
        <w:r>
          <w:t xml:space="preserve">(including the statement of defence in a statement of defence and counterclaim) </w:t>
        </w:r>
      </w:ins>
      <w:r>
        <w:t xml:space="preserve">must contain all of the following — </w:t>
      </w:r>
    </w:p>
    <w:p>
      <w:pPr>
        <w:pStyle w:val="Indenta"/>
      </w:pPr>
      <w:r>
        <w:tab/>
        <w:t>(a)</w:t>
      </w:r>
      <w:r>
        <w:tab/>
      </w:r>
      <w:del w:id="74" w:author="Master Repository Process" w:date="2021-08-29T11:49:00Z">
        <w:r>
          <w:delText xml:space="preserve">a summary of </w:delText>
        </w:r>
      </w:del>
      <w:r>
        <w:t xml:space="preserve">the </w:t>
      </w:r>
      <w:ins w:id="75" w:author="Master Repository Process" w:date="2021-08-29T11:49:00Z">
        <w:r>
          <w:t xml:space="preserve">material </w:t>
        </w:r>
      </w:ins>
      <w:r>
        <w:t>facts relevant to the defence;</w:t>
      </w:r>
    </w:p>
    <w:p>
      <w:pPr>
        <w:pStyle w:val="Indenta"/>
        <w:rPr>
          <w:ins w:id="76" w:author="Master Repository Process" w:date="2021-08-29T11:49:00Z"/>
        </w:rPr>
      </w:pPr>
      <w:r>
        <w:tab/>
        <w:t>(b)</w:t>
      </w:r>
      <w:r>
        <w:tab/>
      </w:r>
      <w:ins w:id="77" w:author="Master Repository Process" w:date="2021-08-29T11:49:00Z">
        <w:r>
          <w:t>any necessary particulars of the defence;</w:t>
        </w:r>
      </w:ins>
    </w:p>
    <w:p>
      <w:pPr>
        <w:pStyle w:val="Indenta"/>
      </w:pPr>
      <w:ins w:id="78" w:author="Master Repository Process" w:date="2021-08-29T11:49:00Z">
        <w:r>
          <w:tab/>
          <w:t>(c)</w:t>
        </w:r>
        <w:r>
          <w:tab/>
        </w:r>
      </w:ins>
      <w:r>
        <w:t>the legal basis of the defence;</w:t>
      </w:r>
    </w:p>
    <w:p>
      <w:pPr>
        <w:pStyle w:val="Indenta"/>
        <w:rPr>
          <w:del w:id="79" w:author="Master Repository Process" w:date="2021-08-29T11:49:00Z"/>
        </w:rPr>
      </w:pPr>
      <w:del w:id="80" w:author="Master Repository Process" w:date="2021-08-29T11:49:00Z">
        <w:r>
          <w:tab/>
          <w:delText>(c)</w:delText>
        </w:r>
        <w:r>
          <w:tab/>
          <w:delText>the basic contentions of the party;</w:delText>
        </w:r>
      </w:del>
    </w:p>
    <w:p>
      <w:pPr>
        <w:pStyle w:val="Indenta"/>
        <w:keepNext/>
      </w:pPr>
      <w:r>
        <w:tab/>
        <w:t>(d)</w:t>
      </w:r>
      <w:r>
        <w:tab/>
        <w:t>the details of anyone who the party alleges is liable for the claim and the grounds upon which the party so alleges.</w:t>
      </w:r>
    </w:p>
    <w:p>
      <w:pPr>
        <w:pStyle w:val="Subsection"/>
        <w:rPr>
          <w:ins w:id="81" w:author="Master Repository Process" w:date="2021-08-29T11:49:00Z"/>
        </w:rPr>
      </w:pPr>
      <w:ins w:id="82" w:author="Master Repository Process" w:date="2021-08-29T11:49:00Z">
        <w:r>
          <w:tab/>
          <w:t>(4)</w:t>
        </w:r>
        <w:r>
          <w:tab/>
          <w:t>A statement of defence is not to include evidence.</w:t>
        </w:r>
      </w:ins>
    </w:p>
    <w:p>
      <w:pPr>
        <w:pStyle w:val="Subsection"/>
        <w:rPr>
          <w:ins w:id="83" w:author="Master Repository Process" w:date="2021-08-29T11:49:00Z"/>
        </w:rPr>
      </w:pPr>
      <w:ins w:id="84" w:author="Master Repository Process" w:date="2021-08-29T11:49:00Z">
        <w:r>
          <w:tab/>
          <w:t>(5)</w:t>
        </w:r>
        <w:r>
          <w:tab/>
          <w:t xml:space="preserve">A counterclaim in a statement of defence and counterclaim — </w:t>
        </w:r>
      </w:ins>
    </w:p>
    <w:p>
      <w:pPr>
        <w:pStyle w:val="Indenta"/>
        <w:rPr>
          <w:ins w:id="85" w:author="Master Repository Process" w:date="2021-08-29T11:49:00Z"/>
        </w:rPr>
      </w:pPr>
      <w:ins w:id="86" w:author="Master Repository Process" w:date="2021-08-29T11:49:00Z">
        <w:r>
          <w:tab/>
          <w:t>(a)</w:t>
        </w:r>
        <w:r>
          <w:tab/>
          <w:t>must contain all of the items set out in rule 7A(3); and</w:t>
        </w:r>
      </w:ins>
    </w:p>
    <w:p>
      <w:pPr>
        <w:pStyle w:val="Indenta"/>
        <w:rPr>
          <w:ins w:id="87" w:author="Master Repository Process" w:date="2021-08-29T11:49:00Z"/>
        </w:rPr>
      </w:pPr>
      <w:ins w:id="88" w:author="Master Repository Process" w:date="2021-08-29T11:49:00Z">
        <w:r>
          <w:tab/>
          <w:t>(b)</w:t>
        </w:r>
        <w:r>
          <w:tab/>
          <w:t>is not to include evidence.</w:t>
        </w:r>
      </w:ins>
    </w:p>
    <w:p>
      <w:pPr>
        <w:pStyle w:val="Footnotesection"/>
      </w:pPr>
      <w:r>
        <w:tab/>
        <w:t>[Rule 10 inserted: Gazette 30 Sep 2016 p. 4178-9</w:t>
      </w:r>
      <w:ins w:id="89" w:author="Master Repository Process" w:date="2021-08-29T11:49:00Z">
        <w:r>
          <w:t>; amended: SL 2020/67 r. 7</w:t>
        </w:r>
      </w:ins>
      <w:r>
        <w:t>.]</w:t>
      </w:r>
    </w:p>
    <w:p>
      <w:pPr>
        <w:pStyle w:val="Heading5"/>
        <w:rPr>
          <w:ins w:id="90" w:author="Master Repository Process" w:date="2021-08-29T11:49:00Z"/>
        </w:rPr>
      </w:pPr>
      <w:bookmarkStart w:id="91" w:name="_Toc41638691"/>
      <w:bookmarkStart w:id="92" w:name="_Toc41473532"/>
      <w:del w:id="93" w:author="Master Repository Process" w:date="2021-08-29T11:49:00Z">
        <w:r>
          <w:delText>[</w:delText>
        </w:r>
      </w:del>
      <w:r>
        <w:rPr>
          <w:rStyle w:val="CharSectno"/>
        </w:rPr>
        <w:t>11</w:t>
      </w:r>
      <w:del w:id="94" w:author="Master Repository Process" w:date="2021-08-29T11:49:00Z">
        <w:r>
          <w:rPr>
            <w:bCs/>
          </w:rPr>
          <w:delText xml:space="preserve">, </w:delText>
        </w:r>
      </w:del>
      <w:ins w:id="95" w:author="Master Repository Process" w:date="2021-08-29T11:49:00Z">
        <w:r>
          <w:t>.</w:t>
        </w:r>
        <w:r>
          <w:tab/>
          <w:t>Objecting to counterclaim (Act s. 9(4))</w:t>
        </w:r>
        <w:bookmarkEnd w:id="91"/>
      </w:ins>
    </w:p>
    <w:p>
      <w:pPr>
        <w:pStyle w:val="Subsection"/>
        <w:rPr>
          <w:ins w:id="96" w:author="Master Repository Process" w:date="2021-08-29T11:49:00Z"/>
        </w:rPr>
      </w:pPr>
      <w:ins w:id="97" w:author="Master Repository Process" w:date="2021-08-29T11:49:00Z">
        <w:r>
          <w:tab/>
        </w:r>
        <w:r>
          <w:tab/>
          <w:t xml:space="preserve">A party wanting to object under the Act section 9(4) to a counterclaim must — </w:t>
        </w:r>
      </w:ins>
    </w:p>
    <w:p>
      <w:pPr>
        <w:pStyle w:val="Indenta"/>
        <w:rPr>
          <w:ins w:id="98" w:author="Master Repository Process" w:date="2021-08-29T11:49:00Z"/>
        </w:rPr>
      </w:pPr>
      <w:ins w:id="99" w:author="Master Repository Process" w:date="2021-08-29T11:49:00Z">
        <w:r>
          <w:tab/>
          <w:t>(a)</w:t>
        </w:r>
        <w:r>
          <w:tab/>
          <w:t>lodge the objection in the approved form; and</w:t>
        </w:r>
      </w:ins>
    </w:p>
    <w:p>
      <w:pPr>
        <w:pStyle w:val="Indenta"/>
        <w:rPr>
          <w:ins w:id="100" w:author="Master Repository Process" w:date="2021-08-29T11:49:00Z"/>
        </w:rPr>
      </w:pPr>
      <w:ins w:id="101" w:author="Master Repository Process" w:date="2021-08-29T11:49:00Z">
        <w:r>
          <w:tab/>
          <w:t>(b)</w:t>
        </w:r>
        <w:r>
          <w:tab/>
          <w:t>serve it on the other parties.</w:t>
        </w:r>
      </w:ins>
    </w:p>
    <w:p>
      <w:pPr>
        <w:pStyle w:val="Footnotesection"/>
        <w:rPr>
          <w:ins w:id="102" w:author="Master Repository Process" w:date="2021-08-29T11:49:00Z"/>
        </w:rPr>
      </w:pPr>
      <w:ins w:id="103" w:author="Master Repository Process" w:date="2021-08-29T11:49:00Z">
        <w:r>
          <w:tab/>
          <w:t>[Rule 11 inserted: SL 2020/67 r. 8.]</w:t>
        </w:r>
      </w:ins>
    </w:p>
    <w:p>
      <w:pPr>
        <w:pStyle w:val="Heading5"/>
        <w:rPr>
          <w:ins w:id="104" w:author="Master Repository Process" w:date="2021-08-29T11:49:00Z"/>
        </w:rPr>
      </w:pPr>
      <w:bookmarkStart w:id="105" w:name="_Toc41638692"/>
      <w:r>
        <w:rPr>
          <w:rStyle w:val="CharSectno"/>
        </w:rPr>
        <w:t>12</w:t>
      </w:r>
      <w:r>
        <w:t>.</w:t>
      </w:r>
      <w:r>
        <w:tab/>
      </w:r>
      <w:del w:id="106" w:author="Master Repository Process" w:date="2021-08-29T11:49:00Z">
        <w:r>
          <w:delText>Deleted: Gazette 3 Jun 2008 p. 2125</w:delText>
        </w:r>
      </w:del>
      <w:ins w:id="107" w:author="Master Repository Process" w:date="2021-08-29T11:49:00Z">
        <w:r>
          <w:t>Reply and statement of defence to counterclaim</w:t>
        </w:r>
        <w:bookmarkEnd w:id="105"/>
      </w:ins>
    </w:p>
    <w:p>
      <w:pPr>
        <w:pStyle w:val="Subsection"/>
        <w:rPr>
          <w:ins w:id="108" w:author="Master Repository Process" w:date="2021-08-29T11:49:00Z"/>
        </w:rPr>
      </w:pPr>
      <w:ins w:id="109" w:author="Master Repository Process" w:date="2021-08-29T11:49:00Z">
        <w:r>
          <w:tab/>
          <w:t>(1)</w:t>
        </w:r>
        <w:r>
          <w:tab/>
          <w:t>Within 14 days after being served with a statement of defence, the claimant may lodge and serve on the defendant a reply to the statement of defence.</w:t>
        </w:r>
      </w:ins>
    </w:p>
    <w:p>
      <w:pPr>
        <w:pStyle w:val="Subsection"/>
        <w:rPr>
          <w:ins w:id="110" w:author="Master Repository Process" w:date="2021-08-29T11:49:00Z"/>
        </w:rPr>
      </w:pPr>
      <w:ins w:id="111" w:author="Master Repository Process" w:date="2021-08-29T11:49:00Z">
        <w:r>
          <w:tab/>
          <w:t>(2)</w:t>
        </w:r>
        <w:r>
          <w:tab/>
          <w:t xml:space="preserve">Within 14 days after being served with a statement of defence and counterclaim, the claimant must — </w:t>
        </w:r>
      </w:ins>
    </w:p>
    <w:p>
      <w:pPr>
        <w:pStyle w:val="Indenta"/>
        <w:rPr>
          <w:ins w:id="112" w:author="Master Repository Process" w:date="2021-08-29T11:49:00Z"/>
        </w:rPr>
      </w:pPr>
      <w:ins w:id="113" w:author="Master Repository Process" w:date="2021-08-29T11:49:00Z">
        <w:r>
          <w:tab/>
          <w:t>(a)</w:t>
        </w:r>
        <w:r>
          <w:tab/>
          <w:t>lodge a statement of defence to the counterclaim; and</w:t>
        </w:r>
      </w:ins>
    </w:p>
    <w:p>
      <w:pPr>
        <w:pStyle w:val="Indenta"/>
        <w:rPr>
          <w:ins w:id="114" w:author="Master Repository Process" w:date="2021-08-29T11:49:00Z"/>
          <w:rStyle w:val="DraftersNotes"/>
        </w:rPr>
      </w:pPr>
      <w:ins w:id="115" w:author="Master Repository Process" w:date="2021-08-29T11:49:00Z">
        <w:r>
          <w:tab/>
          <w:t>(b)</w:t>
        </w:r>
        <w:r>
          <w:tab/>
          <w:t>serve it on the defendant.</w:t>
        </w:r>
      </w:ins>
    </w:p>
    <w:p>
      <w:pPr>
        <w:pStyle w:val="Subsection"/>
        <w:rPr>
          <w:ins w:id="116" w:author="Master Repository Process" w:date="2021-08-29T11:49:00Z"/>
        </w:rPr>
      </w:pPr>
      <w:ins w:id="117" w:author="Master Repository Process" w:date="2021-08-29T11:49:00Z">
        <w:r>
          <w:tab/>
          <w:t>(3)</w:t>
        </w:r>
        <w:r>
          <w:tab/>
          <w:t xml:space="preserve">A statement of defence to a counterclaim — </w:t>
        </w:r>
      </w:ins>
    </w:p>
    <w:p>
      <w:pPr>
        <w:pStyle w:val="Indenta"/>
        <w:rPr>
          <w:ins w:id="118" w:author="Master Repository Process" w:date="2021-08-29T11:49:00Z"/>
        </w:rPr>
      </w:pPr>
      <w:ins w:id="119" w:author="Master Repository Process" w:date="2021-08-29T11:49:00Z">
        <w:r>
          <w:tab/>
          <w:t>(a)</w:t>
        </w:r>
        <w:r>
          <w:tab/>
          <w:t>must contain all of the items set out in rule 10(3); and</w:t>
        </w:r>
      </w:ins>
    </w:p>
    <w:p>
      <w:pPr>
        <w:pStyle w:val="Indenta"/>
        <w:rPr>
          <w:ins w:id="120" w:author="Master Repository Process" w:date="2021-08-29T11:49:00Z"/>
        </w:rPr>
      </w:pPr>
      <w:ins w:id="121" w:author="Master Repository Process" w:date="2021-08-29T11:49:00Z">
        <w:r>
          <w:tab/>
          <w:t>(b)</w:t>
        </w:r>
        <w:r>
          <w:tab/>
          <w:t>may include a reply; and</w:t>
        </w:r>
      </w:ins>
    </w:p>
    <w:p>
      <w:pPr>
        <w:pStyle w:val="Indenta"/>
        <w:rPr>
          <w:ins w:id="122" w:author="Master Repository Process" w:date="2021-08-29T11:49:00Z"/>
        </w:rPr>
      </w:pPr>
      <w:ins w:id="123" w:author="Master Repository Process" w:date="2021-08-29T11:49:00Z">
        <w:r>
          <w:tab/>
          <w:t>(c)</w:t>
        </w:r>
        <w:r>
          <w:tab/>
          <w:t>is not to include evidence.</w:t>
        </w:r>
      </w:ins>
    </w:p>
    <w:p>
      <w:pPr>
        <w:pStyle w:val="Footnotesection"/>
      </w:pPr>
      <w:ins w:id="124" w:author="Master Repository Process" w:date="2021-08-29T11:49:00Z">
        <w:r>
          <w:tab/>
          <w:t>[Rule 12 inserted: SL 2020/67 r. 8</w:t>
        </w:r>
      </w:ins>
      <w:r>
        <w:t>.]</w:t>
      </w:r>
    </w:p>
    <w:p>
      <w:pPr>
        <w:pStyle w:val="Heading2"/>
      </w:pPr>
      <w:bookmarkStart w:id="125" w:name="_Toc41487429"/>
      <w:bookmarkStart w:id="126" w:name="_Toc41551883"/>
      <w:bookmarkStart w:id="127" w:name="_Toc41552635"/>
      <w:bookmarkStart w:id="128" w:name="_Toc41638693"/>
      <w:bookmarkStart w:id="129" w:name="_Toc39500993"/>
      <w:bookmarkStart w:id="130" w:name="_Toc39566651"/>
      <w:bookmarkStart w:id="131" w:name="_Toc39575191"/>
      <w:bookmarkStart w:id="132" w:name="_Toc41638424"/>
      <w:r>
        <w:rPr>
          <w:rStyle w:val="CharPartNo"/>
        </w:rPr>
        <w:t>Part 3</w:t>
      </w:r>
      <w:r>
        <w:rPr>
          <w:rStyle w:val="CharDivNo"/>
        </w:rPr>
        <w:t> </w:t>
      </w:r>
      <w:r>
        <w:t>—</w:t>
      </w:r>
      <w:r>
        <w:rPr>
          <w:rStyle w:val="CharDivText"/>
        </w:rPr>
        <w:t> </w:t>
      </w:r>
      <w:r>
        <w:rPr>
          <w:rStyle w:val="CharPartText"/>
        </w:rPr>
        <w:t>Claims to recover possession of real property</w:t>
      </w:r>
      <w:bookmarkEnd w:id="92"/>
      <w:bookmarkEnd w:id="125"/>
      <w:bookmarkEnd w:id="126"/>
      <w:bookmarkEnd w:id="127"/>
      <w:bookmarkEnd w:id="128"/>
      <w:bookmarkEnd w:id="129"/>
      <w:bookmarkEnd w:id="130"/>
      <w:bookmarkEnd w:id="131"/>
      <w:bookmarkEnd w:id="132"/>
    </w:p>
    <w:p>
      <w:pPr>
        <w:pStyle w:val="Heading5"/>
      </w:pPr>
      <w:bookmarkStart w:id="133" w:name="_Toc41638694"/>
      <w:bookmarkStart w:id="134" w:name="_Toc41638425"/>
      <w:r>
        <w:rPr>
          <w:rStyle w:val="CharSectno"/>
        </w:rPr>
        <w:t>13</w:t>
      </w:r>
      <w:r>
        <w:t>.</w:t>
      </w:r>
      <w:r>
        <w:tab/>
        <w:t>Claim to recover possession of real property, making</w:t>
      </w:r>
      <w:bookmarkEnd w:id="133"/>
      <w:bookmarkEnd w:id="134"/>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35" w:name="_Toc41638695"/>
      <w:bookmarkStart w:id="136" w:name="_Toc41638426"/>
      <w:r>
        <w:rPr>
          <w:rStyle w:val="CharSectno"/>
        </w:rPr>
        <w:t>14</w:t>
      </w:r>
      <w:r>
        <w:t>.</w:t>
      </w:r>
      <w:r>
        <w:tab/>
        <w:t>Notice demanding possession, lodging</w:t>
      </w:r>
      <w:bookmarkEnd w:id="135"/>
      <w:bookmarkEnd w:id="136"/>
    </w:p>
    <w:p>
      <w:pPr>
        <w:pStyle w:val="Subsection"/>
      </w:pPr>
      <w:r>
        <w:tab/>
      </w:r>
      <w:r>
        <w:tab/>
        <w:t>The claim must be lodged together with any written notice demanding possession of the property.</w:t>
      </w:r>
    </w:p>
    <w:p>
      <w:pPr>
        <w:pStyle w:val="Heading5"/>
      </w:pPr>
      <w:bookmarkStart w:id="137" w:name="_Toc41638696"/>
      <w:bookmarkStart w:id="138" w:name="_Toc41638427"/>
      <w:r>
        <w:rPr>
          <w:rStyle w:val="CharSectno"/>
        </w:rPr>
        <w:t>15</w:t>
      </w:r>
      <w:r>
        <w:t>.</w:t>
      </w:r>
      <w:r>
        <w:tab/>
        <w:t>Serving claim</w:t>
      </w:r>
      <w:bookmarkEnd w:id="137"/>
      <w:bookmarkEnd w:id="138"/>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39" w:name="_Toc41638697"/>
      <w:bookmarkStart w:id="140" w:name="_Toc41638428"/>
      <w:r>
        <w:rPr>
          <w:rStyle w:val="CharSectno"/>
        </w:rPr>
        <w:t>16</w:t>
      </w:r>
      <w:r>
        <w:t>.</w:t>
      </w:r>
      <w:r>
        <w:tab/>
        <w:t xml:space="preserve">Registrar to list case for </w:t>
      </w:r>
      <w:del w:id="141" w:author="Master Repository Process" w:date="2021-08-29T11:49:00Z">
        <w:r>
          <w:delText>listing</w:delText>
        </w:r>
      </w:del>
      <w:ins w:id="142" w:author="Master Repository Process" w:date="2021-08-29T11:49:00Z">
        <w:r>
          <w:t>status</w:t>
        </w:r>
      </w:ins>
      <w:r>
        <w:t xml:space="preserve"> conference</w:t>
      </w:r>
      <w:bookmarkEnd w:id="139"/>
      <w:bookmarkEnd w:id="140"/>
    </w:p>
    <w:p>
      <w:pPr>
        <w:pStyle w:val="Subsection"/>
      </w:pPr>
      <w:r>
        <w:tab/>
      </w:r>
      <w:r>
        <w:tab/>
        <w:t xml:space="preserve">As soon as practicable after the claim is lodged, a registrar must list the case for a </w:t>
      </w:r>
      <w:del w:id="143" w:author="Master Repository Process" w:date="2021-08-29T11:49:00Z">
        <w:r>
          <w:delText>listing conference and endorse the date of that conference on the claim that is to be served</w:delText>
        </w:r>
      </w:del>
      <w:ins w:id="144" w:author="Master Repository Process" w:date="2021-08-29T11:49:00Z">
        <w:r>
          <w:t>status conference</w:t>
        </w:r>
      </w:ins>
      <w:r>
        <w:t>.</w:t>
      </w:r>
    </w:p>
    <w:p>
      <w:pPr>
        <w:pStyle w:val="Footnotesection"/>
        <w:rPr>
          <w:ins w:id="145" w:author="Master Repository Process" w:date="2021-08-29T11:49:00Z"/>
        </w:rPr>
      </w:pPr>
      <w:ins w:id="146" w:author="Master Repository Process" w:date="2021-08-29T11:49:00Z">
        <w:r>
          <w:tab/>
          <w:t>[Rule 16 amended: SL 2020/67 r. 9.]</w:t>
        </w:r>
      </w:ins>
    </w:p>
    <w:p>
      <w:pPr>
        <w:pStyle w:val="Ednotepart"/>
        <w:rPr>
          <w:rFonts w:ascii="Times" w:hAnsi="Times"/>
        </w:rPr>
      </w:pPr>
      <w:r>
        <w:t>[Part 4 (r. 17</w:t>
      </w:r>
      <w:r>
        <w:noBreakHyphen/>
        <w:t>19) deleted: Gazette 3 Jun 2008 p. 2125.]</w:t>
      </w:r>
    </w:p>
    <w:p>
      <w:pPr>
        <w:pStyle w:val="Heading2"/>
      </w:pPr>
      <w:bookmarkStart w:id="147" w:name="_Toc41473537"/>
      <w:bookmarkStart w:id="148" w:name="_Toc41487434"/>
      <w:bookmarkStart w:id="149" w:name="_Toc41551888"/>
      <w:bookmarkStart w:id="150" w:name="_Toc41552640"/>
      <w:bookmarkStart w:id="151" w:name="_Toc41638698"/>
      <w:bookmarkStart w:id="152" w:name="_Toc39500998"/>
      <w:bookmarkStart w:id="153" w:name="_Toc39566656"/>
      <w:bookmarkStart w:id="154" w:name="_Toc39575196"/>
      <w:bookmarkStart w:id="155" w:name="_Toc41638429"/>
      <w:r>
        <w:rPr>
          <w:rStyle w:val="CharPartNo"/>
        </w:rPr>
        <w:t>Part 5</w:t>
      </w:r>
      <w:r>
        <w:rPr>
          <w:rStyle w:val="CharDivNo"/>
        </w:rPr>
        <w:t> </w:t>
      </w:r>
      <w:r>
        <w:t>—</w:t>
      </w:r>
      <w:r>
        <w:rPr>
          <w:rStyle w:val="CharDivText"/>
        </w:rPr>
        <w:t> </w:t>
      </w:r>
      <w:r>
        <w:rPr>
          <w:rStyle w:val="CharPartText"/>
        </w:rPr>
        <w:t>Failure to defend a claim</w:t>
      </w:r>
      <w:bookmarkEnd w:id="147"/>
      <w:bookmarkEnd w:id="148"/>
      <w:bookmarkEnd w:id="149"/>
      <w:bookmarkEnd w:id="150"/>
      <w:bookmarkEnd w:id="151"/>
      <w:bookmarkEnd w:id="152"/>
      <w:bookmarkEnd w:id="153"/>
      <w:bookmarkEnd w:id="154"/>
      <w:bookmarkEnd w:id="155"/>
    </w:p>
    <w:p>
      <w:pPr>
        <w:pStyle w:val="Heading5"/>
      </w:pPr>
      <w:bookmarkStart w:id="156" w:name="_Toc41638699"/>
      <w:bookmarkStart w:id="157" w:name="_Toc41638430"/>
      <w:r>
        <w:rPr>
          <w:rStyle w:val="CharSectno"/>
        </w:rPr>
        <w:t>20</w:t>
      </w:r>
      <w:r>
        <w:t>.</w:t>
      </w:r>
      <w:r>
        <w:tab/>
        <w:t>Application of this Part</w:t>
      </w:r>
      <w:bookmarkEnd w:id="156"/>
      <w:bookmarkEnd w:id="157"/>
    </w:p>
    <w:p>
      <w:pPr>
        <w:pStyle w:val="Subsection"/>
      </w:pPr>
      <w:r>
        <w:tab/>
      </w:r>
      <w:r>
        <w:tab/>
        <w:t xml:space="preserve">This Part applies if an application for default judgment is made against a </w:t>
      </w:r>
      <w:del w:id="158" w:author="Master Repository Process" w:date="2021-08-29T11:49:00Z">
        <w:r>
          <w:delText>defendant</w:delText>
        </w:r>
      </w:del>
      <w:ins w:id="159" w:author="Master Repository Process" w:date="2021-08-29T11:49:00Z">
        <w:r>
          <w:t>party</w:t>
        </w:r>
      </w:ins>
      <w:r>
        <w:t xml:space="preserve"> because the </w:t>
      </w:r>
      <w:del w:id="160" w:author="Master Repository Process" w:date="2021-08-29T11:49:00Z">
        <w:r>
          <w:delText>defendant</w:delText>
        </w:r>
      </w:del>
      <w:ins w:id="161" w:author="Master Repository Process" w:date="2021-08-29T11:49:00Z">
        <w:r>
          <w:t>party</w:t>
        </w:r>
      </w:ins>
      <w:r>
        <w:t xml:space="preserve"> has not — </w:t>
      </w:r>
    </w:p>
    <w:p>
      <w:pPr>
        <w:pStyle w:val="Indenta"/>
      </w:pPr>
      <w:r>
        <w:tab/>
        <w:t>(a)</w:t>
      </w:r>
      <w:r>
        <w:tab/>
        <w:t>lodged a response in accordance with rule 9(1); or</w:t>
      </w:r>
    </w:p>
    <w:p>
      <w:pPr>
        <w:pStyle w:val="Indenta"/>
      </w:pPr>
      <w:r>
        <w:tab/>
        <w:t>(aa)</w:t>
      </w:r>
      <w:r>
        <w:tab/>
        <w:t xml:space="preserve">lodged and served a statement of defence </w:t>
      </w:r>
      <w:ins w:id="162" w:author="Master Repository Process" w:date="2021-08-29T11:49:00Z">
        <w:r>
          <w:t xml:space="preserve">or a statement of defence and counterclaim </w:t>
        </w:r>
      </w:ins>
      <w:r>
        <w:t>in accordance with rule 10; or</w:t>
      </w:r>
    </w:p>
    <w:p>
      <w:pPr>
        <w:pStyle w:val="Indenta"/>
      </w:pPr>
      <w:r>
        <w:tab/>
        <w:t>(b)</w:t>
      </w:r>
      <w:r>
        <w:tab/>
        <w:t xml:space="preserve">lodged and served a statement of defence </w:t>
      </w:r>
      <w:ins w:id="163" w:author="Master Repository Process" w:date="2021-08-29T11:49:00Z">
        <w:r>
          <w:t xml:space="preserve">or a statement of defence and counterclaim </w:t>
        </w:r>
      </w:ins>
      <w:r>
        <w:t>in accordance with rule 41B</w:t>
      </w:r>
      <w:del w:id="164" w:author="Master Repository Process" w:date="2021-08-29T11:49:00Z">
        <w:r>
          <w:delText>.</w:delText>
        </w:r>
      </w:del>
      <w:ins w:id="165" w:author="Master Repository Process" w:date="2021-08-29T11:49:00Z">
        <w:r>
          <w:t>; or</w:t>
        </w:r>
      </w:ins>
    </w:p>
    <w:p>
      <w:pPr>
        <w:pStyle w:val="Indenta"/>
        <w:rPr>
          <w:ins w:id="166" w:author="Master Repository Process" w:date="2021-08-29T11:49:00Z"/>
        </w:rPr>
      </w:pPr>
      <w:ins w:id="167" w:author="Master Repository Process" w:date="2021-08-29T11:49:00Z">
        <w:r>
          <w:tab/>
          <w:t>(c)</w:t>
        </w:r>
        <w:r>
          <w:tab/>
          <w:t>lodged and served a statement of defence to a counterclaim in accordance with rule 12.</w:t>
        </w:r>
      </w:ins>
    </w:p>
    <w:p>
      <w:pPr>
        <w:pStyle w:val="Footnotesection"/>
      </w:pPr>
      <w:r>
        <w:tab/>
        <w:t>[Rule 20 amended: Gazette 3 Jun 2008 p. 2125; 21 Jul 2017 p. 4024</w:t>
      </w:r>
      <w:ins w:id="168" w:author="Master Repository Process" w:date="2021-08-29T11:49:00Z">
        <w:r>
          <w:t>; SL 2020/67 r. 10</w:t>
        </w:r>
      </w:ins>
      <w:r>
        <w:t>.]</w:t>
      </w:r>
    </w:p>
    <w:p>
      <w:pPr>
        <w:pStyle w:val="Heading5"/>
      </w:pPr>
      <w:bookmarkStart w:id="169" w:name="_Toc41638431"/>
      <w:bookmarkStart w:id="170" w:name="_Toc41638700"/>
      <w:r>
        <w:rPr>
          <w:rStyle w:val="CharSectno"/>
        </w:rPr>
        <w:t>21</w:t>
      </w:r>
      <w:r>
        <w:t>.</w:t>
      </w:r>
      <w:r>
        <w:tab/>
      </w:r>
      <w:del w:id="171" w:author="Master Repository Process" w:date="2021-08-29T11:49:00Z">
        <w:r>
          <w:delText>Default judgment for specified amount,</w:delText>
        </w:r>
      </w:del>
      <w:ins w:id="172" w:author="Master Repository Process" w:date="2021-08-29T11:49:00Z">
        <w:r>
          <w:t>Assessing claims</w:t>
        </w:r>
      </w:ins>
      <w:r>
        <w:t xml:space="preserve"> when </w:t>
      </w:r>
      <w:del w:id="173" w:author="Master Repository Process" w:date="2021-08-29T11:49:00Z">
        <w:r>
          <w:delText>allowed</w:delText>
        </w:r>
      </w:del>
      <w:bookmarkEnd w:id="169"/>
      <w:ins w:id="174" w:author="Master Repository Process" w:date="2021-08-29T11:49:00Z">
        <w:r>
          <w:t>application for default judgment is made</w:t>
        </w:r>
      </w:ins>
      <w:bookmarkEnd w:id="170"/>
    </w:p>
    <w:p>
      <w:pPr>
        <w:pStyle w:val="Subsection"/>
      </w:pPr>
      <w:r>
        <w:tab/>
      </w:r>
      <w:ins w:id="175" w:author="Master Repository Process" w:date="2021-08-29T11:49:00Z">
        <w:r>
          <w:t>(1)</w:t>
        </w:r>
      </w:ins>
      <w:r>
        <w:tab/>
        <w:t xml:space="preserve">Except as provided in rule 24, a registrar may, in the absence of the parties, give default judgment against the </w:t>
      </w:r>
      <w:del w:id="176" w:author="Master Repository Process" w:date="2021-08-29T11:49:00Z">
        <w:r>
          <w:delText>defendant</w:delText>
        </w:r>
      </w:del>
      <w:ins w:id="177" w:author="Master Repository Process" w:date="2021-08-29T11:49:00Z">
        <w:r>
          <w:t>party against whom the application for default judgment is made</w:t>
        </w:r>
      </w:ins>
      <w:r>
        <w:t xml:space="preserv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w:t>
      </w:r>
      <w:del w:id="178" w:author="Master Repository Process" w:date="2021-08-29T11:49:00Z">
        <w:r>
          <w:delText>5</w:delText>
        </w:r>
      </w:del>
      <w:ins w:id="179" w:author="Master Repository Process" w:date="2021-08-29T11:49:00Z">
        <w:r>
          <w:t>10</w:t>
        </w:r>
      </w:ins>
      <w:r>
        <w:t> 000 or less; or</w:t>
      </w:r>
    </w:p>
    <w:p>
      <w:pPr>
        <w:pStyle w:val="Indenta"/>
      </w:pPr>
      <w:r>
        <w:tab/>
        <w:t>(c)</w:t>
      </w:r>
      <w:r>
        <w:tab/>
        <w:t>the claim, or the relevant part of the claim, is for an unliquidated amount of more than $</w:t>
      </w:r>
      <w:del w:id="180" w:author="Master Repository Process" w:date="2021-08-29T11:49:00Z">
        <w:r>
          <w:delText>5</w:delText>
        </w:r>
      </w:del>
      <w:ins w:id="181" w:author="Master Repository Process" w:date="2021-08-29T11:49:00Z">
        <w:r>
          <w:t>10</w:t>
        </w:r>
      </w:ins>
      <w:r>
        <w:t> 000 but not more than the</w:t>
      </w:r>
      <w:del w:id="182" w:author="Master Repository Process" w:date="2021-08-29T11:49:00Z">
        <w:r>
          <w:delText xml:space="preserve"> minor cases</w:delText>
        </w:r>
      </w:del>
      <w:r>
        <w:t xml:space="preserve"> jurisdictional limit, if the registrar is able to assess the amount from any supporting material lodged in relation to the claim.</w:t>
      </w:r>
    </w:p>
    <w:p>
      <w:pPr>
        <w:pStyle w:val="Footnotesection"/>
        <w:rPr>
          <w:del w:id="183" w:author="Master Repository Process" w:date="2021-08-29T11:49:00Z"/>
        </w:rPr>
      </w:pPr>
      <w:del w:id="184" w:author="Master Repository Process" w:date="2021-08-29T11:49:00Z">
        <w:r>
          <w:tab/>
          <w:delText>[Rule 21 amended: Gazette 3 Jun 2008 p. 2125; 24 May 2013 p. 2060.]</w:delText>
        </w:r>
      </w:del>
    </w:p>
    <w:p>
      <w:pPr>
        <w:pStyle w:val="Heading5"/>
        <w:rPr>
          <w:del w:id="185" w:author="Master Repository Process" w:date="2021-08-29T11:49:00Z"/>
        </w:rPr>
      </w:pPr>
      <w:bookmarkStart w:id="186" w:name="_Toc41638432"/>
      <w:del w:id="187" w:author="Master Repository Process" w:date="2021-08-29T11:49:00Z">
        <w:r>
          <w:rPr>
            <w:rStyle w:val="CharSectno"/>
          </w:rPr>
          <w:delText>22</w:delText>
        </w:r>
        <w:r>
          <w:delText>.</w:delText>
        </w:r>
        <w:r>
          <w:tab/>
          <w:delText>Default judgment for unspecified amount, when allowed</w:delText>
        </w:r>
        <w:bookmarkEnd w:id="186"/>
      </w:del>
    </w:p>
    <w:p>
      <w:pPr>
        <w:pStyle w:val="Subsection"/>
        <w:rPr>
          <w:del w:id="188" w:author="Master Repository Process" w:date="2021-08-29T11:49:00Z"/>
        </w:rPr>
      </w:pPr>
      <w:del w:id="189" w:author="Master Repository Process" w:date="2021-08-29T11:49:00Z">
        <w:r>
          <w:tab/>
          <w:delText>(1)</w:delText>
        </w:r>
        <w:r>
          <w:tab/>
          <w:delText xml:space="preserve">Except as provided in rule 24, a registrar may, in the absence of the parties, give default judgment against the defendant for an unspecified amount if the </w:delText>
        </w:r>
      </w:del>
      <w:ins w:id="190" w:author="Master Repository Process" w:date="2021-08-29T11:49:00Z">
        <w:r>
          <w:tab/>
          <w:t>(2)</w:t>
        </w:r>
        <w:r>
          <w:tab/>
          <w:t xml:space="preserve">If a </w:t>
        </w:r>
      </w:ins>
      <w:r>
        <w:t xml:space="preserve">claim is for an unliquidated amount </w:t>
      </w:r>
      <w:del w:id="191" w:author="Master Repository Process" w:date="2021-08-29T11:49:00Z">
        <w:r>
          <w:delText>to which rule 21 does</w:delText>
        </w:r>
      </w:del>
      <w:ins w:id="192" w:author="Master Repository Process" w:date="2021-08-29T11:49:00Z">
        <w:r>
          <w:t>of more than $10 000 but</w:t>
        </w:r>
      </w:ins>
      <w:r>
        <w:t xml:space="preserve"> not </w:t>
      </w:r>
      <w:del w:id="193" w:author="Master Repository Process" w:date="2021-08-29T11:49:00Z">
        <w:r>
          <w:delText>apply.</w:delText>
        </w:r>
      </w:del>
    </w:p>
    <w:p>
      <w:pPr>
        <w:pStyle w:val="Subsection"/>
      </w:pPr>
      <w:del w:id="194" w:author="Master Repository Process" w:date="2021-08-29T11:49:00Z">
        <w:r>
          <w:tab/>
          <w:delText>(2)</w:delText>
        </w:r>
        <w:r>
          <w:tab/>
          <w:delText>When the registrar gives default judgment for an unspecified amount</w:delText>
        </w:r>
      </w:del>
      <w:ins w:id="195" w:author="Master Repository Process" w:date="2021-08-29T11:49:00Z">
        <w:r>
          <w:t>more than the jurisdictional limit and the registrar is unable to assess the unliquidated amount from the supporting material lodged in relation to the claim</w:t>
        </w:r>
      </w:ins>
      <w:r>
        <w:t xml:space="preserve">, the registrar </w:t>
      </w:r>
      <w:del w:id="196" w:author="Master Repository Process" w:date="2021-08-29T11:49:00Z">
        <w:r>
          <w:delText>must —</w:delText>
        </w:r>
      </w:del>
      <w:ins w:id="197" w:author="Master Repository Process" w:date="2021-08-29T11:49:00Z">
        <w:r>
          <w:t xml:space="preserve">may do any or all of the following — </w:t>
        </w:r>
      </w:ins>
    </w:p>
    <w:p>
      <w:pPr>
        <w:pStyle w:val="Indenta"/>
        <w:rPr>
          <w:ins w:id="198" w:author="Master Repository Process" w:date="2021-08-29T11:49:00Z"/>
        </w:rPr>
      </w:pPr>
      <w:r>
        <w:tab/>
        <w:t>(a)</w:t>
      </w:r>
      <w:r>
        <w:tab/>
      </w:r>
      <w:del w:id="199" w:author="Master Repository Process" w:date="2021-08-29T11:49:00Z">
        <w:r>
          <w:delText xml:space="preserve">list the </w:delText>
        </w:r>
      </w:del>
      <w:ins w:id="200" w:author="Master Repository Process" w:date="2021-08-29T11:49:00Z">
        <w:r>
          <w:t>request that a party lodge additional supporting material in relation to the claim;</w:t>
        </w:r>
      </w:ins>
    </w:p>
    <w:p>
      <w:pPr>
        <w:pStyle w:val="Indenta"/>
      </w:pPr>
      <w:ins w:id="201" w:author="Master Repository Process" w:date="2021-08-29T11:49:00Z">
        <w:r>
          <w:tab/>
          <w:t>(b)</w:t>
        </w:r>
        <w:r>
          <w:tab/>
          <w:t xml:space="preserve">give default judgment against the party against whom the </w:t>
        </w:r>
      </w:ins>
      <w:r>
        <w:t xml:space="preserve">application for </w:t>
      </w:r>
      <w:del w:id="202" w:author="Master Repository Process" w:date="2021-08-29T11:49:00Z">
        <w:r>
          <w:delText>a hearing at which the amount is to be assessed by the Court; and</w:delText>
        </w:r>
      </w:del>
      <w:ins w:id="203" w:author="Master Repository Process" w:date="2021-08-29T11:49:00Z">
        <w:r>
          <w:t>default judgment is made for a specified amount, if the registrar is able to assess the amount from any additional supporting material lodged in relation to the claim;</w:t>
        </w:r>
      </w:ins>
    </w:p>
    <w:p>
      <w:pPr>
        <w:pStyle w:val="Indenta"/>
        <w:rPr>
          <w:del w:id="204" w:author="Master Repository Process" w:date="2021-08-29T11:49:00Z"/>
        </w:rPr>
      </w:pPr>
      <w:r>
        <w:tab/>
        <w:t>(</w:t>
      </w:r>
      <w:del w:id="205" w:author="Master Repository Process" w:date="2021-08-29T11:49:00Z">
        <w:r>
          <w:delText>b)</w:delText>
        </w:r>
        <w:r>
          <w:tab/>
          <w:delText>notify</w:delText>
        </w:r>
      </w:del>
      <w:ins w:id="206" w:author="Master Repository Process" w:date="2021-08-29T11:49:00Z">
        <w:r>
          <w:t>c)</w:t>
        </w:r>
        <w:r>
          <w:tab/>
          <w:t>give default judgment against</w:t>
        </w:r>
      </w:ins>
      <w:r>
        <w:t xml:space="preserve"> the </w:t>
      </w:r>
      <w:del w:id="207" w:author="Master Repository Process" w:date="2021-08-29T11:49:00Z">
        <w:r>
          <w:delText>parties in writing at least 28 days before</w:delText>
        </w:r>
      </w:del>
      <w:ins w:id="208" w:author="Master Repository Process" w:date="2021-08-29T11:49:00Z">
        <w:r>
          <w:t>party against whom</w:t>
        </w:r>
      </w:ins>
      <w:r>
        <w:t xml:space="preserve"> the</w:t>
      </w:r>
      <w:del w:id="209" w:author="Master Repository Process" w:date="2021-08-29T11:49:00Z">
        <w:r>
          <w:delText xml:space="preserve"> hearing.</w:delText>
        </w:r>
      </w:del>
    </w:p>
    <w:p>
      <w:pPr>
        <w:pStyle w:val="Indenta"/>
        <w:rPr>
          <w:ins w:id="210" w:author="Master Repository Process" w:date="2021-08-29T11:49:00Z"/>
        </w:rPr>
      </w:pPr>
      <w:del w:id="211" w:author="Master Repository Process" w:date="2021-08-29T11:49:00Z">
        <w:r>
          <w:tab/>
          <w:delText>(3)</w:delText>
        </w:r>
        <w:r>
          <w:tab/>
          <w:delText>An</w:delText>
        </w:r>
      </w:del>
      <w:r>
        <w:t xml:space="preserve"> application for default judgment </w:t>
      </w:r>
      <w:del w:id="212" w:author="Master Repository Process" w:date="2021-08-29T11:49:00Z">
        <w:r>
          <w:delText>under this rule does not require a supporting affidavit unless a</w:delText>
        </w:r>
      </w:del>
      <w:ins w:id="213" w:author="Master Repository Process" w:date="2021-08-29T11:49:00Z">
        <w:r>
          <w:t>is made for an unliquidated amount and list the matter for a hearing by the Court of the claim to assess the amount that should be awarded.</w:t>
        </w:r>
      </w:ins>
    </w:p>
    <w:p>
      <w:pPr>
        <w:pStyle w:val="Subsection"/>
        <w:rPr>
          <w:ins w:id="214" w:author="Master Repository Process" w:date="2021-08-29T11:49:00Z"/>
        </w:rPr>
      </w:pPr>
      <w:ins w:id="215" w:author="Master Repository Process" w:date="2021-08-29T11:49:00Z">
        <w:r>
          <w:tab/>
          <w:t>(3)</w:t>
        </w:r>
        <w:r>
          <w:tab/>
          <w:t>A registrar listing a matter for hearing under subrule (2)(c), may, but is not required to, notify the party against whom the application for default judgment is made of the</w:t>
        </w:r>
      </w:ins>
      <w:r>
        <w:t xml:space="preserve"> hearing </w:t>
      </w:r>
      <w:del w:id="216" w:author="Master Repository Process" w:date="2021-08-29T11:49:00Z">
        <w:r>
          <w:delText>is listed</w:delText>
        </w:r>
      </w:del>
      <w:ins w:id="217" w:author="Master Repository Process" w:date="2021-08-29T11:49:00Z">
        <w:r>
          <w:t>date.</w:t>
        </w:r>
      </w:ins>
    </w:p>
    <w:p>
      <w:pPr>
        <w:pStyle w:val="Subsection"/>
        <w:rPr>
          <w:ins w:id="218" w:author="Master Repository Process" w:date="2021-08-29T11:49:00Z"/>
        </w:rPr>
      </w:pPr>
      <w:ins w:id="219" w:author="Master Repository Process" w:date="2021-08-29T11:49:00Z">
        <w:r>
          <w:tab/>
          <w:t>(4)</w:t>
        </w:r>
        <w:r>
          <w:tab/>
          <w:t>If a registrar notifies the party against whom the application for default judgment is made of the hearing</w:t>
        </w:r>
      </w:ins>
      <w:r>
        <w:t xml:space="preserve"> under subrule</w:t>
      </w:r>
      <w:del w:id="220" w:author="Master Repository Process" w:date="2021-08-29T11:49:00Z">
        <w:r>
          <w:delText xml:space="preserve"> (2), and in that case a supporting affidavit must be lodged </w:delText>
        </w:r>
      </w:del>
      <w:ins w:id="221" w:author="Master Repository Process" w:date="2021-08-29T11:49:00Z">
        <w:r>
          <w:t xml:space="preserve"> (3) — </w:t>
        </w:r>
      </w:ins>
    </w:p>
    <w:p>
      <w:pPr>
        <w:pStyle w:val="Indenta"/>
        <w:rPr>
          <w:rStyle w:val="DraftersNotes"/>
        </w:rPr>
      </w:pPr>
      <w:ins w:id="222" w:author="Master Repository Process" w:date="2021-08-29T11:49:00Z">
        <w:r>
          <w:tab/>
          <w:t>(a)</w:t>
        </w:r>
        <w:r>
          <w:tab/>
          <w:t xml:space="preserve">the party who made the application for default judgment must lodge </w:t>
        </w:r>
      </w:ins>
      <w:r>
        <w:t xml:space="preserve">and </w:t>
      </w:r>
      <w:del w:id="223" w:author="Master Repository Process" w:date="2021-08-29T11:49:00Z">
        <w:r>
          <w:delText xml:space="preserve">served </w:delText>
        </w:r>
      </w:del>
      <w:ins w:id="224" w:author="Master Repository Process" w:date="2021-08-29T11:49:00Z">
        <w:r>
          <w:t xml:space="preserve">serve a supporting affidavit </w:t>
        </w:r>
      </w:ins>
      <w:r>
        <w:t>at least 14 days before the hearing</w:t>
      </w:r>
      <w:del w:id="225" w:author="Master Repository Process" w:date="2021-08-29T11:49:00Z">
        <w:r>
          <w:delText>.</w:delText>
        </w:r>
      </w:del>
      <w:ins w:id="226" w:author="Master Repository Process" w:date="2021-08-29T11:49:00Z">
        <w:r>
          <w:t>; and</w:t>
        </w:r>
      </w:ins>
    </w:p>
    <w:p>
      <w:pPr>
        <w:pStyle w:val="Indenta"/>
        <w:rPr>
          <w:ins w:id="227" w:author="Master Repository Process" w:date="2021-08-29T11:49:00Z"/>
        </w:rPr>
      </w:pPr>
      <w:ins w:id="228" w:author="Master Repository Process" w:date="2021-08-29T11:49:00Z">
        <w:r>
          <w:tab/>
          <w:t>(b)</w:t>
        </w:r>
        <w:r>
          <w:tab/>
          <w:t>the Court may request that a party lodge additional supporting material in relation to the claim.</w:t>
        </w:r>
      </w:ins>
    </w:p>
    <w:p>
      <w:pPr>
        <w:pStyle w:val="Footnotesection"/>
        <w:rPr>
          <w:ins w:id="229" w:author="Master Repository Process" w:date="2021-08-29T11:49:00Z"/>
        </w:rPr>
      </w:pPr>
      <w:r>
        <w:tab/>
        <w:t>[Rule </w:t>
      </w:r>
      <w:del w:id="230" w:author="Master Repository Process" w:date="2021-08-29T11:49:00Z">
        <w:r>
          <w:delText>22</w:delText>
        </w:r>
      </w:del>
      <w:ins w:id="231" w:author="Master Repository Process" w:date="2021-08-29T11:49:00Z">
        <w:r>
          <w:t>21</w:t>
        </w:r>
      </w:ins>
      <w:r>
        <w:t xml:space="preserve"> amended: Gazette 3 Jun 2008 p. 2125; </w:t>
      </w:r>
      <w:del w:id="232" w:author="Master Repository Process" w:date="2021-08-29T11:49:00Z">
        <w:r>
          <w:delText>21 Jul 2017</w:delText>
        </w:r>
      </w:del>
      <w:ins w:id="233" w:author="Master Repository Process" w:date="2021-08-29T11:49:00Z">
        <w:r>
          <w:t>24 May 2013</w:t>
        </w:r>
      </w:ins>
      <w:r>
        <w:t xml:space="preserve"> p. </w:t>
      </w:r>
      <w:del w:id="234" w:author="Master Repository Process" w:date="2021-08-29T11:49:00Z">
        <w:r>
          <w:delText>4025</w:delText>
        </w:r>
      </w:del>
      <w:ins w:id="235" w:author="Master Repository Process" w:date="2021-08-29T11:49:00Z">
        <w:r>
          <w:t>2060; SL 2020/67 r. 11.]</w:t>
        </w:r>
      </w:ins>
    </w:p>
    <w:p>
      <w:pPr>
        <w:pStyle w:val="Ednotesection"/>
      </w:pPr>
      <w:ins w:id="236" w:author="Master Repository Process" w:date="2021-08-29T11:49:00Z">
        <w:r>
          <w:t>[</w:t>
        </w:r>
        <w:r>
          <w:rPr>
            <w:b/>
          </w:rPr>
          <w:t>22.</w:t>
        </w:r>
        <w:r>
          <w:tab/>
          <w:t>Deleted: SL 2020/67 r. 12</w:t>
        </w:r>
      </w:ins>
      <w:r>
        <w:t>.]</w:t>
      </w:r>
    </w:p>
    <w:p>
      <w:pPr>
        <w:pStyle w:val="Heading5"/>
      </w:pPr>
      <w:bookmarkStart w:id="237" w:name="_Toc41638701"/>
      <w:bookmarkStart w:id="238" w:name="_Toc41638433"/>
      <w:r>
        <w:rPr>
          <w:rStyle w:val="CharSectno"/>
        </w:rPr>
        <w:t>23</w:t>
      </w:r>
      <w:r>
        <w:t>.</w:t>
      </w:r>
      <w:r>
        <w:tab/>
        <w:t>Claim to recover possession of personal property, default judgment for</w:t>
      </w:r>
      <w:bookmarkEnd w:id="237"/>
      <w:bookmarkEnd w:id="238"/>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239" w:name="_Toc41638702"/>
      <w:bookmarkStart w:id="240" w:name="_Toc41638434"/>
      <w:r>
        <w:rPr>
          <w:rStyle w:val="CharSectno"/>
        </w:rPr>
        <w:t>24</w:t>
      </w:r>
      <w:r>
        <w:t>.</w:t>
      </w:r>
      <w:r>
        <w:tab/>
        <w:t>Default judgment not to be given in certain cases</w:t>
      </w:r>
      <w:bookmarkEnd w:id="239"/>
      <w:bookmarkEnd w:id="240"/>
    </w:p>
    <w:p>
      <w:pPr>
        <w:pStyle w:val="Subsection"/>
      </w:pPr>
      <w:r>
        <w:tab/>
        <w:t>(1)</w:t>
      </w:r>
      <w:r>
        <w:tab/>
        <w:t xml:space="preserve">A registrar must not give default judgment under this Part against a party for a failure to lodge and serve a statement of defence </w:t>
      </w:r>
      <w:del w:id="241" w:author="Master Repository Process" w:date="2021-08-29T11:49:00Z">
        <w:r>
          <w:delText>if —</w:delText>
        </w:r>
      </w:del>
      <w:ins w:id="242" w:author="Master Repository Process" w:date="2021-08-29T11:49:00Z">
        <w:r>
          <w:t>or a statement of defence and counterclaim if —</w:t>
        </w:r>
      </w:ins>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 xml:space="preserve">has been dismissed, and the party has lodged a statement of defence </w:t>
      </w:r>
      <w:ins w:id="243" w:author="Master Repository Process" w:date="2021-08-29T11:49:00Z">
        <w:r>
          <w:t xml:space="preserve">or a statement of defence and counterclaim </w:t>
        </w:r>
      </w:ins>
      <w:r>
        <w:t>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w:t>
      </w:r>
      <w:ins w:id="244" w:author="Master Repository Process" w:date="2021-08-29T11:49:00Z">
        <w:r>
          <w:t>; SL 2020/67 r. 13</w:t>
        </w:r>
      </w:ins>
      <w:r>
        <w:t>.]</w:t>
      </w:r>
    </w:p>
    <w:p>
      <w:pPr>
        <w:pStyle w:val="Heading5"/>
      </w:pPr>
      <w:bookmarkStart w:id="245" w:name="_Toc41638703"/>
      <w:bookmarkStart w:id="246" w:name="_Toc41638435"/>
      <w:r>
        <w:rPr>
          <w:rStyle w:val="CharSectno"/>
        </w:rPr>
        <w:t>25A</w:t>
      </w:r>
      <w:r>
        <w:t>.</w:t>
      </w:r>
      <w:r>
        <w:tab/>
        <w:t>Default judgment one year or more after originating claim, referral to Magistrate</w:t>
      </w:r>
      <w:bookmarkEnd w:id="245"/>
      <w:bookmarkEnd w:id="246"/>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247" w:name="_Toc41638704"/>
      <w:bookmarkStart w:id="248" w:name="_Toc41638436"/>
      <w:r>
        <w:rPr>
          <w:rStyle w:val="CharSectno"/>
        </w:rPr>
        <w:t>25</w:t>
      </w:r>
      <w:r>
        <w:t>.</w:t>
      </w:r>
      <w:r>
        <w:tab/>
        <w:t>Application for default judgment to be dismissed if not granted</w:t>
      </w:r>
      <w:bookmarkEnd w:id="247"/>
      <w:bookmarkEnd w:id="248"/>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249" w:name="_Toc41638705"/>
      <w:bookmarkStart w:id="250" w:name="_Toc41638437"/>
      <w:r>
        <w:rPr>
          <w:rStyle w:val="CharSectno"/>
        </w:rPr>
        <w:t>26</w:t>
      </w:r>
      <w:r>
        <w:t>.</w:t>
      </w:r>
      <w:r>
        <w:tab/>
        <w:t>Costs when registrar gives default judgment</w:t>
      </w:r>
      <w:bookmarkEnd w:id="249"/>
      <w:bookmarkEnd w:id="250"/>
    </w:p>
    <w:p>
      <w:pPr>
        <w:pStyle w:val="Subsection"/>
      </w:pPr>
      <w:r>
        <w:tab/>
      </w:r>
      <w:r>
        <w:tab/>
        <w:t>When the registrar gives default judgment under this Part the registrar may also make an order for costs.</w:t>
      </w:r>
    </w:p>
    <w:p>
      <w:pPr>
        <w:pStyle w:val="Heading2"/>
      </w:pPr>
      <w:bookmarkStart w:id="251" w:name="_Toc41473546"/>
      <w:bookmarkStart w:id="252" w:name="_Toc41487442"/>
      <w:bookmarkStart w:id="253" w:name="_Toc41551896"/>
      <w:bookmarkStart w:id="254" w:name="_Toc41552648"/>
      <w:bookmarkStart w:id="255" w:name="_Toc41638706"/>
      <w:bookmarkStart w:id="256" w:name="_Toc39501007"/>
      <w:bookmarkStart w:id="257" w:name="_Toc39566665"/>
      <w:bookmarkStart w:id="258" w:name="_Toc39575205"/>
      <w:bookmarkStart w:id="259" w:name="_Toc41638438"/>
      <w:r>
        <w:rPr>
          <w:rStyle w:val="CharPartNo"/>
        </w:rPr>
        <w:t>Part 6</w:t>
      </w:r>
      <w:r>
        <w:rPr>
          <w:rStyle w:val="CharDivNo"/>
        </w:rPr>
        <w:t> </w:t>
      </w:r>
      <w:r>
        <w:t>—</w:t>
      </w:r>
      <w:r>
        <w:rPr>
          <w:rStyle w:val="CharDivText"/>
        </w:rPr>
        <w:t> </w:t>
      </w:r>
      <w:r>
        <w:rPr>
          <w:rStyle w:val="CharPartText"/>
        </w:rPr>
        <w:t>Admission and discontinuance</w:t>
      </w:r>
      <w:bookmarkEnd w:id="251"/>
      <w:bookmarkEnd w:id="252"/>
      <w:bookmarkEnd w:id="253"/>
      <w:bookmarkEnd w:id="254"/>
      <w:bookmarkEnd w:id="255"/>
      <w:bookmarkEnd w:id="256"/>
      <w:bookmarkEnd w:id="257"/>
      <w:bookmarkEnd w:id="258"/>
      <w:bookmarkEnd w:id="259"/>
    </w:p>
    <w:p>
      <w:pPr>
        <w:pStyle w:val="Heading5"/>
      </w:pPr>
      <w:bookmarkStart w:id="260" w:name="_Toc41638707"/>
      <w:bookmarkStart w:id="261" w:name="_Toc41638439"/>
      <w:r>
        <w:rPr>
          <w:rStyle w:val="CharSectno"/>
        </w:rPr>
        <w:t>27</w:t>
      </w:r>
      <w:r>
        <w:t>.</w:t>
      </w:r>
      <w:r>
        <w:tab/>
        <w:t>Admitting alleged facts, manner of</w:t>
      </w:r>
      <w:bookmarkEnd w:id="260"/>
      <w:bookmarkEnd w:id="26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262" w:name="_Toc41638708"/>
      <w:bookmarkStart w:id="263" w:name="_Toc41638440"/>
      <w:r>
        <w:rPr>
          <w:rStyle w:val="CharSectno"/>
        </w:rPr>
        <w:t>28</w:t>
      </w:r>
      <w:r>
        <w:t>.</w:t>
      </w:r>
      <w:r>
        <w:tab/>
        <w:t>Invitation to admit alleged fact</w:t>
      </w:r>
      <w:bookmarkEnd w:id="262"/>
      <w:bookmarkEnd w:id="26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264" w:name="_Toc41638709"/>
      <w:bookmarkStart w:id="265" w:name="_Toc41638441"/>
      <w:r>
        <w:rPr>
          <w:rStyle w:val="CharSectno"/>
        </w:rPr>
        <w:t>29A</w:t>
      </w:r>
      <w:r>
        <w:t>.</w:t>
      </w:r>
      <w:r>
        <w:tab/>
        <w:t>Party admitting whole claim, judgment in case of</w:t>
      </w:r>
      <w:bookmarkEnd w:id="264"/>
      <w:bookmarkEnd w:id="26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266" w:name="_Toc41638710"/>
      <w:bookmarkStart w:id="267" w:name="_Toc41638442"/>
      <w:r>
        <w:rPr>
          <w:rStyle w:val="CharSectno"/>
        </w:rPr>
        <w:t>29B</w:t>
      </w:r>
      <w:r>
        <w:t>.</w:t>
      </w:r>
      <w:r>
        <w:tab/>
        <w:t>Party admitting part of claim may offer to settle claim</w:t>
      </w:r>
      <w:bookmarkEnd w:id="266"/>
      <w:bookmarkEnd w:id="26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268" w:name="_Toc41638711"/>
      <w:bookmarkStart w:id="269" w:name="_Toc41638443"/>
      <w:r>
        <w:rPr>
          <w:rStyle w:val="CharSectno"/>
        </w:rPr>
        <w:t>29C</w:t>
      </w:r>
      <w:r>
        <w:t>.</w:t>
      </w:r>
      <w:r>
        <w:tab/>
        <w:t>Party admitting whole claim may dispute amount claimed</w:t>
      </w:r>
      <w:bookmarkEnd w:id="268"/>
      <w:bookmarkEnd w:id="26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270" w:name="_Toc41638712"/>
      <w:bookmarkStart w:id="271" w:name="_Toc41638444"/>
      <w:r>
        <w:rPr>
          <w:rStyle w:val="CharSectno"/>
        </w:rPr>
        <w:t>29</w:t>
      </w:r>
      <w:r>
        <w:t>.</w:t>
      </w:r>
      <w:r>
        <w:tab/>
        <w:t>Party may discontinue claim</w:t>
      </w:r>
      <w:bookmarkEnd w:id="270"/>
      <w:bookmarkEnd w:id="271"/>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rPr>
          <w:ins w:id="272" w:author="Master Repository Process" w:date="2021-08-29T11:49:00Z"/>
        </w:rPr>
      </w:pPr>
      <w:ins w:id="273" w:author="Master Repository Process" w:date="2021-08-29T11:49:00Z">
        <w:r>
          <w:tab/>
          <w:t>(3)</w:t>
        </w:r>
        <w:r>
          <w:tab/>
          <w:t>If a party lodges a notice of discontinuance, any other party to the claim may apply to the Court for an order for costs.</w:t>
        </w:r>
      </w:ins>
    </w:p>
    <w:p>
      <w:pPr>
        <w:pStyle w:val="Footnotesection"/>
      </w:pPr>
      <w:r>
        <w:tab/>
        <w:t>[Rule 29 amended: Gazette 21 Jul 2017 p. 4025</w:t>
      </w:r>
      <w:ins w:id="274" w:author="Master Repository Process" w:date="2021-08-29T11:49:00Z">
        <w:r>
          <w:t>; SL 2020/67 r. 14</w:t>
        </w:r>
      </w:ins>
      <w:r>
        <w:t>.]</w:t>
      </w:r>
    </w:p>
    <w:p>
      <w:pPr>
        <w:pStyle w:val="Heading2"/>
      </w:pPr>
      <w:bookmarkStart w:id="275" w:name="_Toc41473553"/>
      <w:bookmarkStart w:id="276" w:name="_Toc41487449"/>
      <w:bookmarkStart w:id="277" w:name="_Toc41551903"/>
      <w:bookmarkStart w:id="278" w:name="_Toc41552655"/>
      <w:bookmarkStart w:id="279" w:name="_Toc41638713"/>
      <w:bookmarkStart w:id="280" w:name="_Toc39501014"/>
      <w:bookmarkStart w:id="281" w:name="_Toc39566672"/>
      <w:bookmarkStart w:id="282" w:name="_Toc39575212"/>
      <w:bookmarkStart w:id="283" w:name="_Toc41638445"/>
      <w:r>
        <w:rPr>
          <w:rStyle w:val="CharPartNo"/>
        </w:rPr>
        <w:t>Part 7</w:t>
      </w:r>
      <w:r>
        <w:t> — </w:t>
      </w:r>
      <w:r>
        <w:rPr>
          <w:rStyle w:val="CharPartText"/>
        </w:rPr>
        <w:t>Disclosure of documents</w:t>
      </w:r>
      <w:bookmarkEnd w:id="275"/>
      <w:bookmarkEnd w:id="276"/>
      <w:bookmarkEnd w:id="277"/>
      <w:bookmarkEnd w:id="278"/>
      <w:bookmarkEnd w:id="279"/>
      <w:bookmarkEnd w:id="280"/>
      <w:bookmarkEnd w:id="281"/>
      <w:bookmarkEnd w:id="282"/>
      <w:bookmarkEnd w:id="283"/>
    </w:p>
    <w:p>
      <w:pPr>
        <w:pStyle w:val="Heading5"/>
      </w:pPr>
      <w:bookmarkStart w:id="284" w:name="_Toc41638714"/>
      <w:bookmarkStart w:id="285" w:name="_Toc41638446"/>
      <w:r>
        <w:rPr>
          <w:rStyle w:val="CharSectno"/>
        </w:rPr>
        <w:t>30A</w:t>
      </w:r>
      <w:r>
        <w:t>.</w:t>
      </w:r>
      <w:r>
        <w:tab/>
        <w:t>Informal disclosure</w:t>
      </w:r>
      <w:bookmarkEnd w:id="284"/>
      <w:bookmarkEnd w:id="285"/>
    </w:p>
    <w:p>
      <w:pPr>
        <w:pStyle w:val="Subsection"/>
        <w:rPr>
          <w:del w:id="286" w:author="Master Repository Process" w:date="2021-08-29T11:49:00Z"/>
        </w:rPr>
      </w:pPr>
      <w:r>
        <w:tab/>
      </w:r>
      <w:del w:id="287" w:author="Master Repository Process" w:date="2021-08-29T11:49:00Z">
        <w:r>
          <w:delText>(1)</w:delText>
        </w:r>
        <w:r>
          <w:tab/>
          <w:delText>Subject to any order made by a registrar or</w:delText>
        </w:r>
      </w:del>
      <w:ins w:id="288" w:author="Master Repository Process" w:date="2021-08-29T11:49:00Z">
        <w:r>
          <w:tab/>
          <w:t>At least 14 days before</w:t>
        </w:r>
      </w:ins>
      <w:r>
        <w:t xml:space="preserve"> the </w:t>
      </w:r>
      <w:del w:id="289" w:author="Master Repository Process" w:date="2021-08-29T11:49:00Z">
        <w:r>
          <w:delText>Court,</w:delText>
        </w:r>
      </w:del>
      <w:ins w:id="290" w:author="Master Repository Process" w:date="2021-08-29T11:49:00Z">
        <w:r>
          <w:t>date of a pre</w:t>
        </w:r>
        <w:r>
          <w:noBreakHyphen/>
          <w:t>trial conference listed under rule 39(4),</w:t>
        </w:r>
      </w:ins>
      <w:r>
        <w:t xml:space="preserve"> each party to the </w:t>
      </w:r>
      <w:del w:id="291" w:author="Master Repository Process" w:date="2021-08-29T11:49:00Z">
        <w:r>
          <w:delText>action may</w:delText>
        </w:r>
      </w:del>
      <w:ins w:id="292" w:author="Master Repository Process" w:date="2021-08-29T11:49:00Z">
        <w:r>
          <w:t>case must</w:t>
        </w:r>
      </w:ins>
      <w:r>
        <w:t xml:space="preserve"> disclose documents relating to any matter in question in the </w:t>
      </w:r>
      <w:del w:id="293" w:author="Master Repository Process" w:date="2021-08-29T11:49:00Z">
        <w:r>
          <w:delText>action to the other parties.</w:delText>
        </w:r>
      </w:del>
    </w:p>
    <w:p>
      <w:pPr>
        <w:pStyle w:val="Subsection"/>
        <w:rPr>
          <w:del w:id="294" w:author="Master Repository Process" w:date="2021-08-29T11:49:00Z"/>
        </w:rPr>
      </w:pPr>
      <w:del w:id="295" w:author="Master Repository Process" w:date="2021-08-29T11:49:00Z">
        <w:r>
          <w:tab/>
          <w:delText>(2)</w:delText>
        </w:r>
        <w:r>
          <w:tab/>
          <w:delText xml:space="preserve">Disclosure may — </w:delText>
        </w:r>
      </w:del>
    </w:p>
    <w:p>
      <w:pPr>
        <w:pStyle w:val="Subsection"/>
      </w:pPr>
      <w:del w:id="296" w:author="Master Repository Process" w:date="2021-08-29T11:49:00Z">
        <w:r>
          <w:tab/>
          <w:delText>(a)</w:delText>
        </w:r>
        <w:r>
          <w:tab/>
          <w:delText>with the consent of each other party to the action, be by way of</w:delText>
        </w:r>
      </w:del>
      <w:ins w:id="297" w:author="Master Repository Process" w:date="2021-08-29T11:49:00Z">
        <w:r>
          <w:t>case by providing</w:t>
        </w:r>
      </w:ins>
      <w:r>
        <w:t xml:space="preserve"> an informal list of </w:t>
      </w:r>
      <w:del w:id="298" w:author="Master Repository Process" w:date="2021-08-29T11:49:00Z">
        <w:r>
          <w:delText xml:space="preserve">the </w:delText>
        </w:r>
      </w:del>
      <w:r>
        <w:t>documents</w:t>
      </w:r>
      <w:del w:id="299" w:author="Master Repository Process" w:date="2021-08-29T11:49:00Z">
        <w:r>
          <w:delText>; or</w:delText>
        </w:r>
      </w:del>
      <w:ins w:id="300" w:author="Master Repository Process" w:date="2021-08-29T11:49:00Z">
        <w:r>
          <w:t xml:space="preserve"> to the other parties.</w:t>
        </w:r>
      </w:ins>
    </w:p>
    <w:p>
      <w:pPr>
        <w:pStyle w:val="Indenta"/>
        <w:rPr>
          <w:del w:id="301" w:author="Master Repository Process" w:date="2021-08-29T11:49:00Z"/>
        </w:rPr>
      </w:pPr>
      <w:del w:id="302" w:author="Master Repository Process" w:date="2021-08-29T11:49:00Z">
        <w:r>
          <w:tab/>
          <w:delText>(b)</w:delText>
        </w:r>
        <w:r>
          <w:tab/>
          <w:delText>be by way of affidavit containing a list of the documents served on the other parties.</w:delText>
        </w:r>
      </w:del>
    </w:p>
    <w:p>
      <w:pPr>
        <w:pStyle w:val="Footnotesection"/>
      </w:pPr>
      <w:r>
        <w:tab/>
        <w:t xml:space="preserve">[Rule 30A inserted: </w:t>
      </w:r>
      <w:del w:id="303" w:author="Master Repository Process" w:date="2021-08-29T11:49:00Z">
        <w:r>
          <w:delText>Gazette 24 May 2013 p. 2061-2</w:delText>
        </w:r>
      </w:del>
      <w:ins w:id="304" w:author="Master Repository Process" w:date="2021-08-29T11:49:00Z">
        <w:r>
          <w:t>SL 2020/67 r. 15</w:t>
        </w:r>
      </w:ins>
      <w:r>
        <w:t>.]</w:t>
      </w:r>
    </w:p>
    <w:p>
      <w:pPr>
        <w:pStyle w:val="Heading5"/>
      </w:pPr>
      <w:bookmarkStart w:id="305" w:name="_Toc41638715"/>
      <w:bookmarkStart w:id="306" w:name="_Toc41638447"/>
      <w:r>
        <w:rPr>
          <w:rStyle w:val="CharSectno"/>
        </w:rPr>
        <w:t>30</w:t>
      </w:r>
      <w:r>
        <w:t>.</w:t>
      </w:r>
      <w:r>
        <w:tab/>
        <w:t>Party must disclose documents when ordered</w:t>
      </w:r>
      <w:bookmarkEnd w:id="305"/>
      <w:bookmarkEnd w:id="306"/>
    </w:p>
    <w:p>
      <w:pPr>
        <w:pStyle w:val="Subsection"/>
        <w:rPr>
          <w:ins w:id="307" w:author="Master Repository Process" w:date="2021-08-29T11:49:00Z"/>
        </w:rPr>
      </w:pPr>
      <w:r>
        <w:tab/>
        <w:t>(1)</w:t>
      </w:r>
      <w:r>
        <w:tab/>
      </w:r>
      <w:del w:id="308" w:author="Master Repository Process" w:date="2021-08-29T11:49:00Z">
        <w:r>
          <w:delText>Subject to any objection under</w:delText>
        </w:r>
      </w:del>
      <w:ins w:id="309" w:author="Master Repository Process" w:date="2021-08-29T11:49:00Z">
        <w:r>
          <w:t>In this</w:t>
        </w:r>
      </w:ins>
      <w:r>
        <w:t xml:space="preserve"> rule </w:t>
      </w:r>
      <w:del w:id="310" w:author="Master Repository Process" w:date="2021-08-29T11:49:00Z">
        <w:r>
          <w:delText>32, when</w:delText>
        </w:r>
      </w:del>
      <w:ins w:id="311" w:author="Master Repository Process" w:date="2021-08-29T11:49:00Z">
        <w:r>
          <w:t>—</w:t>
        </w:r>
      </w:ins>
    </w:p>
    <w:p>
      <w:pPr>
        <w:pStyle w:val="Defstart"/>
      </w:pPr>
      <w:ins w:id="312" w:author="Master Repository Process" w:date="2021-08-29T11:49:00Z">
        <w:r>
          <w:tab/>
        </w:r>
        <w:r>
          <w:rPr>
            <w:rStyle w:val="CharDefText"/>
          </w:rPr>
          <w:t>relevant order</w:t>
        </w:r>
        <w:r>
          <w:t xml:space="preserve"> means an order made by</w:t>
        </w:r>
      </w:ins>
      <w:r>
        <w:t xml:space="preserve"> a registrar or the Court</w:t>
      </w:r>
      <w:del w:id="313" w:author="Master Repository Process" w:date="2021-08-29T11:49:00Z">
        <w:r>
          <w:delText xml:space="preserve"> makes an order</w:delText>
        </w:r>
      </w:del>
      <w:r>
        <w:t xml:space="preserve"> under the Act section 16(1)(n) that a party must provide additional information by disclosing documents relevant to the case</w:t>
      </w:r>
      <w:del w:id="314" w:author="Master Repository Process" w:date="2021-08-29T11:49:00Z">
        <w:r>
          <w:delText>, the party must lodge and serve an affidavit containing a list of the documents within the period ordered by the registrar or the Court</w:delText>
        </w:r>
      </w:del>
      <w:r>
        <w:t>.</w:t>
      </w:r>
    </w:p>
    <w:p>
      <w:pPr>
        <w:pStyle w:val="Subsection"/>
        <w:rPr>
          <w:ins w:id="315" w:author="Master Repository Process" w:date="2021-08-29T11:49:00Z"/>
        </w:rPr>
      </w:pPr>
      <w:r>
        <w:tab/>
        <w:t>(2)</w:t>
      </w:r>
      <w:r>
        <w:tab/>
      </w:r>
      <w:del w:id="316" w:author="Master Repository Process" w:date="2021-08-29T11:49:00Z">
        <w:r>
          <w:delText>Subject to any objection under rule 32, if</w:delText>
        </w:r>
      </w:del>
      <w:ins w:id="317" w:author="Master Repository Process" w:date="2021-08-29T11:49:00Z">
        <w:r>
          <w:t>A party against whom a relevant order is made must lodge and serve an affidavit containing a list of the documents by the date ordered.</w:t>
        </w:r>
      </w:ins>
    </w:p>
    <w:p>
      <w:pPr>
        <w:pStyle w:val="Subsection"/>
        <w:rPr>
          <w:del w:id="318" w:author="Master Repository Process" w:date="2021-08-29T11:49:00Z"/>
        </w:rPr>
      </w:pPr>
      <w:ins w:id="319" w:author="Master Repository Process" w:date="2021-08-29T11:49:00Z">
        <w:r>
          <w:tab/>
          <w:t>(3)</w:t>
        </w:r>
        <w:r>
          <w:tab/>
          <w:t>If</w:t>
        </w:r>
      </w:ins>
      <w:r>
        <w:t xml:space="preserve"> the party subsequently</w:t>
      </w:r>
      <w:del w:id="320" w:author="Master Repository Process" w:date="2021-08-29T11:49:00Z">
        <w:r>
          <w:delText> —</w:delText>
        </w:r>
      </w:del>
    </w:p>
    <w:p>
      <w:pPr>
        <w:pStyle w:val="Indenta"/>
        <w:rPr>
          <w:del w:id="321" w:author="Master Repository Process" w:date="2021-08-29T11:49:00Z"/>
        </w:rPr>
      </w:pPr>
      <w:del w:id="322" w:author="Master Repository Process" w:date="2021-08-29T11:49:00Z">
        <w:r>
          <w:tab/>
          <w:delText>(a)</w:delText>
        </w:r>
        <w:r>
          <w:tab/>
        </w:r>
      </w:del>
      <w:ins w:id="323" w:author="Master Repository Process" w:date="2021-08-29T11:49:00Z">
        <w:r>
          <w:t xml:space="preserve"> </w:t>
        </w:r>
      </w:ins>
      <w:r>
        <w:t>comes into possession</w:t>
      </w:r>
      <w:del w:id="324" w:author="Master Repository Process" w:date="2021-08-29T11:49:00Z">
        <w:r>
          <w:delText>;</w:delText>
        </w:r>
      </w:del>
      <w:ins w:id="325" w:author="Master Repository Process" w:date="2021-08-29T11:49:00Z">
        <w:r>
          <w:t>,</w:t>
        </w:r>
      </w:ins>
      <w:r>
        <w:t xml:space="preserve"> or</w:t>
      </w:r>
    </w:p>
    <w:p>
      <w:pPr>
        <w:pStyle w:val="Indenta"/>
        <w:rPr>
          <w:del w:id="326" w:author="Master Repository Process" w:date="2021-08-29T11:49:00Z"/>
        </w:rPr>
      </w:pPr>
      <w:del w:id="327" w:author="Master Repository Process" w:date="2021-08-29T11:49:00Z">
        <w:r>
          <w:tab/>
          <w:delText>(b)</w:delText>
        </w:r>
        <w:r>
          <w:tab/>
        </w:r>
      </w:del>
      <w:ins w:id="328" w:author="Master Repository Process" w:date="2021-08-29T11:49:00Z">
        <w:r>
          <w:t xml:space="preserve"> </w:t>
        </w:r>
      </w:ins>
      <w:r>
        <w:t>becomes aware that it is in possession,</w:t>
      </w:r>
    </w:p>
    <w:p>
      <w:pPr>
        <w:pStyle w:val="Subsection"/>
      </w:pPr>
      <w:del w:id="329" w:author="Master Repository Process" w:date="2021-08-29T11:49:00Z">
        <w:r>
          <w:tab/>
        </w:r>
        <w:r>
          <w:tab/>
        </w:r>
      </w:del>
      <w:ins w:id="330" w:author="Master Repository Process" w:date="2021-08-29T11:49:00Z">
        <w:r>
          <w:t xml:space="preserve"> </w:t>
        </w:r>
      </w:ins>
      <w:r>
        <w:t xml:space="preserve">of further documents required to be disclosed under </w:t>
      </w:r>
      <w:del w:id="331" w:author="Master Repository Process" w:date="2021-08-29T11:49:00Z">
        <w:r>
          <w:delText>an</w:delText>
        </w:r>
      </w:del>
      <w:ins w:id="332" w:author="Master Repository Process" w:date="2021-08-29T11:49:00Z">
        <w:r>
          <w:t>a relevant</w:t>
        </w:r>
      </w:ins>
      <w:r>
        <w:t xml:space="preserve"> order</w:t>
      </w:r>
      <w:del w:id="333" w:author="Master Repository Process" w:date="2021-08-29T11:49:00Z">
        <w:r>
          <w:delText xml:space="preserve"> of a registrar or the Court</w:delText>
        </w:r>
      </w:del>
      <w:r>
        <w:t>, the party must, as soon as practicable after that, lodge and serve an affidavit containing a list of those documents.</w:t>
      </w:r>
    </w:p>
    <w:p>
      <w:pPr>
        <w:pStyle w:val="Subsection"/>
        <w:rPr>
          <w:ins w:id="334" w:author="Master Repository Process" w:date="2021-08-29T11:49:00Z"/>
        </w:rPr>
      </w:pPr>
      <w:ins w:id="335" w:author="Master Repository Process" w:date="2021-08-29T11:49:00Z">
        <w:r>
          <w:tab/>
          <w:t>(4)</w:t>
        </w:r>
        <w:r>
          <w:tab/>
          <w:t>A party may object under rule 32 to the disclosure of any document otherwise required to be disclosed under a relevant order.</w:t>
        </w:r>
      </w:ins>
    </w:p>
    <w:p>
      <w:pPr>
        <w:pStyle w:val="Footnotesection"/>
      </w:pPr>
      <w:r>
        <w:tab/>
        <w:t xml:space="preserve">[Rule 30 </w:t>
      </w:r>
      <w:del w:id="336" w:author="Master Repository Process" w:date="2021-08-29T11:49:00Z">
        <w:r>
          <w:delText>amended: Gazette 3 Jun 2008 p. 2127</w:delText>
        </w:r>
      </w:del>
      <w:ins w:id="337" w:author="Master Repository Process" w:date="2021-08-29T11:49:00Z">
        <w:r>
          <w:t>inserted: SL 2020/67 r. 16</w:t>
        </w:r>
      </w:ins>
      <w:r>
        <w:t>.]</w:t>
      </w:r>
    </w:p>
    <w:p>
      <w:pPr>
        <w:pStyle w:val="Heading5"/>
        <w:spacing w:before="180"/>
      </w:pPr>
      <w:bookmarkStart w:id="338" w:name="_Toc41638716"/>
      <w:bookmarkStart w:id="339" w:name="_Toc41638448"/>
      <w:r>
        <w:rPr>
          <w:rStyle w:val="CharSectno"/>
        </w:rPr>
        <w:t>31</w:t>
      </w:r>
      <w:r>
        <w:t>.</w:t>
      </w:r>
      <w:r>
        <w:tab/>
        <w:t>Affidavit of disclosure</w:t>
      </w:r>
      <w:bookmarkEnd w:id="338"/>
      <w:bookmarkEnd w:id="339"/>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 xml:space="preserve">The affidavit </w:t>
      </w:r>
      <w:del w:id="340" w:author="Master Repository Process" w:date="2021-08-29T11:49:00Z">
        <w:r>
          <w:delText>may</w:delText>
        </w:r>
      </w:del>
      <w:ins w:id="341" w:author="Master Repository Process" w:date="2021-08-29T11:49:00Z">
        <w:r>
          <w:t>must</w:t>
        </w:r>
      </w:ins>
      <w:r>
        <w:t xml:space="preserve"> be made by the </w:t>
      </w:r>
      <w:del w:id="342" w:author="Master Repository Process" w:date="2021-08-29T11:49:00Z">
        <w:r>
          <w:delText>party or the party’s lawyer</w:delText>
        </w:r>
      </w:del>
      <w:ins w:id="343" w:author="Master Repository Process" w:date="2021-08-29T11:49:00Z">
        <w:r>
          <w:t>deponent personally</w:t>
        </w:r>
      </w:ins>
      <w:r>
        <w:t>.</w:t>
      </w:r>
    </w:p>
    <w:p>
      <w:pPr>
        <w:pStyle w:val="Subsection"/>
        <w:spacing w:before="120"/>
        <w:rPr>
          <w:del w:id="344" w:author="Master Repository Process" w:date="2021-08-29T11:49:00Z"/>
        </w:rPr>
      </w:pPr>
      <w:del w:id="345" w:author="Master Repository Process" w:date="2021-08-29T11:49:00Z">
        <w:r>
          <w:tab/>
          <w:delText>(4)</w:delText>
        </w:r>
        <w:r>
          <w:tab/>
          <w:delText>If the affidavit is made by the party’s lawyer, then it must also state that the lawyer has fully explained the obligations of disclosure under these rules to the party.</w:delText>
        </w:r>
      </w:del>
    </w:p>
    <w:p>
      <w:pPr>
        <w:pStyle w:val="Ednotesubsection"/>
        <w:rPr>
          <w:ins w:id="346" w:author="Master Repository Process" w:date="2021-08-29T11:49:00Z"/>
        </w:rPr>
      </w:pPr>
      <w:ins w:id="347" w:author="Master Repository Process" w:date="2021-08-29T11:49:00Z">
        <w:r>
          <w:tab/>
          <w:t>[(4)</w:t>
        </w:r>
        <w:r>
          <w:tab/>
          <w:t>deleted]</w:t>
        </w:r>
      </w:ins>
    </w:p>
    <w:p>
      <w:pPr>
        <w:pStyle w:val="Footnotesection"/>
      </w:pPr>
      <w:r>
        <w:tab/>
        <w:t>[Rule 31 amended: Gazette 3 Jun 2008 p. 2127</w:t>
      </w:r>
      <w:ins w:id="348" w:author="Master Repository Process" w:date="2021-08-29T11:49:00Z">
        <w:r>
          <w:t>; SL 2020/67 r. 17</w:t>
        </w:r>
      </w:ins>
      <w:r>
        <w:t>.]</w:t>
      </w:r>
    </w:p>
    <w:p>
      <w:pPr>
        <w:pStyle w:val="Heading5"/>
      </w:pPr>
      <w:bookmarkStart w:id="349" w:name="_Toc41638717"/>
      <w:bookmarkStart w:id="350" w:name="_Toc41638449"/>
      <w:r>
        <w:rPr>
          <w:rStyle w:val="CharSectno"/>
        </w:rPr>
        <w:t>32</w:t>
      </w:r>
      <w:r>
        <w:t>.</w:t>
      </w:r>
      <w:r>
        <w:tab/>
        <w:t>Objecting to disclosure of documents</w:t>
      </w:r>
      <w:bookmarkEnd w:id="349"/>
      <w:bookmarkEnd w:id="350"/>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351" w:name="_Toc41638718"/>
      <w:bookmarkStart w:id="352" w:name="_Toc41638450"/>
      <w:r>
        <w:rPr>
          <w:rStyle w:val="CharSectno"/>
        </w:rPr>
        <w:t>33</w:t>
      </w:r>
      <w:r>
        <w:t>.</w:t>
      </w:r>
      <w:r>
        <w:tab/>
        <w:t>Inspecting disclosed documents</w:t>
      </w:r>
      <w:bookmarkEnd w:id="351"/>
      <w:bookmarkEnd w:id="352"/>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353" w:name="_Toc41638719"/>
      <w:bookmarkStart w:id="354" w:name="_Toc41638451"/>
      <w:r>
        <w:rPr>
          <w:rStyle w:val="CharSectno"/>
        </w:rPr>
        <w:t>34</w:t>
      </w:r>
      <w:r>
        <w:t>.</w:t>
      </w:r>
      <w:r>
        <w:tab/>
        <w:t>Disclosed documents to be available at trial</w:t>
      </w:r>
      <w:bookmarkEnd w:id="353"/>
      <w:bookmarkEnd w:id="354"/>
    </w:p>
    <w:p>
      <w:pPr>
        <w:pStyle w:val="Subsection"/>
      </w:pPr>
      <w:r>
        <w:tab/>
      </w:r>
      <w:r>
        <w:tab/>
        <w:t>If a party discloses a document, the party must have the document available at the trial.</w:t>
      </w:r>
    </w:p>
    <w:p>
      <w:pPr>
        <w:pStyle w:val="Heading2"/>
      </w:pPr>
      <w:bookmarkStart w:id="355" w:name="_Toc41473560"/>
      <w:bookmarkStart w:id="356" w:name="_Toc39501021"/>
      <w:bookmarkStart w:id="357" w:name="_Toc39566679"/>
      <w:bookmarkStart w:id="358" w:name="_Toc39575219"/>
      <w:bookmarkStart w:id="359" w:name="_Toc41638452"/>
      <w:bookmarkStart w:id="360" w:name="_Toc41487456"/>
      <w:bookmarkStart w:id="361" w:name="_Toc41551910"/>
      <w:bookmarkStart w:id="362" w:name="_Toc41552662"/>
      <w:bookmarkStart w:id="363" w:name="_Toc41638720"/>
      <w:r>
        <w:rPr>
          <w:rStyle w:val="CharPartNo"/>
        </w:rPr>
        <w:t>Part 8</w:t>
      </w:r>
      <w:r>
        <w:rPr>
          <w:rStyle w:val="CharDivNo"/>
        </w:rPr>
        <w:t> </w:t>
      </w:r>
      <w:r>
        <w:t>—</w:t>
      </w:r>
      <w:r>
        <w:rPr>
          <w:rStyle w:val="CharDivText"/>
        </w:rPr>
        <w:t> </w:t>
      </w:r>
      <w:r>
        <w:rPr>
          <w:rStyle w:val="CharPartText"/>
        </w:rPr>
        <w:t>Answers to interrogatories</w:t>
      </w:r>
      <w:bookmarkEnd w:id="355"/>
      <w:bookmarkEnd w:id="356"/>
      <w:bookmarkEnd w:id="357"/>
      <w:bookmarkEnd w:id="358"/>
      <w:bookmarkEnd w:id="359"/>
      <w:ins w:id="364" w:author="Master Repository Process" w:date="2021-08-29T11:49:00Z">
        <w:r>
          <w:rPr>
            <w:rStyle w:val="CharPartText"/>
          </w:rPr>
          <w:t xml:space="preserve"> and requests for further particulars</w:t>
        </w:r>
      </w:ins>
      <w:bookmarkEnd w:id="360"/>
      <w:bookmarkEnd w:id="361"/>
      <w:bookmarkEnd w:id="362"/>
      <w:bookmarkEnd w:id="363"/>
    </w:p>
    <w:p>
      <w:pPr>
        <w:pStyle w:val="Footnoteheading"/>
        <w:rPr>
          <w:ins w:id="365" w:author="Master Repository Process" w:date="2021-08-29T11:49:00Z"/>
        </w:rPr>
      </w:pPr>
      <w:ins w:id="366" w:author="Master Repository Process" w:date="2021-08-29T11:49:00Z">
        <w:r>
          <w:tab/>
          <w:t>[Heading amended: SL 2020/67 r. 18.]</w:t>
        </w:r>
      </w:ins>
    </w:p>
    <w:p>
      <w:pPr>
        <w:pStyle w:val="Heading5"/>
      </w:pPr>
      <w:bookmarkStart w:id="367" w:name="_Toc41638721"/>
      <w:bookmarkStart w:id="368" w:name="_Toc41638453"/>
      <w:r>
        <w:rPr>
          <w:rStyle w:val="CharSectno"/>
        </w:rPr>
        <w:t>35</w:t>
      </w:r>
      <w:r>
        <w:t>.</w:t>
      </w:r>
      <w:r>
        <w:tab/>
        <w:t>Order to answer interrogatories, application for (Act s. 16(1)(n))</w:t>
      </w:r>
      <w:bookmarkEnd w:id="367"/>
      <w:bookmarkEnd w:id="368"/>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369" w:name="_Toc41638722"/>
      <w:bookmarkStart w:id="370" w:name="_Toc41638454"/>
      <w:r>
        <w:rPr>
          <w:rStyle w:val="CharSectno"/>
        </w:rPr>
        <w:t>36</w:t>
      </w:r>
      <w:r>
        <w:t>.</w:t>
      </w:r>
      <w:r>
        <w:tab/>
        <w:t>Party must answer interrogatories when ordered</w:t>
      </w:r>
      <w:bookmarkEnd w:id="369"/>
      <w:bookmarkEnd w:id="370"/>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371" w:name="_Toc41638723"/>
      <w:bookmarkStart w:id="372" w:name="_Toc41638455"/>
      <w:r>
        <w:rPr>
          <w:rStyle w:val="CharSectno"/>
        </w:rPr>
        <w:t>37</w:t>
      </w:r>
      <w:r>
        <w:t>.</w:t>
      </w:r>
      <w:r>
        <w:tab/>
        <w:t>Affidavit of answers</w:t>
      </w:r>
      <w:bookmarkEnd w:id="371"/>
      <w:bookmarkEnd w:id="372"/>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rPr>
          <w:ins w:id="373" w:author="Master Repository Process" w:date="2021-08-29T11:49:00Z"/>
        </w:rPr>
      </w:pPr>
      <w:bookmarkStart w:id="374" w:name="_Toc41638724"/>
      <w:del w:id="375" w:author="Master Repository Process" w:date="2021-08-29T11:49:00Z">
        <w:r>
          <w:delText>[</w:delText>
        </w:r>
      </w:del>
      <w:r>
        <w:rPr>
          <w:rStyle w:val="CharSectno"/>
        </w:rPr>
        <w:t>38</w:t>
      </w:r>
      <w:r>
        <w:t>.</w:t>
      </w:r>
      <w:r>
        <w:tab/>
      </w:r>
      <w:del w:id="376" w:author="Master Repository Process" w:date="2021-08-29T11:49:00Z">
        <w:r>
          <w:delText xml:space="preserve">Deleted: Gazette </w:delText>
        </w:r>
      </w:del>
      <w:ins w:id="377" w:author="Master Repository Process" w:date="2021-08-29T11:49:00Z">
        <w:r>
          <w:t>Requesting further particulars of a pleading</w:t>
        </w:r>
        <w:bookmarkEnd w:id="374"/>
      </w:ins>
    </w:p>
    <w:p>
      <w:pPr>
        <w:pStyle w:val="Subsection"/>
        <w:rPr>
          <w:ins w:id="378" w:author="Master Repository Process" w:date="2021-08-29T11:49:00Z"/>
        </w:rPr>
      </w:pPr>
      <w:ins w:id="379" w:author="Master Repository Process" w:date="2021-08-29T11:49:00Z">
        <w:r>
          <w:tab/>
          <w:t>(1)</w:t>
        </w:r>
        <w:r>
          <w:tab/>
          <w:t xml:space="preserve">In this rule — </w:t>
        </w:r>
      </w:ins>
    </w:p>
    <w:p>
      <w:pPr>
        <w:pStyle w:val="Defstart"/>
        <w:rPr>
          <w:ins w:id="380" w:author="Master Repository Process" w:date="2021-08-29T11:49:00Z"/>
        </w:rPr>
      </w:pPr>
      <w:ins w:id="381" w:author="Master Repository Process" w:date="2021-08-29T11:49:00Z">
        <w:r>
          <w:tab/>
        </w:r>
        <w:r>
          <w:rPr>
            <w:rStyle w:val="CharDefText"/>
          </w:rPr>
          <w:t>pleading</w:t>
        </w:r>
        <w:r>
          <w:t xml:space="preserve"> means any of the following documents lodged and served under Part 2 — </w:t>
        </w:r>
      </w:ins>
    </w:p>
    <w:p>
      <w:pPr>
        <w:pStyle w:val="Defpara"/>
        <w:rPr>
          <w:ins w:id="382" w:author="Master Repository Process" w:date="2021-08-29T11:49:00Z"/>
        </w:rPr>
      </w:pPr>
      <w:ins w:id="383" w:author="Master Repository Process" w:date="2021-08-29T11:49:00Z">
        <w:r>
          <w:tab/>
          <w:t>(a)</w:t>
        </w:r>
        <w:r>
          <w:tab/>
          <w:t>a statement of claim;</w:t>
        </w:r>
      </w:ins>
    </w:p>
    <w:p>
      <w:pPr>
        <w:pStyle w:val="Defpara"/>
        <w:rPr>
          <w:ins w:id="384" w:author="Master Repository Process" w:date="2021-08-29T11:49:00Z"/>
        </w:rPr>
      </w:pPr>
      <w:ins w:id="385" w:author="Master Repository Process" w:date="2021-08-29T11:49:00Z">
        <w:r>
          <w:tab/>
          <w:t>(b)</w:t>
        </w:r>
        <w:r>
          <w:tab/>
          <w:t>a defence;</w:t>
        </w:r>
      </w:ins>
    </w:p>
    <w:p>
      <w:pPr>
        <w:pStyle w:val="Defpara"/>
        <w:rPr>
          <w:ins w:id="386" w:author="Master Repository Process" w:date="2021-08-29T11:49:00Z"/>
        </w:rPr>
      </w:pPr>
      <w:ins w:id="387" w:author="Master Repository Process" w:date="2021-08-29T11:49:00Z">
        <w:r>
          <w:tab/>
          <w:t>(c)</w:t>
        </w:r>
        <w:r>
          <w:tab/>
          <w:t>a third party claim;</w:t>
        </w:r>
      </w:ins>
    </w:p>
    <w:p>
      <w:pPr>
        <w:pStyle w:val="Defpara"/>
        <w:rPr>
          <w:ins w:id="388" w:author="Master Repository Process" w:date="2021-08-29T11:49:00Z"/>
        </w:rPr>
      </w:pPr>
      <w:ins w:id="389" w:author="Master Repository Process" w:date="2021-08-29T11:49:00Z">
        <w:r>
          <w:tab/>
          <w:t>(d)</w:t>
        </w:r>
        <w:r>
          <w:tab/>
          <w:t>a statement of defence;</w:t>
        </w:r>
      </w:ins>
    </w:p>
    <w:p>
      <w:pPr>
        <w:pStyle w:val="Defpara"/>
        <w:rPr>
          <w:ins w:id="390" w:author="Master Repository Process" w:date="2021-08-29T11:49:00Z"/>
        </w:rPr>
      </w:pPr>
      <w:ins w:id="391" w:author="Master Repository Process" w:date="2021-08-29T11:49:00Z">
        <w:r>
          <w:tab/>
          <w:t>(e)</w:t>
        </w:r>
        <w:r>
          <w:tab/>
          <w:t>a statement of defence and counterclaim;</w:t>
        </w:r>
      </w:ins>
    </w:p>
    <w:p>
      <w:pPr>
        <w:pStyle w:val="Defpara"/>
        <w:rPr>
          <w:ins w:id="392" w:author="Master Repository Process" w:date="2021-08-29T11:49:00Z"/>
        </w:rPr>
      </w:pPr>
      <w:ins w:id="393" w:author="Master Repository Process" w:date="2021-08-29T11:49:00Z">
        <w:r>
          <w:tab/>
          <w:t>(f)</w:t>
        </w:r>
        <w:r>
          <w:tab/>
          <w:t>a statement of defence to a counterclaim;</w:t>
        </w:r>
      </w:ins>
    </w:p>
    <w:p>
      <w:pPr>
        <w:pStyle w:val="Defpara"/>
        <w:rPr>
          <w:ins w:id="394" w:author="Master Repository Process" w:date="2021-08-29T11:49:00Z"/>
        </w:rPr>
      </w:pPr>
      <w:ins w:id="395" w:author="Master Repository Process" w:date="2021-08-29T11:49:00Z">
        <w:r>
          <w:tab/>
          <w:t>(g)</w:t>
        </w:r>
        <w:r>
          <w:tab/>
          <w:t>a reply.</w:t>
        </w:r>
      </w:ins>
    </w:p>
    <w:p>
      <w:pPr>
        <w:pStyle w:val="Subsection"/>
        <w:rPr>
          <w:ins w:id="396" w:author="Master Repository Process" w:date="2021-08-29T11:49:00Z"/>
        </w:rPr>
      </w:pPr>
      <w:ins w:id="397" w:author="Master Repository Process" w:date="2021-08-29T11:49:00Z">
        <w:r>
          <w:tab/>
          <w:t>(2)</w:t>
        </w:r>
        <w:r>
          <w:tab/>
          <w:t xml:space="preserve">A party (the </w:t>
        </w:r>
        <w:r>
          <w:rPr>
            <w:rStyle w:val="CharDefText"/>
          </w:rPr>
          <w:t>requesting party</w:t>
        </w:r>
        <w:r>
          <w:t>) may request from another party further particulars of a pleading.</w:t>
        </w:r>
      </w:ins>
    </w:p>
    <w:p>
      <w:pPr>
        <w:pStyle w:val="Subsection"/>
        <w:rPr>
          <w:ins w:id="398" w:author="Master Repository Process" w:date="2021-08-29T11:49:00Z"/>
        </w:rPr>
      </w:pPr>
      <w:ins w:id="399" w:author="Master Repository Process" w:date="2021-08-29T11:49:00Z">
        <w:r>
          <w:tab/>
          <w:t>(</w:t>
        </w:r>
      </w:ins>
      <w:r>
        <w:t>3</w:t>
      </w:r>
      <w:del w:id="400" w:author="Master Repository Process" w:date="2021-08-29T11:49:00Z">
        <w:r>
          <w:delText> Jun 2008 p. 2128</w:delText>
        </w:r>
      </w:del>
      <w:ins w:id="401" w:author="Master Repository Process" w:date="2021-08-29T11:49:00Z">
        <w:r>
          <w:t>)</w:t>
        </w:r>
        <w:r>
          <w:tab/>
          <w:t xml:space="preserve">The requesting party may apply to the Court for an order directing the other party to provide further particulars if — </w:t>
        </w:r>
      </w:ins>
    </w:p>
    <w:p>
      <w:pPr>
        <w:pStyle w:val="Indenta"/>
        <w:rPr>
          <w:ins w:id="402" w:author="Master Repository Process" w:date="2021-08-29T11:49:00Z"/>
        </w:rPr>
      </w:pPr>
      <w:ins w:id="403" w:author="Master Repository Process" w:date="2021-08-29T11:49:00Z">
        <w:r>
          <w:tab/>
          <w:t>(a)</w:t>
        </w:r>
        <w:r>
          <w:tab/>
          <w:t>the other party has failed to respond to the request within 14 days of receiving it; or</w:t>
        </w:r>
      </w:ins>
    </w:p>
    <w:p>
      <w:pPr>
        <w:pStyle w:val="Indenta"/>
        <w:rPr>
          <w:ins w:id="404" w:author="Master Repository Process" w:date="2021-08-29T11:49:00Z"/>
        </w:rPr>
      </w:pPr>
      <w:ins w:id="405" w:author="Master Repository Process" w:date="2021-08-29T11:49:00Z">
        <w:r>
          <w:tab/>
          <w:t>(b)</w:t>
        </w:r>
        <w:r>
          <w:tab/>
          <w:t>the further particulars given are, in the opinion of the requesting party, inadequate.</w:t>
        </w:r>
      </w:ins>
    </w:p>
    <w:p>
      <w:pPr>
        <w:pStyle w:val="Footnotesection"/>
      </w:pPr>
      <w:ins w:id="406" w:author="Master Repository Process" w:date="2021-08-29T11:49:00Z">
        <w:r>
          <w:tab/>
          <w:t>[Rule 38 inserted: SL 2020/67 r. 19</w:t>
        </w:r>
      </w:ins>
      <w:r>
        <w:t>.]</w:t>
      </w:r>
    </w:p>
    <w:p>
      <w:pPr>
        <w:pStyle w:val="Heading2"/>
      </w:pPr>
      <w:bookmarkStart w:id="407" w:name="_Toc41473564"/>
      <w:bookmarkStart w:id="408" w:name="_Toc41487461"/>
      <w:bookmarkStart w:id="409" w:name="_Toc41551915"/>
      <w:bookmarkStart w:id="410" w:name="_Toc41552667"/>
      <w:bookmarkStart w:id="411" w:name="_Toc41638725"/>
      <w:bookmarkStart w:id="412" w:name="_Toc39501025"/>
      <w:bookmarkStart w:id="413" w:name="_Toc39566683"/>
      <w:bookmarkStart w:id="414" w:name="_Toc39575223"/>
      <w:bookmarkStart w:id="415" w:name="_Toc4163845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407"/>
      <w:bookmarkEnd w:id="408"/>
      <w:bookmarkEnd w:id="409"/>
      <w:bookmarkEnd w:id="410"/>
      <w:bookmarkEnd w:id="411"/>
      <w:bookmarkEnd w:id="412"/>
      <w:bookmarkEnd w:id="413"/>
      <w:bookmarkEnd w:id="414"/>
      <w:bookmarkEnd w:id="415"/>
    </w:p>
    <w:p>
      <w:pPr>
        <w:pStyle w:val="Heading5"/>
      </w:pPr>
      <w:bookmarkStart w:id="416" w:name="_Toc41638457"/>
      <w:bookmarkStart w:id="417" w:name="_Toc41638726"/>
      <w:r>
        <w:rPr>
          <w:rStyle w:val="CharSectno"/>
        </w:rPr>
        <w:t>39</w:t>
      </w:r>
      <w:r>
        <w:t>.</w:t>
      </w:r>
      <w:r>
        <w:tab/>
      </w:r>
      <w:del w:id="418" w:author="Master Repository Process" w:date="2021-08-29T11:49:00Z">
        <w:r>
          <w:delText>Pre</w:delText>
        </w:r>
        <w:r>
          <w:noBreakHyphen/>
          <w:delText>trial conference, listing</w:delText>
        </w:r>
      </w:del>
      <w:ins w:id="419" w:author="Master Repository Process" w:date="2021-08-29T11:49:00Z">
        <w:r>
          <w:t>Listing</w:t>
        </w:r>
      </w:ins>
      <w:r>
        <w:t xml:space="preserve"> of</w:t>
      </w:r>
      <w:bookmarkEnd w:id="416"/>
      <w:ins w:id="420" w:author="Master Repository Process" w:date="2021-08-29T11:49:00Z">
        <w:r>
          <w:t xml:space="preserve"> pre</w:t>
        </w:r>
        <w:r>
          <w:noBreakHyphen/>
          <w:t>trial conferences</w:t>
        </w:r>
      </w:ins>
      <w:bookmarkEnd w:id="417"/>
    </w:p>
    <w:p>
      <w:pPr>
        <w:pStyle w:val="Subsection"/>
        <w:rPr>
          <w:ins w:id="421" w:author="Master Repository Process" w:date="2021-08-29T11:49:00Z"/>
        </w:rPr>
      </w:pPr>
      <w:r>
        <w:tab/>
        <w:t>(1)</w:t>
      </w:r>
      <w:r>
        <w:tab/>
        <w:t xml:space="preserve">A </w:t>
      </w:r>
      <w:del w:id="422" w:author="Master Repository Process" w:date="2021-08-29T11:49:00Z">
        <w:r>
          <w:delText>claimant</w:delText>
        </w:r>
      </w:del>
      <w:ins w:id="423" w:author="Master Repository Process" w:date="2021-08-29T11:49:00Z">
        <w:r>
          <w:t>party to a claim may apply to the Court for a registrar to list the case for a pre</w:t>
        </w:r>
        <w:r>
          <w:noBreakHyphen/>
          <w:t xml:space="preserve">trial conference — </w:t>
        </w:r>
      </w:ins>
    </w:p>
    <w:p>
      <w:pPr>
        <w:pStyle w:val="Indenta"/>
        <w:rPr>
          <w:ins w:id="424" w:author="Master Repository Process" w:date="2021-08-29T11:49:00Z"/>
        </w:rPr>
      </w:pPr>
      <w:ins w:id="425" w:author="Master Repository Process" w:date="2021-08-29T11:49:00Z">
        <w:r>
          <w:tab/>
          <w:t>(a)</w:t>
        </w:r>
        <w:r>
          <w:tab/>
          <w:t>after the claimant has lodged and served an originating claim; but</w:t>
        </w:r>
      </w:ins>
    </w:p>
    <w:p>
      <w:pPr>
        <w:pStyle w:val="Indenta"/>
        <w:rPr>
          <w:ins w:id="426" w:author="Master Repository Process" w:date="2021-08-29T11:49:00Z"/>
          <w:rStyle w:val="DraftersNotes"/>
        </w:rPr>
      </w:pPr>
      <w:ins w:id="427" w:author="Master Repository Process" w:date="2021-08-29T11:49:00Z">
        <w:r>
          <w:tab/>
          <w:t>(b)</w:t>
        </w:r>
        <w:r>
          <w:tab/>
          <w:t>before the claimant is served with a statement of defence or a statement of defence and counterclaim.</w:t>
        </w:r>
      </w:ins>
    </w:p>
    <w:p>
      <w:pPr>
        <w:pStyle w:val="Subsection"/>
        <w:rPr>
          <w:ins w:id="428" w:author="Master Repository Process" w:date="2021-08-29T11:49:00Z"/>
        </w:rPr>
      </w:pPr>
      <w:ins w:id="429" w:author="Master Repository Process" w:date="2021-08-29T11:49:00Z">
        <w:r>
          <w:tab/>
          <w:t>(2)</w:t>
        </w:r>
        <w:r>
          <w:tab/>
          <w:t>An application under subrule (1)</w:t>
        </w:r>
      </w:ins>
      <w:r>
        <w:t xml:space="preserve"> must </w:t>
      </w:r>
      <w:del w:id="430" w:author="Master Repository Process" w:date="2021-08-29T11:49:00Z">
        <w:r>
          <w:delText>request</w:delText>
        </w:r>
      </w:del>
      <w:ins w:id="431" w:author="Master Repository Process" w:date="2021-08-29T11:49:00Z">
        <w:r>
          <w:t>be —</w:t>
        </w:r>
      </w:ins>
    </w:p>
    <w:p>
      <w:pPr>
        <w:pStyle w:val="Indenta"/>
        <w:rPr>
          <w:ins w:id="432" w:author="Master Repository Process" w:date="2021-08-29T11:49:00Z"/>
        </w:rPr>
      </w:pPr>
      <w:ins w:id="433" w:author="Master Repository Process" w:date="2021-08-29T11:49:00Z">
        <w:r>
          <w:tab/>
          <w:t>(a)</w:t>
        </w:r>
        <w:r>
          <w:tab/>
          <w:t>in the approved form; and</w:t>
        </w:r>
      </w:ins>
    </w:p>
    <w:p>
      <w:pPr>
        <w:pStyle w:val="Indenta"/>
        <w:rPr>
          <w:ins w:id="434" w:author="Master Repository Process" w:date="2021-08-29T11:49:00Z"/>
        </w:rPr>
      </w:pPr>
      <w:ins w:id="435" w:author="Master Repository Process" w:date="2021-08-29T11:49:00Z">
        <w:r>
          <w:tab/>
          <w:t>(b)</w:t>
        </w:r>
        <w:r>
          <w:tab/>
          <w:t>accompanied by a memorandum of consent signed by the parties to the claim.</w:t>
        </w:r>
      </w:ins>
    </w:p>
    <w:p>
      <w:pPr>
        <w:pStyle w:val="Subsection"/>
        <w:rPr>
          <w:ins w:id="436" w:author="Master Repository Process" w:date="2021-08-29T11:49:00Z"/>
        </w:rPr>
      </w:pPr>
      <w:ins w:id="437" w:author="Master Repository Process" w:date="2021-08-29T11:49:00Z">
        <w:r>
          <w:tab/>
          <w:t>(3)</w:t>
        </w:r>
        <w:r>
          <w:tab/>
          <w:t>If a party does not make an application under subrule (1), the claimant must apply to the Court for</w:t>
        </w:r>
      </w:ins>
      <w:r>
        <w:t xml:space="preserve"> a registrar to list the case for a pre</w:t>
      </w:r>
      <w:r>
        <w:noBreakHyphen/>
        <w:t>trial conference</w:t>
      </w:r>
      <w:ins w:id="438" w:author="Master Repository Process" w:date="2021-08-29T11:49:00Z">
        <w:r>
          <w:t xml:space="preserve"> — </w:t>
        </w:r>
      </w:ins>
    </w:p>
    <w:p>
      <w:pPr>
        <w:pStyle w:val="Indenta"/>
      </w:pPr>
      <w:ins w:id="439" w:author="Master Repository Process" w:date="2021-08-29T11:49:00Z">
        <w:r>
          <w:tab/>
          <w:t>(a)</w:t>
        </w:r>
        <w:r>
          <w:tab/>
          <w:t>if the defendant has lodged a statement of defence —</w:t>
        </w:r>
      </w:ins>
      <w:r>
        <w:t xml:space="preserve"> within 14 days after the claimant is served with </w:t>
      </w:r>
      <w:del w:id="440" w:author="Master Repository Process" w:date="2021-08-29T11:49:00Z">
        <w:r>
          <w:delText>a</w:delText>
        </w:r>
      </w:del>
      <w:ins w:id="441" w:author="Master Repository Process" w:date="2021-08-29T11:49:00Z">
        <w:r>
          <w:t>the</w:t>
        </w:r>
      </w:ins>
      <w:r>
        <w:t xml:space="preserve"> statement of defence</w:t>
      </w:r>
      <w:del w:id="442" w:author="Master Repository Process" w:date="2021-08-29T11:49:00Z">
        <w:r>
          <w:delText>.</w:delText>
        </w:r>
      </w:del>
      <w:ins w:id="443" w:author="Master Repository Process" w:date="2021-08-29T11:49:00Z">
        <w:r>
          <w:t>;</w:t>
        </w:r>
      </w:ins>
    </w:p>
    <w:p>
      <w:pPr>
        <w:pStyle w:val="Indenta"/>
        <w:rPr>
          <w:ins w:id="444" w:author="Master Repository Process" w:date="2021-08-29T11:49:00Z"/>
          <w:rStyle w:val="DraftersNotes"/>
        </w:rPr>
      </w:pPr>
      <w:del w:id="445" w:author="Master Repository Process" w:date="2021-08-29T11:49:00Z">
        <w:r>
          <w:tab/>
          <w:delText>(2)</w:delText>
        </w:r>
        <w:r>
          <w:tab/>
          <w:delText>When a registrar receives the request</w:delText>
        </w:r>
      </w:del>
      <w:ins w:id="446" w:author="Master Repository Process" w:date="2021-08-29T11:49:00Z">
        <w:r>
          <w:tab/>
          <w:t>(b)</w:t>
        </w:r>
        <w:r>
          <w:tab/>
          <w:t>if the defendant has lodged a statement of defence and counterclaim — within 14 days after the claimant has lodged a statement of defence to the counterclaim.</w:t>
        </w:r>
      </w:ins>
    </w:p>
    <w:p>
      <w:pPr>
        <w:pStyle w:val="Subsection"/>
      </w:pPr>
      <w:ins w:id="447" w:author="Master Repository Process" w:date="2021-08-29T11:49:00Z">
        <w:r>
          <w:tab/>
          <w:t>(4)</w:t>
        </w:r>
        <w:r>
          <w:tab/>
          <w:t>If a party makes an application under subrule (1) that complies with subrule (2), or a claimant makes an application under subrule (3),</w:t>
        </w:r>
      </w:ins>
      <w:r>
        <w:t xml:space="preserve"> the registrar must list the case for a pre</w:t>
      </w:r>
      <w:r>
        <w:noBreakHyphen/>
        <w:t>trial conference and notify the parties in writing.</w:t>
      </w:r>
    </w:p>
    <w:p>
      <w:pPr>
        <w:pStyle w:val="Subsection"/>
        <w:rPr>
          <w:ins w:id="448" w:author="Master Repository Process" w:date="2021-08-29T11:49:00Z"/>
        </w:rPr>
      </w:pPr>
      <w:ins w:id="449" w:author="Master Repository Process" w:date="2021-08-29T11:49:00Z">
        <w:r>
          <w:tab/>
          <w:t>(5)</w:t>
        </w:r>
        <w:r>
          <w:tab/>
          <w:t>If the case is listed for a pre</w:t>
        </w:r>
        <w:r>
          <w:noBreakHyphen/>
          <w:t xml:space="preserve">trial conference pursuant to an application under subrule (1) — </w:t>
        </w:r>
      </w:ins>
    </w:p>
    <w:p>
      <w:pPr>
        <w:pStyle w:val="Indenta"/>
        <w:rPr>
          <w:ins w:id="450" w:author="Master Repository Process" w:date="2021-08-29T11:49:00Z"/>
        </w:rPr>
      </w:pPr>
      <w:ins w:id="451" w:author="Master Repository Process" w:date="2021-08-29T11:49:00Z">
        <w:r>
          <w:tab/>
          <w:t>(a)</w:t>
        </w:r>
        <w:r>
          <w:tab/>
          <w:t>the parties are not required to lodge and serve any document relating to the claim referred to in Part 2 within the period specified in Part 2; and</w:t>
        </w:r>
      </w:ins>
    </w:p>
    <w:p>
      <w:pPr>
        <w:pStyle w:val="Indenta"/>
        <w:rPr>
          <w:ins w:id="452" w:author="Master Repository Process" w:date="2021-08-29T11:49:00Z"/>
        </w:rPr>
      </w:pPr>
      <w:ins w:id="453" w:author="Master Repository Process" w:date="2021-08-29T11:49:00Z">
        <w:r>
          <w:tab/>
          <w:t>(b)</w:t>
        </w:r>
        <w:r>
          <w:tab/>
          <w:t>at the pre</w:t>
        </w:r>
        <w:r>
          <w:noBreakHyphen/>
          <w:t>trial conference, the registrar must order the period within which the parties are required to lodge and serve documents relating to the claim referred to in Part 2.</w:t>
        </w:r>
      </w:ins>
    </w:p>
    <w:p>
      <w:pPr>
        <w:pStyle w:val="Footnotesection"/>
      </w:pPr>
      <w:r>
        <w:tab/>
        <w:t xml:space="preserve">[Rule 39 inserted: </w:t>
      </w:r>
      <w:del w:id="454" w:author="Master Repository Process" w:date="2021-08-29T11:49:00Z">
        <w:r>
          <w:delText>Gazette 3 Jun 2008 p. 2128; amended: Gazette 30 Sep 2016 p. 4179</w:delText>
        </w:r>
      </w:del>
      <w:ins w:id="455" w:author="Master Repository Process" w:date="2021-08-29T11:49:00Z">
        <w:r>
          <w:t>SL 2020/67 r. 20</w:t>
        </w:r>
      </w:ins>
      <w:r>
        <w:t>.]</w:t>
      </w:r>
    </w:p>
    <w:p>
      <w:pPr>
        <w:pStyle w:val="Heading5"/>
        <w:spacing w:before="180"/>
      </w:pPr>
      <w:bookmarkStart w:id="456" w:name="_Toc41638727"/>
      <w:bookmarkStart w:id="457" w:name="_Toc41638458"/>
      <w:r>
        <w:rPr>
          <w:rStyle w:val="CharSectno"/>
        </w:rPr>
        <w:t>40</w:t>
      </w:r>
      <w:r>
        <w:t>.</w:t>
      </w:r>
      <w:r>
        <w:tab/>
        <w:t>Pre</w:t>
      </w:r>
      <w:r>
        <w:noBreakHyphen/>
        <w:t>trial conference, purpose of and registrar’s powers at</w:t>
      </w:r>
      <w:bookmarkEnd w:id="456"/>
      <w:bookmarkEnd w:id="457"/>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458" w:name="_Toc41638728"/>
      <w:bookmarkStart w:id="459" w:name="_Toc41638459"/>
      <w:r>
        <w:rPr>
          <w:rStyle w:val="CharSectno"/>
        </w:rPr>
        <w:t>41A</w:t>
      </w:r>
      <w:r>
        <w:t>.</w:t>
      </w:r>
      <w:r>
        <w:tab/>
        <w:t>Statement of claim, effect of order to lodge</w:t>
      </w:r>
      <w:bookmarkEnd w:id="458"/>
      <w:bookmarkEnd w:id="459"/>
    </w:p>
    <w:p>
      <w:pPr>
        <w:pStyle w:val="Subsection"/>
      </w:pPr>
      <w:r>
        <w:tab/>
      </w:r>
      <w:r>
        <w:tab/>
        <w:t>If the registrar at the pre</w:t>
      </w:r>
      <w:r>
        <w:noBreakHyphen/>
        <w:t>trial conference orders a party to lodge and serve a statement of claim, the party must do so in accordance with rule 7A(2</w:t>
      </w:r>
      <w:ins w:id="460" w:author="Master Repository Process" w:date="2021-08-29T11:49:00Z">
        <w:r>
          <w:t>), (3</w:t>
        </w:r>
      </w:ins>
      <w:r>
        <w:t>) and (</w:t>
      </w:r>
      <w:del w:id="461" w:author="Master Repository Process" w:date="2021-08-29T11:49:00Z">
        <w:r>
          <w:delText>3</w:delText>
        </w:r>
      </w:del>
      <w:ins w:id="462" w:author="Master Repository Process" w:date="2021-08-29T11:49:00Z">
        <w:r>
          <w:t>3A</w:t>
        </w:r>
      </w:ins>
      <w:r>
        <w:t>).</w:t>
      </w:r>
    </w:p>
    <w:p>
      <w:pPr>
        <w:pStyle w:val="Footnotesection"/>
      </w:pPr>
      <w:r>
        <w:tab/>
        <w:t>[Rule 41A inserted: Gazette 30 Sep 2016 p. 4179</w:t>
      </w:r>
      <w:ins w:id="463" w:author="Master Repository Process" w:date="2021-08-29T11:49:00Z">
        <w:r>
          <w:t>; amended: SL 2020/67 r. 21</w:t>
        </w:r>
      </w:ins>
      <w:r>
        <w:t>.]</w:t>
      </w:r>
    </w:p>
    <w:p>
      <w:pPr>
        <w:pStyle w:val="Heading5"/>
      </w:pPr>
      <w:bookmarkStart w:id="464" w:name="_Toc41638460"/>
      <w:bookmarkStart w:id="465" w:name="_Toc41638729"/>
      <w:r>
        <w:rPr>
          <w:rStyle w:val="CharSectno"/>
        </w:rPr>
        <w:t>41B</w:t>
      </w:r>
      <w:r>
        <w:t>.</w:t>
      </w:r>
      <w:r>
        <w:tab/>
      </w:r>
      <w:del w:id="466" w:author="Master Repository Process" w:date="2021-08-29T11:49:00Z">
        <w:r>
          <w:delText>Statement of defence, effect</w:delText>
        </w:r>
      </w:del>
      <w:ins w:id="467" w:author="Master Repository Process" w:date="2021-08-29T11:49:00Z">
        <w:r>
          <w:t>Effect</w:t>
        </w:r>
      </w:ins>
      <w:r>
        <w:t xml:space="preserve"> of order to lodge</w:t>
      </w:r>
      <w:bookmarkEnd w:id="464"/>
      <w:ins w:id="468" w:author="Master Repository Process" w:date="2021-08-29T11:49:00Z">
        <w:r>
          <w:t xml:space="preserve"> statement of defence or statement of defence and counterclaim</w:t>
        </w:r>
      </w:ins>
      <w:bookmarkEnd w:id="465"/>
    </w:p>
    <w:p>
      <w:pPr>
        <w:pStyle w:val="Subsection"/>
      </w:pPr>
      <w:r>
        <w:tab/>
      </w:r>
      <w:r>
        <w:tab/>
        <w:t>If the registrar at the pre</w:t>
      </w:r>
      <w:r>
        <w:noBreakHyphen/>
        <w:t>trial conference orders a party to lodge and serve a statement of defence</w:t>
      </w:r>
      <w:ins w:id="469" w:author="Master Repository Process" w:date="2021-08-29T11:49:00Z">
        <w:r>
          <w:t xml:space="preserve"> or a statement of defence counterclaim</w:t>
        </w:r>
      </w:ins>
      <w:r>
        <w:t xml:space="preserve">, the party must do so in accordance with rule 10(2) </w:t>
      </w:r>
      <w:del w:id="470" w:author="Master Repository Process" w:date="2021-08-29T11:49:00Z">
        <w:r>
          <w:delText>and (3</w:delText>
        </w:r>
      </w:del>
      <w:ins w:id="471" w:author="Master Repository Process" w:date="2021-08-29T11:49:00Z">
        <w:r>
          <w:t>to (5</w:t>
        </w:r>
      </w:ins>
      <w:r>
        <w:t>).</w:t>
      </w:r>
    </w:p>
    <w:p>
      <w:pPr>
        <w:pStyle w:val="Footnotesection"/>
      </w:pPr>
      <w:r>
        <w:tab/>
        <w:t>[Rule 41B inserted: Gazette 30 Sep 2016 p. 4179</w:t>
      </w:r>
      <w:ins w:id="472" w:author="Master Repository Process" w:date="2021-08-29T11:49:00Z">
        <w:r>
          <w:t>; amended: SL 2020/67 r. 22</w:t>
        </w:r>
      </w:ins>
      <w:r>
        <w:t>.]</w:t>
      </w:r>
    </w:p>
    <w:p>
      <w:pPr>
        <w:pStyle w:val="Heading5"/>
        <w:rPr>
          <w:del w:id="473" w:author="Master Repository Process" w:date="2021-08-29T11:49:00Z"/>
        </w:rPr>
      </w:pPr>
      <w:bookmarkStart w:id="474" w:name="_Toc41638461"/>
      <w:del w:id="475" w:author="Master Repository Process" w:date="2021-08-29T11:49:00Z">
        <w:r>
          <w:rPr>
            <w:rStyle w:val="CharSectno"/>
            <w:rFonts w:ascii="Times" w:hAnsi="Times"/>
          </w:rPr>
          <w:delText>41C</w:delText>
        </w:r>
        <w:r>
          <w:delText>.</w:delText>
        </w:r>
        <w:r>
          <w:tab/>
          <w:delText>Counterclaim, objecting to (Act s. 9(4))</w:delText>
        </w:r>
        <w:bookmarkEnd w:id="474"/>
      </w:del>
    </w:p>
    <w:p>
      <w:pPr>
        <w:pStyle w:val="Ednotesection"/>
        <w:rPr>
          <w:ins w:id="476" w:author="Master Repository Process" w:date="2021-08-29T11:49:00Z"/>
        </w:rPr>
      </w:pPr>
      <w:del w:id="477" w:author="Master Repository Process" w:date="2021-08-29T11:49:00Z">
        <w:r>
          <w:tab/>
        </w:r>
        <w:r>
          <w:tab/>
          <w:delText>A claimant wanting to object</w:delText>
        </w:r>
      </w:del>
      <w:ins w:id="478" w:author="Master Repository Process" w:date="2021-08-29T11:49:00Z">
        <w:r>
          <w:t>[</w:t>
        </w:r>
        <w:r>
          <w:rPr>
            <w:b/>
          </w:rPr>
          <w:t>41C.</w:t>
        </w:r>
        <w:r>
          <w:tab/>
          <w:t>Deleted: SL 2020/67 r. 23.]</w:t>
        </w:r>
      </w:ins>
    </w:p>
    <w:p>
      <w:pPr>
        <w:pStyle w:val="Heading5"/>
        <w:rPr>
          <w:ins w:id="479" w:author="Master Repository Process" w:date="2021-08-29T11:49:00Z"/>
        </w:rPr>
      </w:pPr>
      <w:bookmarkStart w:id="480" w:name="_Toc41638730"/>
      <w:ins w:id="481" w:author="Master Repository Process" w:date="2021-08-29T11:49:00Z">
        <w:r>
          <w:rPr>
            <w:rStyle w:val="CharSectno"/>
          </w:rPr>
          <w:t>41D</w:t>
        </w:r>
        <w:r>
          <w:t>.</w:t>
        </w:r>
        <w:r>
          <w:tab/>
          <w:t>Amending documents lodged and served</w:t>
        </w:r>
      </w:ins>
      <w:r>
        <w:t xml:space="preserve"> under </w:t>
      </w:r>
      <w:ins w:id="482" w:author="Master Repository Process" w:date="2021-08-29T11:49:00Z">
        <w:r>
          <w:t>Part 2</w:t>
        </w:r>
        <w:bookmarkEnd w:id="480"/>
      </w:ins>
    </w:p>
    <w:p>
      <w:pPr>
        <w:pStyle w:val="Subsection"/>
        <w:rPr>
          <w:ins w:id="483" w:author="Master Repository Process" w:date="2021-08-29T11:49:00Z"/>
        </w:rPr>
      </w:pPr>
      <w:ins w:id="484" w:author="Master Repository Process" w:date="2021-08-29T11:49:00Z">
        <w:r>
          <w:tab/>
          <w:t>(1)</w:t>
        </w:r>
        <w:r>
          <w:tab/>
          <w:t xml:space="preserve">In this rule — </w:t>
        </w:r>
      </w:ins>
    </w:p>
    <w:p>
      <w:pPr>
        <w:pStyle w:val="Defstart"/>
        <w:rPr>
          <w:ins w:id="485" w:author="Master Repository Process" w:date="2021-08-29T11:49:00Z"/>
        </w:rPr>
      </w:pPr>
      <w:ins w:id="486" w:author="Master Repository Process" w:date="2021-08-29T11:49:00Z">
        <w:r>
          <w:tab/>
        </w:r>
        <w:r>
          <w:rPr>
            <w:rStyle w:val="CharDefText"/>
          </w:rPr>
          <w:t>pleading</w:t>
        </w:r>
        <w:r>
          <w:t xml:space="preserve"> means any of </w:t>
        </w:r>
      </w:ins>
      <w:r>
        <w:t xml:space="preserve">the </w:t>
      </w:r>
      <w:del w:id="487" w:author="Master Repository Process" w:date="2021-08-29T11:49:00Z">
        <w:r>
          <w:delText xml:space="preserve">Act section 9(4) to </w:delText>
        </w:r>
      </w:del>
      <w:ins w:id="488" w:author="Master Repository Process" w:date="2021-08-29T11:49:00Z">
        <w:r>
          <w:t xml:space="preserve">following documents lodged and served under Part 2 — </w:t>
        </w:r>
      </w:ins>
    </w:p>
    <w:p>
      <w:pPr>
        <w:pStyle w:val="Defpara"/>
        <w:rPr>
          <w:ins w:id="489" w:author="Master Repository Process" w:date="2021-08-29T11:49:00Z"/>
        </w:rPr>
      </w:pPr>
      <w:ins w:id="490" w:author="Master Repository Process" w:date="2021-08-29T11:49:00Z">
        <w:r>
          <w:tab/>
          <w:t>(</w:t>
        </w:r>
      </w:ins>
      <w:r>
        <w:t>a</w:t>
      </w:r>
      <w:del w:id="491" w:author="Master Repository Process" w:date="2021-08-29T11:49:00Z">
        <w:r>
          <w:delText xml:space="preserve"> </w:delText>
        </w:r>
      </w:del>
      <w:ins w:id="492" w:author="Master Repository Process" w:date="2021-08-29T11:49:00Z">
        <w:r>
          <w:t>)</w:t>
        </w:r>
        <w:r>
          <w:tab/>
          <w:t>a statement of claim;</w:t>
        </w:r>
      </w:ins>
    </w:p>
    <w:p>
      <w:pPr>
        <w:pStyle w:val="Defpara"/>
        <w:rPr>
          <w:ins w:id="493" w:author="Master Repository Process" w:date="2021-08-29T11:49:00Z"/>
        </w:rPr>
      </w:pPr>
      <w:ins w:id="494" w:author="Master Repository Process" w:date="2021-08-29T11:49:00Z">
        <w:r>
          <w:tab/>
          <w:t>(b)</w:t>
        </w:r>
        <w:r>
          <w:tab/>
          <w:t>a defence;</w:t>
        </w:r>
      </w:ins>
    </w:p>
    <w:p>
      <w:pPr>
        <w:pStyle w:val="Defpara"/>
        <w:rPr>
          <w:ins w:id="495" w:author="Master Repository Process" w:date="2021-08-29T11:49:00Z"/>
        </w:rPr>
      </w:pPr>
      <w:ins w:id="496" w:author="Master Repository Process" w:date="2021-08-29T11:49:00Z">
        <w:r>
          <w:tab/>
          <w:t>(c)</w:t>
        </w:r>
        <w:r>
          <w:tab/>
          <w:t>a third party claim;</w:t>
        </w:r>
      </w:ins>
    </w:p>
    <w:p>
      <w:pPr>
        <w:pStyle w:val="Defpara"/>
        <w:rPr>
          <w:ins w:id="497" w:author="Master Repository Process" w:date="2021-08-29T11:49:00Z"/>
        </w:rPr>
      </w:pPr>
      <w:ins w:id="498" w:author="Master Repository Process" w:date="2021-08-29T11:49:00Z">
        <w:r>
          <w:tab/>
          <w:t>(d)</w:t>
        </w:r>
        <w:r>
          <w:tab/>
          <w:t>a statement of defence;</w:t>
        </w:r>
      </w:ins>
    </w:p>
    <w:p>
      <w:pPr>
        <w:pStyle w:val="Defpara"/>
        <w:rPr>
          <w:ins w:id="499" w:author="Master Repository Process" w:date="2021-08-29T11:49:00Z"/>
        </w:rPr>
      </w:pPr>
      <w:ins w:id="500" w:author="Master Repository Process" w:date="2021-08-29T11:49:00Z">
        <w:r>
          <w:tab/>
          <w:t>(e)</w:t>
        </w:r>
        <w:r>
          <w:tab/>
          <w:t xml:space="preserve">a statement of defence and </w:t>
        </w:r>
      </w:ins>
      <w:r>
        <w:t>counterclaim</w:t>
      </w:r>
      <w:del w:id="501" w:author="Master Repository Process" w:date="2021-08-29T11:49:00Z">
        <w:r>
          <w:delText xml:space="preserve"> must lodge and serve </w:delText>
        </w:r>
      </w:del>
      <w:ins w:id="502" w:author="Master Repository Process" w:date="2021-08-29T11:49:00Z">
        <w:r>
          <w:t>;</w:t>
        </w:r>
      </w:ins>
    </w:p>
    <w:p>
      <w:pPr>
        <w:pStyle w:val="Defpara"/>
        <w:rPr>
          <w:ins w:id="503" w:author="Master Repository Process" w:date="2021-08-29T11:49:00Z"/>
        </w:rPr>
      </w:pPr>
      <w:ins w:id="504" w:author="Master Repository Process" w:date="2021-08-29T11:49:00Z">
        <w:r>
          <w:tab/>
          <w:t>(f)</w:t>
        </w:r>
        <w:r>
          <w:tab/>
          <w:t>a statement of defence to a counterclaim;</w:t>
        </w:r>
      </w:ins>
    </w:p>
    <w:p>
      <w:pPr>
        <w:pStyle w:val="Defpara"/>
        <w:rPr>
          <w:ins w:id="505" w:author="Master Repository Process" w:date="2021-08-29T11:49:00Z"/>
        </w:rPr>
      </w:pPr>
      <w:ins w:id="506" w:author="Master Repository Process" w:date="2021-08-29T11:49:00Z">
        <w:r>
          <w:tab/>
          <w:t>(g)</w:t>
        </w:r>
        <w:r>
          <w:tab/>
          <w:t>a reply.</w:t>
        </w:r>
      </w:ins>
    </w:p>
    <w:p>
      <w:pPr>
        <w:pStyle w:val="Subsection"/>
        <w:rPr>
          <w:ins w:id="507" w:author="Master Repository Process" w:date="2021-08-29T11:49:00Z"/>
        </w:rPr>
      </w:pPr>
      <w:ins w:id="508" w:author="Master Repository Process" w:date="2021-08-29T11:49:00Z">
        <w:r>
          <w:tab/>
          <w:t>(1A)</w:t>
        </w:r>
        <w:r>
          <w:tab/>
          <w:t xml:space="preserve">A party may amend a pleading — </w:t>
        </w:r>
      </w:ins>
    </w:p>
    <w:p>
      <w:pPr>
        <w:pStyle w:val="Subsection"/>
        <w:rPr>
          <w:del w:id="509" w:author="Master Repository Process" w:date="2021-08-29T11:49:00Z"/>
        </w:rPr>
      </w:pPr>
      <w:ins w:id="510" w:author="Master Repository Process" w:date="2021-08-29T11:49:00Z">
        <w:r>
          <w:tab/>
          <w:t>(a)</w:t>
        </w:r>
        <w:r>
          <w:tab/>
          <w:t xml:space="preserve">before a date is set for </w:t>
        </w:r>
      </w:ins>
      <w:r>
        <w:t xml:space="preserve">the </w:t>
      </w:r>
      <w:del w:id="511" w:author="Master Repository Process" w:date="2021-08-29T11:49:00Z">
        <w:r>
          <w:delText>approved form.</w:delText>
        </w:r>
      </w:del>
    </w:p>
    <w:p>
      <w:pPr>
        <w:pStyle w:val="Footnotesection"/>
        <w:rPr>
          <w:del w:id="512" w:author="Master Repository Process" w:date="2021-08-29T11:49:00Z"/>
        </w:rPr>
      </w:pPr>
      <w:del w:id="513" w:author="Master Repository Process" w:date="2021-08-29T11:49:00Z">
        <w:r>
          <w:tab/>
          <w:delText>[Rule 41C inserted: Gazette 3 Jun 2008 p. 2131.]</w:delText>
        </w:r>
      </w:del>
    </w:p>
    <w:p>
      <w:pPr>
        <w:pStyle w:val="Heading5"/>
        <w:rPr>
          <w:del w:id="514" w:author="Master Repository Process" w:date="2021-08-29T11:49:00Z"/>
        </w:rPr>
      </w:pPr>
      <w:bookmarkStart w:id="515" w:name="_Toc41638462"/>
      <w:del w:id="516" w:author="Master Repository Process" w:date="2021-08-29T11:49:00Z">
        <w:r>
          <w:rPr>
            <w:rStyle w:val="CharSectno"/>
          </w:rPr>
          <w:delText>41D</w:delText>
        </w:r>
        <w:r>
          <w:delText>.</w:delText>
        </w:r>
        <w:r>
          <w:tab/>
          <w:delText>Case statement, amending</w:delText>
        </w:r>
        <w:bookmarkEnd w:id="515"/>
      </w:del>
    </w:p>
    <w:p>
      <w:pPr>
        <w:pStyle w:val="Indenta"/>
        <w:rPr>
          <w:ins w:id="517" w:author="Master Repository Process" w:date="2021-08-29T11:49:00Z"/>
        </w:rPr>
      </w:pPr>
      <w:del w:id="518" w:author="Master Repository Process" w:date="2021-08-29T11:49:00Z">
        <w:r>
          <w:tab/>
          <w:delText>(1)</w:delText>
        </w:r>
        <w:r>
          <w:tab/>
          <w:delText>If</w:delText>
        </w:r>
      </w:del>
      <w:ins w:id="519" w:author="Master Repository Process" w:date="2021-08-29T11:49:00Z">
        <w:r>
          <w:t>trial of the case, without the leave of</w:t>
        </w:r>
      </w:ins>
      <w:r>
        <w:t xml:space="preserve"> a registrar or the Court</w:t>
      </w:r>
      <w:del w:id="520" w:author="Master Repository Process" w:date="2021-08-29T11:49:00Z">
        <w:r>
          <w:delText xml:space="preserve"> allows</w:delText>
        </w:r>
      </w:del>
      <w:ins w:id="521" w:author="Master Repository Process" w:date="2021-08-29T11:49:00Z">
        <w:r>
          <w:t>; or</w:t>
        </w:r>
      </w:ins>
    </w:p>
    <w:p>
      <w:pPr>
        <w:pStyle w:val="Indenta"/>
        <w:rPr>
          <w:ins w:id="522" w:author="Master Repository Process" w:date="2021-08-29T11:49:00Z"/>
        </w:rPr>
      </w:pPr>
      <w:ins w:id="523" w:author="Master Repository Process" w:date="2021-08-29T11:49:00Z">
        <w:r>
          <w:tab/>
          <w:t>(b)</w:t>
        </w:r>
        <w:r>
          <w:tab/>
          <w:t>after</w:t>
        </w:r>
      </w:ins>
      <w:r>
        <w:t xml:space="preserve"> a </w:t>
      </w:r>
      <w:del w:id="524" w:author="Master Repository Process" w:date="2021-08-29T11:49:00Z">
        <w:r>
          <w:delText>party to amend its case statement,</w:delText>
        </w:r>
      </w:del>
      <w:ins w:id="525" w:author="Master Repository Process" w:date="2021-08-29T11:49:00Z">
        <w:r>
          <w:t>date is set for</w:t>
        </w:r>
      </w:ins>
      <w:r>
        <w:t xml:space="preserve"> the </w:t>
      </w:r>
      <w:del w:id="526" w:author="Master Repository Process" w:date="2021-08-29T11:49:00Z">
        <w:r>
          <w:delText>party must, together</w:delText>
        </w:r>
      </w:del>
      <w:ins w:id="527" w:author="Master Repository Process" w:date="2021-08-29T11:49:00Z">
        <w:r>
          <w:t>trial of the case,</w:t>
        </w:r>
      </w:ins>
      <w:r>
        <w:t xml:space="preserve"> with the </w:t>
      </w:r>
      <w:del w:id="528" w:author="Master Repository Process" w:date="2021-08-29T11:49:00Z">
        <w:r>
          <w:delText>amended case statement,</w:delText>
        </w:r>
      </w:del>
      <w:ins w:id="529" w:author="Master Repository Process" w:date="2021-08-29T11:49:00Z">
        <w:r>
          <w:t xml:space="preserve">leave of a registrar or the Court. </w:t>
        </w:r>
      </w:ins>
    </w:p>
    <w:p>
      <w:pPr>
        <w:pStyle w:val="Subsection"/>
      </w:pPr>
      <w:ins w:id="530" w:author="Master Repository Process" w:date="2021-08-29T11:49:00Z">
        <w:r>
          <w:tab/>
          <w:t>(1B)</w:t>
        </w:r>
        <w:r>
          <w:tab/>
          <w:t>A party seeking leave under subrule (1A)(b) must</w:t>
        </w:r>
      </w:ins>
      <w:r>
        <w:t xml:space="preserve"> lodge and serve </w:t>
      </w:r>
      <w:del w:id="531" w:author="Master Repository Process" w:date="2021-08-29T11:49:00Z">
        <w:r>
          <w:delText>a statutory declaration</w:delText>
        </w:r>
      </w:del>
      <w:ins w:id="532" w:author="Master Repository Process" w:date="2021-08-29T11:49:00Z">
        <w:r>
          <w:t>an affidavit</w:t>
        </w:r>
      </w:ins>
      <w:r>
        <w:t xml:space="preserve"> in accordance with subrule (2) or (3</w:t>
      </w:r>
      <w:del w:id="533" w:author="Master Repository Process" w:date="2021-08-29T11:49:00Z">
        <w:r>
          <w:delText>).</w:delText>
        </w:r>
      </w:del>
      <w:ins w:id="534" w:author="Master Repository Process" w:date="2021-08-29T11:49:00Z">
        <w:r>
          <w:t>) together with the proposed amended pleading.</w:t>
        </w:r>
      </w:ins>
    </w:p>
    <w:p>
      <w:pPr>
        <w:pStyle w:val="Subsection"/>
      </w:pPr>
      <w:r>
        <w:tab/>
        <w:t>(2)</w:t>
      </w:r>
      <w:r>
        <w:tab/>
        <w:t xml:space="preserve">If the party is not represented by a lawyer, the </w:t>
      </w:r>
      <w:del w:id="535" w:author="Master Repository Process" w:date="2021-08-29T11:49:00Z">
        <w:r>
          <w:delText>statutory declaration</w:delText>
        </w:r>
      </w:del>
      <w:ins w:id="536" w:author="Master Repository Process" w:date="2021-08-29T11:49:00Z">
        <w:r>
          <w:t>affidavit</w:t>
        </w:r>
      </w:ins>
      <w:r>
        <w:t xml:space="preserve"> must be made by the party </w:t>
      </w:r>
      <w:ins w:id="537" w:author="Master Repository Process" w:date="2021-08-29T11:49:00Z">
        <w:r>
          <w:t xml:space="preserve">personally </w:t>
        </w:r>
      </w:ins>
      <w:r>
        <w:t>and must state that —</w:t>
      </w:r>
    </w:p>
    <w:p>
      <w:pPr>
        <w:pStyle w:val="Indenta"/>
      </w:pPr>
      <w:r>
        <w:tab/>
        <w:t>(a)</w:t>
      </w:r>
      <w:r>
        <w:tab/>
        <w:t xml:space="preserve">any new or amended allegations of fact </w:t>
      </w:r>
      <w:del w:id="538" w:author="Master Repository Process" w:date="2021-08-29T11:49:00Z">
        <w:r>
          <w:delText xml:space="preserve">in the case statement </w:delText>
        </w:r>
      </w:del>
      <w:r>
        <w:t>are true to the best of the party’s belief; and</w:t>
      </w:r>
    </w:p>
    <w:p>
      <w:pPr>
        <w:pStyle w:val="Indenta"/>
      </w:pPr>
      <w:r>
        <w:tab/>
        <w:t>(b)</w:t>
      </w:r>
      <w:r>
        <w:tab/>
        <w:t xml:space="preserve">the </w:t>
      </w:r>
      <w:del w:id="539" w:author="Master Repository Process" w:date="2021-08-29T11:49:00Z">
        <w:r>
          <w:delText>case statement</w:delText>
        </w:r>
      </w:del>
      <w:ins w:id="540" w:author="Master Repository Process" w:date="2021-08-29T11:49:00Z">
        <w:r>
          <w:t>proposed amended pleading</w:t>
        </w:r>
      </w:ins>
      <w:r>
        <w:t xml:space="preserve"> is not frivolous, vexatious, scandalous or improper.</w:t>
      </w:r>
    </w:p>
    <w:p>
      <w:pPr>
        <w:pStyle w:val="Subsection"/>
      </w:pPr>
      <w:r>
        <w:tab/>
        <w:t>(3)</w:t>
      </w:r>
      <w:r>
        <w:tab/>
        <w:t xml:space="preserve">If the party is represented by a lawyer, the </w:t>
      </w:r>
      <w:del w:id="541" w:author="Master Repository Process" w:date="2021-08-29T11:49:00Z">
        <w:r>
          <w:delText>statutory declaration</w:delText>
        </w:r>
      </w:del>
      <w:ins w:id="542" w:author="Master Repository Process" w:date="2021-08-29T11:49:00Z">
        <w:r>
          <w:t>affidavit</w:t>
        </w:r>
      </w:ins>
      <w:r>
        <w:t xml:space="preserve"> must be made by the party’s lawyer and must state that —</w:t>
      </w:r>
    </w:p>
    <w:p>
      <w:pPr>
        <w:pStyle w:val="Indenta"/>
      </w:pPr>
      <w:r>
        <w:tab/>
        <w:t>(a)</w:t>
      </w:r>
      <w:r>
        <w:tab/>
        <w:t xml:space="preserve">the party has instructed the lawyer that all of the allegations of fact </w:t>
      </w:r>
      <w:del w:id="543" w:author="Master Repository Process" w:date="2021-08-29T11:49:00Z">
        <w:r>
          <w:delText xml:space="preserve">in the amended case statement </w:delText>
        </w:r>
      </w:del>
      <w:r>
        <w:t>are true and correct; and</w:t>
      </w:r>
    </w:p>
    <w:p>
      <w:pPr>
        <w:pStyle w:val="Indenta"/>
      </w:pPr>
      <w:r>
        <w:tab/>
        <w:t>(b)</w:t>
      </w:r>
      <w:r>
        <w:tab/>
        <w:t xml:space="preserve">all the arguments raised </w:t>
      </w:r>
      <w:del w:id="544" w:author="Master Repository Process" w:date="2021-08-29T11:49:00Z">
        <w:r>
          <w:delText xml:space="preserve">in the amended case statement </w:delText>
        </w:r>
      </w:del>
      <w:r>
        <w:t>are, in the opinion of the lawyer, reasonable; and</w:t>
      </w:r>
    </w:p>
    <w:p>
      <w:pPr>
        <w:pStyle w:val="Indenta"/>
      </w:pPr>
      <w:r>
        <w:tab/>
        <w:t>(c)</w:t>
      </w:r>
      <w:r>
        <w:tab/>
        <w:t xml:space="preserve">in the opinion of the lawyer the </w:t>
      </w:r>
      <w:ins w:id="545" w:author="Master Repository Process" w:date="2021-08-29T11:49:00Z">
        <w:r>
          <w:t xml:space="preserve">proposed </w:t>
        </w:r>
      </w:ins>
      <w:r>
        <w:t xml:space="preserve">amended </w:t>
      </w:r>
      <w:del w:id="546" w:author="Master Repository Process" w:date="2021-08-29T11:49:00Z">
        <w:r>
          <w:delText>case statement</w:delText>
        </w:r>
      </w:del>
      <w:ins w:id="547" w:author="Master Repository Process" w:date="2021-08-29T11:49:00Z">
        <w:r>
          <w:t>pleading</w:t>
        </w:r>
      </w:ins>
      <w:r>
        <w:t xml:space="preserve"> is not frivolous, vexatious, scandalous or improper.</w:t>
      </w:r>
    </w:p>
    <w:p>
      <w:pPr>
        <w:pStyle w:val="Footnotesection"/>
      </w:pPr>
      <w:r>
        <w:tab/>
        <w:t>[Rule 41D inserted: Gazette 3 Jun 2008 p. 2131</w:t>
      </w:r>
      <w:r>
        <w:noBreakHyphen/>
        <w:t>2</w:t>
      </w:r>
      <w:ins w:id="548" w:author="Master Repository Process" w:date="2021-08-29T11:49:00Z">
        <w:r>
          <w:t>; amended: SL 2020/67 r. 24</w:t>
        </w:r>
      </w:ins>
      <w:r>
        <w:t>.]</w:t>
      </w:r>
    </w:p>
    <w:p>
      <w:pPr>
        <w:pStyle w:val="Heading5"/>
      </w:pPr>
      <w:bookmarkStart w:id="549" w:name="_Toc41638731"/>
      <w:bookmarkStart w:id="550" w:name="_Toc41638463"/>
      <w:r>
        <w:rPr>
          <w:rStyle w:val="CharSectno"/>
        </w:rPr>
        <w:t>41</w:t>
      </w:r>
      <w:r>
        <w:t>.</w:t>
      </w:r>
      <w:r>
        <w:tab/>
        <w:t>Attendance at pre</w:t>
      </w:r>
      <w:r>
        <w:noBreakHyphen/>
        <w:t>trial conferences</w:t>
      </w:r>
      <w:bookmarkEnd w:id="549"/>
      <w:bookmarkEnd w:id="550"/>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551" w:name="_Toc41638732"/>
      <w:bookmarkStart w:id="552" w:name="_Toc41638464"/>
      <w:r>
        <w:rPr>
          <w:rStyle w:val="CharSectno"/>
        </w:rPr>
        <w:t>42</w:t>
      </w:r>
      <w:r>
        <w:t>.</w:t>
      </w:r>
      <w:r>
        <w:tab/>
        <w:t>Further pre</w:t>
      </w:r>
      <w:r>
        <w:noBreakHyphen/>
        <w:t xml:space="preserve">trial conference or </w:t>
      </w:r>
      <w:del w:id="553" w:author="Master Repository Process" w:date="2021-08-29T11:49:00Z">
        <w:r>
          <w:delText>listing</w:delText>
        </w:r>
      </w:del>
      <w:ins w:id="554" w:author="Master Repository Process" w:date="2021-08-29T11:49:00Z">
        <w:r>
          <w:t>status</w:t>
        </w:r>
      </w:ins>
      <w:r>
        <w:t xml:space="preserve"> conference may be listed</w:t>
      </w:r>
      <w:bookmarkEnd w:id="551"/>
      <w:bookmarkEnd w:id="552"/>
    </w:p>
    <w:p>
      <w:pPr>
        <w:pStyle w:val="Subsection"/>
      </w:pPr>
      <w:r>
        <w:tab/>
      </w:r>
      <w:ins w:id="555" w:author="Master Repository Process" w:date="2021-08-29T11:49:00Z">
        <w:r>
          <w:t>(1)</w:t>
        </w:r>
      </w:ins>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r>
      <w:del w:id="556" w:author="Master Repository Process" w:date="2021-08-29T11:49:00Z">
        <w:r>
          <w:delText xml:space="preserve">in accordance with rule 43A(4), </w:delText>
        </w:r>
      </w:del>
      <w:r>
        <w:t xml:space="preserve">list the case for a </w:t>
      </w:r>
      <w:del w:id="557" w:author="Master Repository Process" w:date="2021-08-29T11:49:00Z">
        <w:r>
          <w:delText>listing</w:delText>
        </w:r>
      </w:del>
      <w:ins w:id="558" w:author="Master Repository Process" w:date="2021-08-29T11:49:00Z">
        <w:r>
          <w:t>status</w:t>
        </w:r>
      </w:ins>
      <w:r>
        <w:t xml:space="preserve"> conference</w:t>
      </w:r>
      <w:del w:id="559" w:author="Master Repository Process" w:date="2021-08-29T11:49:00Z">
        <w:r>
          <w:delText>,</w:delText>
        </w:r>
      </w:del>
      <w:ins w:id="560" w:author="Master Repository Process" w:date="2021-08-29T11:49:00Z">
        <w:r>
          <w:t>.</w:t>
        </w:r>
      </w:ins>
    </w:p>
    <w:p>
      <w:pPr>
        <w:pStyle w:val="Subsection"/>
      </w:pPr>
      <w:del w:id="561" w:author="Master Repository Process" w:date="2021-08-29T11:49:00Z">
        <w:r>
          <w:tab/>
        </w:r>
        <w:r>
          <w:tab/>
          <w:delText xml:space="preserve">and </w:delText>
        </w:r>
      </w:del>
      <w:ins w:id="562" w:author="Master Repository Process" w:date="2021-08-29T11:49:00Z">
        <w:r>
          <w:tab/>
          <w:t>(2)</w:t>
        </w:r>
        <w:r>
          <w:tab/>
          <w:t xml:space="preserve">The registrar must </w:t>
        </w:r>
      </w:ins>
      <w:r>
        <w:t>notify the parties in writing</w:t>
      </w:r>
      <w:ins w:id="563" w:author="Master Repository Process" w:date="2021-08-29T11:49:00Z">
        <w:r>
          <w:t xml:space="preserve"> of the listing</w:t>
        </w:r>
      </w:ins>
      <w:r>
        <w:t>.</w:t>
      </w:r>
    </w:p>
    <w:p>
      <w:pPr>
        <w:pStyle w:val="Footnotesection"/>
        <w:rPr>
          <w:del w:id="564" w:author="Master Repository Process" w:date="2021-08-29T11:49:00Z"/>
        </w:rPr>
      </w:pPr>
      <w:r>
        <w:tab/>
        <w:t xml:space="preserve">[Rule 42 </w:t>
      </w:r>
      <w:del w:id="565" w:author="Master Repository Process" w:date="2021-08-29T11:49:00Z">
        <w:r>
          <w:delText>amended: Gazette 3 Jun 2008 p. 2132.]</w:delText>
        </w:r>
      </w:del>
    </w:p>
    <w:p>
      <w:pPr>
        <w:pStyle w:val="Heading5"/>
        <w:rPr>
          <w:del w:id="566" w:author="Master Repository Process" w:date="2021-08-29T11:49:00Z"/>
        </w:rPr>
      </w:pPr>
      <w:bookmarkStart w:id="567" w:name="_Toc41638465"/>
      <w:del w:id="568" w:author="Master Repository Process" w:date="2021-08-29T11:49:00Z">
        <w:r>
          <w:rPr>
            <w:rStyle w:val="CharSectno"/>
          </w:rPr>
          <w:delText>43A</w:delText>
        </w:r>
        <w:r>
          <w:delText>.</w:delText>
        </w:r>
        <w:r>
          <w:tab/>
          <w:delText>Listing conference memoranda, orders to lodge</w:delText>
        </w:r>
        <w:bookmarkEnd w:id="567"/>
      </w:del>
    </w:p>
    <w:p>
      <w:pPr>
        <w:pStyle w:val="Subsection"/>
        <w:rPr>
          <w:del w:id="569" w:author="Master Repository Process" w:date="2021-08-29T11:49:00Z"/>
        </w:rPr>
      </w:pPr>
      <w:del w:id="570" w:author="Master Repository Process" w:date="2021-08-29T11:49:00Z">
        <w:r>
          <w:tab/>
          <w:delText>(1)</w:delText>
        </w:r>
        <w:r>
          <w:tab/>
          <w:delText>This rule does not apply in the case of a claim to recover possession of real property.</w:delText>
        </w:r>
      </w:del>
    </w:p>
    <w:p>
      <w:pPr>
        <w:pStyle w:val="Subsection"/>
        <w:rPr>
          <w:del w:id="571" w:author="Master Repository Process" w:date="2021-08-29T11:49:00Z"/>
        </w:rPr>
      </w:pPr>
      <w:del w:id="572" w:author="Master Repository Process" w:date="2021-08-29T11:49:00Z">
        <w:r>
          <w:tab/>
          <w:delText>(2)</w:delText>
        </w:r>
        <w:r>
          <w:tab/>
          <w:delText>If the registrar at a pre</w:delText>
        </w:r>
        <w:r>
          <w:noBreakHyphen/>
          <w:delText>trial conference is of the opinion that it is unlikely that the case will be settled, the registrar must order each party to lodge a listing conference memorandum in accordance with subrule (3) by the day specified in the order.</w:delText>
        </w:r>
      </w:del>
    </w:p>
    <w:p>
      <w:pPr>
        <w:pStyle w:val="Subsection"/>
        <w:rPr>
          <w:del w:id="573" w:author="Master Repository Process" w:date="2021-08-29T11:49:00Z"/>
        </w:rPr>
      </w:pPr>
      <w:del w:id="574" w:author="Master Repository Process" w:date="2021-08-29T11:49:00Z">
        <w:r>
          <w:tab/>
          <w:delText>(3)</w:delText>
        </w:r>
        <w:r>
          <w:tab/>
          <w:delText>The listing conference memorandum must be in the approved form and must —</w:delText>
        </w:r>
      </w:del>
    </w:p>
    <w:p>
      <w:pPr>
        <w:pStyle w:val="Indenta"/>
        <w:rPr>
          <w:del w:id="575" w:author="Master Repository Process" w:date="2021-08-29T11:49:00Z"/>
        </w:rPr>
      </w:pPr>
      <w:del w:id="576" w:author="Master Repository Process" w:date="2021-08-29T11:49:00Z">
        <w:r>
          <w:tab/>
          <w:delText>(a)</w:delText>
        </w:r>
        <w:r>
          <w:tab/>
          <w:delText>include a concise statement of the issues of fact and law that the party contends will need to be determined at the trial; and</w:delText>
        </w:r>
      </w:del>
    </w:p>
    <w:p>
      <w:pPr>
        <w:pStyle w:val="Indenta"/>
        <w:rPr>
          <w:del w:id="577" w:author="Master Repository Process" w:date="2021-08-29T11:49:00Z"/>
        </w:rPr>
      </w:pPr>
      <w:del w:id="578" w:author="Master Repository Process" w:date="2021-08-29T11:49:00Z">
        <w:r>
          <w:tab/>
          <w:delText>(b)</w:delText>
        </w:r>
        <w:r>
          <w:tab/>
          <w:delText>state how each allegation of fact will be proved; and</w:delText>
        </w:r>
      </w:del>
    </w:p>
    <w:p>
      <w:pPr>
        <w:pStyle w:val="Indenta"/>
        <w:rPr>
          <w:del w:id="579" w:author="Master Repository Process" w:date="2021-08-29T11:49:00Z"/>
        </w:rPr>
      </w:pPr>
      <w:del w:id="580" w:author="Master Repository Process" w:date="2021-08-29T11:49:00Z">
        <w:r>
          <w:tab/>
          <w:delText>(c)</w:delText>
        </w:r>
        <w:r>
          <w:tab/>
          <w:delText>state the name, address, occupation and qualification of each witness the party will call to give oral evidence at the trial; and</w:delText>
        </w:r>
      </w:del>
    </w:p>
    <w:p>
      <w:pPr>
        <w:pStyle w:val="Indenta"/>
        <w:rPr>
          <w:del w:id="581" w:author="Master Repository Process" w:date="2021-08-29T11:49:00Z"/>
        </w:rPr>
      </w:pPr>
      <w:del w:id="582" w:author="Master Repository Process" w:date="2021-08-29T11:49:00Z">
        <w:r>
          <w:tab/>
          <w:delText>(d)</w:delText>
        </w:r>
        <w:r>
          <w:tab/>
          <w:delText>unless the registrar or the Court orders otherwise, annex a statement in the approved form of the intended evidence of each witness who is not an expert witness.</w:delText>
        </w:r>
      </w:del>
    </w:p>
    <w:p>
      <w:pPr>
        <w:pStyle w:val="Subsection"/>
        <w:rPr>
          <w:del w:id="583" w:author="Master Repository Process" w:date="2021-08-29T11:49:00Z"/>
        </w:rPr>
      </w:pPr>
      <w:del w:id="584" w:author="Master Repository Process" w:date="2021-08-29T11:49:00Z">
        <w:r>
          <w:tab/>
          <w:delText>(4)</w:delText>
        </w:r>
        <w:r>
          <w:tab/>
          <w:delText>When all the parties have complied with the order the registrar must —</w:delText>
        </w:r>
      </w:del>
    </w:p>
    <w:p>
      <w:pPr>
        <w:pStyle w:val="Indenta"/>
        <w:rPr>
          <w:del w:id="585" w:author="Master Repository Process" w:date="2021-08-29T11:49:00Z"/>
        </w:rPr>
      </w:pPr>
      <w:del w:id="586" w:author="Master Repository Process" w:date="2021-08-29T11:49:00Z">
        <w:r>
          <w:tab/>
          <w:delText>(a)</w:delText>
        </w:r>
        <w:r>
          <w:tab/>
          <w:delText>give a copy of each party’s listing conference memorandum to the other parties; and</w:delText>
        </w:r>
      </w:del>
    </w:p>
    <w:p>
      <w:pPr>
        <w:pStyle w:val="Indenta"/>
        <w:rPr>
          <w:del w:id="587" w:author="Master Repository Process" w:date="2021-08-29T11:49:00Z"/>
        </w:rPr>
      </w:pPr>
      <w:del w:id="588" w:author="Master Repository Process" w:date="2021-08-29T11:49:00Z">
        <w:r>
          <w:tab/>
          <w:delText>(b)</w:delText>
        </w:r>
        <w:r>
          <w:tab/>
          <w:delText>list the case for a listing conference.</w:delText>
        </w:r>
      </w:del>
    </w:p>
    <w:p>
      <w:pPr>
        <w:pStyle w:val="Subsection"/>
        <w:rPr>
          <w:del w:id="589" w:author="Master Repository Process" w:date="2021-08-29T11:49:00Z"/>
        </w:rPr>
      </w:pPr>
      <w:del w:id="590" w:author="Master Repository Process" w:date="2021-08-29T11:49:00Z">
        <w:r>
          <w:tab/>
          <w:delText>(5)</w:delText>
        </w:r>
        <w:r>
          <w:tab/>
          <w:delText>If a party does not comply with the order, the registrar may give default judgment against the party, and in that case Part 5, except rule 24, with any necessary modifications, applies in relation to the default judgment.</w:delText>
        </w:r>
      </w:del>
    </w:p>
    <w:p>
      <w:pPr>
        <w:pStyle w:val="Footnotesection"/>
        <w:rPr>
          <w:ins w:id="591" w:author="Master Repository Process" w:date="2021-08-29T11:49:00Z"/>
        </w:rPr>
      </w:pPr>
      <w:del w:id="592" w:author="Master Repository Process" w:date="2021-08-29T11:49:00Z">
        <w:r>
          <w:tab/>
          <w:delText xml:space="preserve">[Rule 43A </w:delText>
        </w:r>
      </w:del>
      <w:r>
        <w:t xml:space="preserve">inserted: </w:t>
      </w:r>
      <w:del w:id="593" w:author="Master Repository Process" w:date="2021-08-29T11:49:00Z">
        <w:r>
          <w:delText>Gazette 3 Jun 2008 p. 2132</w:delText>
        </w:r>
        <w:r>
          <w:noBreakHyphen/>
          <w:delText>3; amended: Gazette 2 Jul 2010 p. 3192; 21 Jul 2017 p. 4025</w:delText>
        </w:r>
      </w:del>
      <w:ins w:id="594" w:author="Master Repository Process" w:date="2021-08-29T11:49:00Z">
        <w:r>
          <w:t>SL 2020/67 r. 25.]</w:t>
        </w:r>
      </w:ins>
    </w:p>
    <w:p>
      <w:pPr>
        <w:pStyle w:val="Ednotesection"/>
      </w:pPr>
      <w:ins w:id="595" w:author="Master Repository Process" w:date="2021-08-29T11:49:00Z">
        <w:r>
          <w:t>[</w:t>
        </w:r>
        <w:r>
          <w:rPr>
            <w:b/>
          </w:rPr>
          <w:t>43A.</w:t>
        </w:r>
        <w:r>
          <w:tab/>
          <w:t>Deleted: SL 2020/67 r. 25</w:t>
        </w:r>
      </w:ins>
      <w:r>
        <w:t>.]</w:t>
      </w:r>
    </w:p>
    <w:p>
      <w:pPr>
        <w:pStyle w:val="Heading5"/>
      </w:pPr>
      <w:bookmarkStart w:id="596" w:name="_Toc41638733"/>
      <w:bookmarkStart w:id="597" w:name="_Toc41638466"/>
      <w:r>
        <w:rPr>
          <w:rStyle w:val="CharSectno"/>
        </w:rPr>
        <w:t>43</w:t>
      </w:r>
      <w:r>
        <w:t>.</w:t>
      </w:r>
      <w:r>
        <w:tab/>
        <w:t>Things said or done at pre</w:t>
      </w:r>
      <w:r>
        <w:noBreakHyphen/>
        <w:t>trial conference, status of</w:t>
      </w:r>
      <w:bookmarkEnd w:id="596"/>
      <w:bookmarkEnd w:id="597"/>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598" w:name="_Toc41487470"/>
      <w:bookmarkStart w:id="599" w:name="_Toc41551924"/>
      <w:bookmarkStart w:id="600" w:name="_Toc41552676"/>
      <w:bookmarkStart w:id="601" w:name="_Toc41638734"/>
      <w:bookmarkStart w:id="602" w:name="_Toc39501036"/>
      <w:bookmarkStart w:id="603" w:name="_Toc39566694"/>
      <w:bookmarkStart w:id="604" w:name="_Toc39575234"/>
      <w:bookmarkStart w:id="605" w:name="_Toc41638467"/>
      <w:bookmarkStart w:id="606" w:name="_Toc41473575"/>
      <w:r>
        <w:rPr>
          <w:rStyle w:val="CharPartNo"/>
        </w:rPr>
        <w:t>Part 10</w:t>
      </w:r>
      <w:r>
        <w:rPr>
          <w:rStyle w:val="CharDivNo"/>
        </w:rPr>
        <w:t> </w:t>
      </w:r>
      <w:r>
        <w:t>—</w:t>
      </w:r>
      <w:r>
        <w:rPr>
          <w:rStyle w:val="CharDivText"/>
        </w:rPr>
        <w:t> </w:t>
      </w:r>
      <w:del w:id="607" w:author="Master Repository Process" w:date="2021-08-29T11:49:00Z">
        <w:r>
          <w:rPr>
            <w:rStyle w:val="CharPartText"/>
          </w:rPr>
          <w:delText>Listing</w:delText>
        </w:r>
      </w:del>
      <w:ins w:id="608" w:author="Master Repository Process" w:date="2021-08-29T11:49:00Z">
        <w:r>
          <w:rPr>
            <w:rStyle w:val="CharPartText"/>
          </w:rPr>
          <w:t>Status</w:t>
        </w:r>
      </w:ins>
      <w:r>
        <w:rPr>
          <w:rStyle w:val="CharPartText"/>
        </w:rPr>
        <w:t xml:space="preserve"> conferences</w:t>
      </w:r>
      <w:bookmarkEnd w:id="598"/>
      <w:bookmarkEnd w:id="599"/>
      <w:bookmarkEnd w:id="600"/>
      <w:bookmarkEnd w:id="601"/>
      <w:bookmarkEnd w:id="602"/>
      <w:bookmarkEnd w:id="603"/>
      <w:bookmarkEnd w:id="604"/>
      <w:bookmarkEnd w:id="605"/>
    </w:p>
    <w:bookmarkEnd w:id="606"/>
    <w:p>
      <w:pPr>
        <w:pStyle w:val="Footnoteheading"/>
        <w:rPr>
          <w:ins w:id="609" w:author="Master Repository Process" w:date="2021-08-29T11:49:00Z"/>
        </w:rPr>
      </w:pPr>
      <w:ins w:id="610" w:author="Master Repository Process" w:date="2021-08-29T11:49:00Z">
        <w:r>
          <w:tab/>
          <w:t>[Heading inserted: SL 2020/67 r. 26.]</w:t>
        </w:r>
      </w:ins>
    </w:p>
    <w:p>
      <w:pPr>
        <w:pStyle w:val="Ednotesection"/>
        <w:spacing w:before="240"/>
      </w:pPr>
      <w:r>
        <w:t>[</w:t>
      </w:r>
      <w:r>
        <w:rPr>
          <w:b/>
          <w:bCs/>
        </w:rPr>
        <w:t>44.</w:t>
      </w:r>
      <w:r>
        <w:tab/>
        <w:t>Deleted: Gazette 3 Jun 2008 p. 2133.]</w:t>
      </w:r>
    </w:p>
    <w:p>
      <w:pPr>
        <w:pStyle w:val="Heading5"/>
      </w:pPr>
      <w:bookmarkStart w:id="611" w:name="_Toc41638735"/>
      <w:bookmarkStart w:id="612" w:name="_Toc41638468"/>
      <w:r>
        <w:rPr>
          <w:rStyle w:val="CharSectno"/>
        </w:rPr>
        <w:t>45</w:t>
      </w:r>
      <w:r>
        <w:t>.</w:t>
      </w:r>
      <w:r>
        <w:tab/>
      </w:r>
      <w:del w:id="613" w:author="Master Repository Process" w:date="2021-08-29T11:49:00Z">
        <w:r>
          <w:delText>Listing</w:delText>
        </w:r>
      </w:del>
      <w:ins w:id="614" w:author="Master Repository Process" w:date="2021-08-29T11:49:00Z">
        <w:r>
          <w:t>Purpose of status</w:t>
        </w:r>
      </w:ins>
      <w:r>
        <w:t xml:space="preserve"> conference</w:t>
      </w:r>
      <w:bookmarkEnd w:id="611"/>
      <w:del w:id="615" w:author="Master Repository Process" w:date="2021-08-29T11:49:00Z">
        <w:r>
          <w:delText>, purpose of</w:delText>
        </w:r>
      </w:del>
      <w:bookmarkEnd w:id="612"/>
    </w:p>
    <w:p>
      <w:pPr>
        <w:pStyle w:val="Subsection"/>
      </w:pPr>
      <w:r>
        <w:tab/>
      </w:r>
      <w:r>
        <w:tab/>
        <w:t xml:space="preserve">The purpose of a </w:t>
      </w:r>
      <w:del w:id="616" w:author="Master Repository Process" w:date="2021-08-29T11:49:00Z">
        <w:r>
          <w:delText>listing</w:delText>
        </w:r>
      </w:del>
      <w:ins w:id="617" w:author="Master Repository Process" w:date="2021-08-29T11:49:00Z">
        <w:r>
          <w:t>status</w:t>
        </w:r>
      </w:ins>
      <w:r>
        <w:t xml:space="preserve"> conference is to </w:t>
      </w:r>
      <w:del w:id="618" w:author="Master Repository Process" w:date="2021-08-29T11:49:00Z">
        <w:r>
          <w:delText>list</w:delText>
        </w:r>
      </w:del>
      <w:ins w:id="619" w:author="Master Repository Process" w:date="2021-08-29T11:49:00Z">
        <w:r>
          <w:t>allow for</w:t>
        </w:r>
      </w:ins>
      <w:r>
        <w:t xml:space="preserve"> the </w:t>
      </w:r>
      <w:ins w:id="620" w:author="Master Repository Process" w:date="2021-08-29T11:49:00Z">
        <w:r>
          <w:t xml:space="preserve">management of a </w:t>
        </w:r>
      </w:ins>
      <w:r>
        <w:t>case</w:t>
      </w:r>
      <w:del w:id="621" w:author="Master Repository Process" w:date="2021-08-29T11:49:00Z">
        <w:r>
          <w:delText xml:space="preserve"> for trial</w:delText>
        </w:r>
      </w:del>
      <w:r>
        <w:t>.</w:t>
      </w:r>
    </w:p>
    <w:p>
      <w:pPr>
        <w:pStyle w:val="Footnotesection"/>
        <w:rPr>
          <w:ins w:id="622" w:author="Master Repository Process" w:date="2021-08-29T11:49:00Z"/>
        </w:rPr>
      </w:pPr>
      <w:ins w:id="623" w:author="Master Repository Process" w:date="2021-08-29T11:49:00Z">
        <w:r>
          <w:tab/>
          <w:t>[Rule 45 inserted: SL 2020/67 r. 27.]</w:t>
        </w:r>
      </w:ins>
    </w:p>
    <w:p>
      <w:pPr>
        <w:pStyle w:val="Heading5"/>
      </w:pPr>
      <w:bookmarkStart w:id="624" w:name="_Toc41638469"/>
      <w:bookmarkStart w:id="625" w:name="_Toc41638736"/>
      <w:r>
        <w:rPr>
          <w:rStyle w:val="CharSectno"/>
        </w:rPr>
        <w:t>46</w:t>
      </w:r>
      <w:r>
        <w:t>.</w:t>
      </w:r>
      <w:r>
        <w:tab/>
        <w:t xml:space="preserve">Attendance at </w:t>
      </w:r>
      <w:del w:id="626" w:author="Master Repository Process" w:date="2021-08-29T11:49:00Z">
        <w:r>
          <w:delText>listing conferences</w:delText>
        </w:r>
      </w:del>
      <w:bookmarkEnd w:id="624"/>
      <w:ins w:id="627" w:author="Master Repository Process" w:date="2021-08-29T11:49:00Z">
        <w:r>
          <w:t>status conference</w:t>
        </w:r>
      </w:ins>
      <w:bookmarkEnd w:id="625"/>
    </w:p>
    <w:p>
      <w:pPr>
        <w:pStyle w:val="Subsection"/>
        <w:spacing w:before="180"/>
        <w:rPr>
          <w:del w:id="628" w:author="Master Repository Process" w:date="2021-08-29T11:49:00Z"/>
        </w:rPr>
      </w:pPr>
      <w:del w:id="629" w:author="Master Repository Process" w:date="2021-08-29T11:49:00Z">
        <w:r>
          <w:tab/>
          <w:delText>(1)</w:delText>
        </w:r>
        <w:r>
          <w:tab/>
          <w:delText>Except as provided in subrule (2), a</w:delText>
        </w:r>
      </w:del>
      <w:ins w:id="630" w:author="Master Repository Process" w:date="2021-08-29T11:49:00Z">
        <w:r>
          <w:tab/>
          <w:t>(1)</w:t>
        </w:r>
        <w:r>
          <w:tab/>
          <w:t>A</w:t>
        </w:r>
      </w:ins>
      <w:r>
        <w:t xml:space="preserve"> party must attend a </w:t>
      </w:r>
      <w:del w:id="631" w:author="Master Repository Process" w:date="2021-08-29T11:49:00Z">
        <w:r>
          <w:delText>listing conference.</w:delText>
        </w:r>
      </w:del>
    </w:p>
    <w:p>
      <w:pPr>
        <w:pStyle w:val="Subsection"/>
      </w:pPr>
      <w:del w:id="632" w:author="Master Repository Process" w:date="2021-08-29T11:49:00Z">
        <w:r>
          <w:tab/>
          <w:delText>(2)</w:delText>
        </w:r>
        <w:r>
          <w:tab/>
          <w:delText>Unless the Court orders otherwise, a party is not required to attend a listing</w:delText>
        </w:r>
      </w:del>
      <w:ins w:id="633" w:author="Master Repository Process" w:date="2021-08-29T11:49:00Z">
        <w:r>
          <w:t>status</w:t>
        </w:r>
      </w:ins>
      <w:r>
        <w:t xml:space="preserve"> conference </w:t>
      </w:r>
      <w:ins w:id="634" w:author="Master Repository Process" w:date="2021-08-29T11:49:00Z">
        <w:r>
          <w:t xml:space="preserve">and, subject to subrule (2), may do so </w:t>
        </w:r>
      </w:ins>
      <w:r>
        <w:t xml:space="preserve">in person </w:t>
      </w:r>
      <w:del w:id="635" w:author="Master Repository Process" w:date="2021-08-29T11:49:00Z">
        <w:r>
          <w:delText>if</w:delText>
        </w:r>
      </w:del>
      <w:ins w:id="636" w:author="Master Repository Process" w:date="2021-08-29T11:49:00Z">
        <w:r>
          <w:t>or may be represented by</w:t>
        </w:r>
      </w:ins>
      <w:r>
        <w:t xml:space="preserve"> the party’s </w:t>
      </w:r>
      <w:del w:id="637" w:author="Master Repository Process" w:date="2021-08-29T11:49:00Z">
        <w:r>
          <w:delText>lawyer attends the listing conference</w:delText>
        </w:r>
      </w:del>
      <w:ins w:id="638" w:author="Master Repository Process" w:date="2021-08-29T11:49:00Z">
        <w:r>
          <w:t>solicitor or counsel</w:t>
        </w:r>
      </w:ins>
      <w:r>
        <w:t>.</w:t>
      </w:r>
    </w:p>
    <w:p>
      <w:pPr>
        <w:pStyle w:val="Subsection"/>
        <w:rPr>
          <w:ins w:id="639" w:author="Master Repository Process" w:date="2021-08-29T11:49:00Z"/>
        </w:rPr>
      </w:pPr>
      <w:ins w:id="640" w:author="Master Repository Process" w:date="2021-08-29T11:49:00Z">
        <w:r>
          <w:tab/>
          <w:t>(2)</w:t>
        </w:r>
        <w:r>
          <w:tab/>
          <w:t xml:space="preserve">The Court may order that any or all of the following persons must attend a status conference — </w:t>
        </w:r>
      </w:ins>
    </w:p>
    <w:p>
      <w:pPr>
        <w:pStyle w:val="Indenta"/>
        <w:rPr>
          <w:ins w:id="641" w:author="Master Repository Process" w:date="2021-08-29T11:49:00Z"/>
        </w:rPr>
      </w:pPr>
      <w:ins w:id="642" w:author="Master Repository Process" w:date="2021-08-29T11:49:00Z">
        <w:r>
          <w:tab/>
          <w:t>(a)</w:t>
        </w:r>
        <w:r>
          <w:tab/>
          <w:t>a party in person;</w:t>
        </w:r>
      </w:ins>
    </w:p>
    <w:p>
      <w:pPr>
        <w:pStyle w:val="Indenta"/>
        <w:rPr>
          <w:ins w:id="643" w:author="Master Repository Process" w:date="2021-08-29T11:49:00Z"/>
        </w:rPr>
      </w:pPr>
      <w:ins w:id="644" w:author="Master Repository Process" w:date="2021-08-29T11:49:00Z">
        <w:r>
          <w:tab/>
          <w:t>(b)</w:t>
        </w:r>
        <w:r>
          <w:tab/>
          <w:t>a party’s solicitor;</w:t>
        </w:r>
      </w:ins>
    </w:p>
    <w:p>
      <w:pPr>
        <w:pStyle w:val="Indenta"/>
        <w:rPr>
          <w:ins w:id="645" w:author="Master Repository Process" w:date="2021-08-29T11:49:00Z"/>
        </w:rPr>
      </w:pPr>
      <w:ins w:id="646" w:author="Master Repository Process" w:date="2021-08-29T11:49:00Z">
        <w:r>
          <w:tab/>
          <w:t>(c)</w:t>
        </w:r>
        <w:r>
          <w:tab/>
          <w:t>a party’s counsel.</w:t>
        </w:r>
      </w:ins>
    </w:p>
    <w:p>
      <w:pPr>
        <w:pStyle w:val="Subsection"/>
        <w:spacing w:before="180"/>
        <w:rPr>
          <w:del w:id="647" w:author="Master Repository Process" w:date="2021-08-29T11:49:00Z"/>
        </w:rPr>
      </w:pPr>
      <w:r>
        <w:tab/>
        <w:t>(3)</w:t>
      </w:r>
      <w:r>
        <w:tab/>
        <w:t xml:space="preserve">If </w:t>
      </w:r>
      <w:del w:id="648" w:author="Master Repository Process" w:date="2021-08-29T11:49:00Z">
        <w:r>
          <w:delText>the Court orders a person to attend a listing conference, a registrar must notify the party in writing.</w:delText>
        </w:r>
      </w:del>
    </w:p>
    <w:p>
      <w:pPr>
        <w:pStyle w:val="Subsection"/>
      </w:pPr>
      <w:del w:id="649" w:author="Master Repository Process" w:date="2021-08-29T11:49:00Z">
        <w:r>
          <w:tab/>
          <w:delText>(4)</w:delText>
        </w:r>
        <w:r>
          <w:tab/>
          <w:delText xml:space="preserve">If </w:delText>
        </w:r>
      </w:del>
      <w:r>
        <w:t>a party or</w:t>
      </w:r>
      <w:del w:id="650" w:author="Master Repository Process" w:date="2021-08-29T11:49:00Z">
        <w:r>
          <w:delText>, if the party is not required</w:delText>
        </w:r>
      </w:del>
      <w:ins w:id="651" w:author="Master Repository Process" w:date="2021-08-29T11:49:00Z">
        <w:r>
          <w:t xml:space="preserve"> a person ordered to attend a status conference</w:t>
        </w:r>
      </w:ins>
      <w:r>
        <w:t xml:space="preserve"> under subrule (2) </w:t>
      </w:r>
      <w:del w:id="652" w:author="Master Repository Process" w:date="2021-08-29T11:49:00Z">
        <w:r>
          <w:delText xml:space="preserve">to attend in person, a party’s lawyer </w:delText>
        </w:r>
      </w:del>
      <w:r>
        <w:t>fails to attend</w:t>
      </w:r>
      <w:del w:id="653" w:author="Master Repository Process" w:date="2021-08-29T11:49:00Z">
        <w:r>
          <w:delText xml:space="preserve"> a listing conference</w:delText>
        </w:r>
      </w:del>
      <w:r>
        <w:t xml:space="preserve">, the magistrate at the </w:t>
      </w:r>
      <w:del w:id="654" w:author="Master Repository Process" w:date="2021-08-29T11:49:00Z">
        <w:r>
          <w:delText>listing</w:delText>
        </w:r>
      </w:del>
      <w:ins w:id="655" w:author="Master Repository Process" w:date="2021-08-29T11:49:00Z">
        <w:r>
          <w:t>status</w:t>
        </w:r>
      </w:ins>
      <w:r>
        <w:t xml:space="preserve"> conference may give default judgment against the party.</w:t>
      </w:r>
    </w:p>
    <w:p>
      <w:pPr>
        <w:pStyle w:val="Footnotesection"/>
      </w:pPr>
      <w:r>
        <w:tab/>
        <w:t xml:space="preserve">[Rule 46 </w:t>
      </w:r>
      <w:del w:id="656" w:author="Master Repository Process" w:date="2021-08-29T11:49:00Z">
        <w:r>
          <w:delText>amended: Gazette 24 May 2013 p. 2062</w:delText>
        </w:r>
      </w:del>
      <w:ins w:id="657" w:author="Master Repository Process" w:date="2021-08-29T11:49:00Z">
        <w:r>
          <w:t>inserted: SL 2020/67 r. 27</w:t>
        </w:r>
      </w:ins>
      <w:r>
        <w:t>.]</w:t>
      </w:r>
    </w:p>
    <w:p>
      <w:pPr>
        <w:pStyle w:val="Heading5"/>
        <w:spacing w:before="240"/>
        <w:rPr>
          <w:del w:id="658" w:author="Master Repository Process" w:date="2021-08-29T11:49:00Z"/>
        </w:rPr>
      </w:pPr>
      <w:bookmarkStart w:id="659" w:name="_Toc41638470"/>
      <w:del w:id="660" w:author="Master Repository Process" w:date="2021-08-29T11:49:00Z">
        <w:r>
          <w:rPr>
            <w:rStyle w:val="CharSectno"/>
          </w:rPr>
          <w:delText>47</w:delText>
        </w:r>
        <w:r>
          <w:delText>.</w:delText>
        </w:r>
        <w:r>
          <w:tab/>
          <w:delText>Listing case for trial</w:delText>
        </w:r>
        <w:bookmarkEnd w:id="659"/>
      </w:del>
    </w:p>
    <w:p>
      <w:pPr>
        <w:pStyle w:val="Heading5"/>
        <w:rPr>
          <w:ins w:id="661" w:author="Master Repository Process" w:date="2021-08-29T11:49:00Z"/>
        </w:rPr>
      </w:pPr>
      <w:bookmarkStart w:id="662" w:name="_Toc41638737"/>
      <w:ins w:id="663" w:author="Master Repository Process" w:date="2021-08-29T11:49:00Z">
        <w:r>
          <w:rPr>
            <w:rStyle w:val="CharSectno"/>
          </w:rPr>
          <w:t>47</w:t>
        </w:r>
        <w:r>
          <w:t>.</w:t>
        </w:r>
        <w:r>
          <w:tab/>
          <w:t>Powers of magistrate at status conference</w:t>
        </w:r>
        <w:bookmarkEnd w:id="662"/>
      </w:ins>
    </w:p>
    <w:p>
      <w:pPr>
        <w:pStyle w:val="Subsection"/>
        <w:rPr>
          <w:ins w:id="664" w:author="Master Repository Process" w:date="2021-08-29T11:49:00Z"/>
        </w:rPr>
      </w:pPr>
      <w:r>
        <w:tab/>
        <w:t>(1)</w:t>
      </w:r>
      <w:r>
        <w:tab/>
      </w:r>
      <w:del w:id="665" w:author="Master Repository Process" w:date="2021-08-29T11:49:00Z">
        <w:r>
          <w:delText>Unless the</w:delText>
        </w:r>
      </w:del>
      <w:ins w:id="666" w:author="Master Repository Process" w:date="2021-08-29T11:49:00Z">
        <w:r>
          <w:t>The</w:t>
        </w:r>
      </w:ins>
      <w:r>
        <w:t xml:space="preserve"> magistrate at a </w:t>
      </w:r>
      <w:del w:id="667" w:author="Master Repository Process" w:date="2021-08-29T11:49:00Z">
        <w:r>
          <w:delText>listing</w:delText>
        </w:r>
      </w:del>
      <w:ins w:id="668" w:author="Master Repository Process" w:date="2021-08-29T11:49:00Z">
        <w:r>
          <w:t>status</w:t>
        </w:r>
      </w:ins>
      <w:r>
        <w:t xml:space="preserve"> conference </w:t>
      </w:r>
      <w:del w:id="669" w:author="Master Repository Process" w:date="2021-08-29T11:49:00Z">
        <w:r>
          <w:delText>orders</w:delText>
        </w:r>
      </w:del>
      <w:ins w:id="670" w:author="Master Repository Process" w:date="2021-08-29T11:49:00Z">
        <w:r>
          <w:t xml:space="preserve">may do any or all of the following — </w:t>
        </w:r>
      </w:ins>
    </w:p>
    <w:p>
      <w:pPr>
        <w:pStyle w:val="Indenta"/>
        <w:rPr>
          <w:ins w:id="671" w:author="Master Repository Process" w:date="2021-08-29T11:49:00Z"/>
        </w:rPr>
      </w:pPr>
      <w:ins w:id="672" w:author="Master Repository Process" w:date="2021-08-29T11:49:00Z">
        <w:r>
          <w:tab/>
          <w:t>(a)</w:t>
        </w:r>
        <w:r>
          <w:tab/>
          <w:t>order that</w:t>
        </w:r>
      </w:ins>
      <w:r>
        <w:t xml:space="preserve"> the parties </w:t>
      </w:r>
      <w:del w:id="673" w:author="Master Repository Process" w:date="2021-08-29T11:49:00Z">
        <w:r>
          <w:delText xml:space="preserve">to </w:delText>
        </w:r>
      </w:del>
      <w:r>
        <w:t>attend before a mediator</w:t>
      </w:r>
      <w:del w:id="674" w:author="Master Repository Process" w:date="2021-08-29T11:49:00Z">
        <w:r>
          <w:delText xml:space="preserve">, or to </w:delText>
        </w:r>
      </w:del>
      <w:ins w:id="675" w:author="Master Repository Process" w:date="2021-08-29T11:49:00Z">
        <w:r>
          <w:t xml:space="preserve">; </w:t>
        </w:r>
      </w:ins>
    </w:p>
    <w:p>
      <w:pPr>
        <w:pStyle w:val="Indenta"/>
        <w:rPr>
          <w:ins w:id="676" w:author="Master Repository Process" w:date="2021-08-29T11:49:00Z"/>
        </w:rPr>
      </w:pPr>
      <w:ins w:id="677" w:author="Master Repository Process" w:date="2021-08-29T11:49:00Z">
        <w:r>
          <w:tab/>
          <w:t>(b)</w:t>
        </w:r>
        <w:r>
          <w:tab/>
          <w:t xml:space="preserve">order that the parties </w:t>
        </w:r>
      </w:ins>
      <w:r>
        <w:t>attend a pre</w:t>
      </w:r>
      <w:r>
        <w:noBreakHyphen/>
        <w:t>trial conference</w:t>
      </w:r>
      <w:del w:id="678" w:author="Master Repository Process" w:date="2021-08-29T11:49:00Z">
        <w:r>
          <w:delText xml:space="preserve"> or listing</w:delText>
        </w:r>
      </w:del>
      <w:ins w:id="679" w:author="Master Repository Process" w:date="2021-08-29T11:49:00Z">
        <w:r>
          <w:t>;</w:t>
        </w:r>
      </w:ins>
    </w:p>
    <w:p>
      <w:pPr>
        <w:pStyle w:val="Indenta"/>
        <w:rPr>
          <w:ins w:id="680" w:author="Master Repository Process" w:date="2021-08-29T11:49:00Z"/>
        </w:rPr>
      </w:pPr>
      <w:ins w:id="681" w:author="Master Repository Process" w:date="2021-08-29T11:49:00Z">
        <w:r>
          <w:tab/>
          <w:t>(c)</w:t>
        </w:r>
        <w:r>
          <w:tab/>
          <w:t>order that the parties attend a further status</w:t>
        </w:r>
      </w:ins>
      <w:r>
        <w:t xml:space="preserve"> conference</w:t>
      </w:r>
      <w:del w:id="682" w:author="Master Repository Process" w:date="2021-08-29T11:49:00Z">
        <w:r>
          <w:delText>,</w:delText>
        </w:r>
      </w:del>
      <w:ins w:id="683" w:author="Master Repository Process" w:date="2021-08-29T11:49:00Z">
        <w:r>
          <w:t>;</w:t>
        </w:r>
      </w:ins>
    </w:p>
    <w:p>
      <w:pPr>
        <w:pStyle w:val="Indenta"/>
        <w:rPr>
          <w:ins w:id="684" w:author="Master Repository Process" w:date="2021-08-29T11:49:00Z"/>
        </w:rPr>
      </w:pPr>
      <w:ins w:id="685" w:author="Master Repository Process" w:date="2021-08-29T11:49:00Z">
        <w:r>
          <w:tab/>
          <w:t>(d)</w:t>
        </w:r>
        <w:r>
          <w:tab/>
          <w:t>exercise the jurisdiction of the Court under</w:t>
        </w:r>
      </w:ins>
      <w:r>
        <w:t xml:space="preserve"> the </w:t>
      </w:r>
      <w:del w:id="686" w:author="Master Repository Process" w:date="2021-08-29T11:49:00Z">
        <w:r>
          <w:delText>magistrate must list</w:delText>
        </w:r>
      </w:del>
      <w:ins w:id="687" w:author="Master Repository Process" w:date="2021-08-29T11:49:00Z">
        <w:r>
          <w:t>Act section 16(1)(m) to allow a party to amend its case statement;</w:t>
        </w:r>
      </w:ins>
    </w:p>
    <w:p>
      <w:pPr>
        <w:pStyle w:val="Indenta"/>
        <w:rPr>
          <w:ins w:id="688" w:author="Master Repository Process" w:date="2021-08-29T11:49:00Z"/>
        </w:rPr>
      </w:pPr>
      <w:ins w:id="689" w:author="Master Repository Process" w:date="2021-08-29T11:49:00Z">
        <w:r>
          <w:tab/>
          <w:t>(e)</w:t>
        </w:r>
        <w:r>
          <w:tab/>
          <w:t xml:space="preserve">exercise the jurisdiction of the Court under the Act section 16(1)(n) to order a party — </w:t>
        </w:r>
      </w:ins>
    </w:p>
    <w:p>
      <w:pPr>
        <w:pStyle w:val="Indenti"/>
        <w:rPr>
          <w:ins w:id="690" w:author="Master Repository Process" w:date="2021-08-29T11:49:00Z"/>
        </w:rPr>
      </w:pPr>
      <w:ins w:id="691" w:author="Master Repository Process" w:date="2021-08-29T11:49:00Z">
        <w:r>
          <w:tab/>
          <w:t>(i)</w:t>
        </w:r>
        <w:r>
          <w:tab/>
          <w:t>to provide additional information by disclosing documents relevant to</w:t>
        </w:r>
      </w:ins>
      <w:r>
        <w:t xml:space="preserve"> the case </w:t>
      </w:r>
      <w:ins w:id="692" w:author="Master Repository Process" w:date="2021-08-29T11:49:00Z">
        <w:r>
          <w:t>in accordance with Part 7; or</w:t>
        </w:r>
      </w:ins>
    </w:p>
    <w:p>
      <w:pPr>
        <w:pStyle w:val="Indenti"/>
        <w:rPr>
          <w:ins w:id="693" w:author="Master Repository Process" w:date="2021-08-29T11:49:00Z"/>
        </w:rPr>
      </w:pPr>
      <w:ins w:id="694" w:author="Master Repository Process" w:date="2021-08-29T11:49:00Z">
        <w:r>
          <w:tab/>
          <w:t>(ii)</w:t>
        </w:r>
        <w:r>
          <w:tab/>
          <w:t>to answer interrogatories in accordance with Part 8;</w:t>
        </w:r>
      </w:ins>
    </w:p>
    <w:p>
      <w:pPr>
        <w:pStyle w:val="Indenta"/>
        <w:rPr>
          <w:ins w:id="695" w:author="Master Repository Process" w:date="2021-08-29T11:49:00Z"/>
        </w:rPr>
      </w:pPr>
      <w:ins w:id="696" w:author="Master Repository Process" w:date="2021-08-29T11:49:00Z">
        <w:r>
          <w:tab/>
          <w:t>(f)</w:t>
        </w:r>
        <w:r>
          <w:tab/>
          <w:t>exercise the jurisdiction of the Court under the Act section 16(1)(o)(i) to order the parties to exchange the written statements of the evidence that is anticipated will be given by witnesses in accordance with Part 13 Division 2;</w:t>
        </w:r>
      </w:ins>
    </w:p>
    <w:p>
      <w:pPr>
        <w:pStyle w:val="Indenta"/>
        <w:rPr>
          <w:ins w:id="697" w:author="Master Repository Process" w:date="2021-08-29T11:49:00Z"/>
        </w:rPr>
      </w:pPr>
      <w:ins w:id="698" w:author="Master Repository Process" w:date="2021-08-29T11:49:00Z">
        <w:r>
          <w:tab/>
          <w:t>(g)</w:t>
        </w:r>
        <w:r>
          <w:tab/>
          <w:t>order a party to provide further particulars;</w:t>
        </w:r>
      </w:ins>
    </w:p>
    <w:p>
      <w:pPr>
        <w:pStyle w:val="Indenta"/>
        <w:rPr>
          <w:ins w:id="699" w:author="Master Repository Process" w:date="2021-08-29T11:49:00Z"/>
        </w:rPr>
      </w:pPr>
      <w:ins w:id="700" w:author="Master Repository Process" w:date="2021-08-29T11:49:00Z">
        <w:r>
          <w:tab/>
          <w:t>(h)</w:t>
        </w:r>
        <w:r>
          <w:tab/>
          <w:t>list the case for trial;</w:t>
        </w:r>
      </w:ins>
    </w:p>
    <w:p>
      <w:pPr>
        <w:pStyle w:val="Indenta"/>
      </w:pPr>
      <w:ins w:id="701" w:author="Master Repository Process" w:date="2021-08-29T11:49:00Z">
        <w:r>
          <w:tab/>
          <w:t>(i)</w:t>
        </w:r>
        <w:r>
          <w:tab/>
          <w:t xml:space="preserve">make any other orders necessary to facilitate settlement or to ensure the case is ready </w:t>
        </w:r>
      </w:ins>
      <w:r>
        <w:t>for trial</w:t>
      </w:r>
      <w:del w:id="702" w:author="Master Repository Process" w:date="2021-08-29T11:49:00Z">
        <w:r>
          <w:delText xml:space="preserve"> and a registrar notify the parties in writing</w:delText>
        </w:r>
      </w:del>
      <w:r>
        <w:t>.</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w:t>
      </w:r>
      <w:ins w:id="703" w:author="Master Repository Process" w:date="2021-08-29T11:49:00Z">
        <w:r>
          <w:t>; SL 2020/67 r. 28</w:t>
        </w:r>
      </w:ins>
      <w:r>
        <w:t>.]</w:t>
      </w:r>
    </w:p>
    <w:p>
      <w:pPr>
        <w:pStyle w:val="Heading5"/>
        <w:rPr>
          <w:del w:id="704" w:author="Master Repository Process" w:date="2021-08-29T11:49:00Z"/>
        </w:rPr>
      </w:pPr>
      <w:bookmarkStart w:id="705" w:name="_Toc41638471"/>
      <w:del w:id="706" w:author="Master Repository Process" w:date="2021-08-29T11:49:00Z">
        <w:r>
          <w:rPr>
            <w:rStyle w:val="CharSectno"/>
          </w:rPr>
          <w:delText>48</w:delText>
        </w:r>
        <w:r>
          <w:delText>.</w:delText>
        </w:r>
        <w:r>
          <w:tab/>
          <w:delText>Listing conferences to be conducted in private</w:delText>
        </w:r>
        <w:bookmarkEnd w:id="705"/>
      </w:del>
    </w:p>
    <w:p>
      <w:pPr>
        <w:pStyle w:val="Subsection"/>
        <w:rPr>
          <w:del w:id="707" w:author="Master Repository Process" w:date="2021-08-29T11:49:00Z"/>
        </w:rPr>
      </w:pPr>
      <w:del w:id="708" w:author="Master Repository Process" w:date="2021-08-29T11:49:00Z">
        <w:r>
          <w:tab/>
        </w:r>
        <w:r>
          <w:tab/>
          <w:delText>A listing conference must be conducted before a magistrate, in private.</w:delText>
        </w:r>
      </w:del>
    </w:p>
    <w:p>
      <w:pPr>
        <w:pStyle w:val="Ednotesection"/>
        <w:rPr>
          <w:ins w:id="709" w:author="Master Repository Process" w:date="2021-08-29T11:49:00Z"/>
        </w:rPr>
      </w:pPr>
      <w:bookmarkStart w:id="710" w:name="_Toc41473580"/>
      <w:ins w:id="711" w:author="Master Repository Process" w:date="2021-08-29T11:49:00Z">
        <w:r>
          <w:t>[</w:t>
        </w:r>
        <w:r>
          <w:rPr>
            <w:b/>
          </w:rPr>
          <w:t>48.</w:t>
        </w:r>
        <w:r>
          <w:tab/>
          <w:t>Deleted: SL 2020/67 r. 29.]</w:t>
        </w:r>
      </w:ins>
    </w:p>
    <w:p>
      <w:pPr>
        <w:pStyle w:val="Heading2"/>
      </w:pPr>
      <w:bookmarkStart w:id="712" w:name="_Toc41487474"/>
      <w:bookmarkStart w:id="713" w:name="_Toc41551928"/>
      <w:bookmarkStart w:id="714" w:name="_Toc41552680"/>
      <w:bookmarkStart w:id="715" w:name="_Toc41638738"/>
      <w:bookmarkStart w:id="716" w:name="_Toc39501041"/>
      <w:bookmarkStart w:id="717" w:name="_Toc39566699"/>
      <w:bookmarkStart w:id="718" w:name="_Toc39575239"/>
      <w:bookmarkStart w:id="719" w:name="_Toc41638472"/>
      <w:r>
        <w:rPr>
          <w:rStyle w:val="CharPartNo"/>
        </w:rPr>
        <w:t>Part 11</w:t>
      </w:r>
      <w:r>
        <w:rPr>
          <w:rStyle w:val="CharDivNo"/>
        </w:rPr>
        <w:t> </w:t>
      </w:r>
      <w:r>
        <w:t>—</w:t>
      </w:r>
      <w:r>
        <w:rPr>
          <w:rStyle w:val="CharDivText"/>
        </w:rPr>
        <w:t> </w:t>
      </w:r>
      <w:r>
        <w:rPr>
          <w:rStyle w:val="CharPartText"/>
        </w:rPr>
        <w:t>Mediation</w:t>
      </w:r>
      <w:bookmarkEnd w:id="710"/>
      <w:bookmarkEnd w:id="712"/>
      <w:bookmarkEnd w:id="713"/>
      <w:bookmarkEnd w:id="714"/>
      <w:bookmarkEnd w:id="715"/>
      <w:bookmarkEnd w:id="716"/>
      <w:bookmarkEnd w:id="717"/>
      <w:bookmarkEnd w:id="718"/>
      <w:bookmarkEnd w:id="719"/>
    </w:p>
    <w:p>
      <w:pPr>
        <w:pStyle w:val="Heading5"/>
      </w:pPr>
      <w:bookmarkStart w:id="720" w:name="_Toc41638739"/>
      <w:bookmarkStart w:id="721" w:name="_Toc41638473"/>
      <w:r>
        <w:rPr>
          <w:rStyle w:val="CharSectno"/>
        </w:rPr>
        <w:t>49</w:t>
      </w:r>
      <w:r>
        <w:t>.</w:t>
      </w:r>
      <w:r>
        <w:tab/>
        <w:t>Mediation conference, parties to arrange if Court orders mediation</w:t>
      </w:r>
      <w:bookmarkEnd w:id="720"/>
      <w:bookmarkEnd w:id="721"/>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722" w:name="_Toc41638740"/>
      <w:bookmarkStart w:id="723" w:name="_Toc41638474"/>
      <w:r>
        <w:rPr>
          <w:rStyle w:val="CharSectno"/>
        </w:rPr>
        <w:t>50</w:t>
      </w:r>
      <w:r>
        <w:t>.</w:t>
      </w:r>
      <w:r>
        <w:tab/>
        <w:t>Attendance at mediation conferences</w:t>
      </w:r>
      <w:bookmarkEnd w:id="722"/>
      <w:bookmarkEnd w:id="723"/>
    </w:p>
    <w:p>
      <w:pPr>
        <w:pStyle w:val="Subsection"/>
      </w:pPr>
      <w:r>
        <w:tab/>
      </w:r>
      <w:r>
        <w:tab/>
        <w:t>Unless the mediator otherwise approves, a party must attend a mediation conference in person.</w:t>
      </w:r>
    </w:p>
    <w:p>
      <w:pPr>
        <w:pStyle w:val="Heading5"/>
      </w:pPr>
      <w:bookmarkStart w:id="724" w:name="_Toc41638741"/>
      <w:bookmarkStart w:id="725" w:name="_Toc41638475"/>
      <w:r>
        <w:rPr>
          <w:rStyle w:val="CharSectno"/>
        </w:rPr>
        <w:t>51</w:t>
      </w:r>
      <w:r>
        <w:t>.</w:t>
      </w:r>
      <w:r>
        <w:tab/>
        <w:t>Outcome of mediation, claimant to lodge notice of</w:t>
      </w:r>
      <w:bookmarkEnd w:id="724"/>
      <w:bookmarkEnd w:id="725"/>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726" w:name="_Toc41638742"/>
      <w:bookmarkStart w:id="727" w:name="_Toc41638476"/>
      <w:r>
        <w:rPr>
          <w:rStyle w:val="CharSectno"/>
        </w:rPr>
        <w:t>52</w:t>
      </w:r>
      <w:r>
        <w:t>.</w:t>
      </w:r>
      <w:r>
        <w:tab/>
        <w:t xml:space="preserve">Further </w:t>
      </w:r>
      <w:del w:id="728" w:author="Master Repository Process" w:date="2021-08-29T11:49:00Z">
        <w:r>
          <w:delText>listing</w:delText>
        </w:r>
      </w:del>
      <w:ins w:id="729" w:author="Master Repository Process" w:date="2021-08-29T11:49:00Z">
        <w:r>
          <w:t>status</w:t>
        </w:r>
      </w:ins>
      <w:r>
        <w:t xml:space="preserve"> conference if case not settled at mediation</w:t>
      </w:r>
      <w:bookmarkEnd w:id="726"/>
      <w:bookmarkEnd w:id="727"/>
    </w:p>
    <w:p>
      <w:pPr>
        <w:pStyle w:val="Subsection"/>
      </w:pPr>
      <w:r>
        <w:tab/>
      </w:r>
      <w:r>
        <w:tab/>
        <w:t xml:space="preserve">If the case is not settled at the mediation conference a registrar must list the case for a further </w:t>
      </w:r>
      <w:del w:id="730" w:author="Master Repository Process" w:date="2021-08-29T11:49:00Z">
        <w:r>
          <w:delText>listing</w:delText>
        </w:r>
      </w:del>
      <w:ins w:id="731" w:author="Master Repository Process" w:date="2021-08-29T11:49:00Z">
        <w:r>
          <w:t>status</w:t>
        </w:r>
      </w:ins>
      <w:r>
        <w:t xml:space="preserve"> conference and notify the parties in writing.</w:t>
      </w:r>
    </w:p>
    <w:p>
      <w:pPr>
        <w:pStyle w:val="Footnotesection"/>
        <w:rPr>
          <w:ins w:id="732" w:author="Master Repository Process" w:date="2021-08-29T11:49:00Z"/>
        </w:rPr>
      </w:pPr>
      <w:bookmarkStart w:id="733" w:name="_Toc41473585"/>
      <w:ins w:id="734" w:author="Master Repository Process" w:date="2021-08-29T11:49:00Z">
        <w:r>
          <w:tab/>
          <w:t>[Rule 52 amended: SL 2020/67 r. 30.]</w:t>
        </w:r>
      </w:ins>
    </w:p>
    <w:p>
      <w:pPr>
        <w:pStyle w:val="Heading2"/>
      </w:pPr>
      <w:bookmarkStart w:id="735" w:name="_Toc41487479"/>
      <w:bookmarkStart w:id="736" w:name="_Toc41551933"/>
      <w:bookmarkStart w:id="737" w:name="_Toc41552685"/>
      <w:bookmarkStart w:id="738" w:name="_Toc41638743"/>
      <w:bookmarkStart w:id="739" w:name="_Toc39501046"/>
      <w:bookmarkStart w:id="740" w:name="_Toc39566704"/>
      <w:bookmarkStart w:id="741" w:name="_Toc39575244"/>
      <w:bookmarkStart w:id="742" w:name="_Toc41638477"/>
      <w:r>
        <w:rPr>
          <w:rStyle w:val="CharPartNo"/>
        </w:rPr>
        <w:t>Part 12</w:t>
      </w:r>
      <w:r>
        <w:t> — </w:t>
      </w:r>
      <w:r>
        <w:rPr>
          <w:rStyle w:val="CharPartText"/>
        </w:rPr>
        <w:t>Consent orders and settlement</w:t>
      </w:r>
      <w:bookmarkEnd w:id="733"/>
      <w:bookmarkEnd w:id="735"/>
      <w:bookmarkEnd w:id="736"/>
      <w:bookmarkEnd w:id="737"/>
      <w:bookmarkEnd w:id="738"/>
      <w:bookmarkEnd w:id="739"/>
      <w:bookmarkEnd w:id="740"/>
      <w:bookmarkEnd w:id="741"/>
      <w:bookmarkEnd w:id="742"/>
    </w:p>
    <w:p>
      <w:pPr>
        <w:pStyle w:val="Heading3"/>
      </w:pPr>
      <w:bookmarkStart w:id="743" w:name="_Toc41473586"/>
      <w:bookmarkStart w:id="744" w:name="_Toc41487480"/>
      <w:bookmarkStart w:id="745" w:name="_Toc41551934"/>
      <w:bookmarkStart w:id="746" w:name="_Toc41552686"/>
      <w:bookmarkStart w:id="747" w:name="_Toc41638744"/>
      <w:bookmarkStart w:id="748" w:name="_Toc39501047"/>
      <w:bookmarkStart w:id="749" w:name="_Toc39566705"/>
      <w:bookmarkStart w:id="750" w:name="_Toc39575245"/>
      <w:bookmarkStart w:id="751" w:name="_Toc41638478"/>
      <w:r>
        <w:rPr>
          <w:rStyle w:val="CharDivNo"/>
        </w:rPr>
        <w:t>Division 1</w:t>
      </w:r>
      <w:r>
        <w:t> — </w:t>
      </w:r>
      <w:r>
        <w:rPr>
          <w:rStyle w:val="CharDivText"/>
        </w:rPr>
        <w:t>Consent</w:t>
      </w:r>
      <w:bookmarkEnd w:id="743"/>
      <w:bookmarkEnd w:id="744"/>
      <w:bookmarkEnd w:id="745"/>
      <w:bookmarkEnd w:id="746"/>
      <w:bookmarkEnd w:id="747"/>
      <w:bookmarkEnd w:id="748"/>
      <w:bookmarkEnd w:id="749"/>
      <w:bookmarkEnd w:id="750"/>
      <w:bookmarkEnd w:id="751"/>
    </w:p>
    <w:p>
      <w:pPr>
        <w:pStyle w:val="Heading5"/>
      </w:pPr>
      <w:bookmarkStart w:id="752" w:name="_Toc41638745"/>
      <w:bookmarkStart w:id="753" w:name="_Toc41638479"/>
      <w:r>
        <w:rPr>
          <w:rStyle w:val="CharSectno"/>
        </w:rPr>
        <w:t>53</w:t>
      </w:r>
      <w:r>
        <w:t>.</w:t>
      </w:r>
      <w:r>
        <w:tab/>
        <w:t>Consenting to judgment or order, manner of</w:t>
      </w:r>
      <w:bookmarkEnd w:id="752"/>
      <w:bookmarkEnd w:id="753"/>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754" w:name="_Toc41638746"/>
      <w:bookmarkStart w:id="755" w:name="_Toc41638480"/>
      <w:r>
        <w:rPr>
          <w:rStyle w:val="CharSectno"/>
        </w:rPr>
        <w:t>54</w:t>
      </w:r>
      <w:r>
        <w:t>.</w:t>
      </w:r>
      <w:r>
        <w:tab/>
        <w:t>Memorandum of consent, registrar’s powers on</w:t>
      </w:r>
      <w:bookmarkEnd w:id="754"/>
      <w:bookmarkEnd w:id="755"/>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756" w:name="_Toc41638747"/>
      <w:bookmarkStart w:id="757" w:name="_Toc41638481"/>
      <w:r>
        <w:rPr>
          <w:rStyle w:val="CharSectno"/>
        </w:rPr>
        <w:t>55</w:t>
      </w:r>
      <w:r>
        <w:t>.</w:t>
      </w:r>
      <w:r>
        <w:tab/>
        <w:t>Consent by one party, manner of giving</w:t>
      </w:r>
      <w:bookmarkEnd w:id="756"/>
      <w:bookmarkEnd w:id="757"/>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758" w:name="_Toc41638748"/>
      <w:bookmarkStart w:id="759" w:name="_Toc41638482"/>
      <w:r>
        <w:rPr>
          <w:rStyle w:val="CharSectno"/>
        </w:rPr>
        <w:t>56</w:t>
      </w:r>
      <w:r>
        <w:t>.</w:t>
      </w:r>
      <w:r>
        <w:tab/>
        <w:t>Person under legal disability, settling claims involving</w:t>
      </w:r>
      <w:bookmarkEnd w:id="758"/>
      <w:bookmarkEnd w:id="759"/>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760" w:name="_Toc41473591"/>
      <w:bookmarkStart w:id="761" w:name="_Toc41487485"/>
      <w:bookmarkStart w:id="762" w:name="_Toc41551939"/>
      <w:bookmarkStart w:id="763" w:name="_Toc41552691"/>
      <w:bookmarkStart w:id="764" w:name="_Toc41638749"/>
      <w:bookmarkStart w:id="765" w:name="_Toc39501052"/>
      <w:bookmarkStart w:id="766" w:name="_Toc39566710"/>
      <w:bookmarkStart w:id="767" w:name="_Toc39575250"/>
      <w:bookmarkStart w:id="768" w:name="_Toc41638483"/>
      <w:r>
        <w:rPr>
          <w:rStyle w:val="CharDivNo"/>
        </w:rPr>
        <w:t>Division 2</w:t>
      </w:r>
      <w:r>
        <w:t> — </w:t>
      </w:r>
      <w:r>
        <w:rPr>
          <w:rStyle w:val="CharDivText"/>
        </w:rPr>
        <w:t>Offers of settlement</w:t>
      </w:r>
      <w:bookmarkEnd w:id="760"/>
      <w:bookmarkEnd w:id="761"/>
      <w:bookmarkEnd w:id="762"/>
      <w:bookmarkEnd w:id="763"/>
      <w:bookmarkEnd w:id="764"/>
      <w:bookmarkEnd w:id="765"/>
      <w:bookmarkEnd w:id="766"/>
      <w:bookmarkEnd w:id="767"/>
      <w:bookmarkEnd w:id="768"/>
    </w:p>
    <w:p>
      <w:pPr>
        <w:pStyle w:val="Heading5"/>
      </w:pPr>
      <w:bookmarkStart w:id="769" w:name="_Toc41638750"/>
      <w:bookmarkStart w:id="770" w:name="_Toc41638484"/>
      <w:r>
        <w:rPr>
          <w:rStyle w:val="CharSectno"/>
        </w:rPr>
        <w:t>57</w:t>
      </w:r>
      <w:r>
        <w:t>.</w:t>
      </w:r>
      <w:r>
        <w:tab/>
        <w:t>Offer of settlement, making</w:t>
      </w:r>
      <w:bookmarkEnd w:id="769"/>
      <w:bookmarkEnd w:id="770"/>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771" w:name="_Toc41638751"/>
      <w:bookmarkStart w:id="772" w:name="_Toc41638485"/>
      <w:r>
        <w:rPr>
          <w:rStyle w:val="CharSectno"/>
        </w:rPr>
        <w:t>58</w:t>
      </w:r>
      <w:r>
        <w:t>.</w:t>
      </w:r>
      <w:r>
        <w:tab/>
        <w:t>Offers to be confidential and made without prejudice</w:t>
      </w:r>
      <w:bookmarkEnd w:id="771"/>
      <w:bookmarkEnd w:id="772"/>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773" w:name="_Toc41638752"/>
      <w:bookmarkStart w:id="774" w:name="_Toc41638486"/>
      <w:r>
        <w:rPr>
          <w:rStyle w:val="CharSectno"/>
        </w:rPr>
        <w:t>59</w:t>
      </w:r>
      <w:r>
        <w:t>.</w:t>
      </w:r>
      <w:r>
        <w:tab/>
        <w:t>Receipt of offer to be acknowledged</w:t>
      </w:r>
      <w:bookmarkEnd w:id="773"/>
      <w:bookmarkEnd w:id="774"/>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775" w:name="_Toc41638753"/>
      <w:bookmarkStart w:id="776" w:name="_Toc41638487"/>
      <w:r>
        <w:rPr>
          <w:rStyle w:val="CharSectno"/>
        </w:rPr>
        <w:t>60</w:t>
      </w:r>
      <w:r>
        <w:t>.</w:t>
      </w:r>
      <w:r>
        <w:tab/>
        <w:t>Period within which offer may be accepted</w:t>
      </w:r>
      <w:bookmarkEnd w:id="775"/>
      <w:bookmarkEnd w:id="776"/>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777" w:name="_Toc41638754"/>
      <w:bookmarkStart w:id="778" w:name="_Toc41638488"/>
      <w:r>
        <w:rPr>
          <w:rStyle w:val="CharSectno"/>
        </w:rPr>
        <w:t>61</w:t>
      </w:r>
      <w:r>
        <w:t>.</w:t>
      </w:r>
      <w:r>
        <w:tab/>
        <w:t>Accepting offer</w:t>
      </w:r>
      <w:bookmarkEnd w:id="777"/>
      <w:bookmarkEnd w:id="778"/>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779" w:name="_Toc41638755"/>
      <w:bookmarkStart w:id="780" w:name="_Toc41638489"/>
      <w:r>
        <w:rPr>
          <w:rStyle w:val="CharSectno"/>
        </w:rPr>
        <w:t>62</w:t>
      </w:r>
      <w:r>
        <w:t>.</w:t>
      </w:r>
      <w:r>
        <w:tab/>
        <w:t>Period within which offered sums must be paid</w:t>
      </w:r>
      <w:bookmarkEnd w:id="779"/>
      <w:bookmarkEnd w:id="780"/>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781" w:name="_Toc41638756"/>
      <w:bookmarkStart w:id="782" w:name="_Toc41638490"/>
      <w:r>
        <w:rPr>
          <w:rStyle w:val="CharSectno"/>
        </w:rPr>
        <w:t>63</w:t>
      </w:r>
      <w:r>
        <w:t>.</w:t>
      </w:r>
      <w:r>
        <w:tab/>
        <w:t>Withdrawing acceptance of offer</w:t>
      </w:r>
      <w:bookmarkEnd w:id="781"/>
      <w:bookmarkEnd w:id="782"/>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783" w:name="_Toc41638757"/>
      <w:bookmarkStart w:id="784" w:name="_Toc41638491"/>
      <w:r>
        <w:rPr>
          <w:rStyle w:val="CharSectno"/>
        </w:rPr>
        <w:t>64</w:t>
      </w:r>
      <w:r>
        <w:t>.</w:t>
      </w:r>
      <w:r>
        <w:tab/>
        <w:t>Requesting and giving judgment after offer accepted</w:t>
      </w:r>
      <w:bookmarkEnd w:id="783"/>
      <w:bookmarkEnd w:id="78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785" w:name="_Toc41638758"/>
      <w:bookmarkStart w:id="786" w:name="_Toc41638492"/>
      <w:r>
        <w:rPr>
          <w:rStyle w:val="CharSectno"/>
        </w:rPr>
        <w:t>65</w:t>
      </w:r>
      <w:r>
        <w:t>.</w:t>
      </w:r>
      <w:r>
        <w:tab/>
        <w:t>Post</w:t>
      </w:r>
      <w:r>
        <w:noBreakHyphen/>
        <w:t>offer costs, orders for</w:t>
      </w:r>
      <w:bookmarkEnd w:id="785"/>
      <w:bookmarkEnd w:id="786"/>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787" w:name="_Toc41473601"/>
      <w:bookmarkStart w:id="788" w:name="_Toc41487495"/>
      <w:bookmarkStart w:id="789" w:name="_Toc41551949"/>
      <w:bookmarkStart w:id="790" w:name="_Toc41552701"/>
      <w:bookmarkStart w:id="791" w:name="_Toc41638759"/>
      <w:bookmarkStart w:id="792" w:name="_Toc39501062"/>
      <w:bookmarkStart w:id="793" w:name="_Toc39566720"/>
      <w:bookmarkStart w:id="794" w:name="_Toc39575260"/>
      <w:bookmarkStart w:id="795" w:name="_Toc41638493"/>
      <w:r>
        <w:rPr>
          <w:rStyle w:val="CharPartNo"/>
        </w:rPr>
        <w:t>Part 13</w:t>
      </w:r>
      <w:r>
        <w:t> — </w:t>
      </w:r>
      <w:r>
        <w:rPr>
          <w:rStyle w:val="CharPartText"/>
        </w:rPr>
        <w:t>Trial</w:t>
      </w:r>
      <w:bookmarkEnd w:id="787"/>
      <w:bookmarkEnd w:id="788"/>
      <w:bookmarkEnd w:id="789"/>
      <w:bookmarkEnd w:id="790"/>
      <w:bookmarkEnd w:id="791"/>
      <w:bookmarkEnd w:id="792"/>
      <w:bookmarkEnd w:id="793"/>
      <w:bookmarkEnd w:id="794"/>
      <w:bookmarkEnd w:id="795"/>
    </w:p>
    <w:p>
      <w:pPr>
        <w:pStyle w:val="Heading3"/>
      </w:pPr>
      <w:bookmarkStart w:id="796" w:name="_Toc41473602"/>
      <w:bookmarkStart w:id="797" w:name="_Toc41487496"/>
      <w:bookmarkStart w:id="798" w:name="_Toc41551950"/>
      <w:bookmarkStart w:id="799" w:name="_Toc41552702"/>
      <w:bookmarkStart w:id="800" w:name="_Toc41638760"/>
      <w:bookmarkStart w:id="801" w:name="_Toc39501063"/>
      <w:bookmarkStart w:id="802" w:name="_Toc39566721"/>
      <w:bookmarkStart w:id="803" w:name="_Toc39575261"/>
      <w:bookmarkStart w:id="804" w:name="_Toc41638494"/>
      <w:r>
        <w:rPr>
          <w:rStyle w:val="CharDivNo"/>
        </w:rPr>
        <w:t>Division 1</w:t>
      </w:r>
      <w:r>
        <w:t> — </w:t>
      </w:r>
      <w:r>
        <w:rPr>
          <w:rStyle w:val="CharDivText"/>
        </w:rPr>
        <w:t>General</w:t>
      </w:r>
      <w:bookmarkEnd w:id="796"/>
      <w:bookmarkEnd w:id="797"/>
      <w:bookmarkEnd w:id="798"/>
      <w:bookmarkEnd w:id="799"/>
      <w:bookmarkEnd w:id="800"/>
      <w:bookmarkEnd w:id="801"/>
      <w:bookmarkEnd w:id="802"/>
      <w:bookmarkEnd w:id="803"/>
      <w:bookmarkEnd w:id="804"/>
    </w:p>
    <w:p>
      <w:pPr>
        <w:pStyle w:val="Heading5"/>
        <w:rPr>
          <w:spacing w:val="-6"/>
        </w:rPr>
      </w:pPr>
      <w:bookmarkStart w:id="805" w:name="_Toc41638761"/>
      <w:bookmarkStart w:id="806" w:name="_Toc41638495"/>
      <w:r>
        <w:rPr>
          <w:rStyle w:val="CharSectno"/>
        </w:rPr>
        <w:t>66</w:t>
      </w:r>
      <w:r>
        <w:t>.</w:t>
      </w:r>
      <w:r>
        <w:tab/>
        <w:t>Terms used</w:t>
      </w:r>
      <w:bookmarkEnd w:id="805"/>
      <w:bookmarkEnd w:id="80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807" w:name="_Toc41638762"/>
      <w:bookmarkStart w:id="808" w:name="_Toc41638496"/>
      <w:r>
        <w:rPr>
          <w:rStyle w:val="CharSectno"/>
        </w:rPr>
        <w:t>67</w:t>
      </w:r>
      <w:r>
        <w:t>.</w:t>
      </w:r>
      <w:r>
        <w:tab/>
        <w:t>Who is first party to present case</w:t>
      </w:r>
      <w:bookmarkEnd w:id="807"/>
      <w:bookmarkEnd w:id="80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809" w:name="_Toc41638763"/>
      <w:bookmarkStart w:id="810" w:name="_Toc41638497"/>
      <w:r>
        <w:rPr>
          <w:rStyle w:val="CharSectno"/>
        </w:rPr>
        <w:t>68</w:t>
      </w:r>
      <w:r>
        <w:t>.</w:t>
      </w:r>
      <w:r>
        <w:tab/>
        <w:t>Opening addresses and adducing evidence, order of</w:t>
      </w:r>
      <w:bookmarkEnd w:id="809"/>
      <w:bookmarkEnd w:id="810"/>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811" w:name="_Toc41638764"/>
      <w:bookmarkStart w:id="812" w:name="_Toc41638498"/>
      <w:r>
        <w:rPr>
          <w:rStyle w:val="CharSectno"/>
        </w:rPr>
        <w:t>69</w:t>
      </w:r>
      <w:r>
        <w:t>.</w:t>
      </w:r>
      <w:r>
        <w:tab/>
        <w:t>Closing addresses, order of</w:t>
      </w:r>
      <w:bookmarkEnd w:id="811"/>
      <w:bookmarkEnd w:id="812"/>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813" w:name="_Toc41638765"/>
      <w:bookmarkStart w:id="814" w:name="_Toc41638499"/>
      <w:r>
        <w:rPr>
          <w:rStyle w:val="CharSectno"/>
        </w:rPr>
        <w:t>70</w:t>
      </w:r>
      <w:r>
        <w:t>.</w:t>
      </w:r>
      <w:r>
        <w:tab/>
        <w:t>Attendance at trial</w:t>
      </w:r>
      <w:bookmarkEnd w:id="813"/>
      <w:bookmarkEnd w:id="814"/>
    </w:p>
    <w:p>
      <w:pPr>
        <w:pStyle w:val="Subsection"/>
      </w:pPr>
      <w:r>
        <w:tab/>
      </w:r>
      <w:r>
        <w:tab/>
        <w:t>Unless the Court orders otherwise, a party must attend the trial in person.</w:t>
      </w:r>
    </w:p>
    <w:p>
      <w:pPr>
        <w:pStyle w:val="Heading3"/>
      </w:pPr>
      <w:bookmarkStart w:id="815" w:name="_Toc41473608"/>
      <w:bookmarkStart w:id="816" w:name="_Toc41487502"/>
      <w:bookmarkStart w:id="817" w:name="_Toc41551956"/>
      <w:bookmarkStart w:id="818" w:name="_Toc41552708"/>
      <w:bookmarkStart w:id="819" w:name="_Toc41638766"/>
      <w:bookmarkStart w:id="820" w:name="_Toc39501069"/>
      <w:bookmarkStart w:id="821" w:name="_Toc39566727"/>
      <w:bookmarkStart w:id="822" w:name="_Toc39575267"/>
      <w:bookmarkStart w:id="823" w:name="_Toc41638500"/>
      <w:r>
        <w:rPr>
          <w:rStyle w:val="CharDivNo"/>
        </w:rPr>
        <w:t>Division 2</w:t>
      </w:r>
      <w:r>
        <w:t> — </w:t>
      </w:r>
      <w:r>
        <w:rPr>
          <w:rStyle w:val="CharDivText"/>
        </w:rPr>
        <w:t>Witnesses</w:t>
      </w:r>
      <w:bookmarkEnd w:id="815"/>
      <w:bookmarkEnd w:id="816"/>
      <w:bookmarkEnd w:id="817"/>
      <w:bookmarkEnd w:id="818"/>
      <w:bookmarkEnd w:id="819"/>
      <w:bookmarkEnd w:id="820"/>
      <w:bookmarkEnd w:id="821"/>
      <w:bookmarkEnd w:id="822"/>
      <w:bookmarkEnd w:id="823"/>
    </w:p>
    <w:p>
      <w:pPr>
        <w:pStyle w:val="Heading5"/>
      </w:pPr>
      <w:bookmarkStart w:id="824" w:name="_Toc41638767"/>
      <w:bookmarkStart w:id="825" w:name="_Toc41638501"/>
      <w:r>
        <w:rPr>
          <w:rStyle w:val="CharSectno"/>
        </w:rPr>
        <w:t>71</w:t>
      </w:r>
      <w:r>
        <w:t>.</w:t>
      </w:r>
      <w:r>
        <w:tab/>
        <w:t>Witness summons</w:t>
      </w:r>
      <w:bookmarkEnd w:id="824"/>
      <w:del w:id="826" w:author="Master Repository Process" w:date="2021-08-29T11:49:00Z">
        <w:r>
          <w:delText>, request for and issue and service of</w:delText>
        </w:r>
      </w:del>
      <w:bookmarkEnd w:id="825"/>
    </w:p>
    <w:p>
      <w:pPr>
        <w:pStyle w:val="Subsection"/>
      </w:pPr>
      <w:r>
        <w:tab/>
        <w:t>(1)</w:t>
      </w:r>
      <w:r>
        <w:tab/>
        <w:t xml:space="preserve">If a party wants to require a person to give evidence </w:t>
      </w:r>
      <w:ins w:id="827" w:author="Master Repository Process" w:date="2021-08-29T11:49:00Z">
        <w:r>
          <w:t xml:space="preserve">at a trial </w:t>
        </w:r>
      </w:ins>
      <w:r>
        <w:t>or to produce evidentiary material</w:t>
      </w:r>
      <w:del w:id="828" w:author="Master Repository Process" w:date="2021-08-29T11:49:00Z">
        <w:r>
          <w:delText xml:space="preserve"> at a trial</w:delText>
        </w:r>
      </w:del>
      <w:r>
        <w:t xml:space="preserve">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rPr>
          <w:ins w:id="829" w:author="Master Repository Process" w:date="2021-08-29T11:49:00Z"/>
        </w:rPr>
      </w:pPr>
      <w:ins w:id="830" w:author="Master Repository Process" w:date="2021-08-29T11:49:00Z">
        <w:r>
          <w:tab/>
          <w:t>(2A)</w:t>
        </w:r>
        <w:r>
          <w:tab/>
          <w:t>The request may be made before the case is listed for trial.</w:t>
        </w:r>
      </w:ins>
    </w:p>
    <w:p>
      <w:pPr>
        <w:pStyle w:val="Subsection"/>
      </w:pPr>
      <w:r>
        <w:tab/>
        <w:t>(3)</w:t>
      </w:r>
      <w:r>
        <w:tab/>
        <w:t>If the Court issues the requested witness summons, the party must serve the witness summons on the witness at least 14 days before the trial date</w:t>
      </w:r>
      <w:ins w:id="831" w:author="Master Repository Process" w:date="2021-08-29T11:49:00Z">
        <w:r>
          <w:t xml:space="preserve"> or an earlier date as directed by the Court</w:t>
        </w:r>
      </w:ins>
      <w:r>
        <w: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w:t>
      </w:r>
      <w:ins w:id="832" w:author="Master Repository Process" w:date="2021-08-29T11:49:00Z">
        <w:r>
          <w:t>; SL 2020/67 r. 31</w:t>
        </w:r>
      </w:ins>
      <w:r>
        <w:t>.]</w:t>
      </w:r>
    </w:p>
    <w:p>
      <w:pPr>
        <w:pStyle w:val="Heading5"/>
      </w:pPr>
      <w:bookmarkStart w:id="833" w:name="_Toc41638768"/>
      <w:bookmarkStart w:id="834" w:name="_Toc41638502"/>
      <w:r>
        <w:rPr>
          <w:rStyle w:val="CharSectno"/>
        </w:rPr>
        <w:t>71A</w:t>
      </w:r>
      <w:r>
        <w:t>.</w:t>
      </w:r>
      <w:r>
        <w:tab/>
        <w:t>Compliance with witness summons</w:t>
      </w:r>
      <w:bookmarkEnd w:id="833"/>
      <w:bookmarkEnd w:id="834"/>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835" w:name="_Toc41638769"/>
      <w:bookmarkStart w:id="836" w:name="_Toc41638503"/>
      <w:r>
        <w:rPr>
          <w:rStyle w:val="CharSectno"/>
        </w:rPr>
        <w:t>72</w:t>
      </w:r>
      <w:r>
        <w:t>.</w:t>
      </w:r>
      <w:r>
        <w:tab/>
        <w:t>Expert evidence, orders required for</w:t>
      </w:r>
      <w:bookmarkEnd w:id="835"/>
      <w:bookmarkEnd w:id="836"/>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837" w:name="_Toc41638770"/>
      <w:bookmarkStart w:id="838" w:name="_Toc41638504"/>
      <w:r>
        <w:rPr>
          <w:rStyle w:val="CharSectno"/>
        </w:rPr>
        <w:t>73</w:t>
      </w:r>
      <w:r>
        <w:t>.</w:t>
      </w:r>
      <w:r>
        <w:tab/>
        <w:t>Children and special witnesses, application for orders as to evidence of</w:t>
      </w:r>
      <w:bookmarkEnd w:id="837"/>
      <w:bookmarkEnd w:id="838"/>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839" w:name="_Toc41638771"/>
      <w:bookmarkStart w:id="840" w:name="_Toc41638505"/>
      <w:r>
        <w:rPr>
          <w:rStyle w:val="CharSectno"/>
        </w:rPr>
        <w:t>74</w:t>
      </w:r>
      <w:r>
        <w:t>.</w:t>
      </w:r>
      <w:r>
        <w:tab/>
        <w:t>Affidavit evidence, when may be adduced</w:t>
      </w:r>
      <w:bookmarkEnd w:id="839"/>
      <w:bookmarkEnd w:id="840"/>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841" w:name="_Toc41473614"/>
      <w:bookmarkStart w:id="842" w:name="_Toc41487508"/>
      <w:bookmarkStart w:id="843" w:name="_Toc41551962"/>
      <w:bookmarkStart w:id="844" w:name="_Toc41552714"/>
      <w:bookmarkStart w:id="845" w:name="_Toc41638772"/>
      <w:bookmarkStart w:id="846" w:name="_Toc39501075"/>
      <w:bookmarkStart w:id="847" w:name="_Toc39566733"/>
      <w:bookmarkStart w:id="848" w:name="_Toc39575273"/>
      <w:bookmarkStart w:id="849" w:name="_Toc41638506"/>
      <w:r>
        <w:rPr>
          <w:rStyle w:val="CharDivNo"/>
        </w:rPr>
        <w:t>Division 3</w:t>
      </w:r>
      <w:r>
        <w:t> — </w:t>
      </w:r>
      <w:r>
        <w:rPr>
          <w:rStyle w:val="CharDivText"/>
        </w:rPr>
        <w:t>Exhibits</w:t>
      </w:r>
      <w:bookmarkEnd w:id="841"/>
      <w:bookmarkEnd w:id="842"/>
      <w:bookmarkEnd w:id="843"/>
      <w:bookmarkEnd w:id="844"/>
      <w:bookmarkEnd w:id="845"/>
      <w:bookmarkEnd w:id="846"/>
      <w:bookmarkEnd w:id="847"/>
      <w:bookmarkEnd w:id="848"/>
      <w:bookmarkEnd w:id="849"/>
    </w:p>
    <w:p>
      <w:pPr>
        <w:pStyle w:val="Heading5"/>
      </w:pPr>
      <w:bookmarkStart w:id="850" w:name="_Toc41638773"/>
      <w:bookmarkStart w:id="851" w:name="_Toc41638507"/>
      <w:r>
        <w:rPr>
          <w:rStyle w:val="CharSectno"/>
        </w:rPr>
        <w:t>75</w:t>
      </w:r>
      <w:r>
        <w:t>.</w:t>
      </w:r>
      <w:r>
        <w:tab/>
        <w:t>Records requiring device to read, admission of</w:t>
      </w:r>
      <w:bookmarkEnd w:id="850"/>
      <w:bookmarkEnd w:id="851"/>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852" w:name="_Toc41638774"/>
      <w:bookmarkStart w:id="853" w:name="_Toc41638508"/>
      <w:r>
        <w:rPr>
          <w:rStyle w:val="CharSectno"/>
        </w:rPr>
        <w:t>76</w:t>
      </w:r>
      <w:r>
        <w:t>.</w:t>
      </w:r>
      <w:r>
        <w:tab/>
        <w:t>Return of exhibits after trial</w:t>
      </w:r>
      <w:bookmarkEnd w:id="852"/>
      <w:bookmarkEnd w:id="85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854" w:name="_Toc41473617"/>
      <w:bookmarkStart w:id="855" w:name="_Toc41487511"/>
      <w:bookmarkStart w:id="856" w:name="_Toc41551965"/>
      <w:bookmarkStart w:id="857" w:name="_Toc41552717"/>
      <w:bookmarkStart w:id="858" w:name="_Toc41638775"/>
      <w:bookmarkStart w:id="859" w:name="_Toc39501078"/>
      <w:bookmarkStart w:id="860" w:name="_Toc39566736"/>
      <w:bookmarkStart w:id="861" w:name="_Toc39575276"/>
      <w:bookmarkStart w:id="862" w:name="_Toc41638509"/>
      <w:r>
        <w:rPr>
          <w:rStyle w:val="CharPartNo"/>
        </w:rPr>
        <w:t>Part 14</w:t>
      </w:r>
      <w:r>
        <w:rPr>
          <w:rStyle w:val="CharDivNo"/>
        </w:rPr>
        <w:t> </w:t>
      </w:r>
      <w:r>
        <w:t>—</w:t>
      </w:r>
      <w:r>
        <w:rPr>
          <w:rStyle w:val="CharDivText"/>
        </w:rPr>
        <w:t> </w:t>
      </w:r>
      <w:r>
        <w:rPr>
          <w:rStyle w:val="CharPartText"/>
        </w:rPr>
        <w:t>Orders and judgments</w:t>
      </w:r>
      <w:bookmarkEnd w:id="854"/>
      <w:bookmarkEnd w:id="855"/>
      <w:bookmarkEnd w:id="856"/>
      <w:bookmarkEnd w:id="857"/>
      <w:bookmarkEnd w:id="858"/>
      <w:bookmarkEnd w:id="859"/>
      <w:bookmarkEnd w:id="860"/>
      <w:bookmarkEnd w:id="861"/>
      <w:bookmarkEnd w:id="862"/>
    </w:p>
    <w:p>
      <w:pPr>
        <w:pStyle w:val="Heading5"/>
      </w:pPr>
      <w:bookmarkStart w:id="863" w:name="_Toc41638776"/>
      <w:bookmarkStart w:id="864" w:name="_Toc41638510"/>
      <w:r>
        <w:rPr>
          <w:rStyle w:val="CharSectno"/>
        </w:rPr>
        <w:t>77</w:t>
      </w:r>
      <w:r>
        <w:t>.</w:t>
      </w:r>
      <w:r>
        <w:tab/>
        <w:t>Person under legal disability, payments to</w:t>
      </w:r>
      <w:bookmarkEnd w:id="863"/>
      <w:bookmarkEnd w:id="864"/>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865" w:name="_Toc41638777"/>
      <w:bookmarkStart w:id="866" w:name="_Toc41638511"/>
      <w:r>
        <w:rPr>
          <w:rStyle w:val="CharSectno"/>
        </w:rPr>
        <w:t>78</w:t>
      </w:r>
      <w:r>
        <w:t>.</w:t>
      </w:r>
      <w:r>
        <w:tab/>
        <w:t>Certificate of judgment, requesting</w:t>
      </w:r>
      <w:bookmarkEnd w:id="865"/>
      <w:bookmarkEnd w:id="866"/>
    </w:p>
    <w:p>
      <w:pPr>
        <w:pStyle w:val="Subsection"/>
      </w:pPr>
      <w:r>
        <w:tab/>
      </w:r>
      <w:r>
        <w:tab/>
        <w:t>If a party wants a certificate of a judgment, the party must lodge a request for the judgment in an approved form.</w:t>
      </w:r>
    </w:p>
    <w:p>
      <w:pPr>
        <w:pStyle w:val="Heading5"/>
      </w:pPr>
      <w:bookmarkStart w:id="867" w:name="_Toc41638778"/>
      <w:bookmarkStart w:id="868" w:name="_Toc41638512"/>
      <w:r>
        <w:rPr>
          <w:rStyle w:val="CharSectno"/>
        </w:rPr>
        <w:t>79</w:t>
      </w:r>
      <w:r>
        <w:t>.</w:t>
      </w:r>
      <w:r>
        <w:tab/>
      </w:r>
      <w:del w:id="869" w:author="Master Repository Process" w:date="2021-08-29T11:49:00Z">
        <w:r>
          <w:delText>Summary judgment</w:delText>
        </w:r>
      </w:del>
      <w:ins w:id="870" w:author="Master Repository Process" w:date="2021-08-29T11:49:00Z">
        <w:r>
          <w:t>Applying to set aside summary</w:t>
        </w:r>
      </w:ins>
      <w:r>
        <w:t xml:space="preserve"> or default judgment</w:t>
      </w:r>
      <w:del w:id="871" w:author="Master Repository Process" w:date="2021-08-29T11:49:00Z">
        <w:r>
          <w:delText xml:space="preserve">, applying to set aside </w:delText>
        </w:r>
      </w:del>
      <w:ins w:id="872" w:author="Master Repository Process" w:date="2021-08-29T11:49:00Z">
        <w:r>
          <w:t xml:space="preserve"> </w:t>
        </w:r>
      </w:ins>
      <w:r>
        <w:t>(Act</w:t>
      </w:r>
      <w:del w:id="873" w:author="Master Repository Process" w:date="2021-08-29T11:49:00Z">
        <w:r>
          <w:delText> </w:delText>
        </w:r>
      </w:del>
      <w:ins w:id="874" w:author="Master Repository Process" w:date="2021-08-29T11:49:00Z">
        <w:r>
          <w:t xml:space="preserve"> </w:t>
        </w:r>
      </w:ins>
      <w:r>
        <w:t>s. 17(3), 18(6) and 19(3))</w:t>
      </w:r>
      <w:bookmarkEnd w:id="867"/>
      <w:bookmarkEnd w:id="868"/>
    </w:p>
    <w:p>
      <w:pPr>
        <w:pStyle w:val="Subsection"/>
      </w:pPr>
      <w:r>
        <w:tab/>
      </w:r>
      <w:r>
        <w:tab/>
        <w:t>An application for an order under the Act section 17(3), 18(6), or 19(3) to set aside a judgment must be made within 21 days after the date of the judgment</w:t>
      </w:r>
      <w:ins w:id="875" w:author="Master Repository Process" w:date="2021-08-29T11:49:00Z">
        <w:r>
          <w:t xml:space="preserve"> or such other time as is ordered by the Court</w:t>
        </w:r>
      </w:ins>
      <w:r>
        <w:t>.</w:t>
      </w:r>
    </w:p>
    <w:p>
      <w:pPr>
        <w:pStyle w:val="Footnotesection"/>
      </w:pPr>
      <w:r>
        <w:tab/>
        <w:t>[Rule 79 amended: Gazette 3 Jun 2008 p. 2134</w:t>
      </w:r>
      <w:ins w:id="876" w:author="Master Repository Process" w:date="2021-08-29T11:49:00Z">
        <w:r>
          <w:t>; SL 2020/67 r. 32</w:t>
        </w:r>
      </w:ins>
      <w:r>
        <w:t>.]</w:t>
      </w:r>
    </w:p>
    <w:p>
      <w:pPr>
        <w:pStyle w:val="Heading5"/>
      </w:pPr>
      <w:bookmarkStart w:id="877" w:name="_Toc41638779"/>
      <w:bookmarkStart w:id="878" w:name="_Toc41638513"/>
      <w:r>
        <w:rPr>
          <w:rStyle w:val="CharSectno"/>
        </w:rPr>
        <w:t>80</w:t>
      </w:r>
      <w:r>
        <w:t>.</w:t>
      </w:r>
      <w:r>
        <w:tab/>
        <w:t>Registrars’ decisions taken to be decision of Court</w:t>
      </w:r>
      <w:bookmarkEnd w:id="877"/>
      <w:bookmarkEnd w:id="878"/>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879" w:name="_Toc41473622"/>
      <w:bookmarkStart w:id="880" w:name="_Toc41487516"/>
      <w:bookmarkStart w:id="881" w:name="_Toc41551970"/>
      <w:bookmarkStart w:id="882" w:name="_Toc41552722"/>
      <w:bookmarkStart w:id="883" w:name="_Toc41638780"/>
      <w:bookmarkStart w:id="884" w:name="_Toc39501083"/>
      <w:bookmarkStart w:id="885" w:name="_Toc39566741"/>
      <w:bookmarkStart w:id="886" w:name="_Toc39575281"/>
      <w:bookmarkStart w:id="887" w:name="_Toc41638514"/>
      <w:r>
        <w:rPr>
          <w:rStyle w:val="CharPartNo"/>
        </w:rPr>
        <w:t>Part 15</w:t>
      </w:r>
      <w:r>
        <w:t> — </w:t>
      </w:r>
      <w:r>
        <w:rPr>
          <w:rStyle w:val="CharPartText"/>
        </w:rPr>
        <w:t>Costs</w:t>
      </w:r>
      <w:bookmarkEnd w:id="879"/>
      <w:bookmarkEnd w:id="880"/>
      <w:bookmarkEnd w:id="881"/>
      <w:bookmarkEnd w:id="882"/>
      <w:bookmarkEnd w:id="883"/>
      <w:bookmarkEnd w:id="884"/>
      <w:bookmarkEnd w:id="885"/>
      <w:bookmarkEnd w:id="886"/>
      <w:bookmarkEnd w:id="887"/>
    </w:p>
    <w:p>
      <w:pPr>
        <w:pStyle w:val="Heading3"/>
      </w:pPr>
      <w:bookmarkStart w:id="888" w:name="_Toc41473623"/>
      <w:bookmarkStart w:id="889" w:name="_Toc41487517"/>
      <w:bookmarkStart w:id="890" w:name="_Toc41551971"/>
      <w:bookmarkStart w:id="891" w:name="_Toc41552723"/>
      <w:bookmarkStart w:id="892" w:name="_Toc41638781"/>
      <w:bookmarkStart w:id="893" w:name="_Toc39501084"/>
      <w:bookmarkStart w:id="894" w:name="_Toc39566742"/>
      <w:bookmarkStart w:id="895" w:name="_Toc39575282"/>
      <w:bookmarkStart w:id="896" w:name="_Toc41638515"/>
      <w:r>
        <w:rPr>
          <w:rStyle w:val="CharDivNo"/>
        </w:rPr>
        <w:t>Division 1</w:t>
      </w:r>
      <w:r>
        <w:t> — </w:t>
      </w:r>
      <w:r>
        <w:rPr>
          <w:rStyle w:val="CharDivText"/>
        </w:rPr>
        <w:t>Assessments</w:t>
      </w:r>
      <w:bookmarkEnd w:id="888"/>
      <w:bookmarkEnd w:id="889"/>
      <w:bookmarkEnd w:id="890"/>
      <w:bookmarkEnd w:id="891"/>
      <w:bookmarkEnd w:id="892"/>
      <w:bookmarkEnd w:id="893"/>
      <w:bookmarkEnd w:id="894"/>
      <w:bookmarkEnd w:id="895"/>
      <w:bookmarkEnd w:id="896"/>
    </w:p>
    <w:p>
      <w:pPr>
        <w:pStyle w:val="Heading5"/>
        <w:spacing w:before="180"/>
      </w:pPr>
      <w:bookmarkStart w:id="897" w:name="_Toc41638782"/>
      <w:bookmarkStart w:id="898" w:name="_Toc41638516"/>
      <w:r>
        <w:rPr>
          <w:rStyle w:val="CharSectno"/>
        </w:rPr>
        <w:t>81</w:t>
      </w:r>
      <w:r>
        <w:t>.</w:t>
      </w:r>
      <w:r>
        <w:tab/>
        <w:t>Bill of costs: lodging and serving</w:t>
      </w:r>
      <w:bookmarkEnd w:id="897"/>
      <w:bookmarkEnd w:id="898"/>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899" w:name="_Toc41638783"/>
      <w:bookmarkStart w:id="900" w:name="_Toc41638517"/>
      <w:r>
        <w:rPr>
          <w:rStyle w:val="CharSectno"/>
        </w:rPr>
        <w:t>82</w:t>
      </w:r>
      <w:r>
        <w:t>.</w:t>
      </w:r>
      <w:r>
        <w:tab/>
        <w:t>Bill of costs: objecting to</w:t>
      </w:r>
      <w:bookmarkEnd w:id="899"/>
      <w:bookmarkEnd w:id="900"/>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901" w:name="_Toc41638784"/>
      <w:bookmarkStart w:id="902" w:name="_Toc41638518"/>
      <w:r>
        <w:rPr>
          <w:rStyle w:val="CharSectno"/>
        </w:rPr>
        <w:t>83</w:t>
      </w:r>
      <w:r>
        <w:t>.</w:t>
      </w:r>
      <w:r>
        <w:tab/>
        <w:t>Assessment when objection made</w:t>
      </w:r>
      <w:bookmarkEnd w:id="901"/>
      <w:bookmarkEnd w:id="902"/>
    </w:p>
    <w:p>
      <w:pPr>
        <w:pStyle w:val="Subsection"/>
      </w:pPr>
      <w:r>
        <w:tab/>
      </w:r>
      <w:r>
        <w:tab/>
        <w:t>If an objection is made in relation to a bill of costs, a registrar must list the case for an assessment and notify the parties in writing.</w:t>
      </w:r>
    </w:p>
    <w:p>
      <w:pPr>
        <w:pStyle w:val="Heading5"/>
      </w:pPr>
      <w:bookmarkStart w:id="903" w:name="_Toc41638785"/>
      <w:bookmarkStart w:id="904" w:name="_Toc41638519"/>
      <w:r>
        <w:rPr>
          <w:rStyle w:val="CharSectno"/>
        </w:rPr>
        <w:t>84</w:t>
      </w:r>
      <w:r>
        <w:t>.</w:t>
      </w:r>
      <w:r>
        <w:tab/>
        <w:t>Assessment when no objection made</w:t>
      </w:r>
      <w:bookmarkEnd w:id="903"/>
      <w:bookmarkEnd w:id="904"/>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905" w:name="_Toc41638786"/>
      <w:bookmarkStart w:id="906" w:name="_Toc41638520"/>
      <w:r>
        <w:rPr>
          <w:rStyle w:val="CharSectno"/>
        </w:rPr>
        <w:t>85</w:t>
      </w:r>
      <w:r>
        <w:t>.</w:t>
      </w:r>
      <w:r>
        <w:tab/>
        <w:t>Bill of costs: form of, and supporting documents</w:t>
      </w:r>
      <w:bookmarkEnd w:id="905"/>
      <w:bookmarkEnd w:id="90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907" w:name="_Toc41638787"/>
      <w:bookmarkStart w:id="908" w:name="_Toc41638521"/>
      <w:r>
        <w:rPr>
          <w:rStyle w:val="CharSectno"/>
        </w:rPr>
        <w:t>86</w:t>
      </w:r>
      <w:r>
        <w:t>.</w:t>
      </w:r>
      <w:r>
        <w:tab/>
        <w:t>Assessments, conduct of</w:t>
      </w:r>
      <w:bookmarkEnd w:id="907"/>
      <w:bookmarkEnd w:id="90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909" w:name="_Toc41473630"/>
      <w:bookmarkStart w:id="910" w:name="_Toc41487524"/>
      <w:bookmarkStart w:id="911" w:name="_Toc41551978"/>
      <w:bookmarkStart w:id="912" w:name="_Toc41552730"/>
      <w:bookmarkStart w:id="913" w:name="_Toc41638788"/>
      <w:bookmarkStart w:id="914" w:name="_Toc39501091"/>
      <w:bookmarkStart w:id="915" w:name="_Toc39566749"/>
      <w:bookmarkStart w:id="916" w:name="_Toc39575289"/>
      <w:bookmarkStart w:id="917" w:name="_Toc41638522"/>
      <w:r>
        <w:rPr>
          <w:rStyle w:val="CharDivNo"/>
        </w:rPr>
        <w:t>Division 2</w:t>
      </w:r>
      <w:r>
        <w:t> — </w:t>
      </w:r>
      <w:r>
        <w:rPr>
          <w:rStyle w:val="CharDivText"/>
        </w:rPr>
        <w:t>Determining value of claim</w:t>
      </w:r>
      <w:bookmarkEnd w:id="909"/>
      <w:bookmarkEnd w:id="910"/>
      <w:bookmarkEnd w:id="911"/>
      <w:bookmarkEnd w:id="912"/>
      <w:bookmarkEnd w:id="913"/>
      <w:bookmarkEnd w:id="914"/>
      <w:bookmarkEnd w:id="915"/>
      <w:bookmarkEnd w:id="916"/>
      <w:bookmarkEnd w:id="917"/>
    </w:p>
    <w:p>
      <w:pPr>
        <w:pStyle w:val="Heading5"/>
      </w:pPr>
      <w:bookmarkStart w:id="918" w:name="_Toc41638789"/>
      <w:bookmarkStart w:id="919" w:name="_Toc41638523"/>
      <w:r>
        <w:rPr>
          <w:rStyle w:val="CharSectno"/>
        </w:rPr>
        <w:t>87</w:t>
      </w:r>
      <w:r>
        <w:t>.</w:t>
      </w:r>
      <w:r>
        <w:tab/>
        <w:t>Value of claim to be determined under this Division</w:t>
      </w:r>
      <w:bookmarkEnd w:id="918"/>
      <w:bookmarkEnd w:id="91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920" w:name="_Toc41638790"/>
      <w:bookmarkStart w:id="921" w:name="_Toc41638524"/>
      <w:r>
        <w:rPr>
          <w:rStyle w:val="CharSectno"/>
        </w:rPr>
        <w:t>88</w:t>
      </w:r>
      <w:r>
        <w:t>.</w:t>
      </w:r>
      <w:r>
        <w:tab/>
        <w:t>Originating claim successful and no successful counterclaim, value of originating claim</w:t>
      </w:r>
      <w:bookmarkEnd w:id="920"/>
      <w:bookmarkEnd w:id="921"/>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922" w:name="_Toc41638791"/>
      <w:bookmarkStart w:id="923" w:name="_Toc41638525"/>
      <w:r>
        <w:rPr>
          <w:rStyle w:val="CharSectno"/>
        </w:rPr>
        <w:t>89</w:t>
      </w:r>
      <w:r>
        <w:t>.</w:t>
      </w:r>
      <w:r>
        <w:tab/>
        <w:t>Originating claim and counterclaim successful, value of each</w:t>
      </w:r>
      <w:bookmarkEnd w:id="922"/>
      <w:bookmarkEnd w:id="923"/>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924" w:name="_Toc41638792"/>
      <w:bookmarkStart w:id="925" w:name="_Toc41638526"/>
      <w:r>
        <w:rPr>
          <w:rStyle w:val="CharSectno"/>
        </w:rPr>
        <w:t>90</w:t>
      </w:r>
      <w:r>
        <w:t>.</w:t>
      </w:r>
      <w:r>
        <w:tab/>
        <w:t>Originating claim unsuccessful and counterclaim successful, value of counterclaim</w:t>
      </w:r>
      <w:bookmarkEnd w:id="924"/>
      <w:bookmarkEnd w:id="925"/>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926" w:name="_Toc41638793"/>
      <w:bookmarkStart w:id="927" w:name="_Toc41638527"/>
      <w:r>
        <w:rPr>
          <w:rStyle w:val="CharSectno"/>
        </w:rPr>
        <w:t>91</w:t>
      </w:r>
      <w:r>
        <w:t>.</w:t>
      </w:r>
      <w:r>
        <w:tab/>
        <w:t>Originating claim and counterclaim unsuccessful, value of each</w:t>
      </w:r>
      <w:bookmarkEnd w:id="926"/>
      <w:bookmarkEnd w:id="92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928" w:name="_Toc41638794"/>
      <w:bookmarkStart w:id="929" w:name="_Toc41638528"/>
      <w:r>
        <w:rPr>
          <w:rStyle w:val="CharSectno"/>
        </w:rPr>
        <w:t>92</w:t>
      </w:r>
      <w:r>
        <w:t>.</w:t>
      </w:r>
      <w:r>
        <w:tab/>
        <w:t>Claims by or against third parties, value of</w:t>
      </w:r>
      <w:bookmarkEnd w:id="928"/>
      <w:bookmarkEnd w:id="929"/>
    </w:p>
    <w:p>
      <w:pPr>
        <w:pStyle w:val="Subsection"/>
      </w:pPr>
      <w:r>
        <w:tab/>
      </w:r>
      <w:r>
        <w:tab/>
        <w:t>Rules 88 to 91, with the necessary modifications, apply to claims against or by third parties.</w:t>
      </w:r>
    </w:p>
    <w:p>
      <w:pPr>
        <w:pStyle w:val="Heading5"/>
      </w:pPr>
      <w:bookmarkStart w:id="930" w:name="_Toc41638795"/>
      <w:bookmarkStart w:id="931" w:name="_Toc41638529"/>
      <w:r>
        <w:rPr>
          <w:rStyle w:val="CharSectno"/>
        </w:rPr>
        <w:t>93</w:t>
      </w:r>
      <w:r>
        <w:t>.</w:t>
      </w:r>
      <w:r>
        <w:tab/>
        <w:t>Claims to recover possession of real property, value of</w:t>
      </w:r>
      <w:bookmarkEnd w:id="930"/>
      <w:bookmarkEnd w:id="931"/>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932" w:name="_Toc41638796"/>
      <w:bookmarkStart w:id="933" w:name="_Toc41638530"/>
      <w:r>
        <w:rPr>
          <w:rStyle w:val="CharSectno"/>
        </w:rPr>
        <w:t>94</w:t>
      </w:r>
      <w:r>
        <w:t>.</w:t>
      </w:r>
      <w:r>
        <w:tab/>
        <w:t>Claims to recover possession of personal property, value of</w:t>
      </w:r>
      <w:bookmarkEnd w:id="932"/>
      <w:bookmarkEnd w:id="93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934" w:name="_Toc41473639"/>
      <w:bookmarkStart w:id="935" w:name="_Toc41487533"/>
      <w:bookmarkStart w:id="936" w:name="_Toc41551987"/>
      <w:bookmarkStart w:id="937" w:name="_Toc41552739"/>
      <w:bookmarkStart w:id="938" w:name="_Toc41638797"/>
      <w:bookmarkStart w:id="939" w:name="_Toc39501100"/>
      <w:bookmarkStart w:id="940" w:name="_Toc39566758"/>
      <w:bookmarkStart w:id="941" w:name="_Toc39575298"/>
      <w:bookmarkStart w:id="942" w:name="_Toc41638531"/>
      <w:r>
        <w:rPr>
          <w:rStyle w:val="CharDivNo"/>
        </w:rPr>
        <w:t>Division 3</w:t>
      </w:r>
      <w:r>
        <w:t> — </w:t>
      </w:r>
      <w:r>
        <w:rPr>
          <w:rStyle w:val="CharDivText"/>
        </w:rPr>
        <w:t>Security for costs</w:t>
      </w:r>
      <w:bookmarkEnd w:id="934"/>
      <w:bookmarkEnd w:id="935"/>
      <w:bookmarkEnd w:id="936"/>
      <w:bookmarkEnd w:id="937"/>
      <w:bookmarkEnd w:id="938"/>
      <w:bookmarkEnd w:id="939"/>
      <w:bookmarkEnd w:id="940"/>
      <w:bookmarkEnd w:id="941"/>
      <w:bookmarkEnd w:id="942"/>
    </w:p>
    <w:p>
      <w:pPr>
        <w:pStyle w:val="Footnoteheading"/>
      </w:pPr>
      <w:r>
        <w:tab/>
        <w:t>[Heading inserted: Gazette 30 Sep 2016 p. 4180.]</w:t>
      </w:r>
    </w:p>
    <w:p>
      <w:pPr>
        <w:pStyle w:val="Heading5"/>
      </w:pPr>
      <w:bookmarkStart w:id="943" w:name="_Toc41638798"/>
      <w:bookmarkStart w:id="944" w:name="_Toc41638532"/>
      <w:r>
        <w:rPr>
          <w:rStyle w:val="CharSectno"/>
        </w:rPr>
        <w:t>94A</w:t>
      </w:r>
      <w:r>
        <w:t>.</w:t>
      </w:r>
      <w:r>
        <w:tab/>
        <w:t>Term used: claimant</w:t>
      </w:r>
      <w:bookmarkEnd w:id="943"/>
      <w:bookmarkEnd w:id="944"/>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945" w:name="_Toc41638799"/>
      <w:bookmarkStart w:id="946" w:name="_Toc41638533"/>
      <w:r>
        <w:rPr>
          <w:rStyle w:val="CharSectno"/>
        </w:rPr>
        <w:t>94B</w:t>
      </w:r>
      <w:r>
        <w:t>.</w:t>
      </w:r>
      <w:r>
        <w:tab/>
        <w:t>Factors that are not grounds for ordering security for costs</w:t>
      </w:r>
      <w:bookmarkEnd w:id="945"/>
      <w:bookmarkEnd w:id="946"/>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947" w:name="_Toc41638800"/>
      <w:bookmarkStart w:id="948" w:name="_Toc41638534"/>
      <w:r>
        <w:rPr>
          <w:rStyle w:val="CharSectno"/>
        </w:rPr>
        <w:t>94C</w:t>
      </w:r>
      <w:r>
        <w:t>.</w:t>
      </w:r>
      <w:r>
        <w:tab/>
        <w:t>Grounds for ordering security for costs</w:t>
      </w:r>
      <w:bookmarkEnd w:id="947"/>
      <w:bookmarkEnd w:id="948"/>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949" w:name="_Toc41638801"/>
      <w:bookmarkStart w:id="950" w:name="_Toc41638535"/>
      <w:r>
        <w:rPr>
          <w:rStyle w:val="CharSectno"/>
        </w:rPr>
        <w:t>94D</w:t>
      </w:r>
      <w:r>
        <w:t>.</w:t>
      </w:r>
      <w:r>
        <w:tab/>
        <w:t>Court has discretion</w:t>
      </w:r>
      <w:bookmarkEnd w:id="949"/>
      <w:bookmarkEnd w:id="950"/>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951" w:name="_Toc41638802"/>
      <w:bookmarkStart w:id="952" w:name="_Toc41638536"/>
      <w:r>
        <w:rPr>
          <w:rStyle w:val="CharSectno"/>
        </w:rPr>
        <w:t>94E</w:t>
      </w:r>
      <w:r>
        <w:t>.</w:t>
      </w:r>
      <w:r>
        <w:tab/>
        <w:t>Manner of giving security</w:t>
      </w:r>
      <w:bookmarkEnd w:id="951"/>
      <w:bookmarkEnd w:id="952"/>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953" w:name="_Toc41638803"/>
      <w:bookmarkStart w:id="954" w:name="_Toc41638537"/>
      <w:r>
        <w:rPr>
          <w:rStyle w:val="CharSectno"/>
        </w:rPr>
        <w:t>94F</w:t>
      </w:r>
      <w:r>
        <w:t>.</w:t>
      </w:r>
      <w:r>
        <w:tab/>
        <w:t>Action may be stayed</w:t>
      </w:r>
      <w:bookmarkEnd w:id="953"/>
      <w:bookmarkEnd w:id="954"/>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955" w:name="_Toc41638804"/>
      <w:bookmarkStart w:id="956" w:name="_Toc41638538"/>
      <w:r>
        <w:rPr>
          <w:rStyle w:val="CharSectno"/>
        </w:rPr>
        <w:t>94G</w:t>
      </w:r>
      <w:r>
        <w:t>.</w:t>
      </w:r>
      <w:r>
        <w:tab/>
        <w:t>Payment out</w:t>
      </w:r>
      <w:bookmarkEnd w:id="955"/>
      <w:bookmarkEnd w:id="956"/>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957" w:name="_Toc41473647"/>
      <w:bookmarkStart w:id="958" w:name="_Toc41487541"/>
      <w:bookmarkStart w:id="959" w:name="_Toc41551995"/>
      <w:bookmarkStart w:id="960" w:name="_Toc41552747"/>
      <w:bookmarkStart w:id="961" w:name="_Toc41638805"/>
      <w:bookmarkStart w:id="962" w:name="_Toc39501108"/>
      <w:bookmarkStart w:id="963" w:name="_Toc39566766"/>
      <w:bookmarkStart w:id="964" w:name="_Toc39575306"/>
      <w:bookmarkStart w:id="965" w:name="_Toc41638539"/>
      <w:r>
        <w:rPr>
          <w:rStyle w:val="CharPartNo"/>
        </w:rPr>
        <w:t>Part 16A</w:t>
      </w:r>
      <w:r>
        <w:rPr>
          <w:rStyle w:val="CharDivNo"/>
        </w:rPr>
        <w:t> </w:t>
      </w:r>
      <w:r>
        <w:t>—</w:t>
      </w:r>
      <w:r>
        <w:rPr>
          <w:rStyle w:val="CharDivText"/>
        </w:rPr>
        <w:t> </w:t>
      </w:r>
      <w:r>
        <w:rPr>
          <w:rStyle w:val="CharPartText"/>
        </w:rPr>
        <w:t>Inactive cases</w:t>
      </w:r>
      <w:bookmarkEnd w:id="957"/>
      <w:bookmarkEnd w:id="958"/>
      <w:bookmarkEnd w:id="959"/>
      <w:bookmarkEnd w:id="960"/>
      <w:bookmarkEnd w:id="961"/>
      <w:bookmarkEnd w:id="962"/>
      <w:bookmarkEnd w:id="963"/>
      <w:bookmarkEnd w:id="964"/>
      <w:bookmarkEnd w:id="965"/>
    </w:p>
    <w:p>
      <w:pPr>
        <w:pStyle w:val="Footnoteheading"/>
      </w:pPr>
      <w:r>
        <w:tab/>
        <w:t>[Heading inserted: Gazette 5 Apr 2019 p. 1012.]</w:t>
      </w:r>
    </w:p>
    <w:p>
      <w:pPr>
        <w:pStyle w:val="Heading5"/>
      </w:pPr>
      <w:bookmarkStart w:id="966" w:name="_Toc41638806"/>
      <w:bookmarkStart w:id="967" w:name="_Toc41638540"/>
      <w:r>
        <w:rPr>
          <w:rStyle w:val="CharSectno"/>
        </w:rPr>
        <w:t>95A</w:t>
      </w:r>
      <w:r>
        <w:t>.</w:t>
      </w:r>
      <w:r>
        <w:tab/>
        <w:t>Term used: inactive case</w:t>
      </w:r>
      <w:bookmarkEnd w:id="966"/>
      <w:bookmarkEnd w:id="967"/>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968" w:name="_Toc41638807"/>
      <w:bookmarkStart w:id="969" w:name="_Toc41638541"/>
      <w:r>
        <w:rPr>
          <w:rStyle w:val="CharSectno"/>
        </w:rPr>
        <w:t>95B</w:t>
      </w:r>
      <w:r>
        <w:t>.</w:t>
      </w:r>
      <w:r>
        <w:tab/>
        <w:t>Case taken to be inactive</w:t>
      </w:r>
      <w:bookmarkEnd w:id="968"/>
      <w:bookmarkEnd w:id="969"/>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970" w:name="_Toc41638808"/>
      <w:bookmarkStart w:id="971" w:name="_Toc41638542"/>
      <w:r>
        <w:rPr>
          <w:rStyle w:val="CharSectno"/>
        </w:rPr>
        <w:t>95C</w:t>
      </w:r>
      <w:r>
        <w:t>.</w:t>
      </w:r>
      <w:r>
        <w:tab/>
        <w:t>Notification of inactive case</w:t>
      </w:r>
      <w:bookmarkEnd w:id="970"/>
      <w:bookmarkEnd w:id="971"/>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972" w:name="_Toc41638809"/>
      <w:bookmarkStart w:id="973" w:name="_Toc41638543"/>
      <w:r>
        <w:rPr>
          <w:rStyle w:val="CharSectno"/>
        </w:rPr>
        <w:t>95D</w:t>
      </w:r>
      <w:r>
        <w:t>.</w:t>
      </w:r>
      <w:r>
        <w:tab/>
        <w:t>Consequences of case becoming an inactive case</w:t>
      </w:r>
      <w:bookmarkEnd w:id="972"/>
      <w:bookmarkEnd w:id="973"/>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974" w:name="_Toc41638810"/>
      <w:bookmarkStart w:id="975" w:name="_Toc41638544"/>
      <w:r>
        <w:rPr>
          <w:rStyle w:val="CharSectno"/>
        </w:rPr>
        <w:t>95E</w:t>
      </w:r>
      <w:r>
        <w:t>.</w:t>
      </w:r>
      <w:r>
        <w:tab/>
        <w:t>Cases no longer taken to be inactive</w:t>
      </w:r>
      <w:bookmarkEnd w:id="974"/>
      <w:bookmarkEnd w:id="975"/>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976" w:name="_Toc41638811"/>
      <w:bookmarkStart w:id="977" w:name="_Toc41638545"/>
      <w:r>
        <w:rPr>
          <w:rStyle w:val="CharSectno"/>
        </w:rPr>
        <w:t>95F</w:t>
      </w:r>
      <w:r>
        <w:t>.</w:t>
      </w:r>
      <w:r>
        <w:tab/>
        <w:t>Certain inactive cases taken to be dismissed</w:t>
      </w:r>
      <w:bookmarkEnd w:id="976"/>
      <w:bookmarkEnd w:id="977"/>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978" w:name="_Toc41473654"/>
      <w:bookmarkStart w:id="979" w:name="_Toc41487548"/>
      <w:bookmarkStart w:id="980" w:name="_Toc41552002"/>
      <w:bookmarkStart w:id="981" w:name="_Toc41552754"/>
      <w:bookmarkStart w:id="982" w:name="_Toc41638812"/>
      <w:bookmarkStart w:id="983" w:name="_Toc39501115"/>
      <w:bookmarkStart w:id="984" w:name="_Toc39566773"/>
      <w:bookmarkStart w:id="985" w:name="_Toc39575313"/>
      <w:bookmarkStart w:id="986" w:name="_Toc41638546"/>
      <w:r>
        <w:rPr>
          <w:rStyle w:val="CharPartNo"/>
        </w:rPr>
        <w:t>Part 16</w:t>
      </w:r>
      <w:r>
        <w:rPr>
          <w:rStyle w:val="CharDivNo"/>
        </w:rPr>
        <w:t> </w:t>
      </w:r>
      <w:r>
        <w:t>—</w:t>
      </w:r>
      <w:r>
        <w:rPr>
          <w:rStyle w:val="CharDivText"/>
        </w:rPr>
        <w:t> </w:t>
      </w:r>
      <w:r>
        <w:rPr>
          <w:rStyle w:val="CharPartText"/>
        </w:rPr>
        <w:t>Lodging documents</w:t>
      </w:r>
      <w:bookmarkEnd w:id="978"/>
      <w:bookmarkEnd w:id="979"/>
      <w:bookmarkEnd w:id="980"/>
      <w:bookmarkEnd w:id="981"/>
      <w:bookmarkEnd w:id="982"/>
      <w:bookmarkEnd w:id="983"/>
      <w:bookmarkEnd w:id="984"/>
      <w:bookmarkEnd w:id="985"/>
      <w:bookmarkEnd w:id="986"/>
    </w:p>
    <w:p>
      <w:pPr>
        <w:pStyle w:val="Heading5"/>
      </w:pPr>
      <w:bookmarkStart w:id="987" w:name="_Toc41638813"/>
      <w:bookmarkStart w:id="988" w:name="_Toc41638547"/>
      <w:r>
        <w:rPr>
          <w:rStyle w:val="CharSectno"/>
        </w:rPr>
        <w:t>95</w:t>
      </w:r>
      <w:r>
        <w:t>.</w:t>
      </w:r>
      <w:r>
        <w:tab/>
        <w:t>How documents lodged</w:t>
      </w:r>
      <w:bookmarkEnd w:id="987"/>
      <w:bookmarkEnd w:id="988"/>
    </w:p>
    <w:p>
      <w:pPr>
        <w:pStyle w:val="Subsection"/>
      </w:pPr>
      <w:r>
        <w:tab/>
      </w:r>
      <w:r>
        <w:tab/>
        <w:t xml:space="preserve">Except as otherwise provided in these rules, 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Footnotesection"/>
      </w:pPr>
      <w:r>
        <w:tab/>
        <w:t>[Rule 95 amended: SL 2020/54 r. 5.]</w:t>
      </w:r>
    </w:p>
    <w:p>
      <w:pPr>
        <w:pStyle w:val="Heading5"/>
      </w:pPr>
      <w:bookmarkStart w:id="989" w:name="_Toc41638814"/>
      <w:bookmarkStart w:id="990" w:name="_Toc41638548"/>
      <w:r>
        <w:rPr>
          <w:rStyle w:val="CharSectno"/>
        </w:rPr>
        <w:t>96</w:t>
      </w:r>
      <w:r>
        <w:t>.</w:t>
      </w:r>
      <w:r>
        <w:tab/>
        <w:t>Registry at which documents must be lodged</w:t>
      </w:r>
      <w:bookmarkEnd w:id="989"/>
      <w:bookmarkEnd w:id="990"/>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991" w:name="_Toc41638815"/>
      <w:bookmarkStart w:id="992" w:name="_Toc41638549"/>
      <w:r>
        <w:rPr>
          <w:rStyle w:val="CharSectno"/>
        </w:rPr>
        <w:t>97</w:t>
      </w:r>
      <w:r>
        <w:t>.</w:t>
      </w:r>
      <w:r>
        <w:tab/>
        <w:t>Documents may be lodged by hand delivery or pre</w:t>
      </w:r>
      <w:r>
        <w:noBreakHyphen/>
        <w:t>paid post</w:t>
      </w:r>
      <w:bookmarkEnd w:id="991"/>
      <w:bookmarkEnd w:id="992"/>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993" w:name="_Toc41638816"/>
      <w:bookmarkStart w:id="994" w:name="_Toc41638550"/>
      <w:r>
        <w:rPr>
          <w:rStyle w:val="CharSectno"/>
        </w:rPr>
        <w:t>98</w:t>
      </w:r>
      <w:r>
        <w:t>.</w:t>
      </w:r>
      <w:r>
        <w:tab/>
        <w:t>Certain documents may be lodged electronically or by fax</w:t>
      </w:r>
      <w:bookmarkEnd w:id="993"/>
      <w:bookmarkEnd w:id="994"/>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995" w:name="_Toc41638817"/>
      <w:bookmarkStart w:id="996" w:name="_Toc41638551"/>
      <w:r>
        <w:rPr>
          <w:rStyle w:val="CharSectno"/>
        </w:rPr>
        <w:t>99</w:t>
      </w:r>
      <w:r>
        <w:t>.</w:t>
      </w:r>
      <w:r>
        <w:tab/>
        <w:t>Registrar’s refusal to accept documents</w:t>
      </w:r>
      <w:bookmarkEnd w:id="995"/>
      <w:bookmarkEnd w:id="996"/>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997" w:name="_Toc41473660"/>
      <w:bookmarkStart w:id="998" w:name="_Toc41487554"/>
      <w:bookmarkStart w:id="999" w:name="_Toc41552008"/>
      <w:bookmarkStart w:id="1000" w:name="_Toc41552760"/>
      <w:bookmarkStart w:id="1001" w:name="_Toc41638818"/>
      <w:bookmarkStart w:id="1002" w:name="_Toc39501121"/>
      <w:bookmarkStart w:id="1003" w:name="_Toc39566779"/>
      <w:bookmarkStart w:id="1004" w:name="_Toc39575319"/>
      <w:bookmarkStart w:id="1005" w:name="_Toc41638552"/>
      <w:r>
        <w:rPr>
          <w:rStyle w:val="CharPartNo"/>
        </w:rPr>
        <w:t>Part 17</w:t>
      </w:r>
      <w:r>
        <w:t> — </w:t>
      </w:r>
      <w:r>
        <w:rPr>
          <w:rStyle w:val="CharPartText"/>
        </w:rPr>
        <w:t>Serving documents</w:t>
      </w:r>
      <w:bookmarkEnd w:id="997"/>
      <w:bookmarkEnd w:id="998"/>
      <w:bookmarkEnd w:id="999"/>
      <w:bookmarkEnd w:id="1000"/>
      <w:bookmarkEnd w:id="1001"/>
      <w:bookmarkEnd w:id="1002"/>
      <w:bookmarkEnd w:id="1003"/>
      <w:bookmarkEnd w:id="1004"/>
      <w:bookmarkEnd w:id="1005"/>
    </w:p>
    <w:p>
      <w:pPr>
        <w:pStyle w:val="Heading3"/>
      </w:pPr>
      <w:bookmarkStart w:id="1006" w:name="_Toc41473661"/>
      <w:bookmarkStart w:id="1007" w:name="_Toc41487555"/>
      <w:bookmarkStart w:id="1008" w:name="_Toc41552009"/>
      <w:bookmarkStart w:id="1009" w:name="_Toc41552761"/>
      <w:bookmarkStart w:id="1010" w:name="_Toc41638819"/>
      <w:bookmarkStart w:id="1011" w:name="_Toc39501122"/>
      <w:bookmarkStart w:id="1012" w:name="_Toc39566780"/>
      <w:bookmarkStart w:id="1013" w:name="_Toc39575320"/>
      <w:bookmarkStart w:id="1014" w:name="_Toc41638553"/>
      <w:r>
        <w:rPr>
          <w:rStyle w:val="CharDivNo"/>
        </w:rPr>
        <w:t>Division 1</w:t>
      </w:r>
      <w:r>
        <w:t> — </w:t>
      </w:r>
      <w:r>
        <w:rPr>
          <w:rStyle w:val="CharDivText"/>
        </w:rPr>
        <w:t>General</w:t>
      </w:r>
      <w:bookmarkEnd w:id="1006"/>
      <w:bookmarkEnd w:id="1007"/>
      <w:bookmarkEnd w:id="1008"/>
      <w:bookmarkEnd w:id="1009"/>
      <w:bookmarkEnd w:id="1010"/>
      <w:bookmarkEnd w:id="1011"/>
      <w:bookmarkEnd w:id="1012"/>
      <w:bookmarkEnd w:id="1013"/>
      <w:bookmarkEnd w:id="1014"/>
    </w:p>
    <w:p>
      <w:pPr>
        <w:pStyle w:val="Heading5"/>
      </w:pPr>
      <w:bookmarkStart w:id="1015" w:name="_Toc41638820"/>
      <w:bookmarkStart w:id="1016" w:name="_Toc41638554"/>
      <w:r>
        <w:rPr>
          <w:rStyle w:val="CharSectno"/>
        </w:rPr>
        <w:t>99A</w:t>
      </w:r>
      <w:r>
        <w:t>.</w:t>
      </w:r>
      <w:r>
        <w:tab/>
        <w:t>Terms used</w:t>
      </w:r>
      <w:bookmarkEnd w:id="1015"/>
      <w:bookmarkEnd w:id="1016"/>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1017" w:name="_Toc41638821"/>
      <w:bookmarkStart w:id="1018" w:name="_Toc41638555"/>
      <w:r>
        <w:rPr>
          <w:rStyle w:val="CharSectno"/>
        </w:rPr>
        <w:t>100</w:t>
      </w:r>
      <w:r>
        <w:t>.</w:t>
      </w:r>
      <w:r>
        <w:tab/>
        <w:t>Service of documents</w:t>
      </w:r>
      <w:bookmarkEnd w:id="1017"/>
      <w:bookmarkEnd w:id="1018"/>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1019" w:name="_Toc41638822"/>
      <w:bookmarkStart w:id="1020" w:name="_Toc41638556"/>
      <w:r>
        <w:rPr>
          <w:rStyle w:val="CharSectno"/>
        </w:rPr>
        <w:t>101</w:t>
      </w:r>
      <w:r>
        <w:t>.</w:t>
      </w:r>
      <w:r>
        <w:tab/>
        <w:t>How documents served</w:t>
      </w:r>
      <w:bookmarkEnd w:id="1019"/>
      <w:bookmarkEnd w:id="1020"/>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1021" w:name="_Toc41638823"/>
      <w:bookmarkStart w:id="1022" w:name="_Toc41638557"/>
      <w:r>
        <w:rPr>
          <w:rStyle w:val="CharSectno"/>
        </w:rPr>
        <w:t>102</w:t>
      </w:r>
      <w:r>
        <w:t>.</w:t>
      </w:r>
      <w:r>
        <w:tab/>
        <w:t>Address for service in lodged documents</w:t>
      </w:r>
      <w:bookmarkEnd w:id="1021"/>
      <w:bookmarkEnd w:id="1022"/>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1023" w:name="_Toc41638824"/>
      <w:bookmarkStart w:id="1024" w:name="_Toc41638558"/>
      <w:r>
        <w:rPr>
          <w:rStyle w:val="CharSectno"/>
        </w:rPr>
        <w:t>103</w:t>
      </w:r>
      <w:r>
        <w:t>.</w:t>
      </w:r>
      <w:r>
        <w:tab/>
        <w:t>Certificate of service by enforcement officer, administrative staff member or departmental officer</w:t>
      </w:r>
      <w:bookmarkEnd w:id="1023"/>
      <w:bookmarkEnd w:id="1024"/>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1025" w:name="_Toc41638825"/>
      <w:bookmarkStart w:id="1026" w:name="_Toc41638559"/>
      <w:r>
        <w:rPr>
          <w:rStyle w:val="CharSectno"/>
        </w:rPr>
        <w:t>104</w:t>
      </w:r>
      <w:r>
        <w:t>.</w:t>
      </w:r>
      <w:r>
        <w:tab/>
        <w:t>Affidavit of service by other persons</w:t>
      </w:r>
      <w:bookmarkEnd w:id="1025"/>
      <w:bookmarkEnd w:id="1026"/>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1027" w:name="_Toc41473668"/>
      <w:bookmarkStart w:id="1028" w:name="_Toc41487562"/>
      <w:bookmarkStart w:id="1029" w:name="_Toc41552016"/>
      <w:bookmarkStart w:id="1030" w:name="_Toc41552768"/>
      <w:bookmarkStart w:id="1031" w:name="_Toc41638826"/>
      <w:bookmarkStart w:id="1032" w:name="_Toc39501129"/>
      <w:bookmarkStart w:id="1033" w:name="_Toc39566787"/>
      <w:bookmarkStart w:id="1034" w:name="_Toc39575327"/>
      <w:bookmarkStart w:id="1035" w:name="_Toc41638560"/>
      <w:r>
        <w:rPr>
          <w:rStyle w:val="CharDivNo"/>
        </w:rPr>
        <w:t>Division 2</w:t>
      </w:r>
      <w:r>
        <w:t> — </w:t>
      </w:r>
      <w:r>
        <w:rPr>
          <w:rStyle w:val="CharDivText"/>
        </w:rPr>
        <w:t>Personal service</w:t>
      </w:r>
      <w:bookmarkEnd w:id="1027"/>
      <w:bookmarkEnd w:id="1028"/>
      <w:bookmarkEnd w:id="1029"/>
      <w:bookmarkEnd w:id="1030"/>
      <w:bookmarkEnd w:id="1031"/>
      <w:bookmarkEnd w:id="1032"/>
      <w:bookmarkEnd w:id="1033"/>
      <w:bookmarkEnd w:id="1034"/>
      <w:bookmarkEnd w:id="1035"/>
    </w:p>
    <w:p>
      <w:pPr>
        <w:pStyle w:val="Heading5"/>
      </w:pPr>
      <w:bookmarkStart w:id="1036" w:name="_Toc41638827"/>
      <w:bookmarkStart w:id="1037" w:name="_Toc41638561"/>
      <w:r>
        <w:rPr>
          <w:rStyle w:val="CharSectno"/>
        </w:rPr>
        <w:t>105</w:t>
      </w:r>
      <w:r>
        <w:t>.</w:t>
      </w:r>
      <w:r>
        <w:tab/>
        <w:t>Personal service on individual, how effected</w:t>
      </w:r>
      <w:bookmarkEnd w:id="1036"/>
      <w:bookmarkEnd w:id="1037"/>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1038" w:name="_Toc41638828"/>
      <w:bookmarkStart w:id="1039" w:name="_Toc41638562"/>
      <w:r>
        <w:rPr>
          <w:rStyle w:val="CharSectno"/>
        </w:rPr>
        <w:t>106</w:t>
      </w:r>
      <w:r>
        <w:t>.</w:t>
      </w:r>
      <w:r>
        <w:tab/>
        <w:t>Personal service on partnership, how effected</w:t>
      </w:r>
      <w:bookmarkEnd w:id="1038"/>
      <w:bookmarkEnd w:id="1039"/>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040" w:name="_Toc41638829"/>
      <w:bookmarkStart w:id="1041" w:name="_Toc41638563"/>
      <w:r>
        <w:rPr>
          <w:rStyle w:val="CharSectno"/>
        </w:rPr>
        <w:t>107</w:t>
      </w:r>
      <w:r>
        <w:t>.</w:t>
      </w:r>
      <w:r>
        <w:tab/>
        <w:t>Personal service on corporation, how effected</w:t>
      </w:r>
      <w:bookmarkEnd w:id="1040"/>
      <w:bookmarkEnd w:id="1041"/>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1042" w:name="_Toc41638830"/>
      <w:bookmarkStart w:id="1043" w:name="_Toc41638564"/>
      <w:r>
        <w:rPr>
          <w:rStyle w:val="CharSectno"/>
        </w:rPr>
        <w:t>108</w:t>
      </w:r>
      <w:r>
        <w:t>.</w:t>
      </w:r>
      <w:r>
        <w:tab/>
        <w:t>Personal service on public authority, how effected</w:t>
      </w:r>
      <w:bookmarkEnd w:id="1042"/>
      <w:bookmarkEnd w:id="1043"/>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1044" w:name="_Toc41473673"/>
      <w:bookmarkStart w:id="1045" w:name="_Toc41487567"/>
      <w:bookmarkStart w:id="1046" w:name="_Toc41552021"/>
      <w:bookmarkStart w:id="1047" w:name="_Toc41552773"/>
      <w:bookmarkStart w:id="1048" w:name="_Toc41638831"/>
      <w:bookmarkStart w:id="1049" w:name="_Toc39501134"/>
      <w:bookmarkStart w:id="1050" w:name="_Toc39566792"/>
      <w:bookmarkStart w:id="1051" w:name="_Toc39575332"/>
      <w:bookmarkStart w:id="1052" w:name="_Toc41638565"/>
      <w:r>
        <w:rPr>
          <w:rStyle w:val="CharDivNo"/>
        </w:rPr>
        <w:t>Division 3</w:t>
      </w:r>
      <w:r>
        <w:t> — </w:t>
      </w:r>
      <w:r>
        <w:rPr>
          <w:rStyle w:val="CharDivText"/>
        </w:rPr>
        <w:t>Miscellaneous</w:t>
      </w:r>
      <w:bookmarkEnd w:id="1044"/>
      <w:bookmarkEnd w:id="1045"/>
      <w:bookmarkEnd w:id="1046"/>
      <w:bookmarkEnd w:id="1047"/>
      <w:bookmarkEnd w:id="1048"/>
      <w:bookmarkEnd w:id="1049"/>
      <w:bookmarkEnd w:id="1050"/>
      <w:bookmarkEnd w:id="1051"/>
      <w:bookmarkEnd w:id="1052"/>
    </w:p>
    <w:p>
      <w:pPr>
        <w:pStyle w:val="Footnoteheading"/>
        <w:rPr>
          <w:rFonts w:ascii="Times" w:hAnsi="Times"/>
        </w:rPr>
      </w:pPr>
      <w:r>
        <w:tab/>
        <w:t>[Heading inserted: Gazette 3 Jun 2008 p. 2135.]</w:t>
      </w:r>
    </w:p>
    <w:p>
      <w:pPr>
        <w:pStyle w:val="Heading5"/>
      </w:pPr>
      <w:bookmarkStart w:id="1053" w:name="_Toc41638832"/>
      <w:bookmarkStart w:id="1054" w:name="_Toc41638566"/>
      <w:r>
        <w:rPr>
          <w:rStyle w:val="CharSectno"/>
        </w:rPr>
        <w:t>109A</w:t>
      </w:r>
      <w:r>
        <w:t>.</w:t>
      </w:r>
      <w:r>
        <w:tab/>
        <w:t>Substituted service, applying for (Act s. 16(1)(t))</w:t>
      </w:r>
      <w:bookmarkEnd w:id="1053"/>
      <w:bookmarkEnd w:id="1054"/>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1055" w:name="_Toc41473675"/>
      <w:bookmarkStart w:id="1056" w:name="_Toc41487569"/>
      <w:bookmarkStart w:id="1057" w:name="_Toc41552023"/>
      <w:bookmarkStart w:id="1058" w:name="_Toc41552775"/>
      <w:bookmarkStart w:id="1059" w:name="_Toc41638833"/>
      <w:bookmarkStart w:id="1060" w:name="_Toc39501136"/>
      <w:bookmarkStart w:id="1061" w:name="_Toc39566794"/>
      <w:bookmarkStart w:id="1062" w:name="_Toc39575334"/>
      <w:bookmarkStart w:id="1063" w:name="_Toc41638567"/>
      <w:r>
        <w:rPr>
          <w:rStyle w:val="CharPartNo"/>
        </w:rPr>
        <w:t>Part 18</w:t>
      </w:r>
      <w:r>
        <w:rPr>
          <w:rStyle w:val="CharDivNo"/>
        </w:rPr>
        <w:t> </w:t>
      </w:r>
      <w:r>
        <w:t>—</w:t>
      </w:r>
      <w:r>
        <w:rPr>
          <w:rStyle w:val="CharDivText"/>
        </w:rPr>
        <w:t> </w:t>
      </w:r>
      <w:r>
        <w:rPr>
          <w:rStyle w:val="CharPartText"/>
        </w:rPr>
        <w:t>Applications</w:t>
      </w:r>
      <w:bookmarkEnd w:id="1055"/>
      <w:bookmarkEnd w:id="1056"/>
      <w:bookmarkEnd w:id="1057"/>
      <w:bookmarkEnd w:id="1058"/>
      <w:bookmarkEnd w:id="1059"/>
      <w:bookmarkEnd w:id="1060"/>
      <w:bookmarkEnd w:id="1061"/>
      <w:bookmarkEnd w:id="1062"/>
      <w:bookmarkEnd w:id="1063"/>
    </w:p>
    <w:p>
      <w:pPr>
        <w:pStyle w:val="Heading5"/>
      </w:pPr>
      <w:bookmarkStart w:id="1064" w:name="_Toc41638834"/>
      <w:bookmarkStart w:id="1065" w:name="_Toc41638568"/>
      <w:r>
        <w:rPr>
          <w:rStyle w:val="CharSectno"/>
        </w:rPr>
        <w:t>109</w:t>
      </w:r>
      <w:r>
        <w:t>.</w:t>
      </w:r>
      <w:r>
        <w:tab/>
      </w:r>
      <w:ins w:id="1066" w:author="Master Repository Process" w:date="2021-08-29T11:49:00Z">
        <w:r>
          <w:t xml:space="preserve">Applying for </w:t>
        </w:r>
      </w:ins>
      <w:r>
        <w:t>Court order except judgment</w:t>
      </w:r>
      <w:bookmarkEnd w:id="1064"/>
      <w:del w:id="1067" w:author="Master Repository Process" w:date="2021-08-29T11:49:00Z">
        <w:r>
          <w:delText>, applying for</w:delText>
        </w:r>
      </w:del>
      <w:bookmarkEnd w:id="1065"/>
    </w:p>
    <w:p>
      <w:pPr>
        <w:pStyle w:val="Subsection"/>
        <w:rPr>
          <w:ins w:id="1068" w:author="Master Repository Process" w:date="2021-08-29T11:49:00Z"/>
        </w:rPr>
      </w:pPr>
      <w:r>
        <w:tab/>
        <w:t>(1)</w:t>
      </w:r>
      <w:r>
        <w:tab/>
      </w:r>
      <w:del w:id="1069" w:author="Master Repository Process" w:date="2021-08-29T11:49:00Z">
        <w:r>
          <w:delText>If a party wants</w:delText>
        </w:r>
      </w:del>
      <w:ins w:id="1070" w:author="Master Repository Process" w:date="2021-08-29T11:49:00Z">
        <w:r>
          <w:t>This rule applies</w:t>
        </w:r>
      </w:ins>
      <w:r>
        <w:t xml:space="preserve"> to</w:t>
      </w:r>
      <w:del w:id="1071" w:author="Master Repository Process" w:date="2021-08-29T11:49:00Z">
        <w:r>
          <w:delText xml:space="preserve"> make </w:delText>
        </w:r>
      </w:del>
      <w:ins w:id="1072" w:author="Master Repository Process" w:date="2021-08-29T11:49:00Z">
        <w:r>
          <w:t xml:space="preserve"> — </w:t>
        </w:r>
      </w:ins>
    </w:p>
    <w:p>
      <w:pPr>
        <w:pStyle w:val="Indenta"/>
      </w:pPr>
      <w:ins w:id="1073" w:author="Master Repository Process" w:date="2021-08-29T11:49:00Z">
        <w:r>
          <w:tab/>
          <w:t>(a)</w:t>
        </w:r>
        <w:r>
          <w:tab/>
        </w:r>
      </w:ins>
      <w:r>
        <w:t>an application for a Court order other than —</w:t>
      </w:r>
    </w:p>
    <w:p>
      <w:pPr>
        <w:pStyle w:val="Indenti"/>
      </w:pPr>
      <w:r>
        <w:tab/>
        <w:t>(</w:t>
      </w:r>
      <w:del w:id="1074" w:author="Master Repository Process" w:date="2021-08-29T11:49:00Z">
        <w:r>
          <w:delText>a</w:delText>
        </w:r>
      </w:del>
      <w:ins w:id="1075" w:author="Master Repository Process" w:date="2021-08-29T11:49:00Z">
        <w:r>
          <w:t>i</w:t>
        </w:r>
      </w:ins>
      <w:r>
        <w:t>)</w:t>
      </w:r>
      <w:r>
        <w:tab/>
        <w:t>a judgment after trial; or</w:t>
      </w:r>
    </w:p>
    <w:p>
      <w:pPr>
        <w:pStyle w:val="Indenti"/>
      </w:pPr>
      <w:r>
        <w:tab/>
        <w:t>(</w:t>
      </w:r>
      <w:del w:id="1076" w:author="Master Repository Process" w:date="2021-08-29T11:49:00Z">
        <w:r>
          <w:delText>b</w:delText>
        </w:r>
      </w:del>
      <w:ins w:id="1077" w:author="Master Repository Process" w:date="2021-08-29T11:49:00Z">
        <w:r>
          <w:t>ii</w:t>
        </w:r>
      </w:ins>
      <w:r>
        <w:t>)</w:t>
      </w:r>
      <w:r>
        <w:tab/>
        <w:t>an order made in or as a consequence of a judgment</w:t>
      </w:r>
      <w:ins w:id="1078" w:author="Master Repository Process" w:date="2021-08-29T11:49:00Z">
        <w:r>
          <w:t>,</w:t>
        </w:r>
      </w:ins>
      <w:r>
        <w:t xml:space="preserve"> not being an order to set aside a judgment given under the Act section 17(3), 18(6</w:t>
      </w:r>
      <w:del w:id="1079" w:author="Master Repository Process" w:date="2021-08-29T11:49:00Z">
        <w:r>
          <w:delText>),</w:delText>
        </w:r>
      </w:del>
      <w:ins w:id="1080" w:author="Master Repository Process" w:date="2021-08-29T11:49:00Z">
        <w:r>
          <w:t>)</w:t>
        </w:r>
      </w:ins>
      <w:r>
        <w:t xml:space="preserve"> or 19(3</w:t>
      </w:r>
      <w:del w:id="1081" w:author="Master Repository Process" w:date="2021-08-29T11:49:00Z">
        <w:r>
          <w:delText>),</w:delText>
        </w:r>
      </w:del>
      <w:ins w:id="1082" w:author="Master Repository Process" w:date="2021-08-29T11:49:00Z">
        <w:r>
          <w:t>);</w:t>
        </w:r>
      </w:ins>
    </w:p>
    <w:p>
      <w:pPr>
        <w:pStyle w:val="Subsection"/>
        <w:rPr>
          <w:del w:id="1083" w:author="Master Repository Process" w:date="2021-08-29T11:49:00Z"/>
        </w:rPr>
      </w:pPr>
      <w:del w:id="1084" w:author="Master Repository Process" w:date="2021-08-29T11:49:00Z">
        <w:r>
          <w:tab/>
        </w:r>
        <w:r>
          <w:tab/>
          <w:delText>the party must lodge the approved form unless the Court gives leave under subrule (2).</w:delText>
        </w:r>
      </w:del>
    </w:p>
    <w:p>
      <w:pPr>
        <w:pStyle w:val="Indenta"/>
        <w:rPr>
          <w:ins w:id="1085" w:author="Master Repository Process" w:date="2021-08-29T11:49:00Z"/>
        </w:rPr>
      </w:pPr>
      <w:ins w:id="1086" w:author="Master Repository Process" w:date="2021-08-29T11:49:00Z">
        <w:r>
          <w:tab/>
        </w:r>
        <w:r>
          <w:tab/>
          <w:t>or</w:t>
        </w:r>
      </w:ins>
    </w:p>
    <w:p>
      <w:pPr>
        <w:pStyle w:val="Indenta"/>
        <w:rPr>
          <w:ins w:id="1087" w:author="Master Repository Process" w:date="2021-08-29T11:49:00Z"/>
        </w:rPr>
      </w:pPr>
      <w:ins w:id="1088" w:author="Master Repository Process" w:date="2021-08-29T11:49:00Z">
        <w:r>
          <w:tab/>
          <w:t>(b)</w:t>
        </w:r>
        <w:r>
          <w:tab/>
          <w:t>an application in relation to which rule 111(1) does not apply.</w:t>
        </w:r>
      </w:ins>
    </w:p>
    <w:p>
      <w:pPr>
        <w:pStyle w:val="Subsection"/>
        <w:rPr>
          <w:ins w:id="1089" w:author="Master Repository Process" w:date="2021-08-29T11:49:00Z"/>
        </w:rPr>
      </w:pPr>
      <w:r>
        <w:tab/>
        <w:t>(2)</w:t>
      </w:r>
      <w:r>
        <w:tab/>
        <w:t>A party may</w:t>
      </w:r>
      <w:del w:id="1090" w:author="Master Repository Process" w:date="2021-08-29T11:49:00Z">
        <w:r>
          <w:delText xml:space="preserve">, </w:delText>
        </w:r>
      </w:del>
      <w:ins w:id="1091" w:author="Master Repository Process" w:date="2021-08-29T11:49:00Z">
        <w:r>
          <w:t xml:space="preserve"> make an application — </w:t>
        </w:r>
      </w:ins>
    </w:p>
    <w:p>
      <w:pPr>
        <w:pStyle w:val="Indenta"/>
        <w:rPr>
          <w:ins w:id="1092" w:author="Master Repository Process" w:date="2021-08-29T11:49:00Z"/>
        </w:rPr>
      </w:pPr>
      <w:ins w:id="1093" w:author="Master Repository Process" w:date="2021-08-29T11:49:00Z">
        <w:r>
          <w:tab/>
          <w:t>(a)</w:t>
        </w:r>
        <w:r>
          <w:tab/>
          <w:t>subject to subrule (3), by lodging the approved form; or</w:t>
        </w:r>
      </w:ins>
    </w:p>
    <w:p>
      <w:pPr>
        <w:pStyle w:val="Indenta"/>
      </w:pPr>
      <w:ins w:id="1094" w:author="Master Repository Process" w:date="2021-08-29T11:49:00Z">
        <w:r>
          <w:tab/>
          <w:t>(b)</w:t>
        </w:r>
        <w:r>
          <w:tab/>
        </w:r>
      </w:ins>
      <w:r>
        <w:t xml:space="preserve">with the leave of the Court, </w:t>
      </w:r>
      <w:del w:id="1095" w:author="Master Repository Process" w:date="2021-08-29T11:49:00Z">
        <w:r>
          <w:delText xml:space="preserve">make an application </w:delText>
        </w:r>
      </w:del>
      <w:r>
        <w:t>orally at any hearing.</w:t>
      </w:r>
    </w:p>
    <w:p>
      <w:pPr>
        <w:pStyle w:val="Subsection"/>
        <w:rPr>
          <w:ins w:id="1096" w:author="Master Repository Process" w:date="2021-08-29T11:49:00Z"/>
        </w:rPr>
      </w:pPr>
      <w:ins w:id="1097" w:author="Master Repository Process" w:date="2021-08-29T11:49:00Z">
        <w:r>
          <w:tab/>
          <w:t>(3)</w:t>
        </w:r>
        <w:r>
          <w:tab/>
          <w:t>Before making an application under subrule 2(a), the party must confer with the other party to try to resolve the matters giving rise to the application.</w:t>
        </w:r>
      </w:ins>
    </w:p>
    <w:p>
      <w:pPr>
        <w:pStyle w:val="Footnotesection"/>
        <w:rPr>
          <w:ins w:id="1098" w:author="Master Repository Process" w:date="2021-08-29T11:49:00Z"/>
        </w:rPr>
      </w:pPr>
      <w:ins w:id="1099" w:author="Master Repository Process" w:date="2021-08-29T11:49:00Z">
        <w:r>
          <w:tab/>
          <w:t>[Rule 109 inserted: SL 2020/67 r. 33.]</w:t>
        </w:r>
      </w:ins>
    </w:p>
    <w:p>
      <w:pPr>
        <w:pStyle w:val="Heading5"/>
      </w:pPr>
      <w:bookmarkStart w:id="1100" w:name="_Toc41638835"/>
      <w:bookmarkStart w:id="1101" w:name="_Toc41638569"/>
      <w:r>
        <w:rPr>
          <w:rStyle w:val="CharSectno"/>
        </w:rPr>
        <w:t>110</w:t>
      </w:r>
      <w:r>
        <w:t>.</w:t>
      </w:r>
      <w:r>
        <w:tab/>
        <w:t>Supporting affidavit</w:t>
      </w:r>
      <w:bookmarkEnd w:id="1100"/>
      <w:del w:id="1102" w:author="Master Repository Process" w:date="2021-08-29T11:49:00Z">
        <w:r>
          <w:delText>, when required</w:delText>
        </w:r>
      </w:del>
      <w:bookmarkEnd w:id="1101"/>
    </w:p>
    <w:p>
      <w:pPr>
        <w:pStyle w:val="Subsection"/>
      </w:pPr>
      <w:del w:id="1103" w:author="Master Repository Process" w:date="2021-08-29T11:49:00Z">
        <w:r>
          <w:tab/>
        </w:r>
        <w:r>
          <w:tab/>
          <w:delText>Except as provided in rule 22(3), a</w:delText>
        </w:r>
      </w:del>
      <w:ins w:id="1104" w:author="Master Repository Process" w:date="2021-08-29T11:49:00Z">
        <w:r>
          <w:tab/>
        </w:r>
        <w:r>
          <w:tab/>
          <w:t>A</w:t>
        </w:r>
      </w:ins>
      <w:r>
        <w:t xml:space="preserve"> written application must be lodged together with a supporting affidavit.</w:t>
      </w:r>
    </w:p>
    <w:p>
      <w:pPr>
        <w:pStyle w:val="Footnotesection"/>
        <w:rPr>
          <w:ins w:id="1105" w:author="Master Repository Process" w:date="2021-08-29T11:49:00Z"/>
          <w:rFonts w:ascii="Times" w:hAnsi="Times"/>
        </w:rPr>
      </w:pPr>
      <w:ins w:id="1106" w:author="Master Repository Process" w:date="2021-08-29T11:49:00Z">
        <w:r>
          <w:tab/>
          <w:t>[Rule 110 amended: SL 2020/67 r. 34.]</w:t>
        </w:r>
      </w:ins>
    </w:p>
    <w:p>
      <w:pPr>
        <w:pStyle w:val="Heading5"/>
      </w:pPr>
      <w:bookmarkStart w:id="1107" w:name="_Toc41638836"/>
      <w:bookmarkStart w:id="1108" w:name="_Toc41638570"/>
      <w:r>
        <w:rPr>
          <w:rStyle w:val="CharSectno"/>
        </w:rPr>
        <w:t>111</w:t>
      </w:r>
      <w:r>
        <w:t>.</w:t>
      </w:r>
      <w:r>
        <w:tab/>
        <w:t>Application must be served</w:t>
      </w:r>
      <w:bookmarkEnd w:id="1107"/>
      <w:bookmarkEnd w:id="1108"/>
    </w:p>
    <w:p>
      <w:pPr>
        <w:pStyle w:val="Subsection"/>
      </w:pPr>
      <w:r>
        <w:tab/>
        <w:t>(1)</w:t>
      </w:r>
      <w:r>
        <w:tab/>
        <w:t xml:space="preserve">Except as provided in subrule (2), a party making a written application must serve a copy of the application and </w:t>
      </w:r>
      <w:del w:id="1109" w:author="Master Repository Process" w:date="2021-08-29T11:49:00Z">
        <w:r>
          <w:delText xml:space="preserve">any </w:delText>
        </w:r>
      </w:del>
      <w:r>
        <w:t>supporting affidavit on every other party after it has been lodged</w:t>
      </w:r>
      <w:del w:id="1110" w:author="Master Repository Process" w:date="2021-08-29T11:49:00Z">
        <w:r>
          <w:delText xml:space="preserve"> and at least 10 days before the hearing of the application</w:delText>
        </w:r>
      </w:del>
      <w:r>
        <w:t>.</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 xml:space="preserve">for a failure to lodge a statement of defence </w:t>
      </w:r>
      <w:ins w:id="1111" w:author="Master Repository Process" w:date="2021-08-29T11:49:00Z">
        <w:r>
          <w:t xml:space="preserve">or a statement of defence and counterclaim </w:t>
        </w:r>
      </w:ins>
      <w:r>
        <w:t>in accordance with rule 41B; or</w:t>
      </w:r>
    </w:p>
    <w:p>
      <w:pPr>
        <w:pStyle w:val="Indenti"/>
      </w:pPr>
      <w:r>
        <w:tab/>
        <w:t>(iii)</w:t>
      </w:r>
      <w:r>
        <w:tab/>
        <w:t>if these rules state that the default judgment may be given in the absence of the parties;</w:t>
      </w:r>
    </w:p>
    <w:p>
      <w:pPr>
        <w:pStyle w:val="Indenta"/>
        <w:rPr>
          <w:ins w:id="1112" w:author="Master Repository Process" w:date="2021-08-29T11:49:00Z"/>
        </w:rPr>
      </w:pPr>
      <w:ins w:id="1113" w:author="Master Repository Process" w:date="2021-08-29T11:49:00Z">
        <w:r>
          <w:tab/>
        </w:r>
        <w:r>
          <w:tab/>
          <w:t>or</w:t>
        </w:r>
      </w:ins>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w:t>
      </w:r>
      <w:ins w:id="1114" w:author="Master Repository Process" w:date="2021-08-29T11:49:00Z">
        <w:r>
          <w:t>; SL 2020/67 r. 35</w:t>
        </w:r>
      </w:ins>
      <w:r>
        <w:t>.]</w:t>
      </w:r>
    </w:p>
    <w:p>
      <w:pPr>
        <w:pStyle w:val="Heading5"/>
      </w:pPr>
      <w:bookmarkStart w:id="1115" w:name="_Toc41638837"/>
      <w:bookmarkStart w:id="1116" w:name="_Toc41638571"/>
      <w:r>
        <w:rPr>
          <w:rStyle w:val="CharSectno"/>
        </w:rPr>
        <w:t>112</w:t>
      </w:r>
      <w:r>
        <w:t>.</w:t>
      </w:r>
      <w:r>
        <w:tab/>
        <w:t>Response to application</w:t>
      </w:r>
      <w:bookmarkEnd w:id="1115"/>
      <w:bookmarkEnd w:id="1116"/>
    </w:p>
    <w:p>
      <w:pPr>
        <w:pStyle w:val="Subsection"/>
      </w:pPr>
      <w:r>
        <w:tab/>
        <w:t>(1)</w:t>
      </w:r>
      <w:r>
        <w:tab/>
        <w:t xml:space="preserve">A party which has been served with an application must, </w:t>
      </w:r>
      <w:del w:id="1117" w:author="Master Repository Process" w:date="2021-08-29T11:49:00Z">
        <w:r>
          <w:delText xml:space="preserve">at least 3 working </w:delText>
        </w:r>
      </w:del>
      <w:ins w:id="1118" w:author="Master Repository Process" w:date="2021-08-29T11:49:00Z">
        <w:r>
          <w:t>no later than 14 </w:t>
        </w:r>
      </w:ins>
      <w:r>
        <w:t xml:space="preserve">days </w:t>
      </w:r>
      <w:del w:id="1119" w:author="Master Repository Process" w:date="2021-08-29T11:49:00Z">
        <w:r>
          <w:delText>before</w:delText>
        </w:r>
      </w:del>
      <w:ins w:id="1120" w:author="Master Repository Process" w:date="2021-08-29T11:49:00Z">
        <w:r>
          <w:t>after</w:t>
        </w:r>
      </w:ins>
      <w:r>
        <w:t xml:space="preserve"> the </w:t>
      </w:r>
      <w:del w:id="1121" w:author="Master Repository Process" w:date="2021-08-29T11:49:00Z">
        <w:r>
          <w:delText>hearing of</w:delText>
        </w:r>
      </w:del>
      <w:ins w:id="1122" w:author="Master Repository Process" w:date="2021-08-29T11:49:00Z">
        <w:r>
          <w:t>party was served with</w:t>
        </w:r>
      </w:ins>
      <w:r>
        <w:t xml:space="preserve">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ins w:id="1123" w:author="Master Repository Process" w:date="2021-08-29T11:49:00Z"/>
          <w:rFonts w:ascii="Times" w:hAnsi="Times"/>
        </w:rPr>
      </w:pPr>
      <w:ins w:id="1124" w:author="Master Repository Process" w:date="2021-08-29T11:49:00Z">
        <w:r>
          <w:tab/>
          <w:t>[Rule 112 amended: SL 2020/67 r. 36.]</w:t>
        </w:r>
      </w:ins>
    </w:p>
    <w:p>
      <w:pPr>
        <w:pStyle w:val="Heading5"/>
      </w:pPr>
      <w:bookmarkStart w:id="1125" w:name="_Toc41638838"/>
      <w:bookmarkStart w:id="1126" w:name="_Toc41638572"/>
      <w:r>
        <w:rPr>
          <w:rStyle w:val="CharSectno"/>
        </w:rPr>
        <w:t>113</w:t>
      </w:r>
      <w:r>
        <w:t>.</w:t>
      </w:r>
      <w:r>
        <w:tab/>
        <w:t>Dealing with application</w:t>
      </w:r>
      <w:bookmarkEnd w:id="1125"/>
      <w:bookmarkEnd w:id="1126"/>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rPr>
          <w:ins w:id="1127" w:author="Master Repository Process" w:date="2021-08-29T11:49:00Z"/>
        </w:rPr>
      </w:pPr>
      <w:bookmarkStart w:id="1128" w:name="_Toc41638839"/>
      <w:bookmarkStart w:id="1129" w:name="_Toc41473681"/>
      <w:ins w:id="1130" w:author="Master Repository Process" w:date="2021-08-29T11:49:00Z">
        <w:r>
          <w:rPr>
            <w:rStyle w:val="CharSectno"/>
          </w:rPr>
          <w:t>113A</w:t>
        </w:r>
        <w:r>
          <w:t>.</w:t>
        </w:r>
        <w:r>
          <w:tab/>
          <w:t>No response filed</w:t>
        </w:r>
        <w:bookmarkEnd w:id="1128"/>
      </w:ins>
    </w:p>
    <w:p>
      <w:pPr>
        <w:pStyle w:val="Subsection"/>
        <w:rPr>
          <w:ins w:id="1131" w:author="Master Repository Process" w:date="2021-08-29T11:49:00Z"/>
        </w:rPr>
      </w:pPr>
      <w:ins w:id="1132" w:author="Master Repository Process" w:date="2021-08-29T11:49:00Z">
        <w:r>
          <w:tab/>
          <w:t>(1)</w:t>
        </w:r>
        <w:r>
          <w:tab/>
          <w:t xml:space="preserve">If a party fails to lodge and serve a response to an application in accordance with rule 112, a registrar may — </w:t>
        </w:r>
      </w:ins>
    </w:p>
    <w:p>
      <w:pPr>
        <w:pStyle w:val="Indenta"/>
        <w:rPr>
          <w:ins w:id="1133" w:author="Master Repository Process" w:date="2021-08-29T11:49:00Z"/>
        </w:rPr>
      </w:pPr>
      <w:ins w:id="1134" w:author="Master Repository Process" w:date="2021-08-29T11:49:00Z">
        <w:r>
          <w:tab/>
          <w:t>(a)</w:t>
        </w:r>
        <w:r>
          <w:tab/>
          <w:t>grant the application, if satisfied that the party making the application is entitled to relief; or</w:t>
        </w:r>
      </w:ins>
    </w:p>
    <w:p>
      <w:pPr>
        <w:pStyle w:val="Indenta"/>
        <w:rPr>
          <w:ins w:id="1135" w:author="Master Repository Process" w:date="2021-08-29T11:49:00Z"/>
        </w:rPr>
      </w:pPr>
      <w:ins w:id="1136" w:author="Master Repository Process" w:date="2021-08-29T11:49:00Z">
        <w:r>
          <w:tab/>
          <w:t>(b)</w:t>
        </w:r>
        <w:r>
          <w:tab/>
          <w:t>refer the application to a magistrate.</w:t>
        </w:r>
      </w:ins>
    </w:p>
    <w:p>
      <w:pPr>
        <w:pStyle w:val="Subsection"/>
        <w:rPr>
          <w:ins w:id="1137" w:author="Master Repository Process" w:date="2021-08-29T11:49:00Z"/>
        </w:rPr>
      </w:pPr>
      <w:ins w:id="1138" w:author="Master Repository Process" w:date="2021-08-29T11:49:00Z">
        <w:r>
          <w:tab/>
          <w:t>(2)</w:t>
        </w:r>
        <w:r>
          <w:tab/>
          <w:t xml:space="preserve">A magistrate to whom an application is referred under subrule (1)(b) may, in chambers — </w:t>
        </w:r>
      </w:ins>
    </w:p>
    <w:p>
      <w:pPr>
        <w:pStyle w:val="Indenta"/>
        <w:rPr>
          <w:ins w:id="1139" w:author="Master Repository Process" w:date="2021-08-29T11:49:00Z"/>
        </w:rPr>
      </w:pPr>
      <w:ins w:id="1140" w:author="Master Repository Process" w:date="2021-08-29T11:49:00Z">
        <w:r>
          <w:tab/>
          <w:t>(a)</w:t>
        </w:r>
        <w:r>
          <w:tab/>
          <w:t>without hearing the party making the application, grant it; or</w:t>
        </w:r>
      </w:ins>
    </w:p>
    <w:p>
      <w:pPr>
        <w:pStyle w:val="Indenta"/>
        <w:rPr>
          <w:ins w:id="1141" w:author="Master Repository Process" w:date="2021-08-29T11:49:00Z"/>
        </w:rPr>
      </w:pPr>
      <w:ins w:id="1142" w:author="Master Repository Process" w:date="2021-08-29T11:49:00Z">
        <w:r>
          <w:tab/>
          <w:t>(b)</w:t>
        </w:r>
        <w:r>
          <w:tab/>
          <w:t>direct a registrar to list the application for hearing by a magistrate.</w:t>
        </w:r>
      </w:ins>
    </w:p>
    <w:p>
      <w:pPr>
        <w:pStyle w:val="Subsection"/>
        <w:rPr>
          <w:ins w:id="1143" w:author="Master Repository Process" w:date="2021-08-29T11:49:00Z"/>
        </w:rPr>
      </w:pPr>
      <w:ins w:id="1144" w:author="Master Repository Process" w:date="2021-08-29T11:49:00Z">
        <w:r>
          <w:tab/>
          <w:t>(3)</w:t>
        </w:r>
        <w:r>
          <w:tab/>
          <w:t>A magistrate hearing the application may grant or refuse it.</w:t>
        </w:r>
      </w:ins>
    </w:p>
    <w:p>
      <w:pPr>
        <w:pStyle w:val="Footnotesection"/>
        <w:rPr>
          <w:ins w:id="1145" w:author="Master Repository Process" w:date="2021-08-29T11:49:00Z"/>
        </w:rPr>
      </w:pPr>
      <w:ins w:id="1146" w:author="Master Repository Process" w:date="2021-08-29T11:49:00Z">
        <w:r>
          <w:tab/>
          <w:t>[Rule 113A inserted: SL 2020/67 r. 37.]</w:t>
        </w:r>
      </w:ins>
    </w:p>
    <w:p>
      <w:pPr>
        <w:pStyle w:val="Heading2"/>
      </w:pPr>
      <w:bookmarkStart w:id="1147" w:name="_Toc41487576"/>
      <w:bookmarkStart w:id="1148" w:name="_Toc41552030"/>
      <w:bookmarkStart w:id="1149" w:name="_Toc41552782"/>
      <w:bookmarkStart w:id="1150" w:name="_Toc41638840"/>
      <w:bookmarkStart w:id="1151" w:name="_Toc39501142"/>
      <w:bookmarkStart w:id="1152" w:name="_Toc39566800"/>
      <w:bookmarkStart w:id="1153" w:name="_Toc39575340"/>
      <w:bookmarkStart w:id="1154" w:name="_Toc41638573"/>
      <w:r>
        <w:rPr>
          <w:rStyle w:val="CharPartNo"/>
        </w:rPr>
        <w:t>Part 19</w:t>
      </w:r>
      <w:r>
        <w:rPr>
          <w:rStyle w:val="CharDivNo"/>
        </w:rPr>
        <w:t> </w:t>
      </w:r>
      <w:r>
        <w:t>—</w:t>
      </w:r>
      <w:r>
        <w:rPr>
          <w:rStyle w:val="CharDivText"/>
        </w:rPr>
        <w:t> </w:t>
      </w:r>
      <w:r>
        <w:rPr>
          <w:rStyle w:val="CharPartText"/>
        </w:rPr>
        <w:t>Affidavits</w:t>
      </w:r>
      <w:bookmarkEnd w:id="1129"/>
      <w:bookmarkEnd w:id="1147"/>
      <w:bookmarkEnd w:id="1148"/>
      <w:bookmarkEnd w:id="1149"/>
      <w:bookmarkEnd w:id="1150"/>
      <w:bookmarkEnd w:id="1151"/>
      <w:bookmarkEnd w:id="1152"/>
      <w:bookmarkEnd w:id="1153"/>
      <w:bookmarkEnd w:id="1154"/>
    </w:p>
    <w:p>
      <w:pPr>
        <w:pStyle w:val="Heading5"/>
      </w:pPr>
      <w:bookmarkStart w:id="1155" w:name="_Toc41638841"/>
      <w:bookmarkStart w:id="1156" w:name="_Toc41638574"/>
      <w:r>
        <w:rPr>
          <w:rStyle w:val="CharSectno"/>
        </w:rPr>
        <w:t>114</w:t>
      </w:r>
      <w:r>
        <w:t>.</w:t>
      </w:r>
      <w:r>
        <w:tab/>
        <w:t>Form of affidavits</w:t>
      </w:r>
      <w:bookmarkEnd w:id="1155"/>
      <w:bookmarkEnd w:id="1156"/>
    </w:p>
    <w:p>
      <w:pPr>
        <w:pStyle w:val="Subsection"/>
      </w:pPr>
      <w:r>
        <w:tab/>
      </w:r>
      <w:r>
        <w:tab/>
        <w:t>An affidavit must be in the approved form.</w:t>
      </w:r>
    </w:p>
    <w:p>
      <w:pPr>
        <w:pStyle w:val="Heading5"/>
      </w:pPr>
      <w:bookmarkStart w:id="1157" w:name="_Toc41638842"/>
      <w:bookmarkStart w:id="1158" w:name="_Toc41638575"/>
      <w:r>
        <w:rPr>
          <w:rStyle w:val="CharSectno"/>
        </w:rPr>
        <w:t>115</w:t>
      </w:r>
      <w:r>
        <w:t>.</w:t>
      </w:r>
      <w:r>
        <w:tab/>
        <w:t>Content of affidavits</w:t>
      </w:r>
      <w:bookmarkEnd w:id="1157"/>
      <w:bookmarkEnd w:id="1158"/>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1159" w:name="_Toc41473684"/>
      <w:bookmarkStart w:id="1160" w:name="_Toc41487579"/>
      <w:bookmarkStart w:id="1161" w:name="_Toc41552033"/>
      <w:bookmarkStart w:id="1162" w:name="_Toc41552785"/>
      <w:bookmarkStart w:id="1163" w:name="_Toc41638843"/>
      <w:bookmarkStart w:id="1164" w:name="_Toc39501145"/>
      <w:bookmarkStart w:id="1165" w:name="_Toc39566803"/>
      <w:bookmarkStart w:id="1166" w:name="_Toc39575343"/>
      <w:bookmarkStart w:id="1167" w:name="_Toc41638576"/>
      <w:r>
        <w:rPr>
          <w:rStyle w:val="CharPartNo"/>
        </w:rPr>
        <w:t>Part 20</w:t>
      </w:r>
      <w:r>
        <w:t> — </w:t>
      </w:r>
      <w:r>
        <w:rPr>
          <w:rStyle w:val="CharPartText"/>
        </w:rPr>
        <w:t>Litigation guardians</w:t>
      </w:r>
      <w:bookmarkEnd w:id="1159"/>
      <w:bookmarkEnd w:id="1160"/>
      <w:bookmarkEnd w:id="1161"/>
      <w:bookmarkEnd w:id="1162"/>
      <w:bookmarkEnd w:id="1163"/>
      <w:bookmarkEnd w:id="1164"/>
      <w:bookmarkEnd w:id="1165"/>
      <w:bookmarkEnd w:id="1166"/>
      <w:bookmarkEnd w:id="1167"/>
    </w:p>
    <w:p>
      <w:pPr>
        <w:pStyle w:val="Heading5"/>
      </w:pPr>
      <w:bookmarkStart w:id="1168" w:name="_Toc41638844"/>
      <w:bookmarkStart w:id="1169" w:name="_Toc41638577"/>
      <w:r>
        <w:rPr>
          <w:rStyle w:val="CharSectno"/>
        </w:rPr>
        <w:t>116</w:t>
      </w:r>
      <w:r>
        <w:t>.</w:t>
      </w:r>
      <w:r>
        <w:tab/>
        <w:t>Terms used</w:t>
      </w:r>
      <w:bookmarkEnd w:id="1168"/>
      <w:bookmarkEnd w:id="1169"/>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170" w:name="_Toc41638845"/>
      <w:bookmarkStart w:id="1171" w:name="_Toc41638578"/>
      <w:r>
        <w:rPr>
          <w:rStyle w:val="CharSectno"/>
        </w:rPr>
        <w:t>117</w:t>
      </w:r>
      <w:r>
        <w:t>.</w:t>
      </w:r>
      <w:r>
        <w:tab/>
        <w:t>Application of this Part</w:t>
      </w:r>
      <w:bookmarkEnd w:id="1170"/>
      <w:bookmarkEnd w:id="1171"/>
    </w:p>
    <w:p>
      <w:pPr>
        <w:pStyle w:val="Subsection"/>
      </w:pPr>
      <w:r>
        <w:tab/>
      </w:r>
      <w:r>
        <w:tab/>
        <w:t>This Part applies in relation to a person under a legal disability if the person is, or intends to be, a party to a case.</w:t>
      </w:r>
    </w:p>
    <w:p>
      <w:pPr>
        <w:pStyle w:val="Heading5"/>
      </w:pPr>
      <w:bookmarkStart w:id="1172" w:name="_Toc41638846"/>
      <w:bookmarkStart w:id="1173" w:name="_Toc41638579"/>
      <w:r>
        <w:rPr>
          <w:rStyle w:val="CharSectno"/>
        </w:rPr>
        <w:t>118</w:t>
      </w:r>
      <w:r>
        <w:t>.</w:t>
      </w:r>
      <w:r>
        <w:tab/>
        <w:t>Represented persons to have litigation guardians</w:t>
      </w:r>
      <w:bookmarkEnd w:id="1172"/>
      <w:bookmarkEnd w:id="1173"/>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1174" w:name="_Toc41638847"/>
      <w:bookmarkStart w:id="1175" w:name="_Toc41638580"/>
      <w:r>
        <w:rPr>
          <w:rStyle w:val="CharSectno"/>
        </w:rPr>
        <w:t>119</w:t>
      </w:r>
      <w:r>
        <w:t>.</w:t>
      </w:r>
      <w:r>
        <w:tab/>
        <w:t>Litigation guardian of represented person must lodge affidavit</w:t>
      </w:r>
      <w:bookmarkEnd w:id="1174"/>
      <w:bookmarkEnd w:id="1175"/>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1176" w:name="_Toc41638848"/>
      <w:bookmarkStart w:id="1177" w:name="_Toc41638581"/>
      <w:r>
        <w:rPr>
          <w:rStyle w:val="CharSectno"/>
        </w:rPr>
        <w:t>120</w:t>
      </w:r>
      <w:r>
        <w:t>.</w:t>
      </w:r>
      <w:r>
        <w:tab/>
        <w:t>Children, litigation guardians for</w:t>
      </w:r>
      <w:bookmarkEnd w:id="1176"/>
      <w:bookmarkEnd w:id="1177"/>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1178" w:name="_Toc41638849"/>
      <w:bookmarkStart w:id="1179" w:name="_Toc41638582"/>
      <w:r>
        <w:rPr>
          <w:rStyle w:val="CharSectno"/>
        </w:rPr>
        <w:t>121</w:t>
      </w:r>
      <w:r>
        <w:t>.</w:t>
      </w:r>
      <w:r>
        <w:tab/>
        <w:t>Litigation guardian of child must lodge affidavit</w:t>
      </w:r>
      <w:bookmarkEnd w:id="1178"/>
      <w:bookmarkEnd w:id="1179"/>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1180" w:name="_Toc41638850"/>
      <w:bookmarkStart w:id="1181" w:name="_Toc41638583"/>
      <w:r>
        <w:rPr>
          <w:rStyle w:val="CharSectno"/>
        </w:rPr>
        <w:t>122</w:t>
      </w:r>
      <w:r>
        <w:t>.</w:t>
      </w:r>
      <w:r>
        <w:tab/>
        <w:t>Litigation guardian, application by to be appointed</w:t>
      </w:r>
      <w:bookmarkEnd w:id="1180"/>
      <w:bookmarkEnd w:id="1181"/>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1182" w:name="_Toc41473692"/>
      <w:bookmarkStart w:id="1183" w:name="_Toc41487587"/>
      <w:bookmarkStart w:id="1184" w:name="_Toc41552041"/>
      <w:bookmarkStart w:id="1185" w:name="_Toc41552793"/>
      <w:bookmarkStart w:id="1186" w:name="_Toc41638851"/>
      <w:bookmarkStart w:id="1187" w:name="_Toc39501153"/>
      <w:bookmarkStart w:id="1188" w:name="_Toc39566811"/>
      <w:bookmarkStart w:id="1189" w:name="_Toc39575351"/>
      <w:bookmarkStart w:id="1190" w:name="_Toc41638584"/>
      <w:r>
        <w:rPr>
          <w:rStyle w:val="CharPartNo"/>
        </w:rPr>
        <w:t>Part 21</w:t>
      </w:r>
      <w:r>
        <w:t> — </w:t>
      </w:r>
      <w:r>
        <w:rPr>
          <w:rStyle w:val="CharPartText"/>
        </w:rPr>
        <w:t>Jurisdiction conferred by other Acts</w:t>
      </w:r>
      <w:bookmarkEnd w:id="1182"/>
      <w:bookmarkEnd w:id="1183"/>
      <w:bookmarkEnd w:id="1184"/>
      <w:bookmarkEnd w:id="1185"/>
      <w:bookmarkEnd w:id="1186"/>
      <w:bookmarkEnd w:id="1187"/>
      <w:bookmarkEnd w:id="1188"/>
      <w:bookmarkEnd w:id="1189"/>
      <w:bookmarkEnd w:id="1190"/>
    </w:p>
    <w:p>
      <w:pPr>
        <w:pStyle w:val="Heading3"/>
      </w:pPr>
      <w:bookmarkStart w:id="1191" w:name="_Toc41473693"/>
      <w:bookmarkStart w:id="1192" w:name="_Toc41487588"/>
      <w:bookmarkStart w:id="1193" w:name="_Toc41552042"/>
      <w:bookmarkStart w:id="1194" w:name="_Toc41552794"/>
      <w:bookmarkStart w:id="1195" w:name="_Toc41638852"/>
      <w:bookmarkStart w:id="1196" w:name="_Toc39501154"/>
      <w:bookmarkStart w:id="1197" w:name="_Toc39566812"/>
      <w:bookmarkStart w:id="1198" w:name="_Toc39575352"/>
      <w:bookmarkStart w:id="1199" w:name="_Toc41638585"/>
      <w:r>
        <w:rPr>
          <w:rStyle w:val="CharDivNo"/>
        </w:rPr>
        <w:t>Division 1</w:t>
      </w:r>
      <w:r>
        <w:t> — </w:t>
      </w:r>
      <w:r>
        <w:rPr>
          <w:rStyle w:val="CharDivText"/>
        </w:rPr>
        <w:t>General</w:t>
      </w:r>
      <w:bookmarkEnd w:id="1191"/>
      <w:bookmarkEnd w:id="1192"/>
      <w:bookmarkEnd w:id="1193"/>
      <w:bookmarkEnd w:id="1194"/>
      <w:bookmarkEnd w:id="1195"/>
      <w:bookmarkEnd w:id="1196"/>
      <w:bookmarkEnd w:id="1197"/>
      <w:bookmarkEnd w:id="1198"/>
      <w:bookmarkEnd w:id="1199"/>
    </w:p>
    <w:p>
      <w:pPr>
        <w:pStyle w:val="Heading5"/>
        <w:spacing w:before="180"/>
      </w:pPr>
      <w:bookmarkStart w:id="1200" w:name="_Toc41638853"/>
      <w:bookmarkStart w:id="1201" w:name="_Toc41638586"/>
      <w:r>
        <w:rPr>
          <w:rStyle w:val="CharSectno"/>
        </w:rPr>
        <w:t>123</w:t>
      </w:r>
      <w:r>
        <w:t>.</w:t>
      </w:r>
      <w:r>
        <w:tab/>
        <w:t>Terms used</w:t>
      </w:r>
      <w:bookmarkEnd w:id="1200"/>
      <w:bookmarkEnd w:id="1201"/>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1202" w:name="_Toc41638854"/>
      <w:bookmarkStart w:id="1203" w:name="_Toc41638587"/>
      <w:r>
        <w:rPr>
          <w:rStyle w:val="CharSectno"/>
        </w:rPr>
        <w:t>124</w:t>
      </w:r>
      <w:r>
        <w:t>.</w:t>
      </w:r>
      <w:r>
        <w:tab/>
        <w:t>Applications to which this Division applies</w:t>
      </w:r>
      <w:bookmarkEnd w:id="1202"/>
      <w:bookmarkEnd w:id="1203"/>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1204" w:name="_Toc41638855"/>
      <w:bookmarkStart w:id="1205" w:name="_Toc41638588"/>
      <w:r>
        <w:rPr>
          <w:rStyle w:val="CharSectno"/>
        </w:rPr>
        <w:t>125</w:t>
      </w:r>
      <w:r>
        <w:t>.</w:t>
      </w:r>
      <w:r>
        <w:tab/>
        <w:t>Application, form of</w:t>
      </w:r>
      <w:bookmarkEnd w:id="1204"/>
      <w:bookmarkEnd w:id="1205"/>
    </w:p>
    <w:p>
      <w:pPr>
        <w:pStyle w:val="Subsection"/>
      </w:pPr>
      <w:r>
        <w:tab/>
      </w:r>
      <w:r>
        <w:tab/>
        <w:t>Unless the conferring Act provides otherwise, an application must be in the approved form.</w:t>
      </w:r>
    </w:p>
    <w:p>
      <w:pPr>
        <w:pStyle w:val="Heading5"/>
      </w:pPr>
      <w:bookmarkStart w:id="1206" w:name="_Toc41638856"/>
      <w:bookmarkStart w:id="1207" w:name="_Toc41638589"/>
      <w:r>
        <w:rPr>
          <w:rStyle w:val="CharSectno"/>
        </w:rPr>
        <w:t>126</w:t>
      </w:r>
      <w:r>
        <w:t>.</w:t>
      </w:r>
      <w:r>
        <w:tab/>
        <w:t>Application must be served</w:t>
      </w:r>
      <w:bookmarkEnd w:id="1206"/>
      <w:bookmarkEnd w:id="1207"/>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1208" w:name="_Toc41638857"/>
      <w:bookmarkStart w:id="1209" w:name="_Toc41638590"/>
      <w:r>
        <w:rPr>
          <w:rStyle w:val="CharSectno"/>
        </w:rPr>
        <w:t>127</w:t>
      </w:r>
      <w:r>
        <w:t>.</w:t>
      </w:r>
      <w:r>
        <w:tab/>
        <w:t xml:space="preserve">Registrar to list case for </w:t>
      </w:r>
      <w:del w:id="1210" w:author="Master Repository Process" w:date="2021-08-29T11:49:00Z">
        <w:r>
          <w:delText>listing</w:delText>
        </w:r>
      </w:del>
      <w:ins w:id="1211" w:author="Master Repository Process" w:date="2021-08-29T11:49:00Z">
        <w:r>
          <w:t>status</w:t>
        </w:r>
      </w:ins>
      <w:r>
        <w:t xml:space="preserve"> conference</w:t>
      </w:r>
      <w:bookmarkEnd w:id="1208"/>
      <w:bookmarkEnd w:id="1209"/>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 xml:space="preserve">As soon as practicable after an application is lodged, a registrar must list the case for a </w:t>
      </w:r>
      <w:del w:id="1212" w:author="Master Repository Process" w:date="2021-08-29T11:49:00Z">
        <w:r>
          <w:delText>listing</w:delText>
        </w:r>
      </w:del>
      <w:ins w:id="1213" w:author="Master Repository Process" w:date="2021-08-29T11:49:00Z">
        <w:r>
          <w:t>status</w:t>
        </w:r>
      </w:ins>
      <w:r>
        <w:t xml:space="preserve"> conference.</w:t>
      </w:r>
    </w:p>
    <w:p>
      <w:pPr>
        <w:pStyle w:val="Subsection"/>
        <w:rPr>
          <w:del w:id="1214" w:author="Master Repository Process" w:date="2021-08-29T11:49:00Z"/>
        </w:rPr>
      </w:pPr>
      <w:del w:id="1215" w:author="Master Repository Process" w:date="2021-08-29T11:49:00Z">
        <w:r>
          <w:tab/>
          <w:delText>(2)</w:delText>
        </w:r>
        <w:r>
          <w:tab/>
          <w:delText>If the conferring Act requires the application to be served, the registrar must endorse the date of the listing conference on the application that is to be served.</w:delText>
        </w:r>
      </w:del>
    </w:p>
    <w:p>
      <w:pPr>
        <w:pStyle w:val="Ednotesubsection"/>
        <w:rPr>
          <w:ins w:id="1216" w:author="Master Repository Process" w:date="2021-08-29T11:49:00Z"/>
        </w:rPr>
      </w:pPr>
      <w:ins w:id="1217" w:author="Master Repository Process" w:date="2021-08-29T11:49:00Z">
        <w:r>
          <w:tab/>
          <w:t>[(2)</w:t>
        </w:r>
        <w:r>
          <w:tab/>
          <w:t>deleted]</w:t>
        </w:r>
      </w:ins>
    </w:p>
    <w:p>
      <w:pPr>
        <w:pStyle w:val="Subsection"/>
      </w:pPr>
      <w:r>
        <w:tab/>
        <w:t>(3)</w:t>
      </w:r>
      <w:r>
        <w:tab/>
        <w:t xml:space="preserve">If the conferring Act does not require the application to be served, the registrar must notify the parties in writing of the </w:t>
      </w:r>
      <w:del w:id="1218" w:author="Master Repository Process" w:date="2021-08-29T11:49:00Z">
        <w:r>
          <w:delText>listing</w:delText>
        </w:r>
      </w:del>
      <w:ins w:id="1219" w:author="Master Repository Process" w:date="2021-08-29T11:49:00Z">
        <w:r>
          <w:t>status</w:t>
        </w:r>
      </w:ins>
      <w:r>
        <w:t xml:space="preserve"> conference.</w:t>
      </w:r>
    </w:p>
    <w:p>
      <w:pPr>
        <w:pStyle w:val="Footnotesection"/>
      </w:pPr>
      <w:r>
        <w:tab/>
        <w:t>[Rule 127 amended: Gazette 24 Aug 2007 p. 4330; 2 Jul 2010 p. 3194; 20 May 2011 p. 1843; 3 Jun 2014 p. 1743; 15 May 2015 p. 1727</w:t>
      </w:r>
      <w:ins w:id="1220" w:author="Master Repository Process" w:date="2021-08-29T11:49:00Z">
        <w:r>
          <w:t>; SL 2020/67 r. 38</w:t>
        </w:r>
      </w:ins>
      <w:r>
        <w:t>.]</w:t>
      </w:r>
    </w:p>
    <w:p>
      <w:pPr>
        <w:pStyle w:val="Heading5"/>
      </w:pPr>
      <w:bookmarkStart w:id="1221" w:name="_Toc41638858"/>
      <w:bookmarkStart w:id="1222" w:name="_Toc41638591"/>
      <w:r>
        <w:rPr>
          <w:rStyle w:val="CharSectno"/>
        </w:rPr>
        <w:t>128</w:t>
      </w:r>
      <w:r>
        <w:t>.</w:t>
      </w:r>
      <w:r>
        <w:tab/>
        <w:t>Application of rules generally</w:t>
      </w:r>
      <w:bookmarkEnd w:id="1221"/>
      <w:bookmarkEnd w:id="1222"/>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1223" w:name="_Toc41638859"/>
      <w:bookmarkStart w:id="1224" w:name="_Toc41638592"/>
      <w:r>
        <w:rPr>
          <w:rStyle w:val="CharSectno"/>
        </w:rPr>
        <w:t>129A</w:t>
      </w:r>
      <w:r>
        <w:t>.</w:t>
      </w:r>
      <w:r>
        <w:tab/>
        <w:t>Dealing with application</w:t>
      </w:r>
      <w:bookmarkEnd w:id="1223"/>
      <w:bookmarkEnd w:id="1224"/>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1225" w:name="_Toc41638860"/>
      <w:bookmarkStart w:id="1226" w:name="_Toc41638593"/>
      <w:r>
        <w:rPr>
          <w:rStyle w:val="CharSectno"/>
        </w:rPr>
        <w:t>129AB</w:t>
      </w:r>
      <w:r>
        <w:t>.</w:t>
      </w:r>
      <w:r>
        <w:tab/>
      </w:r>
      <w:r>
        <w:rPr>
          <w:i/>
        </w:rPr>
        <w:t xml:space="preserve">Animal Welfare Act 2002 </w:t>
      </w:r>
      <w:r>
        <w:t>s. 44 and 56, application under</w:t>
      </w:r>
      <w:bookmarkEnd w:id="1225"/>
      <w:bookmarkEnd w:id="1226"/>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1227" w:name="_Toc41638861"/>
      <w:bookmarkStart w:id="1228" w:name="_Toc41638594"/>
      <w:r>
        <w:rPr>
          <w:rStyle w:val="CharSectno"/>
        </w:rPr>
        <w:t>129B</w:t>
      </w:r>
      <w:r>
        <w:t>.</w:t>
      </w:r>
      <w:r>
        <w:tab/>
      </w:r>
      <w:r>
        <w:rPr>
          <w:i/>
          <w:iCs/>
        </w:rPr>
        <w:t>Criminal and Found Property Disposal Act 2006</w:t>
      </w:r>
      <w:r>
        <w:t>, application under</w:t>
      </w:r>
      <w:bookmarkEnd w:id="1227"/>
      <w:bookmarkEnd w:id="1228"/>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1229" w:name="_Toc41638862"/>
      <w:bookmarkStart w:id="1230" w:name="_Toc41638595"/>
      <w:r>
        <w:rPr>
          <w:rStyle w:val="CharSectno"/>
        </w:rPr>
        <w:t>129C</w:t>
      </w:r>
      <w:r>
        <w:t>.</w:t>
      </w:r>
      <w:r>
        <w:tab/>
      </w:r>
      <w:r>
        <w:rPr>
          <w:i/>
          <w:iCs/>
        </w:rPr>
        <w:t xml:space="preserve">Criminal Investigation Act 2006 </w:t>
      </w:r>
      <w:r>
        <w:rPr>
          <w:iCs/>
        </w:rPr>
        <w:t>s. 49(1) and 147(5)</w:t>
      </w:r>
      <w:r>
        <w:t>, application under</w:t>
      </w:r>
      <w:bookmarkEnd w:id="1229"/>
      <w:bookmarkEnd w:id="1230"/>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1231" w:name="_Toc41638863"/>
      <w:bookmarkStart w:id="1232" w:name="_Toc41638596"/>
      <w:r>
        <w:rPr>
          <w:rStyle w:val="CharSectno"/>
        </w:rPr>
        <w:t>129D</w:t>
      </w:r>
      <w:r>
        <w:t>.</w:t>
      </w:r>
      <w:r>
        <w:tab/>
      </w:r>
      <w:r>
        <w:rPr>
          <w:i/>
        </w:rPr>
        <w:t>Mandatory Testing (Infectious Diseases) Act 2014</w:t>
      </w:r>
      <w:bookmarkEnd w:id="1231"/>
      <w:bookmarkEnd w:id="1232"/>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1233" w:name="_Toc41638864"/>
      <w:bookmarkStart w:id="1234" w:name="_Toc41638597"/>
      <w:r>
        <w:rPr>
          <w:rStyle w:val="CharSectno"/>
        </w:rPr>
        <w:t>129</w:t>
      </w:r>
      <w:r>
        <w:t>.</w:t>
      </w:r>
      <w:r>
        <w:tab/>
      </w:r>
      <w:r>
        <w:rPr>
          <w:i/>
          <w:iCs/>
        </w:rPr>
        <w:t>Disposal of Uncollected Goods Act 1970</w:t>
      </w:r>
      <w:r>
        <w:t>, application under</w:t>
      </w:r>
      <w:bookmarkEnd w:id="1233"/>
      <w:bookmarkEnd w:id="1234"/>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1235" w:name="_Toc41638865"/>
      <w:bookmarkStart w:id="1236" w:name="_Toc41638598"/>
      <w:r>
        <w:rPr>
          <w:rStyle w:val="CharSectno"/>
        </w:rPr>
        <w:t>130</w:t>
      </w:r>
      <w:r>
        <w:t>.</w:t>
      </w:r>
      <w:r>
        <w:tab/>
      </w:r>
      <w:r>
        <w:rPr>
          <w:i/>
        </w:rPr>
        <w:t>Fines, Penalties and Infringement Notices Enforcement Act 1994</w:t>
      </w:r>
      <w:r>
        <w:t xml:space="preserve"> s. 69(1), application under</w:t>
      </w:r>
      <w:bookmarkEnd w:id="1235"/>
      <w:bookmarkEnd w:id="1236"/>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1237" w:name="_Toc41638866"/>
      <w:bookmarkStart w:id="1238" w:name="_Toc41638599"/>
      <w:r>
        <w:rPr>
          <w:rStyle w:val="CharSectno"/>
        </w:rPr>
        <w:t>131AA</w:t>
      </w:r>
      <w:r>
        <w:t>.</w:t>
      </w:r>
      <w:r>
        <w:tab/>
      </w:r>
      <w:r>
        <w:rPr>
          <w:i/>
        </w:rPr>
        <w:t>Fines, Penalties and Infringement Notices Enforcement Act 1994</w:t>
      </w:r>
      <w:r>
        <w:t xml:space="preserve"> s. 94(2), application under</w:t>
      </w:r>
      <w:bookmarkEnd w:id="1237"/>
      <w:bookmarkEnd w:id="1238"/>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1239" w:name="_Toc41638867"/>
      <w:bookmarkStart w:id="1240" w:name="_Toc41638600"/>
      <w:r>
        <w:rPr>
          <w:rStyle w:val="CharSectno"/>
        </w:rPr>
        <w:t>131AB</w:t>
      </w:r>
      <w:r>
        <w:t>.</w:t>
      </w:r>
      <w:r>
        <w:tab/>
      </w:r>
      <w:r>
        <w:rPr>
          <w:i/>
        </w:rPr>
        <w:t>Fines, Penalties and Infringement Notices Enforcement Act 1994</w:t>
      </w:r>
      <w:r>
        <w:t xml:space="preserve"> s. 94, location of interpleader proceedings</w:t>
      </w:r>
      <w:bookmarkEnd w:id="1239"/>
      <w:bookmarkEnd w:id="1240"/>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1241" w:name="_Toc41638868"/>
      <w:bookmarkStart w:id="1242" w:name="_Toc41638601"/>
      <w:r>
        <w:rPr>
          <w:rStyle w:val="CharSectno"/>
        </w:rPr>
        <w:t>131AC</w:t>
      </w:r>
      <w:r>
        <w:t>.</w:t>
      </w:r>
      <w:r>
        <w:tab/>
      </w:r>
      <w:r>
        <w:rPr>
          <w:i/>
        </w:rPr>
        <w:t>Fines, Penalties and Infringement Notices Enforcement Act 1994</w:t>
      </w:r>
      <w:r>
        <w:t xml:space="preserve"> s. 94, interpleader proceedings</w:t>
      </w:r>
      <w:bookmarkEnd w:id="1241"/>
      <w:bookmarkEnd w:id="124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1243" w:name="_Toc41638869"/>
      <w:bookmarkStart w:id="1244" w:name="_Toc41638602"/>
      <w:r>
        <w:rPr>
          <w:rStyle w:val="CharSectno"/>
        </w:rPr>
        <w:t>131AD</w:t>
      </w:r>
      <w:r>
        <w:t>.</w:t>
      </w:r>
      <w:r>
        <w:tab/>
      </w:r>
      <w:r>
        <w:rPr>
          <w:i/>
        </w:rPr>
        <w:t>Fines, Penalties and Infringement Notices Enforcement Act 1994</w:t>
      </w:r>
      <w:r>
        <w:t xml:space="preserve"> s. 94, power to delay sale</w:t>
      </w:r>
      <w:bookmarkEnd w:id="1243"/>
      <w:bookmarkEnd w:id="1244"/>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1245" w:name="_Toc41638870"/>
      <w:bookmarkStart w:id="1246" w:name="_Toc41638603"/>
      <w:r>
        <w:rPr>
          <w:rStyle w:val="CharSectno"/>
        </w:rPr>
        <w:t>131A</w:t>
      </w:r>
      <w:r>
        <w:t>.</w:t>
      </w:r>
      <w:r>
        <w:tab/>
      </w:r>
      <w:r>
        <w:rPr>
          <w:i/>
          <w:iCs/>
        </w:rPr>
        <w:t>National Consumer Credit Protection Act 2009</w:t>
      </w:r>
      <w:r>
        <w:t xml:space="preserve"> (Cwlth) s. 199(1)(b), application under</w:t>
      </w:r>
      <w:bookmarkEnd w:id="1245"/>
      <w:bookmarkEnd w:id="1246"/>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1247" w:name="_Toc41638871"/>
      <w:bookmarkStart w:id="1248" w:name="_Toc41638604"/>
      <w:r>
        <w:rPr>
          <w:rStyle w:val="CharSectno"/>
        </w:rPr>
        <w:t>131B</w:t>
      </w:r>
      <w:r>
        <w:t>.</w:t>
      </w:r>
      <w:r>
        <w:tab/>
      </w:r>
      <w:r>
        <w:rPr>
          <w:i/>
        </w:rPr>
        <w:t>Prohibited Behaviour Orders Act 2010</w:t>
      </w:r>
      <w:r>
        <w:t>, application under</w:t>
      </w:r>
      <w:bookmarkEnd w:id="1247"/>
      <w:bookmarkEnd w:id="1248"/>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1249" w:name="_Toc41638872"/>
      <w:bookmarkStart w:id="1250" w:name="_Toc41638605"/>
      <w:r>
        <w:rPr>
          <w:rStyle w:val="CharSectno"/>
        </w:rPr>
        <w:t>131C</w:t>
      </w:r>
      <w:r>
        <w:t>.</w:t>
      </w:r>
      <w:r>
        <w:tab/>
      </w:r>
      <w:r>
        <w:rPr>
          <w:i/>
        </w:rPr>
        <w:t xml:space="preserve">Weapons Act 1999 </w:t>
      </w:r>
      <w:r>
        <w:t>s. 17(1), application under</w:t>
      </w:r>
      <w:bookmarkEnd w:id="1249"/>
      <w:bookmarkEnd w:id="1250"/>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5"/>
      </w:pPr>
      <w:bookmarkStart w:id="1251" w:name="_Toc41638873"/>
      <w:bookmarkStart w:id="1252" w:name="_Toc41638606"/>
      <w:r>
        <w:rPr>
          <w:rStyle w:val="CharSectno"/>
        </w:rPr>
        <w:t>131CA</w:t>
      </w:r>
      <w:r>
        <w:t>.</w:t>
      </w:r>
      <w:r>
        <w:tab/>
        <w:t xml:space="preserve">Fixing a hearing under </w:t>
      </w:r>
      <w:r>
        <w:rPr>
          <w:i/>
        </w:rPr>
        <w:t>Restraining Orders Act 1997</w:t>
      </w:r>
      <w:r>
        <w:t xml:space="preserve"> s. 9</w:t>
      </w:r>
      <w:bookmarkEnd w:id="1251"/>
      <w:bookmarkEnd w:id="1252"/>
    </w:p>
    <w:p>
      <w:pPr>
        <w:pStyle w:val="Subsection"/>
      </w:pPr>
      <w:r>
        <w:tab/>
        <w:t>(1)</w:t>
      </w:r>
      <w:r>
        <w:tab/>
        <w:t xml:space="preserve">This rule applies for the purposes of the </w:t>
      </w:r>
      <w:r>
        <w:rPr>
          <w:i/>
        </w:rPr>
        <w:t>Restraining Orders Act 1997</w:t>
      </w:r>
      <w:r>
        <w:t xml:space="preserve"> section 9.</w:t>
      </w:r>
    </w:p>
    <w:p>
      <w:pPr>
        <w:pStyle w:val="Subsection"/>
      </w:pPr>
      <w:r>
        <w:tab/>
        <w:t>(2)</w:t>
      </w:r>
      <w:r>
        <w:tab/>
        <w:t xml:space="preserve">The </w:t>
      </w:r>
      <w:del w:id="1253" w:author="Master Repository Process" w:date="2021-08-29T11:49:00Z">
        <w:r>
          <w:delText>Court</w:delText>
        </w:r>
      </w:del>
      <w:ins w:id="1254" w:author="Master Repository Process" w:date="2021-08-29T11:49:00Z">
        <w:r>
          <w:t>court</w:t>
        </w:r>
      </w:ins>
      <w:r>
        <w:t xml:space="preserve"> must fix a hearing and summons a person to the hearing by — </w:t>
      </w:r>
    </w:p>
    <w:p>
      <w:pPr>
        <w:pStyle w:val="Indenta"/>
      </w:pPr>
      <w:r>
        <w:tab/>
        <w:t>(a)</w:t>
      </w:r>
      <w:r>
        <w:tab/>
        <w:t>fixing a day, time and place for the hearing; and</w:t>
      </w:r>
    </w:p>
    <w:p>
      <w:pPr>
        <w:pStyle w:val="Indenta"/>
      </w:pPr>
      <w:r>
        <w:tab/>
        <w:t>(b)</w:t>
      </w:r>
      <w:r>
        <w:tab/>
        <w:t>preparing a summons in the form set out in Schedule 1 Form 16; and</w:t>
      </w:r>
    </w:p>
    <w:p>
      <w:pPr>
        <w:pStyle w:val="Indenta"/>
      </w:pPr>
      <w:r>
        <w:tab/>
        <w:t>(c)</w:t>
      </w:r>
      <w:r>
        <w:tab/>
        <w:t>causing the summons to be served on the person; and</w:t>
      </w:r>
    </w:p>
    <w:p>
      <w:pPr>
        <w:pStyle w:val="Indenta"/>
      </w:pPr>
      <w:r>
        <w:tab/>
        <w:t>(d)</w:t>
      </w:r>
      <w:r>
        <w:tab/>
        <w:t>notifying all other parties of the hearing.</w:t>
      </w:r>
    </w:p>
    <w:p>
      <w:pPr>
        <w:pStyle w:val="Subsection"/>
      </w:pPr>
      <w:r>
        <w:tab/>
        <w:t>(3)</w:t>
      </w:r>
      <w:r>
        <w:tab/>
        <w:t xml:space="preserve">Subject to subrule (4), the </w:t>
      </w:r>
      <w:del w:id="1255" w:author="Master Repository Process" w:date="2021-08-29T11:49:00Z">
        <w:r>
          <w:delText>Court</w:delText>
        </w:r>
      </w:del>
      <w:ins w:id="1256" w:author="Master Repository Process" w:date="2021-08-29T11:49:00Z">
        <w:r>
          <w:t>court</w:t>
        </w:r>
      </w:ins>
      <w:r>
        <w:t xml:space="preserve"> must fix a hearing that is to be held in the absence of one party by — </w:t>
      </w:r>
    </w:p>
    <w:p>
      <w:pPr>
        <w:pStyle w:val="Indenta"/>
      </w:pPr>
      <w:r>
        <w:tab/>
        <w:t>(a)</w:t>
      </w:r>
      <w:r>
        <w:tab/>
        <w:t>fixing a day, time and place for the hearing; and</w:t>
      </w:r>
    </w:p>
    <w:p>
      <w:pPr>
        <w:pStyle w:val="Indenta"/>
      </w:pPr>
      <w:r>
        <w:tab/>
        <w:t>(b)</w:t>
      </w:r>
      <w:r>
        <w:tab/>
        <w:t>notifying the party who is to be present at the hearing.</w:t>
      </w:r>
    </w:p>
    <w:p>
      <w:pPr>
        <w:pStyle w:val="Subsection"/>
      </w:pPr>
      <w:r>
        <w:tab/>
        <w:t>(4)</w:t>
      </w:r>
      <w:r>
        <w:tab/>
        <w:t xml:space="preserve">If the </w:t>
      </w:r>
      <w:del w:id="1257" w:author="Master Repository Process" w:date="2021-08-29T11:49:00Z">
        <w:r>
          <w:delText>Court</w:delText>
        </w:r>
      </w:del>
      <w:ins w:id="1258" w:author="Master Repository Process" w:date="2021-08-29T11:49:00Z">
        <w:r>
          <w:t>court</w:t>
        </w:r>
      </w:ins>
      <w:r>
        <w:t xml:space="preserve"> has not fixed a hearing under subrule (3), an approved user acting for the party who is to be present may select the day, time and place (the </w:t>
      </w:r>
      <w:r>
        <w:rPr>
          <w:rStyle w:val="CharDefText"/>
        </w:rPr>
        <w:t>hearing details</w:t>
      </w:r>
      <w:r>
        <w:t>) for the hearing by means of the ECMS.</w:t>
      </w:r>
    </w:p>
    <w:p>
      <w:pPr>
        <w:pStyle w:val="Subsection"/>
      </w:pPr>
      <w:r>
        <w:tab/>
        <w:t>(5)</w:t>
      </w:r>
      <w:r>
        <w:tab/>
        <w:t xml:space="preserve">When the hearing details have been selected under subrule (4), the </w:t>
      </w:r>
      <w:del w:id="1259" w:author="Master Repository Process" w:date="2021-08-29T11:49:00Z">
        <w:r>
          <w:delText>Court</w:delText>
        </w:r>
      </w:del>
      <w:ins w:id="1260" w:author="Master Repository Process" w:date="2021-08-29T11:49:00Z">
        <w:r>
          <w:t>court</w:t>
        </w:r>
      </w:ins>
      <w:r>
        <w:t xml:space="preserve"> must give notice to confirm the hearing details by means of the ECMS to the approved user.</w:t>
      </w:r>
    </w:p>
    <w:p>
      <w:pPr>
        <w:pStyle w:val="Footnotesection"/>
      </w:pPr>
      <w:r>
        <w:tab/>
        <w:t>[Rule 131CA inserted: SL 2020/37 r. 4; amended: SL 2020/54 r. </w:t>
      </w:r>
      <w:del w:id="1261" w:author="Master Repository Process" w:date="2021-08-29T11:49:00Z">
        <w:r>
          <w:delText>6</w:delText>
        </w:r>
      </w:del>
      <w:ins w:id="1262" w:author="Master Repository Process" w:date="2021-08-29T11:49:00Z">
        <w:r>
          <w:t>6; SL 2020/67 r. 39</w:t>
        </w:r>
      </w:ins>
      <w:r>
        <w:t>.]</w:t>
      </w:r>
    </w:p>
    <w:p>
      <w:pPr>
        <w:pStyle w:val="Heading5"/>
      </w:pPr>
      <w:bookmarkStart w:id="1263" w:name="_Toc41638874"/>
      <w:bookmarkStart w:id="1264" w:name="_Toc41638607"/>
      <w:r>
        <w:rPr>
          <w:rStyle w:val="CharSectno"/>
        </w:rPr>
        <w:t>131CB</w:t>
      </w:r>
      <w:r>
        <w:t>.</w:t>
      </w:r>
      <w:r>
        <w:tab/>
        <w:t xml:space="preserve">Preparing, serving and delivering restraining orders under </w:t>
      </w:r>
      <w:r>
        <w:rPr>
          <w:i/>
        </w:rPr>
        <w:t>Restraining Orders Act 1997</w:t>
      </w:r>
      <w:r>
        <w:t xml:space="preserve"> s. 10(1)</w:t>
      </w:r>
      <w:bookmarkEnd w:id="1263"/>
      <w:bookmarkEnd w:id="1264"/>
    </w:p>
    <w:p>
      <w:pPr>
        <w:pStyle w:val="Subsection"/>
      </w:pPr>
      <w:r>
        <w:tab/>
        <w:t>(1)</w:t>
      </w:r>
      <w:r>
        <w:tab/>
        <w:t xml:space="preserve">This rule applies for the purposes of the </w:t>
      </w:r>
      <w:r>
        <w:rPr>
          <w:i/>
        </w:rPr>
        <w:t>Restraining Orders Act 1997</w:t>
      </w:r>
      <w:r>
        <w:t xml:space="preserve"> section 10(1).</w:t>
      </w:r>
    </w:p>
    <w:p>
      <w:pPr>
        <w:pStyle w:val="Subsection"/>
      </w:pPr>
      <w:r>
        <w:tab/>
        <w:t>(2)</w:t>
      </w:r>
      <w:r>
        <w:tab/>
        <w:t>A restraining order is to be prepared by means of the ECMS in the form set out in Schedule 1 Form 2, 4, 6 or 9, as appropriate.</w:t>
      </w:r>
    </w:p>
    <w:p>
      <w:pPr>
        <w:pStyle w:val="Subsection"/>
      </w:pPr>
      <w:r>
        <w:tab/>
        <w:t>(3)</w:t>
      </w:r>
      <w:r>
        <w:tab/>
        <w:t xml:space="preserve">Subject to the </w:t>
      </w:r>
      <w:r>
        <w:rPr>
          <w:i/>
        </w:rPr>
        <w:t>Restraining Orders Act 1997</w:t>
      </w:r>
      <w:r>
        <w:t xml:space="preserve"> section 10(1A), the </w:t>
      </w:r>
      <w:del w:id="1265" w:author="Master Repository Process" w:date="2021-08-29T11:49:00Z">
        <w:r>
          <w:delText>Court</w:delText>
        </w:r>
      </w:del>
      <w:ins w:id="1266" w:author="Master Repository Process" w:date="2021-08-29T11:49:00Z">
        <w:r>
          <w:t>court</w:t>
        </w:r>
      </w:ins>
      <w:r>
        <w:t xml:space="preserve">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 xml:space="preserve">When subrule (3) has been complied with, the court copy of the order must be placed by means of the ECMS on the </w:t>
      </w:r>
      <w:del w:id="1267" w:author="Master Repository Process" w:date="2021-08-29T11:49:00Z">
        <w:r>
          <w:delText>Court’s</w:delText>
        </w:r>
      </w:del>
      <w:ins w:id="1268" w:author="Master Repository Process" w:date="2021-08-29T11:49:00Z">
        <w:r>
          <w:t>court’s</w:t>
        </w:r>
      </w:ins>
      <w:r>
        <w:t xml:space="preserve"> records.</w:t>
      </w:r>
    </w:p>
    <w:p>
      <w:pPr>
        <w:pStyle w:val="Footnotesection"/>
      </w:pPr>
      <w:r>
        <w:tab/>
        <w:t>[Rule 131CB inserted: SL 2020/37 r. 4; amended: SL 2020/54 r. </w:t>
      </w:r>
      <w:del w:id="1269" w:author="Master Repository Process" w:date="2021-08-29T11:49:00Z">
        <w:r>
          <w:delText>7</w:delText>
        </w:r>
      </w:del>
      <w:ins w:id="1270" w:author="Master Repository Process" w:date="2021-08-29T11:49:00Z">
        <w:r>
          <w:t>7; SL 2020/67 r. 40</w:t>
        </w:r>
      </w:ins>
      <w:r>
        <w:t>.]</w:t>
      </w:r>
    </w:p>
    <w:p>
      <w:pPr>
        <w:pStyle w:val="Heading5"/>
      </w:pPr>
      <w:bookmarkStart w:id="1271" w:name="_Toc41638875"/>
      <w:bookmarkStart w:id="1272" w:name="_Toc41638608"/>
      <w:r>
        <w:rPr>
          <w:rStyle w:val="CharSectno"/>
        </w:rPr>
        <w:t>131CC</w:t>
      </w:r>
      <w:r>
        <w:t>.</w:t>
      </w:r>
      <w:r>
        <w:tab/>
        <w:t xml:space="preserve">Application for FVRO under </w:t>
      </w:r>
      <w:r>
        <w:rPr>
          <w:i/>
        </w:rPr>
        <w:t>Restraining Orders Act 1997</w:t>
      </w:r>
      <w:r>
        <w:t xml:space="preserve"> s. 24A</w:t>
      </w:r>
      <w:bookmarkEnd w:id="1271"/>
      <w:bookmarkEnd w:id="1272"/>
    </w:p>
    <w:p>
      <w:pPr>
        <w:pStyle w:val="Subsection"/>
      </w:pPr>
      <w:r>
        <w:tab/>
        <w:t>(1)</w:t>
      </w:r>
      <w:r>
        <w:tab/>
        <w:t xml:space="preserve">This rule applies for the purposes of an application for an FVRO under the </w:t>
      </w:r>
      <w:r>
        <w:rPr>
          <w:i/>
        </w:rPr>
        <w:t>Restraining Orders Act 1997</w:t>
      </w:r>
      <w:r>
        <w:t xml:space="preserve">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w:t>
      </w:r>
    </w:p>
    <w:p>
      <w:pPr>
        <w:pStyle w:val="Heading5"/>
      </w:pPr>
      <w:bookmarkStart w:id="1273" w:name="_Toc41638876"/>
      <w:bookmarkStart w:id="1274" w:name="_Toc41638609"/>
      <w:r>
        <w:rPr>
          <w:rStyle w:val="CharSectno"/>
        </w:rPr>
        <w:t>131CD</w:t>
      </w:r>
      <w:r>
        <w:t>.</w:t>
      </w:r>
      <w:r>
        <w:tab/>
        <w:t xml:space="preserve">Application for VRO under </w:t>
      </w:r>
      <w:r>
        <w:rPr>
          <w:i/>
        </w:rPr>
        <w:t>Restraining Orders Act 1997</w:t>
      </w:r>
      <w:r>
        <w:t xml:space="preserve"> s. 25</w:t>
      </w:r>
      <w:bookmarkEnd w:id="1273"/>
      <w:bookmarkEnd w:id="1274"/>
    </w:p>
    <w:p>
      <w:pPr>
        <w:pStyle w:val="Subsection"/>
      </w:pPr>
      <w:r>
        <w:tab/>
        <w:t>(1)</w:t>
      </w:r>
      <w:r>
        <w:tab/>
        <w:t xml:space="preserve">This rule applies for the purposes of an application for a VRO under the </w:t>
      </w:r>
      <w:r>
        <w:rPr>
          <w:i/>
        </w:rPr>
        <w:t>Restraining Orders Act 1997</w:t>
      </w:r>
      <w:r>
        <w:t xml:space="preserve">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w:t>
      </w:r>
    </w:p>
    <w:p>
      <w:pPr>
        <w:pStyle w:val="Heading5"/>
      </w:pPr>
      <w:bookmarkStart w:id="1275" w:name="_Toc41638877"/>
      <w:bookmarkStart w:id="1276" w:name="_Toc41638610"/>
      <w:r>
        <w:rPr>
          <w:rStyle w:val="CharSectno"/>
        </w:rPr>
        <w:t>131CE</w:t>
      </w:r>
      <w:r>
        <w:t>.</w:t>
      </w:r>
      <w:r>
        <w:tab/>
        <w:t>Applicant’s declaration if application is to be made by ECMS</w:t>
      </w:r>
      <w:bookmarkEnd w:id="1275"/>
      <w:bookmarkEnd w:id="1276"/>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1277" w:name="_Toc41638878"/>
      <w:bookmarkStart w:id="1278" w:name="_Toc41638611"/>
      <w:r>
        <w:rPr>
          <w:rStyle w:val="CharSectno"/>
        </w:rPr>
        <w:t>131CF</w:t>
      </w:r>
      <w:r>
        <w:t>.</w:t>
      </w:r>
      <w:r>
        <w:tab/>
        <w:t xml:space="preserve">Relationship with </w:t>
      </w:r>
      <w:r>
        <w:rPr>
          <w:i/>
        </w:rPr>
        <w:t>Magistrates Court (General) Rules 2005</w:t>
      </w:r>
      <w:r>
        <w:t xml:space="preserve"> Pt. 2 Div. 3</w:t>
      </w:r>
      <w:bookmarkEnd w:id="1277"/>
      <w:bookmarkEnd w:id="1278"/>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1279" w:name="_Toc41638879"/>
      <w:bookmarkStart w:id="1280" w:name="_Toc41638612"/>
      <w:r>
        <w:rPr>
          <w:rStyle w:val="CharSectno"/>
        </w:rPr>
        <w:t>131D</w:t>
      </w:r>
      <w:r>
        <w:t>.</w:t>
      </w:r>
      <w:r>
        <w:tab/>
        <w:t xml:space="preserve">Forms under </w:t>
      </w:r>
      <w:r>
        <w:rPr>
          <w:i/>
        </w:rPr>
        <w:t>Restraining Orders Act 1997</w:t>
      </w:r>
      <w:bookmarkEnd w:id="1279"/>
      <w:bookmarkEnd w:id="1280"/>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p>
    <w:p>
      <w:pPr>
        <w:pStyle w:val="Heading3"/>
        <w:spacing w:before="200"/>
      </w:pPr>
      <w:bookmarkStart w:id="1281" w:name="_Toc41473721"/>
      <w:bookmarkStart w:id="1282" w:name="_Toc41487616"/>
      <w:bookmarkStart w:id="1283" w:name="_Toc41552070"/>
      <w:bookmarkStart w:id="1284" w:name="_Toc41552822"/>
      <w:bookmarkStart w:id="1285" w:name="_Toc41638880"/>
      <w:bookmarkStart w:id="1286" w:name="_Toc39501178"/>
      <w:bookmarkStart w:id="1287" w:name="_Toc39566840"/>
      <w:bookmarkStart w:id="1288" w:name="_Toc39575380"/>
      <w:bookmarkStart w:id="1289" w:name="_Toc41638613"/>
      <w:r>
        <w:rPr>
          <w:rStyle w:val="CharDivNo"/>
        </w:rPr>
        <w:t>Division 2</w:t>
      </w:r>
      <w:r>
        <w:t> — </w:t>
      </w:r>
      <w:r>
        <w:rPr>
          <w:rStyle w:val="CharDivText"/>
          <w:i/>
          <w:iCs/>
        </w:rPr>
        <w:t>Civil Judgments Enforcement Act 2004</w:t>
      </w:r>
      <w:bookmarkEnd w:id="1281"/>
      <w:bookmarkEnd w:id="1282"/>
      <w:bookmarkEnd w:id="1283"/>
      <w:bookmarkEnd w:id="1284"/>
      <w:bookmarkEnd w:id="1285"/>
      <w:bookmarkEnd w:id="1286"/>
      <w:bookmarkEnd w:id="1287"/>
      <w:bookmarkEnd w:id="1288"/>
      <w:bookmarkEnd w:id="1289"/>
    </w:p>
    <w:p>
      <w:pPr>
        <w:pStyle w:val="Heading5"/>
        <w:spacing w:before="180"/>
      </w:pPr>
      <w:bookmarkStart w:id="1290" w:name="_Toc41638881"/>
      <w:bookmarkStart w:id="1291" w:name="_Toc41638614"/>
      <w:r>
        <w:rPr>
          <w:rStyle w:val="CharSectno"/>
        </w:rPr>
        <w:t>131</w:t>
      </w:r>
      <w:r>
        <w:t>.</w:t>
      </w:r>
      <w:r>
        <w:tab/>
        <w:t>Means inquiries, registrars’ powers for</w:t>
      </w:r>
      <w:bookmarkEnd w:id="1290"/>
      <w:bookmarkEnd w:id="1291"/>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1292" w:name="_Toc41638882"/>
      <w:bookmarkStart w:id="1293" w:name="_Toc41638615"/>
      <w:r>
        <w:rPr>
          <w:rStyle w:val="CharSectno"/>
        </w:rPr>
        <w:t>132</w:t>
      </w:r>
      <w:r>
        <w:t>.</w:t>
      </w:r>
      <w:r>
        <w:tab/>
        <w:t>Other applications and requests dealt with by registrars</w:t>
      </w:r>
      <w:bookmarkEnd w:id="1292"/>
      <w:bookmarkEnd w:id="129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1294" w:name="_Toc41473724"/>
      <w:bookmarkStart w:id="1295" w:name="_Toc41487619"/>
      <w:bookmarkStart w:id="1296" w:name="_Toc41552073"/>
      <w:bookmarkStart w:id="1297" w:name="_Toc41552825"/>
      <w:bookmarkStart w:id="1298" w:name="_Toc41638883"/>
      <w:bookmarkStart w:id="1299" w:name="_Toc39501181"/>
      <w:bookmarkStart w:id="1300" w:name="_Toc39566843"/>
      <w:bookmarkStart w:id="1301" w:name="_Toc39575383"/>
      <w:bookmarkStart w:id="1302" w:name="_Toc41638616"/>
      <w:r>
        <w:rPr>
          <w:rStyle w:val="CharDivNo"/>
        </w:rPr>
        <w:t>Division 3A</w:t>
      </w:r>
      <w:r>
        <w:t> — </w:t>
      </w:r>
      <w:r>
        <w:rPr>
          <w:rStyle w:val="CharDivText"/>
          <w:i/>
          <w:iCs/>
        </w:rPr>
        <w:t>Warehousemen’s Liens Act 1952</w:t>
      </w:r>
      <w:bookmarkEnd w:id="1294"/>
      <w:bookmarkEnd w:id="1295"/>
      <w:bookmarkEnd w:id="1296"/>
      <w:bookmarkEnd w:id="1297"/>
      <w:bookmarkEnd w:id="1298"/>
      <w:bookmarkEnd w:id="1299"/>
      <w:bookmarkEnd w:id="1300"/>
      <w:bookmarkEnd w:id="1301"/>
      <w:bookmarkEnd w:id="1302"/>
    </w:p>
    <w:p>
      <w:pPr>
        <w:pStyle w:val="Footnoteheading"/>
      </w:pPr>
      <w:r>
        <w:tab/>
        <w:t>[Heading inserted: Gazette 23 Jan 2015 p. 411.]</w:t>
      </w:r>
    </w:p>
    <w:p>
      <w:pPr>
        <w:pStyle w:val="Heading5"/>
      </w:pPr>
      <w:bookmarkStart w:id="1303" w:name="_Toc41638884"/>
      <w:bookmarkStart w:id="1304" w:name="_Toc41638617"/>
      <w:r>
        <w:rPr>
          <w:rStyle w:val="CharSectno"/>
        </w:rPr>
        <w:t>133AAA</w:t>
      </w:r>
      <w:r>
        <w:t>.  Terms used</w:t>
      </w:r>
      <w:bookmarkEnd w:id="1303"/>
      <w:bookmarkEnd w:id="1304"/>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pPr>
      <w:bookmarkStart w:id="1305" w:name="_Toc41638885"/>
      <w:bookmarkStart w:id="1306" w:name="_Toc41638618"/>
      <w:r>
        <w:rPr>
          <w:rStyle w:val="CharSectno"/>
        </w:rPr>
        <w:t>133AAB</w:t>
      </w:r>
      <w:r>
        <w:t>.  Application for order under s. 7(7A)</w:t>
      </w:r>
      <w:bookmarkEnd w:id="1305"/>
      <w:bookmarkEnd w:id="1306"/>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pPr>
      <w:bookmarkStart w:id="1307" w:name="_Toc41638886"/>
      <w:bookmarkStart w:id="1308" w:name="_Toc41638619"/>
      <w:r>
        <w:rPr>
          <w:rStyle w:val="CharSectno"/>
        </w:rPr>
        <w:t>133AAC</w:t>
      </w:r>
      <w:r>
        <w:t>.  Payments into court under s. 10(2A)</w:t>
      </w:r>
      <w:bookmarkEnd w:id="1307"/>
      <w:bookmarkEnd w:id="1308"/>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pPr>
      <w:bookmarkStart w:id="1309" w:name="_Toc41638887"/>
      <w:bookmarkStart w:id="1310" w:name="_Toc41638620"/>
      <w:r>
        <w:rPr>
          <w:rStyle w:val="CharSectno"/>
        </w:rPr>
        <w:t>133AAD</w:t>
      </w:r>
      <w:r>
        <w:t>. Application for order under s. 10(2B)</w:t>
      </w:r>
      <w:bookmarkEnd w:id="1309"/>
      <w:bookmarkEnd w:id="1310"/>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pPr>
      <w:bookmarkStart w:id="1311" w:name="_Toc41638888"/>
      <w:bookmarkStart w:id="1312" w:name="_Toc41638621"/>
      <w:r>
        <w:rPr>
          <w:rStyle w:val="CharSectno"/>
        </w:rPr>
        <w:t>133AAE</w:t>
      </w:r>
      <w:r>
        <w:t>.  Court may act on its own initiative under s. 10(2B)</w:t>
      </w:r>
      <w:bookmarkEnd w:id="1311"/>
      <w:bookmarkEnd w:id="1312"/>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1313" w:name="_Toc41473730"/>
      <w:bookmarkStart w:id="1314" w:name="_Toc41487625"/>
      <w:bookmarkStart w:id="1315" w:name="_Toc41552079"/>
      <w:bookmarkStart w:id="1316" w:name="_Toc41552831"/>
      <w:bookmarkStart w:id="1317" w:name="_Toc41638889"/>
      <w:bookmarkStart w:id="1318" w:name="_Toc39501187"/>
      <w:bookmarkStart w:id="1319" w:name="_Toc39566849"/>
      <w:bookmarkStart w:id="1320" w:name="_Toc39575389"/>
      <w:bookmarkStart w:id="1321" w:name="_Toc41638622"/>
      <w:r>
        <w:rPr>
          <w:rStyle w:val="CharDivNo"/>
        </w:rPr>
        <w:t>Division 3</w:t>
      </w:r>
      <w:r>
        <w:t> — </w:t>
      </w:r>
      <w:r>
        <w:rPr>
          <w:rStyle w:val="CharDivText"/>
          <w:iCs/>
        </w:rPr>
        <w:t>Applications under other written laws</w:t>
      </w:r>
      <w:bookmarkEnd w:id="1313"/>
      <w:bookmarkEnd w:id="1314"/>
      <w:bookmarkEnd w:id="1315"/>
      <w:bookmarkEnd w:id="1316"/>
      <w:bookmarkEnd w:id="1317"/>
      <w:bookmarkEnd w:id="1318"/>
      <w:bookmarkEnd w:id="1319"/>
      <w:bookmarkEnd w:id="1320"/>
      <w:bookmarkEnd w:id="1321"/>
    </w:p>
    <w:p>
      <w:pPr>
        <w:pStyle w:val="Footnoteheading"/>
        <w:keepNext/>
        <w:keepLines/>
      </w:pPr>
      <w:r>
        <w:tab/>
        <w:t>[Heading inserted: Gazette 23 Mar 2012 p. 1367.]</w:t>
      </w:r>
    </w:p>
    <w:p>
      <w:pPr>
        <w:pStyle w:val="Heading5"/>
      </w:pPr>
      <w:bookmarkStart w:id="1322" w:name="_Toc41638890"/>
      <w:bookmarkStart w:id="1323" w:name="_Toc41638623"/>
      <w:r>
        <w:rPr>
          <w:rStyle w:val="CharSectno"/>
        </w:rPr>
        <w:t>133AA</w:t>
      </w:r>
      <w:r>
        <w:t>.</w:t>
      </w:r>
      <w:r>
        <w:tab/>
        <w:t>Applications under other written laws, making etc.</w:t>
      </w:r>
      <w:bookmarkEnd w:id="1322"/>
      <w:bookmarkEnd w:id="1323"/>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1324" w:name="_Toc41473732"/>
      <w:bookmarkStart w:id="1325" w:name="_Toc41487627"/>
      <w:bookmarkStart w:id="1326" w:name="_Toc41552081"/>
      <w:bookmarkStart w:id="1327" w:name="_Toc41552833"/>
      <w:bookmarkStart w:id="1328" w:name="_Toc41638891"/>
      <w:bookmarkStart w:id="1329" w:name="_Toc39501189"/>
      <w:bookmarkStart w:id="1330" w:name="_Toc39566851"/>
      <w:bookmarkStart w:id="1331" w:name="_Toc39575391"/>
      <w:bookmarkStart w:id="1332" w:name="_Toc41638624"/>
      <w:r>
        <w:rPr>
          <w:rStyle w:val="CharPartNo"/>
        </w:rPr>
        <w:t>Part 22</w:t>
      </w:r>
      <w:r>
        <w:rPr>
          <w:rStyle w:val="CharDivNo"/>
        </w:rPr>
        <w:t> </w:t>
      </w:r>
      <w:r>
        <w:t>—</w:t>
      </w:r>
      <w:r>
        <w:rPr>
          <w:rStyle w:val="CharDivText"/>
        </w:rPr>
        <w:t> </w:t>
      </w:r>
      <w:r>
        <w:rPr>
          <w:rStyle w:val="CharPartText"/>
        </w:rPr>
        <w:t>Miscellaneous</w:t>
      </w:r>
      <w:bookmarkEnd w:id="1324"/>
      <w:bookmarkEnd w:id="1325"/>
      <w:bookmarkEnd w:id="1326"/>
      <w:bookmarkEnd w:id="1327"/>
      <w:bookmarkEnd w:id="1328"/>
      <w:bookmarkEnd w:id="1329"/>
      <w:bookmarkEnd w:id="1330"/>
      <w:bookmarkEnd w:id="1331"/>
      <w:bookmarkEnd w:id="1332"/>
    </w:p>
    <w:p>
      <w:pPr>
        <w:pStyle w:val="Heading5"/>
      </w:pPr>
      <w:bookmarkStart w:id="1333" w:name="_Toc41638892"/>
      <w:bookmarkStart w:id="1334" w:name="_Toc41638625"/>
      <w:r>
        <w:rPr>
          <w:rStyle w:val="CharSectno"/>
        </w:rPr>
        <w:t>133A</w:t>
      </w:r>
      <w:r>
        <w:t>.</w:t>
      </w:r>
      <w:r>
        <w:tab/>
        <w:t>Change of venue, application for (Act s. 22)</w:t>
      </w:r>
      <w:bookmarkEnd w:id="1333"/>
      <w:bookmarkEnd w:id="1334"/>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1335" w:name="_Toc41638893"/>
      <w:bookmarkStart w:id="1336" w:name="_Toc41638626"/>
      <w:r>
        <w:rPr>
          <w:rStyle w:val="CharSectno"/>
        </w:rPr>
        <w:t>133B</w:t>
      </w:r>
      <w:r>
        <w:t>.</w:t>
      </w:r>
      <w:r>
        <w:tab/>
        <w:t>Typographical and other errors, correcting</w:t>
      </w:r>
      <w:bookmarkEnd w:id="1335"/>
      <w:bookmarkEnd w:id="1336"/>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1337" w:name="_Toc41638894"/>
      <w:bookmarkStart w:id="1338" w:name="_Toc41638627"/>
      <w:r>
        <w:rPr>
          <w:rStyle w:val="CharSectno"/>
        </w:rPr>
        <w:t>133</w:t>
      </w:r>
      <w:r>
        <w:t>.</w:t>
      </w:r>
      <w:r>
        <w:tab/>
        <w:t>Forms to be available</w:t>
      </w:r>
      <w:bookmarkEnd w:id="1337"/>
      <w:bookmarkEnd w:id="1338"/>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1339" w:name="_Toc41638895"/>
      <w:bookmarkStart w:id="1340" w:name="_Toc41638628"/>
      <w:r>
        <w:rPr>
          <w:rStyle w:val="CharSectno"/>
        </w:rPr>
        <w:t>134</w:t>
      </w:r>
      <w:r>
        <w:t>.</w:t>
      </w:r>
      <w:r>
        <w:tab/>
        <w:t>Partnerships, conduct of cases by</w:t>
      </w:r>
      <w:bookmarkEnd w:id="1339"/>
      <w:bookmarkEnd w:id="1340"/>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1341" w:name="_Toc41638896"/>
      <w:bookmarkStart w:id="1342" w:name="_Toc41638629"/>
      <w:r>
        <w:rPr>
          <w:rStyle w:val="CharSectno"/>
        </w:rPr>
        <w:t>135</w:t>
      </w:r>
      <w:r>
        <w:t>.</w:t>
      </w:r>
      <w:r>
        <w:tab/>
        <w:t>Who may sign or do other things for partnerships, corporations etc.</w:t>
      </w:r>
      <w:bookmarkEnd w:id="1341"/>
      <w:bookmarkEnd w:id="1342"/>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1343" w:name="_Toc41638897"/>
      <w:bookmarkStart w:id="1344" w:name="_Toc41638630"/>
      <w:r>
        <w:rPr>
          <w:rStyle w:val="CharSectno"/>
        </w:rPr>
        <w:t>136</w:t>
      </w:r>
      <w:r>
        <w:t>.</w:t>
      </w:r>
      <w:r>
        <w:tab/>
        <w:t>Cases remitted from superior court</w:t>
      </w:r>
      <w:bookmarkEnd w:id="1343"/>
      <w:bookmarkEnd w:id="1344"/>
    </w:p>
    <w:p>
      <w:pPr>
        <w:pStyle w:val="Subsection"/>
      </w:pPr>
      <w:r>
        <w:tab/>
      </w:r>
      <w:r>
        <w:tab/>
        <w:t xml:space="preserve">Where a case is remitted from the Supreme Court or District Court, a registrar must list the case for a </w:t>
      </w:r>
      <w:del w:id="1345" w:author="Master Repository Process" w:date="2021-08-29T11:49:00Z">
        <w:r>
          <w:delText>listing</w:delText>
        </w:r>
      </w:del>
      <w:ins w:id="1346" w:author="Master Repository Process" w:date="2021-08-29T11:49:00Z">
        <w:r>
          <w:t>status</w:t>
        </w:r>
      </w:ins>
      <w:r>
        <w:t xml:space="preserve"> conference and notify the parties in writing.</w:t>
      </w:r>
    </w:p>
    <w:p>
      <w:pPr>
        <w:pStyle w:val="Footnotesection"/>
        <w:rPr>
          <w:ins w:id="1347" w:author="Master Repository Process" w:date="2021-08-29T11:49:00Z"/>
        </w:rPr>
      </w:pPr>
      <w:ins w:id="1348" w:author="Master Repository Process" w:date="2021-08-29T11:49:00Z">
        <w:r>
          <w:tab/>
          <w:t>[Rule 136 amended: SL 2020/67 r. 41.]</w:t>
        </w:r>
      </w:ins>
    </w:p>
    <w:p>
      <w:pPr>
        <w:pStyle w:val="Heading5"/>
      </w:pPr>
      <w:bookmarkStart w:id="1349" w:name="_Toc41638898"/>
      <w:bookmarkStart w:id="1350" w:name="_Toc41638631"/>
      <w:r>
        <w:rPr>
          <w:rStyle w:val="CharSectno"/>
        </w:rPr>
        <w:t>137</w:t>
      </w:r>
      <w:r>
        <w:t>.</w:t>
      </w:r>
      <w:r>
        <w:tab/>
        <w:t>Payments into Court</w:t>
      </w:r>
      <w:bookmarkEnd w:id="1349"/>
      <w:bookmarkEnd w:id="1350"/>
    </w:p>
    <w:p>
      <w:pPr>
        <w:pStyle w:val="Subsection"/>
      </w:pPr>
      <w:r>
        <w:tab/>
      </w:r>
      <w:r>
        <w:tab/>
        <w:t>When a party makes a payment of money into Court, the Court must give to the party a written receipt for the money.</w:t>
      </w:r>
    </w:p>
    <w:p>
      <w:pPr>
        <w:pStyle w:val="Heading5"/>
      </w:pPr>
      <w:bookmarkStart w:id="1351" w:name="_Toc41638899"/>
      <w:bookmarkStart w:id="1352" w:name="_Toc41638632"/>
      <w:r>
        <w:rPr>
          <w:rStyle w:val="CharSectno"/>
        </w:rPr>
        <w:t>138</w:t>
      </w:r>
      <w:r>
        <w:t>.</w:t>
      </w:r>
      <w:r>
        <w:tab/>
      </w:r>
      <w:r>
        <w:rPr>
          <w:i/>
        </w:rPr>
        <w:t>Residential Tenancies Act 1987</w:t>
      </w:r>
      <w:r>
        <w:t xml:space="preserve"> s. 18(2)(b), notices under</w:t>
      </w:r>
      <w:bookmarkEnd w:id="1351"/>
      <w:bookmarkEnd w:id="135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CentredBaseLine"/>
        <w:jc w:val="center"/>
        <w:rPr>
          <w:del w:id="1353" w:author="Master Repository Process" w:date="2021-08-29T11:49:00Z"/>
        </w:rPr>
      </w:pPr>
      <w:del w:id="1354" w:author="Master Repository Process" w:date="2021-08-29T11:49: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Footnotesection"/>
        <w:rPr>
          <w:del w:id="1355" w:author="Master Repository Process" w:date="2021-08-29T11:49:00Z"/>
        </w:rPr>
      </w:pPr>
    </w:p>
    <w:p>
      <w:pPr>
        <w:pStyle w:val="Heading2"/>
        <w:rPr>
          <w:ins w:id="1356" w:author="Master Repository Process" w:date="2021-08-29T11:49:00Z"/>
        </w:rPr>
      </w:pPr>
      <w:bookmarkStart w:id="1357" w:name="_Toc41487636"/>
      <w:bookmarkStart w:id="1358" w:name="_Toc41552090"/>
      <w:bookmarkStart w:id="1359" w:name="_Toc41552842"/>
      <w:bookmarkStart w:id="1360" w:name="_Toc41638900"/>
      <w:ins w:id="1361" w:author="Master Repository Process" w:date="2021-08-29T11:49:00Z">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1357"/>
        <w:bookmarkEnd w:id="1358"/>
        <w:bookmarkEnd w:id="1359"/>
        <w:bookmarkEnd w:id="1360"/>
      </w:ins>
    </w:p>
    <w:p>
      <w:pPr>
        <w:pStyle w:val="Footnoteheading"/>
        <w:rPr>
          <w:ins w:id="1362" w:author="Master Repository Process" w:date="2021-08-29T11:49:00Z"/>
        </w:rPr>
      </w:pPr>
      <w:ins w:id="1363" w:author="Master Repository Process" w:date="2021-08-29T11:49:00Z">
        <w:r>
          <w:tab/>
          <w:t>[Heading inserted: SL 2020/67 r. 42.]</w:t>
        </w:r>
      </w:ins>
    </w:p>
    <w:p>
      <w:pPr>
        <w:pStyle w:val="Heading5"/>
        <w:rPr>
          <w:ins w:id="1364" w:author="Master Repository Process" w:date="2021-08-29T11:49:00Z"/>
        </w:rPr>
      </w:pPr>
      <w:bookmarkStart w:id="1365" w:name="_Toc41638901"/>
      <w:ins w:id="1366" w:author="Master Repository Process" w:date="2021-08-29T11:49:00Z">
        <w:r>
          <w:rPr>
            <w:rStyle w:val="CharSectno"/>
          </w:rPr>
          <w:t>139</w:t>
        </w:r>
        <w:r>
          <w:t>.</w:t>
        </w:r>
        <w:r>
          <w:tab/>
          <w:t>Terms used in this Part</w:t>
        </w:r>
        <w:bookmarkEnd w:id="1365"/>
      </w:ins>
    </w:p>
    <w:p>
      <w:pPr>
        <w:pStyle w:val="Subsection"/>
        <w:rPr>
          <w:ins w:id="1367" w:author="Master Repository Process" w:date="2021-08-29T11:49:00Z"/>
        </w:rPr>
      </w:pPr>
      <w:ins w:id="1368" w:author="Master Repository Process" w:date="2021-08-29T11:49:00Z">
        <w:r>
          <w:tab/>
        </w:r>
        <w:r>
          <w:tab/>
          <w:t xml:space="preserve">In this Part — </w:t>
        </w:r>
      </w:ins>
    </w:p>
    <w:p>
      <w:pPr>
        <w:pStyle w:val="Defstart"/>
        <w:rPr>
          <w:ins w:id="1369" w:author="Master Repository Process" w:date="2021-08-29T11:49:00Z"/>
        </w:rPr>
      </w:pPr>
      <w:ins w:id="1370" w:author="Master Repository Process" w:date="2021-08-29T11:49:00Z">
        <w:r>
          <w:tab/>
        </w:r>
        <w:r>
          <w:rPr>
            <w:rStyle w:val="CharDefText"/>
          </w:rPr>
          <w:t>amended Rules</w:t>
        </w:r>
        <w:r>
          <w:t xml:space="preserve"> means the </w:t>
        </w:r>
        <w:r>
          <w:rPr>
            <w:i/>
          </w:rPr>
          <w:t>Magistrates Court (Civil Proceedings) Rules 2005</w:t>
        </w:r>
        <w:r>
          <w:t xml:space="preserve"> as in force from time to time on and after commencement day;</w:t>
        </w:r>
      </w:ins>
    </w:p>
    <w:p>
      <w:pPr>
        <w:pStyle w:val="Defstart"/>
        <w:rPr>
          <w:ins w:id="1371" w:author="Master Repository Process" w:date="2021-08-29T11:49:00Z"/>
        </w:rPr>
      </w:pPr>
      <w:ins w:id="1372" w:author="Master Repository Process" w:date="2021-08-29T11:49:00Z">
        <w:r>
          <w:tab/>
        </w:r>
        <w:r>
          <w:rPr>
            <w:rStyle w:val="CharDefText"/>
          </w:rPr>
          <w:t>commencement day</w:t>
        </w:r>
        <w:r>
          <w:t xml:space="preserve"> means 1 June 2020;</w:t>
        </w:r>
      </w:ins>
    </w:p>
    <w:p>
      <w:pPr>
        <w:pStyle w:val="Defstart"/>
        <w:rPr>
          <w:ins w:id="1373" w:author="Master Repository Process" w:date="2021-08-29T11:49:00Z"/>
        </w:rPr>
      </w:pPr>
      <w:ins w:id="1374" w:author="Master Repository Process" w:date="2021-08-29T11:49:00Z">
        <w:r>
          <w:tab/>
        </w:r>
        <w:r>
          <w:rPr>
            <w:rStyle w:val="CharDefText"/>
          </w:rPr>
          <w:t>former Rules</w:t>
        </w:r>
        <w:r>
          <w:t xml:space="preserve"> means the </w:t>
        </w:r>
        <w:r>
          <w:rPr>
            <w:i/>
          </w:rPr>
          <w:t>Magistrates Court (Civil Proceedings) Rules 2005</w:t>
        </w:r>
        <w:r>
          <w:t xml:space="preserve"> as in force before commencement day;</w:t>
        </w:r>
      </w:ins>
    </w:p>
    <w:p>
      <w:pPr>
        <w:pStyle w:val="Defstart"/>
        <w:rPr>
          <w:ins w:id="1375" w:author="Master Repository Process" w:date="2021-08-29T11:49:00Z"/>
        </w:rPr>
      </w:pPr>
      <w:ins w:id="1376" w:author="Master Repository Process" w:date="2021-08-29T11:49:00Z">
        <w:r>
          <w:tab/>
        </w:r>
        <w:r>
          <w:rPr>
            <w:rStyle w:val="CharDefText"/>
          </w:rPr>
          <w:t>transitional case</w:t>
        </w:r>
        <w:r>
          <w:t xml:space="preserve"> means a case that, as of commencement day, has been commenced but not concluded.</w:t>
        </w:r>
      </w:ins>
    </w:p>
    <w:p>
      <w:pPr>
        <w:pStyle w:val="Footnotesection"/>
        <w:rPr>
          <w:ins w:id="1377" w:author="Master Repository Process" w:date="2021-08-29T11:49:00Z"/>
        </w:rPr>
      </w:pPr>
      <w:ins w:id="1378" w:author="Master Repository Process" w:date="2021-08-29T11:49:00Z">
        <w:r>
          <w:tab/>
          <w:t>[Rule 139 inserted: SL 2020/67 r. 42.]</w:t>
        </w:r>
      </w:ins>
    </w:p>
    <w:p>
      <w:pPr>
        <w:pStyle w:val="Heading5"/>
        <w:rPr>
          <w:ins w:id="1379" w:author="Master Repository Process" w:date="2021-08-29T11:49:00Z"/>
        </w:rPr>
      </w:pPr>
      <w:bookmarkStart w:id="1380" w:name="_Toc41638902"/>
      <w:ins w:id="1381" w:author="Master Repository Process" w:date="2021-08-29T11:49:00Z">
        <w:r>
          <w:rPr>
            <w:rStyle w:val="CharSectno"/>
          </w:rPr>
          <w:t>140</w:t>
        </w:r>
        <w:r>
          <w:t>.</w:t>
        </w:r>
        <w:r>
          <w:tab/>
          <w:t>Application of amended Rules in relation to transitional cases</w:t>
        </w:r>
        <w:bookmarkEnd w:id="1380"/>
      </w:ins>
    </w:p>
    <w:p>
      <w:pPr>
        <w:pStyle w:val="Subsection"/>
        <w:rPr>
          <w:ins w:id="1382" w:author="Master Repository Process" w:date="2021-08-29T11:49:00Z"/>
        </w:rPr>
      </w:pPr>
      <w:ins w:id="1383" w:author="Master Repository Process" w:date="2021-08-29T11:49:00Z">
        <w:r>
          <w:tab/>
          <w:t>(1)</w:t>
        </w:r>
        <w:r>
          <w:tab/>
          <w:t>Subject to rule 141, on and from commencement day the amended Rules apply in relation to a transitional case.</w:t>
        </w:r>
      </w:ins>
    </w:p>
    <w:p>
      <w:pPr>
        <w:pStyle w:val="Subsection"/>
        <w:rPr>
          <w:ins w:id="1384" w:author="Master Repository Process" w:date="2021-08-29T11:49:00Z"/>
        </w:rPr>
      </w:pPr>
      <w:ins w:id="1385" w:author="Master Repository Process" w:date="2021-08-29T11:49:00Z">
        <w:r>
          <w:tab/>
          <w:t>(2)</w:t>
        </w:r>
        <w:r>
          <w:tab/>
          <w:t xml:space="preserve">If the amended Rules apply in relation to a transitional case, then, unless otherwise directed under rule 143 — </w:t>
        </w:r>
      </w:ins>
    </w:p>
    <w:p>
      <w:pPr>
        <w:pStyle w:val="Indenta"/>
        <w:rPr>
          <w:ins w:id="1386" w:author="Master Repository Process" w:date="2021-08-29T11:49:00Z"/>
        </w:rPr>
      </w:pPr>
      <w:ins w:id="1387" w:author="Master Repository Process" w:date="2021-08-29T11:49:00Z">
        <w:r>
          <w:tab/>
          <w:t>(a)</w:t>
        </w:r>
        <w:r>
          <w:tab/>
          <w:t>everything lodged or served in relation to the case under a provision of the former Rules is taken to have been lodged or served under the corresponding provision of the amended Rules; and</w:t>
        </w:r>
      </w:ins>
    </w:p>
    <w:p>
      <w:pPr>
        <w:pStyle w:val="Indenta"/>
        <w:rPr>
          <w:ins w:id="1388" w:author="Master Repository Process" w:date="2021-08-29T11:49:00Z"/>
        </w:rPr>
      </w:pPr>
      <w:ins w:id="1389" w:author="Master Repository Process" w:date="2021-08-29T11:49:00Z">
        <w:r>
          <w:tab/>
          <w:t>(b)</w:t>
        </w:r>
        <w:r>
          <w:tab/>
          <w:t>every order made, direction given or other thing done in relation to the case by the Court or by a registrar under a provision of the former Rules is taken to have been made, given or done under the corresponding provision of the amended Rules.</w:t>
        </w:r>
      </w:ins>
    </w:p>
    <w:p>
      <w:pPr>
        <w:pStyle w:val="Footnotesection"/>
        <w:rPr>
          <w:ins w:id="1390" w:author="Master Repository Process" w:date="2021-08-29T11:49:00Z"/>
        </w:rPr>
      </w:pPr>
      <w:ins w:id="1391" w:author="Master Repository Process" w:date="2021-08-29T11:49:00Z">
        <w:r>
          <w:tab/>
          <w:t>[Rule 140 inserted: SL 2020/67 r. 42.]</w:t>
        </w:r>
      </w:ins>
    </w:p>
    <w:p>
      <w:pPr>
        <w:pStyle w:val="Heading5"/>
        <w:rPr>
          <w:ins w:id="1392" w:author="Master Repository Process" w:date="2021-08-29T11:49:00Z"/>
        </w:rPr>
      </w:pPr>
      <w:bookmarkStart w:id="1393" w:name="_Toc41638903"/>
      <w:ins w:id="1394" w:author="Master Repository Process" w:date="2021-08-29T11:49:00Z">
        <w:r>
          <w:rPr>
            <w:rStyle w:val="CharSectno"/>
          </w:rPr>
          <w:t>141</w:t>
        </w:r>
        <w:r>
          <w:t>.</w:t>
        </w:r>
        <w:r>
          <w:tab/>
          <w:t>Application of former Rules in relation to certain transitional cases</w:t>
        </w:r>
        <w:bookmarkEnd w:id="1393"/>
      </w:ins>
    </w:p>
    <w:p>
      <w:pPr>
        <w:pStyle w:val="Subsection"/>
        <w:rPr>
          <w:ins w:id="1395" w:author="Master Repository Process" w:date="2021-08-29T11:49:00Z"/>
        </w:rPr>
      </w:pPr>
      <w:ins w:id="1396" w:author="Master Repository Process" w:date="2021-08-29T11:49:00Z">
        <w:r>
          <w:tab/>
          <w:t>(1)</w:t>
        </w:r>
        <w:r>
          <w:tab/>
          <w:t xml:space="preserve">This rule applies to a transitional case if — </w:t>
        </w:r>
      </w:ins>
    </w:p>
    <w:p>
      <w:pPr>
        <w:pStyle w:val="Indenta"/>
        <w:rPr>
          <w:ins w:id="1397" w:author="Master Repository Process" w:date="2021-08-29T11:49:00Z"/>
        </w:rPr>
      </w:pPr>
      <w:ins w:id="1398" w:author="Master Repository Process" w:date="2021-08-29T11:49:00Z">
        <w:r>
          <w:tab/>
          <w:t>(a)</w:t>
        </w:r>
        <w:r>
          <w:tab/>
          <w:t xml:space="preserve">under the former Rules Part 2, a party to the case is required to lodge and serve any of the following documents on a day falling on or after commencement day — </w:t>
        </w:r>
      </w:ins>
    </w:p>
    <w:p>
      <w:pPr>
        <w:pStyle w:val="Indenti"/>
        <w:rPr>
          <w:ins w:id="1399" w:author="Master Repository Process" w:date="2021-08-29T11:49:00Z"/>
        </w:rPr>
      </w:pPr>
      <w:ins w:id="1400" w:author="Master Repository Process" w:date="2021-08-29T11:49:00Z">
        <w:r>
          <w:tab/>
          <w:t>(i)</w:t>
        </w:r>
        <w:r>
          <w:tab/>
          <w:t>a statement of claim;</w:t>
        </w:r>
      </w:ins>
    </w:p>
    <w:p>
      <w:pPr>
        <w:pStyle w:val="Indenti"/>
        <w:rPr>
          <w:ins w:id="1401" w:author="Master Repository Process" w:date="2021-08-29T11:49:00Z"/>
        </w:rPr>
      </w:pPr>
      <w:ins w:id="1402" w:author="Master Repository Process" w:date="2021-08-29T11:49:00Z">
        <w:r>
          <w:tab/>
          <w:t>(ii)</w:t>
        </w:r>
        <w:r>
          <w:tab/>
          <w:t>a counterclaim;</w:t>
        </w:r>
      </w:ins>
    </w:p>
    <w:p>
      <w:pPr>
        <w:pStyle w:val="Indenti"/>
        <w:rPr>
          <w:ins w:id="1403" w:author="Master Repository Process" w:date="2021-08-29T11:49:00Z"/>
        </w:rPr>
      </w:pPr>
      <w:ins w:id="1404" w:author="Master Repository Process" w:date="2021-08-29T11:49:00Z">
        <w:r>
          <w:tab/>
          <w:t>(iii)</w:t>
        </w:r>
        <w:r>
          <w:tab/>
          <w:t>a third party claim;</w:t>
        </w:r>
      </w:ins>
    </w:p>
    <w:p>
      <w:pPr>
        <w:pStyle w:val="Indenti"/>
        <w:rPr>
          <w:ins w:id="1405" w:author="Master Repository Process" w:date="2021-08-29T11:49:00Z"/>
        </w:rPr>
      </w:pPr>
      <w:ins w:id="1406" w:author="Master Repository Process" w:date="2021-08-29T11:49:00Z">
        <w:r>
          <w:tab/>
          <w:t>(iv)</w:t>
        </w:r>
        <w:r>
          <w:tab/>
          <w:t>a response to a claim;</w:t>
        </w:r>
      </w:ins>
    </w:p>
    <w:p>
      <w:pPr>
        <w:pStyle w:val="Indenti"/>
        <w:rPr>
          <w:ins w:id="1407" w:author="Master Repository Process" w:date="2021-08-29T11:49:00Z"/>
        </w:rPr>
      </w:pPr>
      <w:ins w:id="1408" w:author="Master Repository Process" w:date="2021-08-29T11:49:00Z">
        <w:r>
          <w:tab/>
          <w:t>(v)</w:t>
        </w:r>
        <w:r>
          <w:tab/>
          <w:t>a statement of defence;</w:t>
        </w:r>
      </w:ins>
    </w:p>
    <w:p>
      <w:pPr>
        <w:pStyle w:val="Indenta"/>
        <w:rPr>
          <w:ins w:id="1409" w:author="Master Repository Process" w:date="2021-08-29T11:49:00Z"/>
        </w:rPr>
      </w:pPr>
      <w:ins w:id="1410" w:author="Master Repository Process" w:date="2021-08-29T11:49:00Z">
        <w:r>
          <w:tab/>
        </w:r>
        <w:r>
          <w:tab/>
          <w:t>or</w:t>
        </w:r>
      </w:ins>
    </w:p>
    <w:p>
      <w:pPr>
        <w:pStyle w:val="Indenta"/>
        <w:rPr>
          <w:ins w:id="1411" w:author="Master Repository Process" w:date="2021-08-29T11:49:00Z"/>
        </w:rPr>
      </w:pPr>
      <w:ins w:id="1412" w:author="Master Repository Process" w:date="2021-08-29T11:49:00Z">
        <w:r>
          <w:tab/>
          <w:t>(b)</w:t>
        </w:r>
        <w:r>
          <w:tab/>
          <w:t>a pre</w:t>
        </w:r>
        <w:r>
          <w:noBreakHyphen/>
          <w:t>trial conference, listing conference or trial for which the case was listed before commencement day is held on or after commencement day.</w:t>
        </w:r>
      </w:ins>
    </w:p>
    <w:p>
      <w:pPr>
        <w:pStyle w:val="Subsection"/>
        <w:rPr>
          <w:ins w:id="1413" w:author="Master Repository Process" w:date="2021-08-29T11:49:00Z"/>
        </w:rPr>
      </w:pPr>
      <w:ins w:id="1414" w:author="Master Repository Process" w:date="2021-08-29T11:49:00Z">
        <w:r>
          <w:tab/>
          <w:t>(2)</w:t>
        </w:r>
        <w:r>
          <w:tab/>
          <w:t xml:space="preserve">On and from commencement day, the former Rules continue to apply in relation to a transitional case to which this rule applies until — </w:t>
        </w:r>
      </w:ins>
    </w:p>
    <w:p>
      <w:pPr>
        <w:pStyle w:val="Indenta"/>
        <w:rPr>
          <w:ins w:id="1415" w:author="Master Repository Process" w:date="2021-08-29T11:49:00Z"/>
        </w:rPr>
      </w:pPr>
      <w:ins w:id="1416" w:author="Master Repository Process" w:date="2021-08-29T11:49:00Z">
        <w:r>
          <w:tab/>
          <w:t>(a)</w:t>
        </w:r>
        <w:r>
          <w:tab/>
          <w:t>the Court or a registrar directs otherwise under rule 143; or</w:t>
        </w:r>
      </w:ins>
    </w:p>
    <w:p>
      <w:pPr>
        <w:pStyle w:val="Indenta"/>
        <w:rPr>
          <w:ins w:id="1417" w:author="Master Repository Process" w:date="2021-08-29T11:49:00Z"/>
        </w:rPr>
      </w:pPr>
      <w:ins w:id="1418" w:author="Master Repository Process" w:date="2021-08-29T11:49:00Z">
        <w:r>
          <w:tab/>
          <w:t>(b)</w:t>
        </w:r>
        <w:r>
          <w:tab/>
          <w:t>the case is concluded.</w:t>
        </w:r>
      </w:ins>
    </w:p>
    <w:p>
      <w:pPr>
        <w:pStyle w:val="Footnotesection"/>
        <w:rPr>
          <w:ins w:id="1419" w:author="Master Repository Process" w:date="2021-08-29T11:49:00Z"/>
        </w:rPr>
      </w:pPr>
      <w:ins w:id="1420" w:author="Master Repository Process" w:date="2021-08-29T11:49:00Z">
        <w:r>
          <w:tab/>
          <w:t>[Rule 141 inserted: SL 2020/67 r. 42.]</w:t>
        </w:r>
      </w:ins>
    </w:p>
    <w:p>
      <w:pPr>
        <w:pStyle w:val="Heading5"/>
        <w:rPr>
          <w:ins w:id="1421" w:author="Master Repository Process" w:date="2021-08-29T11:49:00Z"/>
        </w:rPr>
      </w:pPr>
      <w:bookmarkStart w:id="1422" w:name="_Toc41638904"/>
      <w:ins w:id="1423" w:author="Master Repository Process" w:date="2021-08-29T11:49:00Z">
        <w:r>
          <w:rPr>
            <w:rStyle w:val="CharSectno"/>
          </w:rPr>
          <w:t>142</w:t>
        </w:r>
        <w:r>
          <w:t>.</w:t>
        </w:r>
        <w:r>
          <w:tab/>
          <w:t>Listing transitional cases for a status conference</w:t>
        </w:r>
        <w:bookmarkEnd w:id="1422"/>
      </w:ins>
    </w:p>
    <w:p>
      <w:pPr>
        <w:pStyle w:val="Subsection"/>
        <w:rPr>
          <w:ins w:id="1424" w:author="Master Repository Process" w:date="2021-08-29T11:49:00Z"/>
        </w:rPr>
      </w:pPr>
      <w:ins w:id="1425" w:author="Master Repository Process" w:date="2021-08-29T11:49:00Z">
        <w:r>
          <w:tab/>
          <w:t>(1)</w:t>
        </w:r>
        <w:r>
          <w:tab/>
          <w:t>The Court may, of its own motion, list a transitional case for a status conference.</w:t>
        </w:r>
      </w:ins>
    </w:p>
    <w:p>
      <w:pPr>
        <w:pStyle w:val="Subsection"/>
        <w:rPr>
          <w:ins w:id="1426" w:author="Master Repository Process" w:date="2021-08-29T11:49:00Z"/>
        </w:rPr>
      </w:pPr>
      <w:ins w:id="1427" w:author="Master Repository Process" w:date="2021-08-29T11:49:00Z">
        <w:r>
          <w:tab/>
          <w:t>(2)</w:t>
        </w:r>
        <w:r>
          <w:tab/>
          <w:t>The Court must list a transitional case for a status conference if a party to a transitional case applies to the Court in the approved form to have the case listed.</w:t>
        </w:r>
      </w:ins>
    </w:p>
    <w:p>
      <w:pPr>
        <w:pStyle w:val="Subsection"/>
        <w:rPr>
          <w:ins w:id="1428" w:author="Master Repository Process" w:date="2021-08-29T11:49:00Z"/>
        </w:rPr>
      </w:pPr>
      <w:ins w:id="1429" w:author="Master Repository Process" w:date="2021-08-29T11:49:00Z">
        <w:r>
          <w:tab/>
          <w:t>(3)</w:t>
        </w:r>
        <w:r>
          <w:tab/>
          <w:t>The court must give the parties to the case 7 days written notice of a status conference for which the case is listed under this rule.</w:t>
        </w:r>
      </w:ins>
    </w:p>
    <w:p>
      <w:pPr>
        <w:pStyle w:val="Subsection"/>
        <w:rPr>
          <w:ins w:id="1430" w:author="Master Repository Process" w:date="2021-08-29T11:49:00Z"/>
        </w:rPr>
      </w:pPr>
      <w:ins w:id="1431" w:author="Master Repository Process" w:date="2021-08-29T11:49:00Z">
        <w:r>
          <w:tab/>
          <w:t>(4)</w:t>
        </w:r>
        <w:r>
          <w:tab/>
          <w:t>The Court must conduct a status conference for which a case is listed under this rule in open court.</w:t>
        </w:r>
      </w:ins>
    </w:p>
    <w:p>
      <w:pPr>
        <w:pStyle w:val="Footnotesection"/>
        <w:rPr>
          <w:ins w:id="1432" w:author="Master Repository Process" w:date="2021-08-29T11:49:00Z"/>
        </w:rPr>
      </w:pPr>
      <w:ins w:id="1433" w:author="Master Repository Process" w:date="2021-08-29T11:49:00Z">
        <w:r>
          <w:tab/>
          <w:t>[Rule 142 inserted: SL 2020/67 r. 42.]</w:t>
        </w:r>
      </w:ins>
    </w:p>
    <w:p>
      <w:pPr>
        <w:pStyle w:val="Heading5"/>
        <w:rPr>
          <w:ins w:id="1434" w:author="Master Repository Process" w:date="2021-08-29T11:49:00Z"/>
        </w:rPr>
      </w:pPr>
      <w:bookmarkStart w:id="1435" w:name="_Toc41638905"/>
      <w:ins w:id="1436" w:author="Master Repository Process" w:date="2021-08-29T11:49:00Z">
        <w:r>
          <w:rPr>
            <w:rStyle w:val="CharSectno"/>
          </w:rPr>
          <w:t>143</w:t>
        </w:r>
        <w:r>
          <w:t>.</w:t>
        </w:r>
        <w:r>
          <w:tab/>
          <w:t>Court or registrar may give directions in relation to transitional issues</w:t>
        </w:r>
        <w:bookmarkEnd w:id="1435"/>
      </w:ins>
    </w:p>
    <w:p>
      <w:pPr>
        <w:pStyle w:val="Subsection"/>
        <w:rPr>
          <w:ins w:id="1437" w:author="Master Repository Process" w:date="2021-08-29T11:49:00Z"/>
        </w:rPr>
      </w:pPr>
      <w:ins w:id="1438" w:author="Master Repository Process" w:date="2021-08-29T11:49:00Z">
        <w:r>
          <w:tab/>
          <w:t>(1)</w:t>
        </w:r>
        <w:r>
          <w:tab/>
          <w:t>At a status conference, pre</w:t>
        </w:r>
        <w:r>
          <w:noBreakHyphen/>
          <w:t xml:space="preserve">trial conference, listing conference or trial held in relation to a transitional case, the Court or a registrar may make any or all of the following directions — </w:t>
        </w:r>
      </w:ins>
    </w:p>
    <w:p>
      <w:pPr>
        <w:pStyle w:val="Indenta"/>
        <w:rPr>
          <w:ins w:id="1439" w:author="Master Repository Process" w:date="2021-08-29T11:49:00Z"/>
        </w:rPr>
      </w:pPr>
      <w:ins w:id="1440" w:author="Master Repository Process" w:date="2021-08-29T11:49:00Z">
        <w:r>
          <w:tab/>
          <w:t>(a)</w:t>
        </w:r>
        <w:r>
          <w:tab/>
          <w:t>if the amended Rules do not apply in relation to the case, a direction that they are to apply in relation to the case on and from a specified date;</w:t>
        </w:r>
      </w:ins>
    </w:p>
    <w:p>
      <w:pPr>
        <w:pStyle w:val="Indenta"/>
        <w:rPr>
          <w:ins w:id="1441" w:author="Master Repository Process" w:date="2021-08-29T11:49:00Z"/>
        </w:rPr>
      </w:pPr>
      <w:ins w:id="1442" w:author="Master Repository Process" w:date="2021-08-29T11:49:00Z">
        <w:r>
          <w:tab/>
          <w:t>(b)</w:t>
        </w:r>
        <w:r>
          <w:tab/>
          <w:t>a direction modifying the application of the amended Rules in relation to the case;</w:t>
        </w:r>
      </w:ins>
    </w:p>
    <w:p>
      <w:pPr>
        <w:pStyle w:val="Indenta"/>
        <w:rPr>
          <w:ins w:id="1443" w:author="Master Repository Process" w:date="2021-08-29T11:49:00Z"/>
        </w:rPr>
      </w:pPr>
      <w:ins w:id="1444" w:author="Master Repository Process" w:date="2021-08-29T11:49:00Z">
        <w:r>
          <w:tab/>
          <w:t>(c)</w:t>
        </w:r>
        <w:r>
          <w:tab/>
          <w:t>any other direction necessary or convenient in connection with the application of the amended Rules in relation to the case.</w:t>
        </w:r>
      </w:ins>
    </w:p>
    <w:p>
      <w:pPr>
        <w:pStyle w:val="Footnotesection"/>
        <w:rPr>
          <w:ins w:id="1445" w:author="Master Repository Process" w:date="2021-08-29T11:49:00Z"/>
        </w:rPr>
      </w:pPr>
      <w:ins w:id="1446" w:author="Master Repository Process" w:date="2021-08-29T11:49:00Z">
        <w:r>
          <w:tab/>
          <w:t>[Rule 143 inserted: SL 2020/67 r. 42.]</w:t>
        </w:r>
      </w:ins>
    </w:p>
    <w:p>
      <w:p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47" w:name="_Toc41473741"/>
      <w:bookmarkStart w:id="1448" w:name="_Toc41487642"/>
      <w:bookmarkStart w:id="1449" w:name="_Toc41552096"/>
      <w:bookmarkStart w:id="1450" w:name="_Toc41552848"/>
      <w:bookmarkStart w:id="1451" w:name="_Toc41638906"/>
      <w:bookmarkStart w:id="1452" w:name="_Toc39501198"/>
      <w:bookmarkStart w:id="1453" w:name="_Toc39566860"/>
      <w:bookmarkStart w:id="1454" w:name="_Toc39575400"/>
      <w:bookmarkStart w:id="1455" w:name="_Toc41638633"/>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1447"/>
      <w:bookmarkEnd w:id="1448"/>
      <w:bookmarkEnd w:id="1449"/>
      <w:bookmarkEnd w:id="1450"/>
      <w:bookmarkEnd w:id="1451"/>
      <w:bookmarkEnd w:id="1452"/>
      <w:bookmarkEnd w:id="1453"/>
      <w:bookmarkEnd w:id="1454"/>
      <w:bookmarkEnd w:id="1455"/>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17"/>
          <w:headerReference w:type="default" r:id="rId18"/>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shd w:val="pct10" w:color="auto" w:fill="FFFFFF"/>
          </w:tcPr>
          <w:p>
            <w:pPr>
              <w:pStyle w:val="yTableNAm"/>
              <w:spacing w:before="0"/>
              <w:rPr>
                <w:sz w:val="16"/>
                <w:szCs w:val="16"/>
              </w:rPr>
            </w:pPr>
          </w:p>
        </w:tc>
        <w:tc>
          <w:tcPr>
            <w:tcW w:w="4108"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38"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38"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spacing w:before="80"/>
      </w:pPr>
      <w:r>
        <w:tab/>
        <w:t>[Form 1 inserted: Gazette 20 Jun 2017 p. 2995; amended: SL 2020/54 r. 9.]</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del w:id="1457" w:author="Master Repository Process" w:date="2021-08-29T11:49:00Z"/>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ins w:id="1458" w:author="Master Repository Process" w:date="2021-08-29T11:49:00Z">
              <w:r>
                <w:rPr>
                  <w:sz w:val="18"/>
                </w:rPr>
                <w:tab/>
              </w:r>
            </w:ins>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Ind w:w="0" w:type="dxa"/>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3256"/>
        <w:gridCol w:w="850"/>
        <w:gridCol w:w="931"/>
        <w:gridCol w:w="62"/>
        <w:gridCol w:w="35"/>
        <w:gridCol w:w="940"/>
        <w:gridCol w:w="165"/>
      </w:tblGrid>
      <w:tr>
        <w:trPr>
          <w:cantSplit/>
          <w:trHeight w:val="170"/>
        </w:trPr>
        <w:tc>
          <w:tcPr>
            <w:tcW w:w="991"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4" w:type="dxa"/>
            <w:gridSpan w:val="5"/>
          </w:tcPr>
          <w:p>
            <w:pPr>
              <w:pStyle w:val="yTableNAm"/>
              <w:spacing w:before="0"/>
              <w:rPr>
                <w:sz w:val="16"/>
              </w:rPr>
            </w:pPr>
            <w:r>
              <w:rPr>
                <w:sz w:val="16"/>
              </w:rPr>
              <w:t>Family name:</w:t>
            </w:r>
          </w:p>
        </w:tc>
        <w:tc>
          <w:tcPr>
            <w:tcW w:w="1105" w:type="dxa"/>
            <w:gridSpan w:val="2"/>
            <w:vMerge w:val="restart"/>
          </w:tcPr>
          <w:p>
            <w:pPr>
              <w:pStyle w:val="yTableNAm"/>
              <w:spacing w:before="0"/>
              <w:rPr>
                <w:sz w:val="16"/>
              </w:rPr>
            </w:pPr>
            <w:r>
              <w:rPr>
                <w:sz w:val="16"/>
              </w:rPr>
              <w:t>Date of birth:</w:t>
            </w:r>
          </w:p>
        </w:tc>
      </w:tr>
      <w:tr>
        <w:trPr>
          <w:cantSplit/>
          <w:trHeight w:val="170"/>
        </w:trPr>
        <w:tc>
          <w:tcPr>
            <w:tcW w:w="991" w:type="dxa"/>
            <w:vMerge/>
            <w:tcBorders>
              <w:bottom w:val="single" w:sz="4" w:space="0" w:color="auto"/>
            </w:tcBorders>
            <w:shd w:val="pct10" w:color="auto" w:fill="FFFFFF"/>
          </w:tcPr>
          <w:p>
            <w:pPr>
              <w:pStyle w:val="yTableNAm"/>
              <w:spacing w:before="0"/>
              <w:rPr>
                <w:sz w:val="16"/>
              </w:rPr>
            </w:pPr>
          </w:p>
        </w:tc>
        <w:tc>
          <w:tcPr>
            <w:tcW w:w="5134" w:type="dxa"/>
            <w:gridSpan w:val="5"/>
            <w:tcBorders>
              <w:bottom w:val="single" w:sz="4" w:space="0" w:color="auto"/>
            </w:tcBorders>
          </w:tcPr>
          <w:p>
            <w:pPr>
              <w:pStyle w:val="yTableNAm"/>
              <w:spacing w:before="0"/>
              <w:rPr>
                <w:sz w:val="16"/>
              </w:rPr>
            </w:pPr>
            <w:r>
              <w:rPr>
                <w:sz w:val="16"/>
              </w:rPr>
              <w:t>Other names:</w:t>
            </w:r>
          </w:p>
        </w:tc>
        <w:tc>
          <w:tcPr>
            <w:tcW w:w="1105" w:type="dxa"/>
            <w:gridSpan w:val="2"/>
            <w:vMerge/>
            <w:tcBorders>
              <w:bottom w:val="single" w:sz="4" w:space="0" w:color="auto"/>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7" w:type="dxa"/>
            <w:gridSpan w:val="3"/>
            <w:tcBorders>
              <w:bottom w:val="single" w:sz="4" w:space="0" w:color="auto"/>
            </w:tcBorders>
          </w:tcPr>
          <w:p>
            <w:pPr>
              <w:pStyle w:val="yTableNAm"/>
              <w:spacing w:before="0"/>
              <w:rPr>
                <w:sz w:val="16"/>
              </w:rPr>
            </w:pPr>
            <w:r>
              <w:rPr>
                <w:sz w:val="16"/>
              </w:rPr>
              <w:t>Family name:</w:t>
            </w:r>
          </w:p>
        </w:tc>
        <w:tc>
          <w:tcPr>
            <w:tcW w:w="1202"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5037" w:type="dxa"/>
            <w:gridSpan w:val="3"/>
            <w:tcBorders>
              <w:bottom w:val="nil"/>
            </w:tcBorders>
          </w:tcPr>
          <w:p>
            <w:pPr>
              <w:pStyle w:val="yTableNAm"/>
              <w:spacing w:before="0"/>
              <w:rPr>
                <w:sz w:val="16"/>
              </w:rPr>
            </w:pPr>
            <w:r>
              <w:rPr>
                <w:sz w:val="16"/>
              </w:rPr>
              <w:t>Other names:</w:t>
            </w:r>
          </w:p>
        </w:tc>
        <w:tc>
          <w:tcPr>
            <w:tcW w:w="1202" w:type="dxa"/>
            <w:gridSpan w:val="4"/>
            <w:vMerge/>
            <w:tcBorders>
              <w:bottom w:val="nil"/>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099" w:type="dxa"/>
            <w:gridSpan w:val="4"/>
            <w:tcBorders>
              <w:bottom w:val="single" w:sz="4" w:space="0" w:color="auto"/>
            </w:tcBorders>
          </w:tcPr>
          <w:p>
            <w:pPr>
              <w:pStyle w:val="yTableNAm"/>
              <w:spacing w:before="0"/>
              <w:rPr>
                <w:sz w:val="16"/>
              </w:rPr>
            </w:pPr>
            <w:r>
              <w:rPr>
                <w:sz w:val="16"/>
              </w:rPr>
              <w:t>Family name:</w:t>
            </w:r>
          </w:p>
        </w:tc>
        <w:tc>
          <w:tcPr>
            <w:tcW w:w="1140"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1" w:type="dxa"/>
            <w:vMerge/>
            <w:shd w:val="pct10" w:color="auto" w:fill="FFFFFF"/>
          </w:tcPr>
          <w:p>
            <w:pPr>
              <w:pStyle w:val="yTableNAm"/>
              <w:spacing w:before="0"/>
              <w:rPr>
                <w:sz w:val="16"/>
              </w:rPr>
            </w:pPr>
          </w:p>
        </w:tc>
        <w:tc>
          <w:tcPr>
            <w:tcW w:w="5099" w:type="dxa"/>
            <w:gridSpan w:val="4"/>
          </w:tcPr>
          <w:p>
            <w:pPr>
              <w:pStyle w:val="yTableNAm"/>
              <w:spacing w:before="0"/>
              <w:rPr>
                <w:sz w:val="16"/>
              </w:rPr>
            </w:pPr>
            <w:r>
              <w:rPr>
                <w:sz w:val="16"/>
              </w:rPr>
              <w:t>Other names:</w:t>
            </w:r>
          </w:p>
        </w:tc>
        <w:tc>
          <w:tcPr>
            <w:tcW w:w="1140" w:type="dxa"/>
            <w:gridSpan w:val="3"/>
            <w:vMerge/>
          </w:tcPr>
          <w:p>
            <w:pPr>
              <w:pStyle w:val="yTableNAm"/>
              <w:spacing w:before="0"/>
              <w:rPr>
                <w:sz w:val="16"/>
              </w:rPr>
            </w:pPr>
          </w:p>
        </w:tc>
      </w:tr>
      <w:tr>
        <w:trPr>
          <w:cantSplit/>
          <w:trHeight w:val="80"/>
        </w:trPr>
        <w:tc>
          <w:tcPr>
            <w:tcW w:w="991" w:type="dxa"/>
            <w:vMerge/>
            <w:shd w:val="pct10" w:color="auto" w:fill="FFFFFF"/>
          </w:tcPr>
          <w:p>
            <w:pPr>
              <w:pStyle w:val="yTableNAm"/>
              <w:spacing w:before="0"/>
              <w:rPr>
                <w:sz w:val="16"/>
              </w:rPr>
            </w:pPr>
          </w:p>
        </w:tc>
        <w:tc>
          <w:tcPr>
            <w:tcW w:w="6239"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680"/>
        </w:trPr>
        <w:tc>
          <w:tcPr>
            <w:tcW w:w="991"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9" w:type="dxa"/>
            <w:gridSpan w:val="7"/>
            <w:tcBorders>
              <w:bottom w:val="single" w:sz="4" w:space="0" w:color="auto"/>
            </w:tcBorders>
          </w:tcPr>
          <w:p>
            <w:pPr>
              <w:pStyle w:val="yTableNAm"/>
              <w:spacing w:before="0"/>
              <w:rPr>
                <w:sz w:val="16"/>
                <w:szCs w:val="16"/>
              </w:rPr>
            </w:pPr>
            <w:r>
              <w:rPr>
                <w:sz w:val="14"/>
              </w:rPr>
              <w:t>Set out details of the evidence in support of your application.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vMerge w:val="restart"/>
            <w:shd w:val="pct10" w:color="auto" w:fill="FFFFFF"/>
          </w:tcPr>
          <w:p>
            <w:pPr>
              <w:pStyle w:val="yTableNAm"/>
              <w:spacing w:before="0"/>
              <w:rPr>
                <w:sz w:val="16"/>
              </w:rPr>
            </w:pPr>
            <w:r>
              <w:rPr>
                <w:sz w:val="16"/>
              </w:rPr>
              <w:t>Firearms</w:t>
            </w:r>
          </w:p>
        </w:tc>
        <w:tc>
          <w:tcPr>
            <w:tcW w:w="4106" w:type="dxa"/>
            <w:gridSpan w:val="2"/>
          </w:tcPr>
          <w:p>
            <w:pPr>
              <w:pStyle w:val="yTableNAm"/>
              <w:spacing w:before="0"/>
              <w:rPr>
                <w:sz w:val="16"/>
              </w:rPr>
            </w:pPr>
            <w:r>
              <w:rPr>
                <w:sz w:val="16"/>
              </w:rPr>
              <w:t>Does the respondent have a firearm or firearms licence?</w:t>
            </w:r>
          </w:p>
        </w:tc>
        <w:tc>
          <w:tcPr>
            <w:tcW w:w="2133"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1" w:type="dxa"/>
            <w:vMerge/>
            <w:shd w:val="pct10" w:color="auto" w:fill="FFFFFF"/>
          </w:tcPr>
          <w:p>
            <w:pPr>
              <w:pStyle w:val="yTableNAm"/>
              <w:spacing w:before="0"/>
              <w:rPr>
                <w:sz w:val="16"/>
                <w:szCs w:val="16"/>
              </w:rPr>
            </w:pPr>
          </w:p>
        </w:tc>
        <w:tc>
          <w:tcPr>
            <w:tcW w:w="4106" w:type="dxa"/>
            <w:gridSpan w:val="2"/>
          </w:tcPr>
          <w:p>
            <w:pPr>
              <w:pStyle w:val="yTableNAm"/>
              <w:spacing w:before="0"/>
              <w:rPr>
                <w:sz w:val="16"/>
                <w:szCs w:val="16"/>
              </w:rPr>
            </w:pPr>
            <w:r>
              <w:rPr>
                <w:sz w:val="16"/>
              </w:rPr>
              <w:t>Does the respondent have access to a firearm at work?</w:t>
            </w:r>
          </w:p>
        </w:tc>
        <w:tc>
          <w:tcPr>
            <w:tcW w:w="2133" w:type="dxa"/>
            <w:gridSpan w:val="5"/>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tcBorders>
              <w:bottom w:val="nil"/>
            </w:tcBorders>
            <w:shd w:val="pct10" w:color="auto" w:fill="FFFFFF"/>
          </w:tcPr>
          <w:p>
            <w:pPr>
              <w:pStyle w:val="yTableNAm"/>
              <w:spacing w:before="0"/>
              <w:rPr>
                <w:sz w:val="16"/>
                <w:szCs w:val="16"/>
              </w:rPr>
            </w:pPr>
            <w:r>
              <w:rPr>
                <w:sz w:val="16"/>
              </w:rPr>
              <w:t xml:space="preserve">Police incident </w:t>
            </w:r>
            <w:r>
              <w:rPr>
                <w:i/>
                <w:sz w:val="14"/>
              </w:rPr>
              <w:t>[Reference number to be inserted, if applicable]</w:t>
            </w:r>
          </w:p>
        </w:tc>
        <w:tc>
          <w:tcPr>
            <w:tcW w:w="6239" w:type="dxa"/>
            <w:gridSpan w:val="7"/>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tcBorders>
              <w:bottom w:val="nil"/>
            </w:tcBorders>
            <w:shd w:val="pct10" w:color="auto" w:fill="FFFFFF"/>
          </w:tcPr>
          <w:p>
            <w:pPr>
              <w:pStyle w:val="yTableNAm"/>
              <w:spacing w:before="0"/>
              <w:rPr>
                <w:sz w:val="16"/>
                <w:szCs w:val="16"/>
              </w:rPr>
            </w:pPr>
            <w:r>
              <w:rPr>
                <w:sz w:val="16"/>
                <w:szCs w:val="16"/>
              </w:rPr>
              <w:t>First hearing</w:t>
            </w:r>
          </w:p>
        </w:tc>
        <w:tc>
          <w:tcPr>
            <w:tcW w:w="4106"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3" w:type="dxa"/>
            <w:gridSpan w:val="5"/>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1"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rPr>
              <w:t>[</w:t>
            </w:r>
            <w:r>
              <w:rPr>
                <w:i/>
                <w:sz w:val="14"/>
              </w:rPr>
              <w:t>Not essential if lodged by means of the ECMS or if applicant is a police officer</w:t>
            </w:r>
            <w:r>
              <w:rPr>
                <w:sz w:val="14"/>
              </w:rPr>
              <w:t>]</w:t>
            </w:r>
          </w:p>
        </w:tc>
        <w:tc>
          <w:tcPr>
            <w:tcW w:w="5099" w:type="dxa"/>
            <w:gridSpan w:val="4"/>
            <w:tcBorders>
              <w:bottom w:val="nil"/>
            </w:tcBorders>
          </w:tcPr>
          <w:p>
            <w:pPr>
              <w:pStyle w:val="yTableNAm"/>
              <w:spacing w:before="0"/>
              <w:rPr>
                <w:sz w:val="16"/>
              </w:rPr>
            </w:pPr>
            <w:r>
              <w:rPr>
                <w:sz w:val="16"/>
              </w:rPr>
              <w:t>Signature:</w:t>
            </w:r>
          </w:p>
        </w:tc>
        <w:tc>
          <w:tcPr>
            <w:tcW w:w="1140"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1"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6"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40" w:type="dxa"/>
            <w:gridSpan w:val="3"/>
            <w:tcBorders>
              <w:bottom w:val="single" w:sz="4" w:space="0" w:color="auto"/>
            </w:tcBorders>
          </w:tcPr>
          <w:p>
            <w:pPr>
              <w:pStyle w:val="yTableNAm"/>
              <w:spacing w:before="0"/>
              <w:rPr>
                <w:sz w:val="16"/>
              </w:rPr>
            </w:pPr>
            <w:r>
              <w:rPr>
                <w:sz w:val="16"/>
              </w:rPr>
              <w:t>Time:</w:t>
            </w:r>
          </w:p>
        </w:tc>
      </w:tr>
      <w:tr>
        <w:trPr>
          <w:cantSplit/>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spacing w:before="0"/>
              <w:rPr>
                <w:sz w:val="16"/>
              </w:rPr>
            </w:pPr>
            <w:r>
              <w:rPr>
                <w:sz w:val="16"/>
              </w:rPr>
              <w:br/>
            </w:r>
            <w:r>
              <w:rPr>
                <w:sz w:val="16"/>
              </w:rPr>
              <w:br/>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1" w:type="dxa"/>
            <w:shd w:val="pct10" w:color="auto" w:fill="FFFFFF"/>
          </w:tcPr>
          <w:p>
            <w:pPr>
              <w:pStyle w:val="yTableNAm"/>
              <w:spacing w:before="0"/>
              <w:rPr>
                <w:sz w:val="16"/>
              </w:rPr>
            </w:pPr>
            <w:r>
              <w:rPr>
                <w:sz w:val="16"/>
              </w:rPr>
              <w:t xml:space="preserve">Approved user to certify applicant’s declaration </w:t>
            </w:r>
            <w:r>
              <w:rPr>
                <w:sz w:val="14"/>
              </w:rPr>
              <w:t>[</w:t>
            </w:r>
            <w:r>
              <w:rPr>
                <w:i/>
                <w:sz w:val="14"/>
              </w:rPr>
              <w:t>If applicable</w:t>
            </w:r>
            <w:r>
              <w:rPr>
                <w:sz w:val="14"/>
              </w:rPr>
              <w:t>]</w:t>
            </w:r>
          </w:p>
        </w:tc>
        <w:tc>
          <w:tcPr>
            <w:tcW w:w="6239" w:type="dxa"/>
            <w:gridSpan w:val="7"/>
          </w:tcPr>
          <w:p>
            <w:pPr>
              <w:pStyle w:val="yTableNAm"/>
              <w:spacing w:before="0"/>
              <w:rPr>
                <w:sz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MiscellaneousBody"/>
        <w:spacing w:before="0"/>
        <w:jc w:val="right"/>
        <w:rPr>
          <w:sz w:val="12"/>
        </w:rPr>
      </w:pPr>
    </w:p>
    <w:p>
      <w:pPr>
        <w:pStyle w:val="yFootnotesection"/>
      </w:pPr>
      <w:r>
        <w:tab/>
        <w:t>[Form 5 inserted: Gazette 20 Jun 2017 p. 3013; amended: SL 2020/54 r. 11.]</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p>
      <w:pPr>
        <w:pageBreakBefore/>
        <w:widowControl w:val="0"/>
        <w:rPr>
          <w:del w:id="1459" w:author="Master Repository Process" w:date="2021-08-29T11:49:00Z"/>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del w:id="1460" w:author="Master Repository Process" w:date="2021-08-29T11:49:00Z"/>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Gazette 20 Jun 2017 p. 3055.]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1461" w:author="Master Repository Process" w:date="2021-08-29T11:49:00Z"/>
        </w:rPr>
      </w:pPr>
    </w:p>
    <w:p>
      <w:pPr>
        <w:sectPr>
          <w:headerReference w:type="even" r:id="rId19"/>
          <w:headerReference w:type="default" r:id="rId20"/>
          <w:pgSz w:w="11907" w:h="16840" w:code="9"/>
          <w:pgMar w:top="2381" w:right="2410" w:bottom="3544" w:left="2410" w:header="720" w:footer="3544" w:gutter="0"/>
          <w:cols w:space="720"/>
        </w:sectPr>
      </w:pPr>
    </w:p>
    <w:p>
      <w:pPr>
        <w:pStyle w:val="nHeading2"/>
      </w:pPr>
      <w:bookmarkStart w:id="1462" w:name="_Toc41473742"/>
      <w:bookmarkStart w:id="1463" w:name="_Toc41487643"/>
      <w:bookmarkStart w:id="1464" w:name="_Toc41552097"/>
      <w:bookmarkStart w:id="1465" w:name="_Toc41552849"/>
      <w:bookmarkStart w:id="1466" w:name="_Toc41638907"/>
      <w:bookmarkStart w:id="1467" w:name="_Toc39501199"/>
      <w:bookmarkStart w:id="1468" w:name="_Toc39566861"/>
      <w:bookmarkStart w:id="1469" w:name="_Toc39575401"/>
      <w:bookmarkStart w:id="1470" w:name="_Toc41638634"/>
      <w:r>
        <w:t>Notes</w:t>
      </w:r>
      <w:bookmarkEnd w:id="1462"/>
      <w:bookmarkEnd w:id="1463"/>
      <w:bookmarkEnd w:id="1464"/>
      <w:bookmarkEnd w:id="1465"/>
      <w:bookmarkEnd w:id="1466"/>
      <w:bookmarkEnd w:id="1467"/>
      <w:bookmarkEnd w:id="1468"/>
      <w:bookmarkEnd w:id="1469"/>
      <w:bookmarkEnd w:id="1470"/>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w:t>
      </w:r>
      <w:ins w:id="1471" w:author="Master Repository Process" w:date="2021-08-29T11:49:00Z">
        <w:r>
          <w:t xml:space="preserve"> </w:t>
        </w:r>
      </w:ins>
    </w:p>
    <w:p>
      <w:pPr>
        <w:pStyle w:val="nHeading3"/>
      </w:pPr>
      <w:bookmarkStart w:id="1472" w:name="_Toc41638908"/>
      <w:bookmarkStart w:id="1473" w:name="_Toc41638635"/>
      <w:r>
        <w:t>Compilation table</w:t>
      </w:r>
      <w:bookmarkEnd w:id="1472"/>
      <w:bookmarkEnd w:id="14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rPr>
          <w:ins w:id="1474" w:author="Master Repository Process" w:date="2021-08-29T11:49:00Z"/>
        </w:trPr>
        <w:tc>
          <w:tcPr>
            <w:tcW w:w="3118" w:type="dxa"/>
            <w:tcBorders>
              <w:top w:val="nil"/>
              <w:bottom w:val="single" w:sz="4" w:space="0" w:color="auto"/>
            </w:tcBorders>
          </w:tcPr>
          <w:p>
            <w:pPr>
              <w:pStyle w:val="nTable"/>
              <w:spacing w:after="40"/>
              <w:rPr>
                <w:ins w:id="1475" w:author="Master Repository Process" w:date="2021-08-29T11:49:00Z"/>
                <w:i/>
              </w:rPr>
            </w:pPr>
            <w:ins w:id="1476" w:author="Master Repository Process" w:date="2021-08-29T11:49:00Z">
              <w:r>
                <w:rPr>
                  <w:i/>
                </w:rPr>
                <w:t>Magistrates Court Rules Amendment Rules 2020</w:t>
              </w:r>
              <w:r>
                <w:t xml:space="preserve"> Pt. 2</w:t>
              </w:r>
            </w:ins>
          </w:p>
        </w:tc>
        <w:tc>
          <w:tcPr>
            <w:tcW w:w="1276" w:type="dxa"/>
            <w:tcBorders>
              <w:top w:val="nil"/>
              <w:bottom w:val="single" w:sz="4" w:space="0" w:color="auto"/>
            </w:tcBorders>
          </w:tcPr>
          <w:p>
            <w:pPr>
              <w:pStyle w:val="nTable"/>
              <w:spacing w:after="40"/>
              <w:rPr>
                <w:ins w:id="1477" w:author="Master Repository Process" w:date="2021-08-29T11:49:00Z"/>
              </w:rPr>
            </w:pPr>
            <w:ins w:id="1478" w:author="Master Repository Process" w:date="2021-08-29T11:49:00Z">
              <w:r>
                <w:t>SL 2020/67 28 May 2020</w:t>
              </w:r>
            </w:ins>
          </w:p>
        </w:tc>
        <w:tc>
          <w:tcPr>
            <w:tcW w:w="2693" w:type="dxa"/>
            <w:tcBorders>
              <w:top w:val="nil"/>
              <w:bottom w:val="single" w:sz="4" w:space="0" w:color="auto"/>
            </w:tcBorders>
          </w:tcPr>
          <w:p>
            <w:pPr>
              <w:pStyle w:val="nTable"/>
              <w:spacing w:after="40"/>
              <w:rPr>
                <w:ins w:id="1479" w:author="Master Repository Process" w:date="2021-08-29T11:49:00Z"/>
                <w:snapToGrid w:val="0"/>
              </w:rPr>
            </w:pPr>
            <w:ins w:id="1480" w:author="Master Repository Process" w:date="2021-08-29T11:49:00Z">
              <w:r>
                <w:t xml:space="preserve">1 Jun 2020 </w:t>
              </w:r>
              <w:r>
                <w:rPr>
                  <w:bCs/>
                  <w:snapToGrid w:val="0"/>
                  <w:spacing w:val="-2"/>
                </w:rPr>
                <w:t>(see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1" w:name="Compilation"/>
    <w:bookmarkEnd w:id="148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2" w:name="Coversheet"/>
    <w:bookmarkEnd w:id="14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1456" w:name="Schedule"/>
    <w:bookmarkEnd w:id="145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7115930"/>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6336CC-EBBF-4D3A-BD39-61985A10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27B2-DD6B-43C3-8E45-3885E30C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42241</Words>
  <Characters>194735</Characters>
  <Application>Microsoft Office Word</Application>
  <DocSecurity>0</DocSecurity>
  <Lines>6715</Lines>
  <Paragraphs>4085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03-l0-00 - 03-m0-01</dc:title>
  <dc:subject/>
  <dc:creator/>
  <cp:keywords/>
  <dc:description/>
  <cp:lastModifiedBy>Master Repository Process</cp:lastModifiedBy>
  <cp:revision>2</cp:revision>
  <cp:lastPrinted>2017-06-28T06:27:00Z</cp:lastPrinted>
  <dcterms:created xsi:type="dcterms:W3CDTF">2021-08-29T03:48:00Z</dcterms:created>
  <dcterms:modified xsi:type="dcterms:W3CDTF">2021-08-29T03:49:00Z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20200601</vt:lpwstr>
  </property>
  <property fmtid="{D5CDD505-2E9C-101B-9397-08002B2CF9AE}" pid="8" name="FromSuffix">
    <vt:lpwstr>03-l0-00</vt:lpwstr>
  </property>
  <property fmtid="{D5CDD505-2E9C-101B-9397-08002B2CF9AE}" pid="9" name="FromAsAtDate">
    <vt:lpwstr>23 May 2020</vt:lpwstr>
  </property>
  <property fmtid="{D5CDD505-2E9C-101B-9397-08002B2CF9AE}" pid="10" name="ToSuffix">
    <vt:lpwstr>03-m0-01</vt:lpwstr>
  </property>
  <property fmtid="{D5CDD505-2E9C-101B-9397-08002B2CF9AE}" pid="11" name="ToAsAtDate">
    <vt:lpwstr>01 Jun 2020</vt:lpwstr>
  </property>
</Properties>
</file>