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1" w:name="_Toc43215444"/>
      <w:bookmarkStart w:id="2" w:name="_Toc43216728"/>
      <w:bookmarkStart w:id="3" w:name="_Toc43301579"/>
      <w:bookmarkStart w:id="4" w:name="_Toc40972840"/>
      <w:bookmarkStart w:id="5" w:name="_Toc40974145"/>
      <w:bookmarkStart w:id="6" w:name="_Toc41038485"/>
      <w:bookmarkStart w:id="7" w:name="_Toc41038712"/>
      <w:r>
        <w:rPr>
          <w:rStyle w:val="CharPartNo"/>
        </w:rPr>
        <w:t>P</w:t>
      </w:r>
      <w:bookmarkStart w:id="8" w:name="_GoBack"/>
      <w:bookmarkEnd w:id="8"/>
      <w:r>
        <w:rPr>
          <w:rStyle w:val="CharPartNo"/>
        </w:rPr>
        <w:t>art 1 </w:t>
      </w:r>
      <w: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3301580"/>
      <w:bookmarkStart w:id="10" w:name="_Toc41038713"/>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11" w:name="_Toc43301581"/>
      <w:bookmarkStart w:id="12" w:name="_Toc4103871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13" w:name="_Toc43215447"/>
      <w:bookmarkStart w:id="14" w:name="_Toc43216731"/>
      <w:bookmarkStart w:id="15" w:name="_Toc43301582"/>
      <w:bookmarkStart w:id="16" w:name="_Toc40972843"/>
      <w:bookmarkStart w:id="17" w:name="_Toc40974148"/>
      <w:bookmarkStart w:id="18" w:name="_Toc41038488"/>
      <w:bookmarkStart w:id="19" w:name="_Toc41038715"/>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bookmarkEnd w:id="18"/>
      <w:bookmarkEnd w:id="19"/>
    </w:p>
    <w:p>
      <w:pPr>
        <w:pStyle w:val="Heading5"/>
      </w:pPr>
      <w:bookmarkStart w:id="20" w:name="_Toc43301583"/>
      <w:bookmarkStart w:id="21" w:name="_Toc41038716"/>
      <w:r>
        <w:rPr>
          <w:rStyle w:val="CharSectno"/>
        </w:rPr>
        <w:t>3</w:t>
      </w:r>
      <w:r>
        <w:t>.</w:t>
      </w:r>
      <w:r>
        <w:tab/>
        <w:t xml:space="preserve">Services prescribed (Act s. 3(1) </w:t>
      </w:r>
      <w:r>
        <w:rPr>
          <w:i/>
        </w:rPr>
        <w:t>public utility services</w:t>
      </w:r>
      <w:r>
        <w:t>)</w:t>
      </w:r>
      <w:bookmarkEnd w:id="20"/>
      <w:bookmarkEnd w:id="2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22" w:name="_Toc43301584"/>
      <w:bookmarkStart w:id="23" w:name="_Toc41038717"/>
      <w:r>
        <w:t>3A.</w:t>
      </w:r>
      <w:r>
        <w:tab/>
        <w:t>Classes of persons prescribed (Act s. 9(1)(c)) for certain delegations</w:t>
      </w:r>
      <w:bookmarkEnd w:id="22"/>
      <w:bookmarkEnd w:id="2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24" w:name="_Toc43301585"/>
      <w:bookmarkStart w:id="25" w:name="_Toc41038718"/>
      <w:r>
        <w:rPr>
          <w:rStyle w:val="CharSectno"/>
        </w:rPr>
        <w:t>3B</w:t>
      </w:r>
      <w:r>
        <w:t>.</w:t>
      </w:r>
      <w:r>
        <w:tab/>
        <w:t>Persons prescribed (Act s. 9(1)(c))</w:t>
      </w:r>
      <w:bookmarkEnd w:id="24"/>
      <w:bookmarkEnd w:id="2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26" w:name="_Toc43301586"/>
      <w:bookmarkStart w:id="27" w:name="_Toc41038719"/>
      <w:r>
        <w:rPr>
          <w:rStyle w:val="CharSectno"/>
        </w:rPr>
        <w:t>4</w:t>
      </w:r>
      <w:r>
        <w:rPr>
          <w:snapToGrid w:val="0"/>
        </w:rPr>
        <w:t>.</w:t>
      </w:r>
      <w:r>
        <w:rPr>
          <w:snapToGrid w:val="0"/>
        </w:rPr>
        <w:tab/>
        <w:t>Conditions of delegation by Minister of powers to convey or transfer fee simple in Crown land (Act s. 9(1))</w:t>
      </w:r>
      <w:bookmarkEnd w:id="26"/>
      <w:bookmarkEnd w:id="2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28" w:name="_Toc43301587"/>
      <w:bookmarkStart w:id="29" w:name="_Toc41038720"/>
      <w:r>
        <w:rPr>
          <w:rStyle w:val="CharSectno"/>
        </w:rPr>
        <w:t>5A</w:t>
      </w:r>
      <w:r>
        <w:t>.</w:t>
      </w:r>
      <w:r>
        <w:tab/>
        <w:t>Certain City Arcade transactions etc. prescribed (Act s. 18(7)(b))</w:t>
      </w:r>
      <w:bookmarkEnd w:id="28"/>
      <w:bookmarkEnd w:id="2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30" w:name="_Toc43301588"/>
      <w:bookmarkStart w:id="31" w:name="_Toc41038721"/>
      <w:r>
        <w:rPr>
          <w:rStyle w:val="CharSectno"/>
        </w:rPr>
        <w:t>5B</w:t>
      </w:r>
      <w:r>
        <w:t>.</w:t>
      </w:r>
      <w:r>
        <w:tab/>
        <w:t>Certain Collier Park Retirement Complex transactions etc. prescribed (Act s. 18(7)(b))</w:t>
      </w:r>
      <w:bookmarkEnd w:id="30"/>
      <w:bookmarkEnd w:id="3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32" w:name="_Toc43301589"/>
      <w:bookmarkStart w:id="33" w:name="_Toc41038722"/>
      <w:r>
        <w:rPr>
          <w:rStyle w:val="CharSectno"/>
        </w:rPr>
        <w:t>5C</w:t>
      </w:r>
      <w:r>
        <w:t>.</w:t>
      </w:r>
      <w:r>
        <w:tab/>
        <w:t>Certain Perth Convention and Exhibition Centre transactions etc. prescribed (Act s. 18(7)(b))</w:t>
      </w:r>
      <w:bookmarkEnd w:id="32"/>
      <w:bookmarkEnd w:id="3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34" w:name="_Toc43301590"/>
      <w:bookmarkStart w:id="35" w:name="_Toc41038723"/>
      <w:r>
        <w:rPr>
          <w:rStyle w:val="CharSectno"/>
        </w:rPr>
        <w:t>5D</w:t>
      </w:r>
      <w:r>
        <w:t>.</w:t>
      </w:r>
      <w:r>
        <w:tab/>
        <w:t>Certain Old Swan Brewery transactions etc. prescribed (Act s. 18(7)(b))</w:t>
      </w:r>
      <w:bookmarkEnd w:id="34"/>
      <w:bookmarkEnd w:id="3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36" w:name="_Toc43301591"/>
      <w:bookmarkStart w:id="37" w:name="_Toc41038724"/>
      <w:r>
        <w:rPr>
          <w:rStyle w:val="CharSectno"/>
        </w:rPr>
        <w:t>5E</w:t>
      </w:r>
      <w:r>
        <w:t>.</w:t>
      </w:r>
      <w:r>
        <w:tab/>
        <w:t>Land prescribed (Act s. 51A(1))</w:t>
      </w:r>
      <w:bookmarkEnd w:id="36"/>
      <w:bookmarkEnd w:id="3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38" w:name="_Toc43301592"/>
      <w:bookmarkStart w:id="39" w:name="_Toc41038725"/>
      <w:r>
        <w:rPr>
          <w:rStyle w:val="CharSectno"/>
        </w:rPr>
        <w:t>5</w:t>
      </w:r>
      <w:r>
        <w:rPr>
          <w:snapToGrid w:val="0"/>
        </w:rPr>
        <w:t>.</w:t>
      </w:r>
      <w:r>
        <w:rPr>
          <w:snapToGrid w:val="0"/>
        </w:rPr>
        <w:tab/>
        <w:t>Procedures to be followed by local government before requesting acquisition of alienated land designated for public purpose (Act s. 52(1)(a))</w:t>
      </w:r>
      <w:bookmarkEnd w:id="38"/>
      <w:bookmarkEnd w:id="3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40" w:name="_Toc43301593"/>
      <w:bookmarkStart w:id="41" w:name="_Toc41038726"/>
      <w:r>
        <w:rPr>
          <w:rStyle w:val="CharSectno"/>
        </w:rPr>
        <w:t>6</w:t>
      </w:r>
      <w:r>
        <w:rPr>
          <w:snapToGrid w:val="0"/>
        </w:rPr>
        <w:t>.</w:t>
      </w:r>
      <w:r>
        <w:rPr>
          <w:snapToGrid w:val="0"/>
        </w:rPr>
        <w:tab/>
        <w:t>Procedures to be followed by local government before requesting acquisition of private road (Act s. 52(1)(b))</w:t>
      </w:r>
      <w:bookmarkEnd w:id="40"/>
      <w:bookmarkEnd w:id="4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42" w:name="_Toc43301594"/>
      <w:bookmarkStart w:id="43" w:name="_Toc41038727"/>
      <w:r>
        <w:rPr>
          <w:rStyle w:val="CharSectno"/>
        </w:rPr>
        <w:t>7</w:t>
      </w:r>
      <w:r>
        <w:rPr>
          <w:snapToGrid w:val="0"/>
        </w:rPr>
        <w:t>.</w:t>
      </w:r>
      <w:r>
        <w:rPr>
          <w:snapToGrid w:val="0"/>
        </w:rPr>
        <w:tab/>
        <w:t>Procedures to be followed by local government before requesting acquisition of alienated land in a townsite (Act s. 52(1)(c))</w:t>
      </w:r>
      <w:bookmarkEnd w:id="42"/>
      <w:bookmarkEnd w:id="4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44" w:name="_Toc43301595"/>
      <w:bookmarkStart w:id="45" w:name="_Toc41038728"/>
      <w:r>
        <w:rPr>
          <w:rStyle w:val="CharSectno"/>
        </w:rPr>
        <w:t>8</w:t>
      </w:r>
      <w:r>
        <w:rPr>
          <w:snapToGrid w:val="0"/>
        </w:rPr>
        <w:t>.</w:t>
      </w:r>
      <w:r>
        <w:rPr>
          <w:snapToGrid w:val="0"/>
        </w:rPr>
        <w:tab/>
        <w:t>Local government request to dedicate land as a road (Act s. 56), requirements for</w:t>
      </w:r>
      <w:bookmarkEnd w:id="44"/>
      <w:bookmarkEnd w:id="4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46" w:name="_Toc43301596"/>
      <w:bookmarkStart w:id="47" w:name="_Toc41038729"/>
      <w:r>
        <w:rPr>
          <w:rStyle w:val="CharSectno"/>
        </w:rPr>
        <w:t>9</w:t>
      </w:r>
      <w:r>
        <w:rPr>
          <w:snapToGrid w:val="0"/>
        </w:rPr>
        <w:t>.</w:t>
      </w:r>
      <w:r>
        <w:rPr>
          <w:snapToGrid w:val="0"/>
        </w:rPr>
        <w:tab/>
        <w:t>Local government request to close road permanently (Act s. 58(2)), requirements for</w:t>
      </w:r>
      <w:bookmarkEnd w:id="46"/>
      <w:bookmarkEnd w:id="4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48" w:name="_Toc43301597"/>
      <w:bookmarkStart w:id="49" w:name="_Toc41038730"/>
      <w:r>
        <w:rPr>
          <w:rStyle w:val="CharSectno"/>
        </w:rPr>
        <w:t>10</w:t>
      </w:r>
      <w:r>
        <w:rPr>
          <w:snapToGrid w:val="0"/>
        </w:rPr>
        <w:t>.</w:t>
      </w:r>
      <w:r>
        <w:rPr>
          <w:snapToGrid w:val="0"/>
        </w:rPr>
        <w:tab/>
        <w:t>Manner of advertising prescribed etc. for proposed mall reserve (Act s. 59)</w:t>
      </w:r>
      <w:bookmarkEnd w:id="48"/>
      <w:bookmarkEnd w:id="4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50" w:name="_Toc43301598"/>
      <w:bookmarkStart w:id="51" w:name="_Toc41038731"/>
      <w:r>
        <w:rPr>
          <w:rStyle w:val="CharSectno"/>
        </w:rPr>
        <w:t>11</w:t>
      </w:r>
      <w:r>
        <w:rPr>
          <w:snapToGrid w:val="0"/>
        </w:rPr>
        <w:t>.</w:t>
      </w:r>
      <w:r>
        <w:rPr>
          <w:snapToGrid w:val="0"/>
        </w:rPr>
        <w:tab/>
        <w:t>Manner of advertising prescribed etc. for cancelling mall reserve (Act s. 62)</w:t>
      </w:r>
      <w:bookmarkEnd w:id="50"/>
      <w:bookmarkEnd w:id="5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52" w:name="_Toc43301599"/>
      <w:bookmarkStart w:id="53" w:name="_Toc41038732"/>
      <w:r>
        <w:rPr>
          <w:rStyle w:val="CharSectno"/>
        </w:rPr>
        <w:t>12</w:t>
      </w:r>
      <w:r>
        <w:rPr>
          <w:snapToGrid w:val="0"/>
        </w:rPr>
        <w:t>.</w:t>
      </w:r>
      <w:r>
        <w:rPr>
          <w:snapToGrid w:val="0"/>
        </w:rPr>
        <w:tab/>
        <w:t>Procedure to be followed by Minister when determining and altering prices of Crown land (Act s. 74(2)(a))</w:t>
      </w:r>
      <w:bookmarkEnd w:id="52"/>
      <w:bookmarkEnd w:id="5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54" w:name="_Toc43301600"/>
      <w:bookmarkStart w:id="55" w:name="_Toc41038733"/>
      <w:r>
        <w:rPr>
          <w:rStyle w:val="CharSectno"/>
        </w:rPr>
        <w:t>13</w:t>
      </w:r>
      <w:r>
        <w:rPr>
          <w:snapToGrid w:val="0"/>
        </w:rPr>
        <w:t>.</w:t>
      </w:r>
      <w:r>
        <w:rPr>
          <w:snapToGrid w:val="0"/>
        </w:rPr>
        <w:tab/>
        <w:t>Requirements for entering joint ventures prescribed (Act s. 78(1))</w:t>
      </w:r>
      <w:bookmarkEnd w:id="54"/>
      <w:bookmarkEnd w:id="5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56" w:name="_Toc43301601"/>
      <w:bookmarkStart w:id="57" w:name="_Toc41038734"/>
      <w:r>
        <w:rPr>
          <w:rStyle w:val="CharSectno"/>
        </w:rPr>
        <w:t>14</w:t>
      </w:r>
      <w:r>
        <w:rPr>
          <w:snapToGrid w:val="0"/>
        </w:rPr>
        <w:t>.</w:t>
      </w:r>
      <w:r>
        <w:rPr>
          <w:snapToGrid w:val="0"/>
        </w:rPr>
        <w:tab/>
        <w:t>Conditions prescribed (Act s. 89)</w:t>
      </w:r>
      <w:bookmarkEnd w:id="56"/>
      <w:bookmarkEnd w:id="5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58" w:name="_Toc43301602"/>
      <w:bookmarkStart w:id="59" w:name="_Toc41038735"/>
      <w:r>
        <w:rPr>
          <w:rStyle w:val="CharSectno"/>
        </w:rPr>
        <w:t>15</w:t>
      </w:r>
      <w:r>
        <w:t>.</w:t>
      </w:r>
      <w:r>
        <w:tab/>
        <w:t>Phasing in of increased rents for pastoral leases (Act s. 124A)</w:t>
      </w:r>
      <w:bookmarkEnd w:id="58"/>
      <w:bookmarkEnd w:id="59"/>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60" w:name="_Toc43301603"/>
      <w:bookmarkStart w:id="61" w:name="_Toc41038736"/>
      <w:r>
        <w:rPr>
          <w:rStyle w:val="CharSectno"/>
        </w:rPr>
        <w:t>16</w:t>
      </w:r>
      <w:r>
        <w:rPr>
          <w:snapToGrid w:val="0"/>
        </w:rPr>
        <w:t>.</w:t>
      </w:r>
      <w:r>
        <w:rPr>
          <w:snapToGrid w:val="0"/>
        </w:rPr>
        <w:tab/>
        <w:t>Rate of interest prescribed (Act s. 125(4))</w:t>
      </w:r>
      <w:bookmarkEnd w:id="60"/>
      <w:bookmarkEnd w:id="6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62" w:name="_Toc43301604"/>
      <w:bookmarkStart w:id="63" w:name="_Toc41038737"/>
      <w:r>
        <w:rPr>
          <w:rStyle w:val="CharSectno"/>
        </w:rPr>
        <w:t>17</w:t>
      </w:r>
      <w:r>
        <w:rPr>
          <w:snapToGrid w:val="0"/>
        </w:rPr>
        <w:t>.</w:t>
      </w:r>
      <w:r>
        <w:rPr>
          <w:snapToGrid w:val="0"/>
        </w:rPr>
        <w:tab/>
        <w:t>Fees (Sch. 1)</w:t>
      </w:r>
      <w:bookmarkEnd w:id="62"/>
      <w:bookmarkEnd w:id="63"/>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64" w:name="_Toc43301605"/>
      <w:bookmarkStart w:id="65" w:name="_Toc41038738"/>
      <w:r>
        <w:rPr>
          <w:rStyle w:val="CharSectno"/>
        </w:rPr>
        <w:t>17A</w:t>
      </w:r>
      <w:r>
        <w:t>.</w:t>
      </w:r>
      <w:r>
        <w:tab/>
      </w:r>
      <w:del w:id="66" w:author="Master Repository Process" w:date="2021-08-29T03:44:00Z">
        <w:r>
          <w:delText>Australian datum</w:delText>
        </w:r>
      </w:del>
      <w:ins w:id="67" w:author="Master Repository Process" w:date="2021-08-29T03:44:00Z">
        <w:r>
          <w:t>Geocentric Datum of Australia 2020</w:t>
        </w:r>
      </w:ins>
      <w:r>
        <w:t xml:space="preserve"> prescribed </w:t>
      </w:r>
      <w:del w:id="68" w:author="Master Repository Process" w:date="2021-08-29T03:44:00Z">
        <w:r>
          <w:delText xml:space="preserve">for determining Divisions of State </w:delText>
        </w:r>
      </w:del>
      <w:r>
        <w:t>(Act s.</w:t>
      </w:r>
      <w:del w:id="69" w:author="Master Repository Process" w:date="2021-08-29T03:44:00Z">
        <w:r>
          <w:delText xml:space="preserve"> </w:delText>
        </w:r>
      </w:del>
      <w:ins w:id="70" w:author="Master Repository Process" w:date="2021-08-29T03:44:00Z">
        <w:r>
          <w:t> </w:t>
        </w:r>
      </w:ins>
      <w:r>
        <w:t>5A)</w:t>
      </w:r>
      <w:bookmarkEnd w:id="64"/>
      <w:bookmarkEnd w:id="65"/>
    </w:p>
    <w:p>
      <w:pPr>
        <w:pStyle w:val="Subsection"/>
        <w:rPr>
          <w:ins w:id="71" w:author="Master Repository Process" w:date="2021-08-29T03:44:00Z"/>
        </w:rPr>
      </w:pPr>
      <w:r>
        <w:tab/>
        <w:t>(1)</w:t>
      </w:r>
      <w:r>
        <w:tab/>
      </w:r>
      <w:del w:id="72" w:author="Master Repository Process" w:date="2021-08-29T03:44:00Z">
        <w:r>
          <w:delText xml:space="preserve">The position on </w:delText>
        </w:r>
      </w:del>
      <w:ins w:id="73" w:author="Master Repository Process" w:date="2021-08-29T03:44:00Z">
        <w:r>
          <w:t xml:space="preserve">In this regulation — </w:t>
        </w:r>
      </w:ins>
    </w:p>
    <w:p>
      <w:pPr>
        <w:pStyle w:val="Defstart"/>
        <w:rPr>
          <w:ins w:id="74" w:author="Master Repository Process" w:date="2021-08-29T03:44:00Z"/>
        </w:rPr>
      </w:pPr>
      <w:ins w:id="75" w:author="Master Repository Process" w:date="2021-08-29T03:44:00Z">
        <w:r>
          <w:tab/>
        </w:r>
        <w:r>
          <w:rPr>
            <w:rStyle w:val="CharDefText"/>
          </w:rPr>
          <w:t>2017 Determination</w:t>
        </w:r>
        <w:r>
          <w:t xml:space="preserve"> means </w:t>
        </w:r>
      </w:ins>
      <w:r>
        <w:t xml:space="preserve">the </w:t>
      </w:r>
      <w:del w:id="76" w:author="Master Repository Process" w:date="2021-08-29T03:44:00Z">
        <w:r>
          <w:delText>surface</w:delText>
        </w:r>
      </w:del>
      <w:ins w:id="77" w:author="Master Repository Process" w:date="2021-08-29T03:44:00Z">
        <w:r>
          <w:rPr>
            <w:i/>
          </w:rPr>
          <w:t>National Measurement (Recognized</w:t>
        </w:r>
        <w:r>
          <w:rPr>
            <w:i/>
          </w:rPr>
          <w:noBreakHyphen/>
          <w:t>Value Standard</w:t>
        </w:r>
      </w:ins>
      <w:r>
        <w:rPr>
          <w:i/>
        </w:rPr>
        <w:t xml:space="preserve"> of </w:t>
      </w:r>
      <w:del w:id="78" w:author="Master Repository Process" w:date="2021-08-29T03:44:00Z">
        <w:r>
          <w:delText>the Earth</w:delText>
        </w:r>
      </w:del>
      <w:ins w:id="79" w:author="Master Repository Process" w:date="2021-08-29T03:44:00Z">
        <w:r>
          <w:rPr>
            <w:i/>
          </w:rPr>
          <w:t>Measurement</w:t>
        </w:r>
      </w:ins>
      <w:r>
        <w:rPr>
          <w:i/>
        </w:rPr>
        <w:t xml:space="preserve"> of </w:t>
      </w:r>
      <w:del w:id="80" w:author="Master Repository Process" w:date="2021-08-29T03:44:00Z">
        <w:r>
          <w:delText>the Divisions referred to</w:delText>
        </w:r>
      </w:del>
      <w:ins w:id="81" w:author="Master Repository Process" w:date="2021-08-29T03:44:00Z">
        <w:r>
          <w:rPr>
            <w:i/>
          </w:rPr>
          <w:t xml:space="preserve">Position) Determination 2017 </w:t>
        </w:r>
        <w:r>
          <w:t>(Commonwealth), as</w:t>
        </w:r>
      </w:ins>
      <w:r>
        <w:t xml:space="preserve"> in </w:t>
      </w:r>
      <w:del w:id="82" w:author="Master Repository Process" w:date="2021-08-29T03:44:00Z">
        <w:r>
          <w:delText>section 6</w:delText>
        </w:r>
      </w:del>
      <w:ins w:id="83" w:author="Master Repository Process" w:date="2021-08-29T03:44:00Z">
        <w:r>
          <w:t>force on 1 July 2020;</w:t>
        </w:r>
      </w:ins>
    </w:p>
    <w:p>
      <w:pPr>
        <w:pStyle w:val="Defstart"/>
      </w:pPr>
      <w:ins w:id="84" w:author="Master Repository Process" w:date="2021-08-29T03:44:00Z">
        <w:r>
          <w:tab/>
        </w:r>
        <w:r>
          <w:rPr>
            <w:rStyle w:val="CharDefText"/>
          </w:rPr>
          <w:t>Geocentric Datum</w:t>
        </w:r>
      </w:ins>
      <w:r>
        <w:rPr>
          <w:rStyle w:val="CharDefText"/>
        </w:rPr>
        <w:t xml:space="preserve"> of </w:t>
      </w:r>
      <w:del w:id="85" w:author="Master Repository Process" w:date="2021-08-29T03:44:00Z">
        <w:r>
          <w:delText xml:space="preserve">the Act are determined by reference to the Australian Geodetic Datum (the </w:delText>
        </w:r>
        <w:r>
          <w:rPr>
            <w:rStyle w:val="CharDefText"/>
          </w:rPr>
          <w:delText>AGD</w:delText>
        </w:r>
        <w:r>
          <w:delText>).</w:delText>
        </w:r>
      </w:del>
      <w:ins w:id="86" w:author="Master Repository Process" w:date="2021-08-29T03:44:00Z">
        <w:r>
          <w:rPr>
            <w:rStyle w:val="CharDefText"/>
          </w:rPr>
          <w:t>Australia 2020</w:t>
        </w:r>
        <w:r>
          <w:t xml:space="preserve"> means the Reference Frame defined in the 2017 Determination clause 4.</w:t>
        </w:r>
      </w:ins>
    </w:p>
    <w:p>
      <w:pPr>
        <w:pStyle w:val="Subsection"/>
      </w:pPr>
      <w:r>
        <w:tab/>
        <w:t>(2)</w:t>
      </w:r>
      <w:r>
        <w:tab/>
        <w:t xml:space="preserve">For the purposes of </w:t>
      </w:r>
      <w:del w:id="87" w:author="Master Repository Process" w:date="2021-08-29T03:44:00Z">
        <w:r>
          <w:delText>subregulation </w:delText>
        </w:r>
      </w:del>
      <w:ins w:id="88" w:author="Master Repository Process" w:date="2021-08-29T03:44:00Z">
        <w:r>
          <w:t>section 5A</w:t>
        </w:r>
      </w:ins>
      <w:r>
        <w:t>(1</w:t>
      </w:r>
      <w:del w:id="89" w:author="Master Repository Process" w:date="2021-08-29T03:44:00Z">
        <w:r>
          <w:delText>), the AGD is defined by an ellipsoid having a semi</w:delText>
        </w:r>
        <w:r>
          <w:noBreakHyphen/>
          <w:delText>major axis (equatorial radius</w:delText>
        </w:r>
      </w:del>
      <w:r>
        <w:t xml:space="preserve">) of </w:t>
      </w:r>
      <w:del w:id="90" w:author="Master Repository Process" w:date="2021-08-29T03:44:00Z">
        <w:r>
          <w:delText>6 378 160 metres and a flattening of 1/298.25 and fixed by</w:delText>
        </w:r>
      </w:del>
      <w:ins w:id="91" w:author="Master Repository Process" w:date="2021-08-29T03:44:00Z">
        <w:r>
          <w:t>the Act,</w:t>
        </w:r>
      </w:ins>
      <w:r>
        <w:t xml:space="preserve"> the </w:t>
      </w:r>
      <w:del w:id="92" w:author="Master Repository Process" w:date="2021-08-29T03:44:00Z">
        <w:r>
          <w:delText>position of the origin being the Johnston Geodetic Station in the Northern Territory</w:delText>
        </w:r>
      </w:del>
      <w:ins w:id="93" w:author="Master Repository Process" w:date="2021-08-29T03:44:00Z">
        <w:r>
          <w:t>Geocentric Datum</w:t>
        </w:r>
      </w:ins>
      <w:r>
        <w:t xml:space="preserve"> of Australia</w:t>
      </w:r>
      <w:ins w:id="94" w:author="Master Repository Process" w:date="2021-08-29T03:44:00Z">
        <w:r>
          <w:t> 2020 is prescribed</w:t>
        </w:r>
      </w:ins>
      <w:r>
        <w:t>.</w:t>
      </w:r>
    </w:p>
    <w:p>
      <w:pPr>
        <w:pStyle w:val="Subsection"/>
        <w:keepNext/>
        <w:rPr>
          <w:del w:id="95" w:author="Master Repository Process" w:date="2021-08-29T03:44:00Z"/>
        </w:rPr>
      </w:pPr>
      <w:del w:id="96" w:author="Master Repository Process" w:date="2021-08-29T03:44:00Z">
        <w:r>
          <w:tab/>
          <w:delText>(3)</w:delText>
        </w:r>
        <w:r>
          <w:tab/>
          <w:delText>The Johnston Geodetic Station is taken to be situated at —</w:delText>
        </w:r>
      </w:del>
    </w:p>
    <w:p>
      <w:pPr>
        <w:pStyle w:val="Indenta"/>
        <w:rPr>
          <w:del w:id="97" w:author="Master Repository Process" w:date="2021-08-29T03:44:00Z"/>
          <w:snapToGrid w:val="0"/>
        </w:rPr>
      </w:pPr>
      <w:del w:id="98" w:author="Master Repository Process" w:date="2021-08-29T03:44:00Z">
        <w:r>
          <w:tab/>
          <w:delText>(a)</w:delText>
        </w:r>
        <w:r>
          <w:tab/>
        </w:r>
        <w:r>
          <w:rPr>
            <w:snapToGrid w:val="0"/>
          </w:rPr>
          <w:delText>25° 56′ 54.5515″ south latitude and 133° 12′ 30.0771″ east longitude; or</w:delText>
        </w:r>
      </w:del>
    </w:p>
    <w:p>
      <w:pPr>
        <w:pStyle w:val="Indenta"/>
        <w:rPr>
          <w:del w:id="99" w:author="Master Repository Process" w:date="2021-08-29T03:44:00Z"/>
          <w:snapToGrid w:val="0"/>
        </w:rPr>
      </w:pPr>
      <w:del w:id="100" w:author="Master Repository Process" w:date="2021-08-29T03:44:00Z">
        <w:r>
          <w:rPr>
            <w:snapToGrid w:val="0"/>
          </w:rPr>
          <w:tab/>
          <w:delText>(b)</w:delText>
        </w:r>
        <w:r>
          <w:rPr>
            <w:snapToGrid w:val="0"/>
          </w:rPr>
          <w:tab/>
          <w:delText>where decimal reckoning is used, 25° 56.90919′ south latitude and 133° 12.50129′ east longitude,</w:delText>
        </w:r>
      </w:del>
    </w:p>
    <w:p>
      <w:pPr>
        <w:pStyle w:val="Subsection"/>
        <w:rPr>
          <w:del w:id="101" w:author="Master Repository Process" w:date="2021-08-29T03:44:00Z"/>
          <w:snapToGrid w:val="0"/>
        </w:rPr>
      </w:pPr>
      <w:del w:id="102" w:author="Master Repository Process" w:date="2021-08-29T03:44:00Z">
        <w:r>
          <w:rPr>
            <w:snapToGrid w:val="0"/>
          </w:rPr>
          <w:tab/>
        </w:r>
        <w:r>
          <w:rPr>
            <w:snapToGrid w:val="0"/>
          </w:rPr>
          <w:tab/>
          <w:delText>and to have a ground level elevation of 571.2 metres above the ellipsoid referred to in subregulation (2).</w:delText>
        </w:r>
      </w:del>
    </w:p>
    <w:p>
      <w:pPr>
        <w:pStyle w:val="Footnotesection"/>
      </w:pPr>
      <w:r>
        <w:tab/>
        <w:t xml:space="preserve">[Regulation 17A inserted: </w:t>
      </w:r>
      <w:del w:id="103" w:author="Master Repository Process" w:date="2021-08-29T03:44:00Z">
        <w:r>
          <w:delText>Gazette 15 Dec 2000 p. 7209</w:delText>
        </w:r>
        <w:r>
          <w:noBreakHyphen/>
          <w:delText>10</w:delText>
        </w:r>
      </w:del>
      <w:ins w:id="104" w:author="Master Repository Process" w:date="2021-08-29T03:44:00Z">
        <w:r>
          <w:t>SL 2020/64 r. 4</w:t>
        </w:r>
      </w:ins>
      <w:r>
        <w:t>.]</w:t>
      </w:r>
    </w:p>
    <w:p>
      <w:pPr>
        <w:pStyle w:val="Heading5"/>
      </w:pPr>
      <w:bookmarkStart w:id="105" w:name="_Toc43301606"/>
      <w:bookmarkStart w:id="106" w:name="_Toc41038739"/>
      <w:r>
        <w:rPr>
          <w:rStyle w:val="CharSectno"/>
        </w:rPr>
        <w:t>17B</w:t>
      </w:r>
      <w:r>
        <w:t>.</w:t>
      </w:r>
      <w:r>
        <w:tab/>
        <w:t>Acts prescribed (Act s. 18(8)(b)(ii))</w:t>
      </w:r>
      <w:bookmarkEnd w:id="105"/>
      <w:bookmarkEnd w:id="106"/>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107" w:name="_Toc43301607"/>
      <w:bookmarkStart w:id="108" w:name="_Toc41038740"/>
      <w:r>
        <w:rPr>
          <w:rStyle w:val="CharSectno"/>
        </w:rPr>
        <w:t>17C</w:t>
      </w:r>
      <w:r>
        <w:t>.</w:t>
      </w:r>
      <w:r>
        <w:tab/>
        <w:t xml:space="preserve">Stock prescribed (Act s. 93 </w:t>
      </w:r>
      <w:r>
        <w:rPr>
          <w:i/>
        </w:rPr>
        <w:t>authorised stock</w:t>
      </w:r>
      <w:r>
        <w:t>)</w:t>
      </w:r>
      <w:bookmarkEnd w:id="107"/>
      <w:bookmarkEnd w:id="108"/>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109" w:name="_Toc43301608"/>
      <w:bookmarkStart w:id="110" w:name="_Toc41038741"/>
      <w:r>
        <w:rPr>
          <w:rStyle w:val="CharSectno"/>
        </w:rPr>
        <w:t>17D</w:t>
      </w:r>
      <w:r>
        <w:t>.</w:t>
      </w:r>
      <w:r>
        <w:tab/>
        <w:t>Longer period prescribed (Act 143(6g) etc.)</w:t>
      </w:r>
      <w:bookmarkEnd w:id="109"/>
      <w:bookmarkEnd w:id="110"/>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111" w:name="_Toc43301609"/>
      <w:bookmarkStart w:id="112" w:name="_Toc41038742"/>
      <w:r>
        <w:rPr>
          <w:rStyle w:val="CharSectno"/>
        </w:rPr>
        <w:t>17E</w:t>
      </w:r>
      <w:r>
        <w:t>.</w:t>
      </w:r>
      <w:r>
        <w:tab/>
        <w:t>Circumstances prescribed (Act s. 75(7a))</w:t>
      </w:r>
      <w:bookmarkEnd w:id="111"/>
      <w:bookmarkEnd w:id="112"/>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113" w:name="_Toc43301610"/>
      <w:bookmarkStart w:id="114" w:name="_Toc41038743"/>
      <w:r>
        <w:rPr>
          <w:rStyle w:val="CharSectno"/>
        </w:rPr>
        <w:t>17F</w:t>
      </w:r>
      <w:r>
        <w:t>.</w:t>
      </w:r>
      <w:r>
        <w:tab/>
        <w:t xml:space="preserve">Commonwealth agencies prescribed (Act s. 275A(1) </w:t>
      </w:r>
      <w:r>
        <w:rPr>
          <w:i/>
        </w:rPr>
        <w:t>public authority</w:t>
      </w:r>
      <w:r>
        <w:t>)</w:t>
      </w:r>
      <w:bookmarkEnd w:id="113"/>
      <w:bookmarkEnd w:id="114"/>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115" w:name="_Toc43215476"/>
      <w:bookmarkStart w:id="116" w:name="_Toc43216760"/>
      <w:bookmarkStart w:id="117" w:name="_Toc43301611"/>
      <w:bookmarkStart w:id="118" w:name="_Toc40972872"/>
      <w:bookmarkStart w:id="119" w:name="_Toc40974177"/>
      <w:bookmarkStart w:id="120" w:name="_Toc41038517"/>
      <w:bookmarkStart w:id="121" w:name="_Toc41038744"/>
      <w:r>
        <w:rPr>
          <w:rStyle w:val="CharPartNo"/>
        </w:rPr>
        <w:t>Part 3</w:t>
      </w:r>
      <w:r>
        <w:rPr>
          <w:rStyle w:val="CharDivNo"/>
        </w:rPr>
        <w:t> </w:t>
      </w:r>
      <w:r>
        <w:t>—</w:t>
      </w:r>
      <w:r>
        <w:rPr>
          <w:rStyle w:val="CharDivText"/>
        </w:rPr>
        <w:t> </w:t>
      </w:r>
      <w:r>
        <w:rPr>
          <w:rStyle w:val="CharPartText"/>
        </w:rPr>
        <w:t>Surveys</w:t>
      </w:r>
      <w:bookmarkEnd w:id="115"/>
      <w:bookmarkEnd w:id="116"/>
      <w:bookmarkEnd w:id="117"/>
      <w:bookmarkEnd w:id="118"/>
      <w:bookmarkEnd w:id="119"/>
      <w:bookmarkEnd w:id="120"/>
      <w:bookmarkEnd w:id="121"/>
    </w:p>
    <w:p>
      <w:pPr>
        <w:pStyle w:val="Heading5"/>
        <w:rPr>
          <w:snapToGrid w:val="0"/>
        </w:rPr>
      </w:pPr>
      <w:bookmarkStart w:id="122" w:name="_Toc43301612"/>
      <w:bookmarkStart w:id="123" w:name="_Toc41038745"/>
      <w:r>
        <w:rPr>
          <w:rStyle w:val="CharSectno"/>
        </w:rPr>
        <w:t>18</w:t>
      </w:r>
      <w:r>
        <w:rPr>
          <w:snapToGrid w:val="0"/>
        </w:rPr>
        <w:t>.</w:t>
      </w:r>
      <w:r>
        <w:rPr>
          <w:snapToGrid w:val="0"/>
        </w:rPr>
        <w:tab/>
        <w:t>Terms used</w:t>
      </w:r>
      <w:bookmarkEnd w:id="122"/>
      <w:bookmarkEnd w:id="123"/>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24" w:name="_Toc43301613"/>
      <w:bookmarkStart w:id="125" w:name="_Toc41038746"/>
      <w:r>
        <w:rPr>
          <w:rStyle w:val="CharSectno"/>
        </w:rPr>
        <w:t>19</w:t>
      </w:r>
      <w:r>
        <w:rPr>
          <w:snapToGrid w:val="0"/>
        </w:rPr>
        <w:t>.</w:t>
      </w:r>
      <w:r>
        <w:rPr>
          <w:snapToGrid w:val="0"/>
        </w:rPr>
        <w:tab/>
        <w:t>Doubts etc. about survey, duties of departmental surveyor as to</w:t>
      </w:r>
      <w:bookmarkEnd w:id="124"/>
      <w:bookmarkEnd w:id="125"/>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26" w:name="_Toc43301614"/>
      <w:bookmarkStart w:id="127" w:name="_Toc41038747"/>
      <w:r>
        <w:rPr>
          <w:rStyle w:val="CharSectno"/>
        </w:rPr>
        <w:t>20</w:t>
      </w:r>
      <w:r>
        <w:rPr>
          <w:snapToGrid w:val="0"/>
        </w:rPr>
        <w:t>.</w:t>
      </w:r>
      <w:r>
        <w:rPr>
          <w:snapToGrid w:val="0"/>
        </w:rPr>
        <w:tab/>
        <w:t>Authorised land officer’s powers for Act s. 32</w:t>
      </w:r>
      <w:bookmarkEnd w:id="126"/>
      <w:bookmarkEnd w:id="127"/>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28" w:name="_Toc43301615"/>
      <w:bookmarkStart w:id="129" w:name="_Toc41038748"/>
      <w:r>
        <w:rPr>
          <w:rStyle w:val="CharSectno"/>
        </w:rPr>
        <w:t>21</w:t>
      </w:r>
      <w:r>
        <w:rPr>
          <w:snapToGrid w:val="0"/>
        </w:rPr>
        <w:t>.</w:t>
      </w:r>
      <w:r>
        <w:rPr>
          <w:snapToGrid w:val="0"/>
        </w:rPr>
        <w:tab/>
        <w:t>Alternative methodology for authorised surveys in special cases</w:t>
      </w:r>
      <w:bookmarkEnd w:id="128"/>
      <w:bookmarkEnd w:id="129"/>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30" w:name="_Toc43301616"/>
      <w:bookmarkStart w:id="131" w:name="_Toc41038749"/>
      <w:r>
        <w:rPr>
          <w:rStyle w:val="CharSectno"/>
        </w:rPr>
        <w:t>22</w:t>
      </w:r>
      <w:r>
        <w:rPr>
          <w:snapToGrid w:val="0"/>
        </w:rPr>
        <w:t>.</w:t>
      </w:r>
      <w:r>
        <w:rPr>
          <w:snapToGrid w:val="0"/>
        </w:rPr>
        <w:tab/>
        <w:t>Documents of departmental surveyor are Crown property</w:t>
      </w:r>
      <w:bookmarkEnd w:id="130"/>
      <w:bookmarkEnd w:id="131"/>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32" w:name="_Toc43301617"/>
      <w:bookmarkStart w:id="133" w:name="_Toc4103875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32"/>
      <w:bookmarkEnd w:id="133"/>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34" w:name="_Toc43215483"/>
      <w:bookmarkStart w:id="135" w:name="_Toc43216767"/>
      <w:bookmarkStart w:id="136" w:name="_Toc43301618"/>
      <w:bookmarkStart w:id="137" w:name="_Toc40972879"/>
      <w:bookmarkStart w:id="138" w:name="_Toc40974184"/>
      <w:bookmarkStart w:id="139" w:name="_Toc41038524"/>
      <w:bookmarkStart w:id="140" w:name="_Toc41038751"/>
      <w:r>
        <w:rPr>
          <w:rStyle w:val="CharPartNo"/>
        </w:rPr>
        <w:t>Part 4</w:t>
      </w:r>
      <w:r>
        <w:rPr>
          <w:rStyle w:val="CharDivNo"/>
        </w:rPr>
        <w:t> </w:t>
      </w:r>
      <w:r>
        <w:t>—</w:t>
      </w:r>
      <w:r>
        <w:rPr>
          <w:rStyle w:val="CharDivText"/>
        </w:rPr>
        <w:t> </w:t>
      </w:r>
      <w:r>
        <w:rPr>
          <w:rStyle w:val="CharPartText"/>
        </w:rPr>
        <w:t>Advisory panels</w:t>
      </w:r>
      <w:bookmarkEnd w:id="134"/>
      <w:bookmarkEnd w:id="135"/>
      <w:bookmarkEnd w:id="136"/>
      <w:bookmarkEnd w:id="137"/>
      <w:bookmarkEnd w:id="138"/>
      <w:bookmarkEnd w:id="139"/>
      <w:bookmarkEnd w:id="140"/>
    </w:p>
    <w:p>
      <w:pPr>
        <w:pStyle w:val="Heading5"/>
        <w:rPr>
          <w:snapToGrid w:val="0"/>
        </w:rPr>
      </w:pPr>
      <w:bookmarkStart w:id="141" w:name="_Toc43301619"/>
      <w:bookmarkStart w:id="142" w:name="_Toc41038752"/>
      <w:r>
        <w:rPr>
          <w:rStyle w:val="CharSectno"/>
        </w:rPr>
        <w:t>24</w:t>
      </w:r>
      <w:r>
        <w:rPr>
          <w:snapToGrid w:val="0"/>
        </w:rPr>
        <w:t>.</w:t>
      </w:r>
      <w:r>
        <w:rPr>
          <w:snapToGrid w:val="0"/>
        </w:rPr>
        <w:tab/>
        <w:t>Terms used</w:t>
      </w:r>
      <w:bookmarkEnd w:id="141"/>
      <w:bookmarkEnd w:id="142"/>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43" w:name="_Toc43301620"/>
      <w:bookmarkStart w:id="144" w:name="_Toc41038753"/>
      <w:r>
        <w:rPr>
          <w:rStyle w:val="CharSectno"/>
        </w:rPr>
        <w:t>25</w:t>
      </w:r>
      <w:r>
        <w:rPr>
          <w:snapToGrid w:val="0"/>
        </w:rPr>
        <w:t>.</w:t>
      </w:r>
      <w:r>
        <w:rPr>
          <w:snapToGrid w:val="0"/>
        </w:rPr>
        <w:tab/>
        <w:t>Members of panels</w:t>
      </w:r>
      <w:bookmarkEnd w:id="143"/>
      <w:bookmarkEnd w:id="144"/>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45" w:name="_Toc43301621"/>
      <w:bookmarkStart w:id="146" w:name="_Toc41038754"/>
      <w:r>
        <w:rPr>
          <w:rStyle w:val="CharSectno"/>
        </w:rPr>
        <w:t>26</w:t>
      </w:r>
      <w:r>
        <w:rPr>
          <w:snapToGrid w:val="0"/>
        </w:rPr>
        <w:t>.</w:t>
      </w:r>
      <w:r>
        <w:rPr>
          <w:snapToGrid w:val="0"/>
        </w:rPr>
        <w:tab/>
        <w:t>Remuneration of members</w:t>
      </w:r>
      <w:bookmarkEnd w:id="145"/>
      <w:bookmarkEnd w:id="146"/>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47" w:name="_Toc43301622"/>
      <w:bookmarkStart w:id="148" w:name="_Toc41038755"/>
      <w:r>
        <w:rPr>
          <w:rStyle w:val="CharSectno"/>
        </w:rPr>
        <w:t>27</w:t>
      </w:r>
      <w:r>
        <w:rPr>
          <w:snapToGrid w:val="0"/>
        </w:rPr>
        <w:t>.</w:t>
      </w:r>
      <w:r>
        <w:rPr>
          <w:snapToGrid w:val="0"/>
        </w:rPr>
        <w:tab/>
        <w:t>Term of office</w:t>
      </w:r>
      <w:bookmarkEnd w:id="147"/>
      <w:bookmarkEnd w:id="148"/>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49" w:name="_Toc43301623"/>
      <w:bookmarkStart w:id="150" w:name="_Toc41038756"/>
      <w:r>
        <w:rPr>
          <w:rStyle w:val="CharSectno"/>
        </w:rPr>
        <w:t>28</w:t>
      </w:r>
      <w:r>
        <w:rPr>
          <w:snapToGrid w:val="0"/>
        </w:rPr>
        <w:t>.</w:t>
      </w:r>
      <w:r>
        <w:rPr>
          <w:snapToGrid w:val="0"/>
        </w:rPr>
        <w:tab/>
        <w:t>Member unable to act</w:t>
      </w:r>
      <w:bookmarkEnd w:id="149"/>
      <w:bookmarkEnd w:id="150"/>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51" w:name="_Toc43301624"/>
      <w:bookmarkStart w:id="152" w:name="_Toc41038757"/>
      <w:r>
        <w:rPr>
          <w:rStyle w:val="CharSectno"/>
        </w:rPr>
        <w:t>29</w:t>
      </w:r>
      <w:r>
        <w:rPr>
          <w:snapToGrid w:val="0"/>
        </w:rPr>
        <w:t>.</w:t>
      </w:r>
      <w:r>
        <w:rPr>
          <w:snapToGrid w:val="0"/>
        </w:rPr>
        <w:tab/>
        <w:t>Calling of meetings</w:t>
      </w:r>
      <w:bookmarkEnd w:id="151"/>
      <w:bookmarkEnd w:id="152"/>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53" w:name="_Toc43301625"/>
      <w:bookmarkStart w:id="154" w:name="_Toc41038758"/>
      <w:r>
        <w:rPr>
          <w:rStyle w:val="CharSectno"/>
        </w:rPr>
        <w:t>30</w:t>
      </w:r>
      <w:r>
        <w:rPr>
          <w:snapToGrid w:val="0"/>
        </w:rPr>
        <w:t>.</w:t>
      </w:r>
      <w:r>
        <w:rPr>
          <w:snapToGrid w:val="0"/>
        </w:rPr>
        <w:tab/>
        <w:t>Who presides at meetings</w:t>
      </w:r>
      <w:bookmarkEnd w:id="153"/>
      <w:bookmarkEnd w:id="154"/>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55" w:name="_Toc43301626"/>
      <w:bookmarkStart w:id="156" w:name="_Toc41038759"/>
      <w:r>
        <w:rPr>
          <w:rStyle w:val="CharSectno"/>
        </w:rPr>
        <w:t>31</w:t>
      </w:r>
      <w:r>
        <w:rPr>
          <w:snapToGrid w:val="0"/>
        </w:rPr>
        <w:t>.</w:t>
      </w:r>
      <w:r>
        <w:rPr>
          <w:snapToGrid w:val="0"/>
        </w:rPr>
        <w:tab/>
        <w:t>Quorum</w:t>
      </w:r>
      <w:bookmarkEnd w:id="155"/>
      <w:bookmarkEnd w:id="156"/>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57" w:name="_Toc43301627"/>
      <w:bookmarkStart w:id="158" w:name="_Toc41038760"/>
      <w:r>
        <w:rPr>
          <w:rStyle w:val="CharSectno"/>
        </w:rPr>
        <w:t>32</w:t>
      </w:r>
      <w:r>
        <w:rPr>
          <w:snapToGrid w:val="0"/>
        </w:rPr>
        <w:t>.</w:t>
      </w:r>
      <w:r>
        <w:rPr>
          <w:snapToGrid w:val="0"/>
        </w:rPr>
        <w:tab/>
        <w:t>Voting</w:t>
      </w:r>
      <w:bookmarkEnd w:id="157"/>
      <w:bookmarkEnd w:id="158"/>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59" w:name="_Toc43301628"/>
      <w:bookmarkStart w:id="160" w:name="_Toc41038761"/>
      <w:r>
        <w:rPr>
          <w:rStyle w:val="CharSectno"/>
        </w:rPr>
        <w:t>33</w:t>
      </w:r>
      <w:r>
        <w:rPr>
          <w:snapToGrid w:val="0"/>
        </w:rPr>
        <w:t>.</w:t>
      </w:r>
      <w:r>
        <w:rPr>
          <w:snapToGrid w:val="0"/>
        </w:rPr>
        <w:tab/>
        <w:t>Minutes</w:t>
      </w:r>
      <w:bookmarkEnd w:id="159"/>
      <w:bookmarkEnd w:id="16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161" w:name="_Toc43301629"/>
      <w:bookmarkStart w:id="162" w:name="_Toc41038762"/>
      <w:r>
        <w:rPr>
          <w:rStyle w:val="CharSectno"/>
        </w:rPr>
        <w:t>34</w:t>
      </w:r>
      <w:r>
        <w:rPr>
          <w:snapToGrid w:val="0"/>
        </w:rPr>
        <w:t>.</w:t>
      </w:r>
      <w:r>
        <w:rPr>
          <w:snapToGrid w:val="0"/>
        </w:rPr>
        <w:tab/>
        <w:t>Telephone or video meetings</w:t>
      </w:r>
      <w:bookmarkEnd w:id="161"/>
      <w:bookmarkEnd w:id="162"/>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163" w:name="_Toc43301630"/>
      <w:bookmarkStart w:id="164" w:name="_Toc41038763"/>
      <w:r>
        <w:rPr>
          <w:rStyle w:val="CharSectno"/>
        </w:rPr>
        <w:t>35</w:t>
      </w:r>
      <w:r>
        <w:rPr>
          <w:snapToGrid w:val="0"/>
        </w:rPr>
        <w:t>.</w:t>
      </w:r>
      <w:r>
        <w:rPr>
          <w:snapToGrid w:val="0"/>
        </w:rPr>
        <w:tab/>
        <w:t>How panel is to inform itself</w:t>
      </w:r>
      <w:bookmarkEnd w:id="163"/>
      <w:bookmarkEnd w:id="164"/>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165" w:name="_Toc43301631"/>
      <w:bookmarkStart w:id="166" w:name="_Toc41038764"/>
      <w:r>
        <w:rPr>
          <w:rStyle w:val="CharSectno"/>
        </w:rPr>
        <w:t>36</w:t>
      </w:r>
      <w:r>
        <w:rPr>
          <w:snapToGrid w:val="0"/>
        </w:rPr>
        <w:t>.</w:t>
      </w:r>
      <w:r>
        <w:rPr>
          <w:snapToGrid w:val="0"/>
        </w:rPr>
        <w:tab/>
        <w:t>Public hearings</w:t>
      </w:r>
      <w:bookmarkEnd w:id="165"/>
      <w:bookmarkEnd w:id="166"/>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167" w:name="_Toc43301632"/>
      <w:bookmarkStart w:id="168" w:name="_Toc41038765"/>
      <w:r>
        <w:rPr>
          <w:rStyle w:val="CharSectno"/>
        </w:rPr>
        <w:t>37</w:t>
      </w:r>
      <w:r>
        <w:rPr>
          <w:snapToGrid w:val="0"/>
        </w:rPr>
        <w:t>.</w:t>
      </w:r>
      <w:r>
        <w:rPr>
          <w:snapToGrid w:val="0"/>
        </w:rPr>
        <w:tab/>
        <w:t>Panel to determine own procedures</w:t>
      </w:r>
      <w:bookmarkEnd w:id="167"/>
      <w:bookmarkEnd w:id="168"/>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169" w:name="_Toc43301633"/>
      <w:bookmarkStart w:id="170" w:name="_Toc41038766"/>
      <w:r>
        <w:rPr>
          <w:rStyle w:val="CharSectno"/>
        </w:rPr>
        <w:t>38</w:t>
      </w:r>
      <w:r>
        <w:rPr>
          <w:snapToGrid w:val="0"/>
        </w:rPr>
        <w:t>.</w:t>
      </w:r>
      <w:r>
        <w:rPr>
          <w:snapToGrid w:val="0"/>
        </w:rPr>
        <w:tab/>
        <w:t>Conflict of interest</w:t>
      </w:r>
      <w:bookmarkEnd w:id="169"/>
      <w:bookmarkEnd w:id="170"/>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171" w:name="_Toc43301634"/>
      <w:bookmarkStart w:id="172" w:name="_Toc41038767"/>
      <w:r>
        <w:rPr>
          <w:rStyle w:val="CharSectno"/>
        </w:rPr>
        <w:t>39</w:t>
      </w:r>
      <w:r>
        <w:rPr>
          <w:snapToGrid w:val="0"/>
        </w:rPr>
        <w:t>.</w:t>
      </w:r>
      <w:r>
        <w:rPr>
          <w:snapToGrid w:val="0"/>
        </w:rPr>
        <w:tab/>
        <w:t>Confidentiality</w:t>
      </w:r>
      <w:bookmarkEnd w:id="171"/>
      <w:bookmarkEnd w:id="172"/>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3" w:name="_Toc43215500"/>
      <w:bookmarkStart w:id="174" w:name="_Toc43216784"/>
      <w:bookmarkStart w:id="175" w:name="_Toc43301635"/>
      <w:bookmarkStart w:id="176" w:name="_Toc40972896"/>
      <w:bookmarkStart w:id="177" w:name="_Toc40974201"/>
      <w:bookmarkStart w:id="178" w:name="_Toc41038541"/>
      <w:bookmarkStart w:id="179" w:name="_Toc41038768"/>
      <w:r>
        <w:rPr>
          <w:rStyle w:val="CharSchNo"/>
        </w:rPr>
        <w:t>Schedule 1</w:t>
      </w:r>
      <w:r>
        <w:t> — </w:t>
      </w:r>
      <w:r>
        <w:rPr>
          <w:rStyle w:val="CharSchText"/>
        </w:rPr>
        <w:t>Fees payable to chief executive officer</w:t>
      </w:r>
      <w:bookmarkEnd w:id="173"/>
      <w:bookmarkEnd w:id="174"/>
      <w:bookmarkEnd w:id="175"/>
      <w:bookmarkEnd w:id="176"/>
      <w:bookmarkEnd w:id="177"/>
      <w:bookmarkEnd w:id="178"/>
      <w:bookmarkEnd w:id="17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191.00</w:t>
            </w:r>
          </w:p>
        </w:tc>
      </w:tr>
      <w:tr>
        <w:tc>
          <w:tcPr>
            <w:tcW w:w="5790" w:type="dxa"/>
          </w:tcPr>
          <w:p>
            <w:pPr>
              <w:pStyle w:val="yTableNAm"/>
              <w:ind w:left="578" w:hanging="578"/>
            </w:pPr>
            <w:r>
              <w:tab/>
              <w:t>(b)</w:t>
            </w:r>
            <w:r>
              <w:tab/>
              <w:t>moderate document</w:t>
            </w:r>
          </w:p>
        </w:tc>
        <w:tc>
          <w:tcPr>
            <w:tcW w:w="1560" w:type="dxa"/>
          </w:tcPr>
          <w:p>
            <w:pPr>
              <w:pStyle w:val="yTableNAm"/>
            </w:pPr>
            <w:r>
              <w:rPr>
                <w:szCs w:val="22"/>
              </w:rPr>
              <w:t>731.00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1 333.00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81" w:name="_Toc43215501"/>
      <w:bookmarkStart w:id="182" w:name="_Toc43216785"/>
      <w:bookmarkStart w:id="183" w:name="_Toc43301636"/>
      <w:bookmarkStart w:id="184" w:name="_Toc40974202"/>
      <w:bookmarkStart w:id="185" w:name="_Toc41038542"/>
      <w:bookmarkStart w:id="186" w:name="_Toc41038769"/>
      <w:bookmarkStart w:id="187" w:name="_Toc40972899"/>
      <w:r>
        <w:t>Notes</w:t>
      </w:r>
      <w:bookmarkEnd w:id="181"/>
      <w:bookmarkEnd w:id="182"/>
      <w:bookmarkEnd w:id="183"/>
      <w:bookmarkEnd w:id="184"/>
      <w:bookmarkEnd w:id="185"/>
      <w:bookmarkEnd w:id="186"/>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del w:id="188" w:author="Master Repository Process" w:date="2021-08-29T03:44:00Z">
        <w:r>
          <w:delText xml:space="preserve"> For provisions that have not yet come into operation see the uncommenced provisions table.</w:delText>
        </w:r>
      </w:del>
    </w:p>
    <w:p>
      <w:pPr>
        <w:pStyle w:val="nHeading3"/>
      </w:pPr>
      <w:bookmarkStart w:id="189" w:name="_Toc43301637"/>
      <w:bookmarkStart w:id="190" w:name="_Toc41038770"/>
      <w:r>
        <w:t>Compilation table</w:t>
      </w:r>
      <w:bookmarkEnd w:id="189"/>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bl>
    <w:p>
      <w:pPr>
        <w:pStyle w:val="nHeading3"/>
        <w:rPr>
          <w:del w:id="191" w:author="Master Repository Process" w:date="2021-08-29T03:44:00Z"/>
        </w:rPr>
      </w:pPr>
      <w:bookmarkStart w:id="192" w:name="_Toc41038771"/>
      <w:del w:id="193" w:author="Master Repository Process" w:date="2021-08-29T03:44:00Z">
        <w:r>
          <w:delText>Uncommenced provisions table</w:delText>
        </w:r>
        <w:bookmarkEnd w:id="192"/>
      </w:del>
    </w:p>
    <w:p>
      <w:pPr>
        <w:pStyle w:val="nStatement"/>
        <w:keepNext/>
        <w:spacing w:after="240"/>
        <w:rPr>
          <w:del w:id="194" w:author="Master Repository Process" w:date="2021-08-29T03:44:00Z"/>
        </w:rPr>
      </w:pPr>
      <w:del w:id="195" w:author="Master Repository Process" w:date="2021-08-29T03:4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96" w:author="Master Repository Process" w:date="2021-08-29T03:44:00Z"/>
        </w:trPr>
        <w:tc>
          <w:tcPr>
            <w:tcW w:w="3118" w:type="dxa"/>
          </w:tcPr>
          <w:p>
            <w:pPr>
              <w:pStyle w:val="nTable"/>
              <w:spacing w:after="40"/>
              <w:rPr>
                <w:del w:id="197" w:author="Master Repository Process" w:date="2021-08-29T03:44:00Z"/>
                <w:b/>
              </w:rPr>
            </w:pPr>
            <w:del w:id="198" w:author="Master Repository Process" w:date="2021-08-29T03:44:00Z">
              <w:r>
                <w:rPr>
                  <w:b/>
                </w:rPr>
                <w:delText>Citation</w:delText>
              </w:r>
            </w:del>
          </w:p>
        </w:tc>
        <w:tc>
          <w:tcPr>
            <w:tcW w:w="1276" w:type="dxa"/>
          </w:tcPr>
          <w:p>
            <w:pPr>
              <w:pStyle w:val="nTable"/>
              <w:spacing w:after="40"/>
              <w:rPr>
                <w:del w:id="199" w:author="Master Repository Process" w:date="2021-08-29T03:44:00Z"/>
                <w:b/>
              </w:rPr>
            </w:pPr>
            <w:del w:id="200" w:author="Master Repository Process" w:date="2021-08-29T03:44:00Z">
              <w:r>
                <w:rPr>
                  <w:b/>
                </w:rPr>
                <w:delText>Published</w:delText>
              </w:r>
            </w:del>
          </w:p>
        </w:tc>
        <w:tc>
          <w:tcPr>
            <w:tcW w:w="2693" w:type="dxa"/>
          </w:tcPr>
          <w:p>
            <w:pPr>
              <w:pStyle w:val="nTable"/>
              <w:spacing w:after="40"/>
              <w:rPr>
                <w:del w:id="201" w:author="Master Repository Process" w:date="2021-08-29T03:44:00Z"/>
                <w:b/>
              </w:rPr>
            </w:pPr>
            <w:del w:id="202" w:author="Master Repository Process" w:date="2021-08-29T03:44: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bottom w:val="single" w:sz="4" w:space="0" w:color="auto"/>
            </w:tcBorders>
            <w:shd w:val="clear" w:color="auto" w:fill="auto"/>
          </w:tcPr>
          <w:p>
            <w:pPr>
              <w:pStyle w:val="nTable"/>
              <w:spacing w:after="40"/>
            </w:pPr>
            <w:r>
              <w:t>SL 2020/64</w:t>
            </w:r>
            <w:del w:id="203" w:author="Master Repository Process" w:date="2021-08-29T03:44:00Z">
              <w:r>
                <w:br/>
              </w:r>
            </w:del>
            <w:ins w:id="204" w:author="Master Repository Process" w:date="2021-08-29T03:44:00Z">
              <w:r>
                <w:t xml:space="preserve"> </w:t>
              </w:r>
            </w:ins>
            <w:r>
              <w:t>22 May 2020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1 Jul 2020 (see r. 2(b))</w:t>
            </w:r>
          </w:p>
        </w:tc>
      </w:tr>
    </w:tbl>
    <w:p>
      <w:pPr>
        <w:pStyle w:val="nHeading3"/>
      </w:pPr>
      <w:bookmarkStart w:id="205" w:name="_Toc43301638"/>
      <w:bookmarkStart w:id="206" w:name="_Toc41038772"/>
      <w:r>
        <w:t>Other notes</w:t>
      </w:r>
      <w:bookmarkEnd w:id="205"/>
      <w:bookmarkEnd w:id="206"/>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87"/>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0" w:name="Schedule"/>
    <w:bookmarkEnd w:id="1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616155537"/>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4D72B4-6A43-448F-BB2A-0F7C7C1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8157</Words>
  <Characters>38994</Characters>
  <Application>Microsoft Office Word</Application>
  <DocSecurity>0</DocSecurity>
  <Lines>1181</Lines>
  <Paragraphs>654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04-i0-00 - 04-j0-02</dc:title>
  <dc:subject/>
  <dc:creator/>
  <cp:keywords/>
  <dc:description/>
  <cp:lastModifiedBy>Master Repository Process</cp:lastModifiedBy>
  <cp:revision>2</cp:revision>
  <cp:lastPrinted>2019-06-28T02:23:00Z</cp:lastPrinted>
  <dcterms:created xsi:type="dcterms:W3CDTF">2021-08-28T19:44:00Z</dcterms:created>
  <dcterms:modified xsi:type="dcterms:W3CDTF">2021-08-28T19:44:00Z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20200701</vt:lpwstr>
  </property>
  <property fmtid="{D5CDD505-2E9C-101B-9397-08002B2CF9AE}" pid="8" name="FromSuffix">
    <vt:lpwstr>04-i0-00</vt:lpwstr>
  </property>
  <property fmtid="{D5CDD505-2E9C-101B-9397-08002B2CF9AE}" pid="9" name="FromAsAtDate">
    <vt:lpwstr>22 May 2020</vt:lpwstr>
  </property>
  <property fmtid="{D5CDD505-2E9C-101B-9397-08002B2CF9AE}" pid="10" name="ToSuffix">
    <vt:lpwstr>04-j0-02</vt:lpwstr>
  </property>
  <property fmtid="{D5CDD505-2E9C-101B-9397-08002B2CF9AE}" pid="11" name="ToAsAtDate">
    <vt:lpwstr>01 Jul 2020</vt:lpwstr>
  </property>
</Properties>
</file>