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Combat Sports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04 Jul 2020</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17:05:00Z"/>
        </w:rPr>
      </w:pPr>
      <w:del w:id="2" w:author="Master Repository Process" w:date="2021-07-31T17:05:00Z">
        <w:r>
          <w:lastRenderedPageBreak/>
          <w:delText>Western Australia</w:delText>
        </w:r>
      </w:del>
    </w:p>
    <w:p>
      <w:pPr>
        <w:pStyle w:val="PrincipalActReg"/>
      </w:pPr>
      <w:r>
        <w:t>Combat Sports Act 1987</w:t>
      </w:r>
    </w:p>
    <w:p>
      <w:pPr>
        <w:pStyle w:val="NameofActReg"/>
      </w:pPr>
      <w:r>
        <w:t>Combat Sports Regulations 2004</w:t>
      </w:r>
    </w:p>
    <w:p>
      <w:pPr>
        <w:pStyle w:val="Heading2"/>
        <w:pageBreakBefore w:val="0"/>
        <w:spacing w:before="240"/>
      </w:pPr>
      <w:bookmarkStart w:id="3" w:name="_Toc44576165"/>
      <w:bookmarkStart w:id="4" w:name="_Toc44578671"/>
      <w:bookmarkStart w:id="5" w:name="_Toc44582047"/>
      <w:bookmarkStart w:id="6" w:name="_Toc11669074"/>
      <w:bookmarkStart w:id="7" w:name="_Toc11672859"/>
      <w:bookmarkStart w:id="8" w:name="_Toc1185307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44582048"/>
      <w:bookmarkStart w:id="11" w:name="_Toc11853071"/>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regulations </w:t>
      </w:r>
      <w:r>
        <w:rPr>
          <w:spacing w:val="-2"/>
        </w:rPr>
        <w:t>are</w:t>
      </w:r>
      <w:r>
        <w:t xml:space="preserve"> the </w:t>
      </w:r>
      <w:r>
        <w:rPr>
          <w:i/>
        </w:rPr>
        <w:t>Combat Sports Regulations 2004</w:t>
      </w:r>
      <w:del w:id="13" w:author="Master Repository Process" w:date="2021-07-31T17:05:00Z">
        <w:r>
          <w:rPr>
            <w:vertAlign w:val="superscript"/>
          </w:rPr>
          <w:delText> 1</w:delText>
        </w:r>
      </w:del>
      <w:r>
        <w:t>.</w:t>
      </w:r>
    </w:p>
    <w:p>
      <w:pPr>
        <w:pStyle w:val="Footnotesection"/>
      </w:pPr>
      <w:r>
        <w:tab/>
        <w:t>[Regulation 1 amended: Gazette 22 Feb 2013 p. 1014.]</w:t>
      </w:r>
    </w:p>
    <w:p>
      <w:pPr>
        <w:pStyle w:val="Heading5"/>
        <w:rPr>
          <w:spacing w:val="-2"/>
        </w:rPr>
      </w:pPr>
      <w:bookmarkStart w:id="14" w:name="_Toc44582049"/>
      <w:bookmarkStart w:id="15" w:name="_Toc11853072"/>
      <w:r>
        <w:rPr>
          <w:rStyle w:val="CharSectno"/>
        </w:rPr>
        <w:t>2</w:t>
      </w:r>
      <w:r>
        <w:rPr>
          <w:spacing w:val="-2"/>
        </w:rPr>
        <w:t>.</w:t>
      </w:r>
      <w:r>
        <w:rPr>
          <w:spacing w:val="-2"/>
        </w:rPr>
        <w:tab/>
        <w:t>Commencement</w:t>
      </w:r>
      <w:bookmarkEnd w:id="14"/>
      <w:bookmarkEnd w:id="15"/>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del w:id="16" w:author="Master Repository Process" w:date="2021-07-31T17:05:00Z">
        <w:r>
          <w:rPr>
            <w:spacing w:val="-2"/>
            <w:vertAlign w:val="superscript"/>
          </w:rPr>
          <w:delText> 1</w:delText>
        </w:r>
      </w:del>
      <w:r>
        <w:rPr>
          <w:spacing w:val="-2"/>
        </w:rPr>
        <w:t>.</w:t>
      </w:r>
    </w:p>
    <w:p>
      <w:pPr>
        <w:pStyle w:val="Heading5"/>
      </w:pPr>
      <w:bookmarkStart w:id="17" w:name="_Toc44582050"/>
      <w:bookmarkStart w:id="18" w:name="_Toc11853073"/>
      <w:r>
        <w:rPr>
          <w:rStyle w:val="CharSectno"/>
        </w:rPr>
        <w:t>3</w:t>
      </w:r>
      <w:r>
        <w:t>.</w:t>
      </w:r>
      <w:r>
        <w:tab/>
        <w:t>Terms used</w:t>
      </w:r>
      <w:bookmarkEnd w:id="17"/>
      <w:bookmarkEnd w:id="18"/>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tab/>
      </w:r>
      <w:r>
        <w:rPr>
          <w:rStyle w:val="CharDefText"/>
        </w:rPr>
        <w:t>sanction</w:t>
      </w:r>
      <w:r>
        <w:t>, in relation to a title, means to approve of the use of the title in relation to a contestant in a contest.</w:t>
      </w:r>
    </w:p>
    <w:p>
      <w:pPr>
        <w:pStyle w:val="Footnotesection"/>
      </w:pPr>
      <w:r>
        <w:tab/>
        <w:t>[Regulation 3 amended: Gazette 22 Feb 2013 p. 1014.]</w:t>
      </w:r>
    </w:p>
    <w:p>
      <w:pPr>
        <w:pStyle w:val="Heading5"/>
      </w:pPr>
      <w:bookmarkStart w:id="19" w:name="_Toc44582051"/>
      <w:bookmarkStart w:id="20" w:name="_Toc11853074"/>
      <w:r>
        <w:rPr>
          <w:rStyle w:val="CharSectno"/>
        </w:rPr>
        <w:lastRenderedPageBreak/>
        <w:t>4</w:t>
      </w:r>
      <w:r>
        <w:t>.</w:t>
      </w:r>
      <w:r>
        <w:tab/>
        <w:t>Combat sports prescribed not to be combat sport</w:t>
      </w:r>
      <w:bookmarkEnd w:id="19"/>
      <w:bookmarkEnd w:id="20"/>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Gazette 22 Feb 2013 p. 1014.]</w:t>
      </w:r>
    </w:p>
    <w:p>
      <w:pPr>
        <w:pStyle w:val="Heading5"/>
      </w:pPr>
      <w:bookmarkStart w:id="21" w:name="_Toc44582052"/>
      <w:bookmarkStart w:id="22" w:name="_Toc11853075"/>
      <w:r>
        <w:rPr>
          <w:rStyle w:val="CharSectno"/>
        </w:rPr>
        <w:t>5A</w:t>
      </w:r>
      <w:r>
        <w:t>.</w:t>
      </w:r>
      <w:r>
        <w:tab/>
        <w:t>Contests prescribed not to be contest</w:t>
      </w:r>
      <w:bookmarkEnd w:id="21"/>
      <w:bookmarkEnd w:id="22"/>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Sport Taekwondo WA;</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Gazette 22 Feb 2013 p. 1015.]</w:t>
      </w:r>
    </w:p>
    <w:p>
      <w:pPr>
        <w:pStyle w:val="Heading2"/>
      </w:pPr>
      <w:bookmarkStart w:id="23" w:name="_Toc44576171"/>
      <w:bookmarkStart w:id="24" w:name="_Toc44578677"/>
      <w:bookmarkStart w:id="25" w:name="_Toc44582053"/>
      <w:bookmarkStart w:id="26" w:name="_Toc11669080"/>
      <w:bookmarkStart w:id="27" w:name="_Toc11672865"/>
      <w:bookmarkStart w:id="28" w:name="_Toc11853076"/>
      <w:r>
        <w:rPr>
          <w:rStyle w:val="CharPartNo"/>
        </w:rPr>
        <w:t>Part 2</w:t>
      </w:r>
      <w:r>
        <w:t> — </w:t>
      </w:r>
      <w:r>
        <w:rPr>
          <w:rStyle w:val="CharPartText"/>
        </w:rPr>
        <w:t>Registration</w:t>
      </w:r>
      <w:bookmarkEnd w:id="23"/>
      <w:bookmarkEnd w:id="24"/>
      <w:bookmarkEnd w:id="25"/>
      <w:bookmarkEnd w:id="26"/>
      <w:bookmarkEnd w:id="27"/>
      <w:bookmarkEnd w:id="28"/>
    </w:p>
    <w:p>
      <w:pPr>
        <w:pStyle w:val="Heading3"/>
      </w:pPr>
      <w:bookmarkStart w:id="29" w:name="_Toc44576172"/>
      <w:bookmarkStart w:id="30" w:name="_Toc44578678"/>
      <w:bookmarkStart w:id="31" w:name="_Toc44582054"/>
      <w:bookmarkStart w:id="32" w:name="_Toc11669081"/>
      <w:bookmarkStart w:id="33" w:name="_Toc11672866"/>
      <w:bookmarkStart w:id="34" w:name="_Toc11853077"/>
      <w:r>
        <w:rPr>
          <w:rStyle w:val="CharDivNo"/>
        </w:rPr>
        <w:t>Division 1</w:t>
      </w:r>
      <w:r>
        <w:t> — </w:t>
      </w:r>
      <w:r>
        <w:rPr>
          <w:rStyle w:val="CharDivText"/>
        </w:rPr>
        <w:t>Contestants</w:t>
      </w:r>
      <w:bookmarkEnd w:id="29"/>
      <w:bookmarkEnd w:id="30"/>
      <w:bookmarkEnd w:id="31"/>
      <w:bookmarkEnd w:id="32"/>
      <w:bookmarkEnd w:id="33"/>
      <w:bookmarkEnd w:id="34"/>
    </w:p>
    <w:p>
      <w:pPr>
        <w:pStyle w:val="Heading5"/>
        <w:rPr>
          <w:snapToGrid w:val="0"/>
        </w:rPr>
      </w:pPr>
      <w:bookmarkStart w:id="35" w:name="_Toc44582055"/>
      <w:bookmarkStart w:id="36" w:name="_Toc11853078"/>
      <w:r>
        <w:rPr>
          <w:rStyle w:val="CharSectno"/>
        </w:rPr>
        <w:t>5</w:t>
      </w:r>
      <w:r>
        <w:t>.</w:t>
      </w:r>
      <w:r>
        <w:tab/>
      </w:r>
      <w:r>
        <w:rPr>
          <w:snapToGrid w:val="0"/>
        </w:rPr>
        <w:t>Prescribed classes of contestants</w:t>
      </w:r>
      <w:bookmarkEnd w:id="35"/>
      <w:bookmarkEnd w:id="36"/>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r>
        <w:tab/>
        <w:t>[Regulation 5 amended: Gazette 22 Feb 2013 p. 1015.]</w:t>
      </w:r>
    </w:p>
    <w:p>
      <w:pPr>
        <w:pStyle w:val="Heading5"/>
      </w:pPr>
      <w:bookmarkStart w:id="37" w:name="_Toc44582056"/>
      <w:bookmarkStart w:id="38" w:name="_Toc11853079"/>
      <w:r>
        <w:rPr>
          <w:rStyle w:val="CharSectno"/>
        </w:rPr>
        <w:t>6A</w:t>
      </w:r>
      <w:r>
        <w:t>.</w:t>
      </w:r>
      <w:r>
        <w:tab/>
        <w:t>Persons taken to be registered as contestant</w:t>
      </w:r>
      <w:bookmarkEnd w:id="37"/>
      <w:bookmarkEnd w:id="38"/>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 Gazette 22 Feb 2013 p. 1015.]</w:t>
      </w:r>
    </w:p>
    <w:p>
      <w:pPr>
        <w:pStyle w:val="Heading5"/>
      </w:pPr>
      <w:bookmarkStart w:id="39" w:name="_Toc44582057"/>
      <w:bookmarkStart w:id="40" w:name="_Toc11853080"/>
      <w:r>
        <w:rPr>
          <w:rStyle w:val="CharSectno"/>
        </w:rPr>
        <w:t>6</w:t>
      </w:r>
      <w:r>
        <w:t>.</w:t>
      </w:r>
      <w:r>
        <w:tab/>
        <w:t>Particulars to be recorded in the register</w:t>
      </w:r>
      <w:bookmarkEnd w:id="39"/>
      <w:bookmarkEnd w:id="40"/>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r>
        <w:tab/>
        <w:t>[Regulation 6 amended: Gazette 22 Feb 2013 p. 1016.]</w:t>
      </w:r>
    </w:p>
    <w:p>
      <w:pPr>
        <w:pStyle w:val="Heading5"/>
      </w:pPr>
      <w:bookmarkStart w:id="41" w:name="_Toc44582058"/>
      <w:bookmarkStart w:id="42" w:name="_Toc11853081"/>
      <w:r>
        <w:rPr>
          <w:rStyle w:val="CharSectno"/>
        </w:rPr>
        <w:t>7</w:t>
      </w:r>
      <w:r>
        <w:t>.</w:t>
      </w:r>
      <w:r>
        <w:tab/>
        <w:t>Time for making application for registration</w:t>
      </w:r>
      <w:bookmarkEnd w:id="41"/>
      <w:bookmarkEnd w:id="42"/>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Footnotesection"/>
        <w:keepLines w:val="0"/>
      </w:pPr>
      <w:r>
        <w:tab/>
        <w:t>[Regulation 7 amended: Gazette 22 Feb 2013 p. 1016.]</w:t>
      </w:r>
    </w:p>
    <w:p>
      <w:pPr>
        <w:pStyle w:val="Heading5"/>
      </w:pPr>
      <w:bookmarkStart w:id="43" w:name="_Toc44582059"/>
      <w:bookmarkStart w:id="44" w:name="_Toc11853082"/>
      <w:r>
        <w:rPr>
          <w:rStyle w:val="CharSectno"/>
        </w:rPr>
        <w:t>8A</w:t>
      </w:r>
      <w:r>
        <w:t>.</w:t>
      </w:r>
      <w:r>
        <w:tab/>
        <w:t>Prescribed medical information</w:t>
      </w:r>
      <w:bookmarkEnd w:id="43"/>
      <w:bookmarkEnd w:id="44"/>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Gazette 22 Feb 2013 p. 1017.]</w:t>
      </w:r>
    </w:p>
    <w:p>
      <w:pPr>
        <w:pStyle w:val="Heading5"/>
      </w:pPr>
      <w:bookmarkStart w:id="45" w:name="_Toc44582060"/>
      <w:bookmarkStart w:id="46" w:name="_Toc11853083"/>
      <w:r>
        <w:rPr>
          <w:rStyle w:val="CharSectno"/>
        </w:rPr>
        <w:t>8B</w:t>
      </w:r>
      <w:r>
        <w:t>.</w:t>
      </w:r>
      <w:r>
        <w:tab/>
        <w:t>Prescribed ages for classes of contestants</w:t>
      </w:r>
      <w:bookmarkEnd w:id="45"/>
      <w:bookmarkEnd w:id="46"/>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Gazette 22 Feb 2013 p. 1017.]</w:t>
      </w:r>
    </w:p>
    <w:p>
      <w:pPr>
        <w:pStyle w:val="Heading5"/>
      </w:pPr>
      <w:bookmarkStart w:id="47" w:name="_Toc44582061"/>
      <w:bookmarkStart w:id="48" w:name="_Toc11853084"/>
      <w:r>
        <w:rPr>
          <w:rStyle w:val="CharSectno"/>
        </w:rPr>
        <w:t>8C</w:t>
      </w:r>
      <w:r>
        <w:t>.</w:t>
      </w:r>
      <w:r>
        <w:tab/>
        <w:t>Contestant record book</w:t>
      </w:r>
      <w:bookmarkEnd w:id="47"/>
      <w:bookmarkEnd w:id="48"/>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Gazette 22 Feb 2013 p. 1018.]</w:t>
      </w:r>
    </w:p>
    <w:p>
      <w:pPr>
        <w:pStyle w:val="Heading5"/>
      </w:pPr>
      <w:bookmarkStart w:id="49" w:name="_Toc44582062"/>
      <w:bookmarkStart w:id="50" w:name="_Toc11853085"/>
      <w:r>
        <w:rPr>
          <w:rStyle w:val="CharSectno"/>
        </w:rPr>
        <w:t>8</w:t>
      </w:r>
      <w:r>
        <w:t>.</w:t>
      </w:r>
      <w:r>
        <w:tab/>
        <w:t>Fees</w:t>
      </w:r>
      <w:bookmarkEnd w:id="49"/>
      <w:bookmarkEnd w:id="50"/>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Gazette 22 Feb 2013 p. 1018.]</w:t>
      </w:r>
    </w:p>
    <w:p>
      <w:pPr>
        <w:pStyle w:val="Heading3"/>
      </w:pPr>
      <w:bookmarkStart w:id="51" w:name="_Toc44576181"/>
      <w:bookmarkStart w:id="52" w:name="_Toc44578687"/>
      <w:bookmarkStart w:id="53" w:name="_Toc44582063"/>
      <w:bookmarkStart w:id="54" w:name="_Toc11669090"/>
      <w:bookmarkStart w:id="55" w:name="_Toc11672875"/>
      <w:bookmarkStart w:id="56" w:name="_Toc11853086"/>
      <w:r>
        <w:rPr>
          <w:rStyle w:val="CharDivNo"/>
        </w:rPr>
        <w:t>Division 2</w:t>
      </w:r>
      <w:r>
        <w:t> — </w:t>
      </w:r>
      <w:r>
        <w:rPr>
          <w:rStyle w:val="CharDivText"/>
        </w:rPr>
        <w:t>Industry participants</w:t>
      </w:r>
      <w:bookmarkEnd w:id="51"/>
      <w:bookmarkEnd w:id="52"/>
      <w:bookmarkEnd w:id="53"/>
      <w:bookmarkEnd w:id="54"/>
      <w:bookmarkEnd w:id="55"/>
      <w:bookmarkEnd w:id="56"/>
    </w:p>
    <w:p>
      <w:pPr>
        <w:pStyle w:val="Heading5"/>
      </w:pPr>
      <w:bookmarkStart w:id="57" w:name="_Toc44582064"/>
      <w:bookmarkStart w:id="58" w:name="_Toc11853087"/>
      <w:r>
        <w:rPr>
          <w:rStyle w:val="CharSectno"/>
        </w:rPr>
        <w:t>9</w:t>
      </w:r>
      <w:r>
        <w:t>.</w:t>
      </w:r>
      <w:r>
        <w:tab/>
        <w:t>Prescribed capacities of industry participants</w:t>
      </w:r>
      <w:bookmarkEnd w:id="57"/>
      <w:bookmarkEnd w:id="58"/>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pPr>
      <w:r>
        <w:tab/>
        <w:t>(g)</w:t>
      </w:r>
      <w:r>
        <w:tab/>
        <w:t>timekeeper;</w:t>
      </w:r>
    </w:p>
    <w:p>
      <w:pPr>
        <w:pStyle w:val="Indenta"/>
      </w:pPr>
      <w:r>
        <w:tab/>
        <w:t>(h)</w:t>
      </w:r>
      <w:r>
        <w:tab/>
        <w:t>second.</w:t>
      </w:r>
    </w:p>
    <w:p>
      <w:pPr>
        <w:pStyle w:val="Footnotesection"/>
        <w:keepLines w:val="0"/>
        <w:spacing w:before="100"/>
      </w:pPr>
      <w:r>
        <w:tab/>
        <w:t>[Regulation 9 inserted: Gazette 22 Feb 2013 p. 1018; amended: Gazette 17 May 2019 p. 1435.]</w:t>
      </w:r>
    </w:p>
    <w:p>
      <w:pPr>
        <w:pStyle w:val="Heading5"/>
        <w:spacing w:before="200"/>
      </w:pPr>
      <w:bookmarkStart w:id="59" w:name="_Toc44582065"/>
      <w:bookmarkStart w:id="60" w:name="_Toc11853088"/>
      <w:r>
        <w:rPr>
          <w:rStyle w:val="CharSectno"/>
        </w:rPr>
        <w:t>10A</w:t>
      </w:r>
      <w:r>
        <w:t>.</w:t>
      </w:r>
      <w:r>
        <w:tab/>
        <w:t>Persons taken to be registered as industry participants</w:t>
      </w:r>
      <w:bookmarkEnd w:id="59"/>
      <w:bookmarkEnd w:id="60"/>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 Gazette 22 Feb 2013 p. 1018</w:t>
      </w:r>
      <w:r>
        <w:noBreakHyphen/>
        <w:t>19.]</w:t>
      </w:r>
    </w:p>
    <w:p>
      <w:pPr>
        <w:pStyle w:val="Heading5"/>
        <w:spacing w:before="200"/>
      </w:pPr>
      <w:bookmarkStart w:id="61" w:name="_Toc44582066"/>
      <w:bookmarkStart w:id="62" w:name="_Toc11853089"/>
      <w:r>
        <w:rPr>
          <w:rStyle w:val="CharSectno"/>
        </w:rPr>
        <w:t>10</w:t>
      </w:r>
      <w:r>
        <w:t>.</w:t>
      </w:r>
      <w:r>
        <w:tab/>
        <w:t>Register of industry participants: prescribed particulars</w:t>
      </w:r>
      <w:bookmarkEnd w:id="61"/>
      <w:bookmarkEnd w:id="62"/>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Second</w:t>
            </w:r>
          </w:p>
        </w:tc>
        <w:tc>
          <w:tcPr>
            <w:tcW w:w="3840" w:type="dxa"/>
          </w:tcPr>
          <w:p>
            <w:pPr>
              <w:pStyle w:val="TableNAm"/>
              <w:ind w:left="584" w:hanging="584"/>
            </w:pPr>
            <w:r>
              <w:t>(a)</w:t>
            </w:r>
            <w:r>
              <w:tab/>
              <w:t>Copy of proof of the participant’s identity such as a driver’s licence or passport.</w:t>
            </w:r>
          </w:p>
          <w:p>
            <w:pPr>
              <w:pStyle w:val="TableNAm"/>
              <w:ind w:left="584" w:hanging="584"/>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 Gazette 22 Feb 2013 p. 1019</w:t>
      </w:r>
      <w:r>
        <w:noBreakHyphen/>
        <w:t>20; amended: Gazette 17 May 2019 p. 1435.]</w:t>
      </w:r>
    </w:p>
    <w:p>
      <w:pPr>
        <w:pStyle w:val="Heading5"/>
      </w:pPr>
      <w:bookmarkStart w:id="63" w:name="_Toc44582067"/>
      <w:bookmarkStart w:id="64" w:name="_Toc11853090"/>
      <w:r>
        <w:rPr>
          <w:rStyle w:val="CharSectno"/>
        </w:rPr>
        <w:t>11</w:t>
      </w:r>
      <w:r>
        <w:t>.</w:t>
      </w:r>
      <w:r>
        <w:tab/>
        <w:t>Registration fees</w:t>
      </w:r>
      <w:bookmarkEnd w:id="63"/>
      <w:bookmarkEnd w:id="64"/>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Gazette 22 Feb 2013 p. 1020.]</w:t>
      </w:r>
    </w:p>
    <w:p>
      <w:pPr>
        <w:pStyle w:val="Ednotesection"/>
      </w:pPr>
      <w:r>
        <w:t>[</w:t>
      </w:r>
      <w:r>
        <w:rPr>
          <w:b/>
        </w:rPr>
        <w:t>12.</w:t>
      </w:r>
      <w:r>
        <w:tab/>
        <w:t>Deleted: Gazette 22 Feb 2013 p. 1020.]</w:t>
      </w:r>
    </w:p>
    <w:p>
      <w:pPr>
        <w:pStyle w:val="Heading2"/>
      </w:pPr>
      <w:bookmarkStart w:id="65" w:name="_Toc44576186"/>
      <w:bookmarkStart w:id="66" w:name="_Toc44578692"/>
      <w:bookmarkStart w:id="67" w:name="_Toc44582068"/>
      <w:bookmarkStart w:id="68" w:name="_Toc11669095"/>
      <w:bookmarkStart w:id="69" w:name="_Toc11672880"/>
      <w:bookmarkStart w:id="70" w:name="_Toc11853091"/>
      <w:r>
        <w:rPr>
          <w:rStyle w:val="CharPartNo"/>
        </w:rPr>
        <w:t>Part 3</w:t>
      </w:r>
      <w:r>
        <w:t> — </w:t>
      </w:r>
      <w:r>
        <w:rPr>
          <w:rStyle w:val="CharPartText"/>
        </w:rPr>
        <w:t>Contests</w:t>
      </w:r>
      <w:bookmarkEnd w:id="65"/>
      <w:bookmarkEnd w:id="66"/>
      <w:bookmarkEnd w:id="67"/>
      <w:bookmarkEnd w:id="68"/>
      <w:bookmarkEnd w:id="69"/>
      <w:bookmarkEnd w:id="70"/>
    </w:p>
    <w:p>
      <w:pPr>
        <w:pStyle w:val="Heading3"/>
      </w:pPr>
      <w:bookmarkStart w:id="71" w:name="_Toc44576187"/>
      <w:bookmarkStart w:id="72" w:name="_Toc44578693"/>
      <w:bookmarkStart w:id="73" w:name="_Toc44582069"/>
      <w:bookmarkStart w:id="74" w:name="_Toc11669096"/>
      <w:bookmarkStart w:id="75" w:name="_Toc11672881"/>
      <w:bookmarkStart w:id="76" w:name="_Toc11853092"/>
      <w:r>
        <w:rPr>
          <w:rStyle w:val="CharDivNo"/>
        </w:rPr>
        <w:t>Division 1</w:t>
      </w:r>
      <w:r>
        <w:t> — </w:t>
      </w:r>
      <w:r>
        <w:rPr>
          <w:rStyle w:val="CharDivText"/>
        </w:rPr>
        <w:t>Pre</w:t>
      </w:r>
      <w:r>
        <w:rPr>
          <w:rStyle w:val="CharDivText"/>
        </w:rPr>
        <w:noBreakHyphen/>
        <w:t>contest matters</w:t>
      </w:r>
      <w:bookmarkEnd w:id="71"/>
      <w:bookmarkEnd w:id="72"/>
      <w:bookmarkEnd w:id="73"/>
      <w:bookmarkEnd w:id="74"/>
      <w:bookmarkEnd w:id="75"/>
      <w:bookmarkEnd w:id="76"/>
    </w:p>
    <w:p>
      <w:pPr>
        <w:pStyle w:val="Footnoteheading"/>
        <w:spacing w:before="100"/>
      </w:pPr>
      <w:r>
        <w:tab/>
        <w:t>[Heading inserted: Gazette 22 Feb 2013 p. 1021.]</w:t>
      </w:r>
    </w:p>
    <w:p>
      <w:pPr>
        <w:pStyle w:val="Heading5"/>
      </w:pPr>
      <w:bookmarkStart w:id="77" w:name="_Toc44582070"/>
      <w:bookmarkStart w:id="78" w:name="_Toc11853093"/>
      <w:r>
        <w:rPr>
          <w:rStyle w:val="CharSectno"/>
        </w:rPr>
        <w:t>13</w:t>
      </w:r>
      <w:r>
        <w:t>.</w:t>
      </w:r>
      <w:r>
        <w:tab/>
        <w:t>Information to be recorded at weigh</w:t>
      </w:r>
      <w:r>
        <w:noBreakHyphen/>
        <w:t>in</w:t>
      </w:r>
      <w:bookmarkEnd w:id="77"/>
      <w:bookmarkEnd w:id="78"/>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 Gazette 22 Feb 2013 p. 1021.]</w:t>
      </w:r>
    </w:p>
    <w:p>
      <w:pPr>
        <w:pStyle w:val="Heading5"/>
      </w:pPr>
      <w:bookmarkStart w:id="79" w:name="_Toc44582071"/>
      <w:bookmarkStart w:id="80" w:name="_Toc11853094"/>
      <w:r>
        <w:rPr>
          <w:rStyle w:val="CharSectno"/>
        </w:rPr>
        <w:t>14</w:t>
      </w:r>
      <w:r>
        <w:t>.</w:t>
      </w:r>
      <w:r>
        <w:tab/>
        <w:t>Information to be certified by medical practitioner</w:t>
      </w:r>
      <w:bookmarkEnd w:id="79"/>
      <w:bookmarkEnd w:id="80"/>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 Gazette 22 Feb 2013 p. 1021.]</w:t>
      </w:r>
    </w:p>
    <w:p>
      <w:pPr>
        <w:pStyle w:val="Heading3"/>
      </w:pPr>
      <w:bookmarkStart w:id="81" w:name="_Toc44576190"/>
      <w:bookmarkStart w:id="82" w:name="_Toc44578696"/>
      <w:bookmarkStart w:id="83" w:name="_Toc44582072"/>
      <w:bookmarkStart w:id="84" w:name="_Toc11669099"/>
      <w:bookmarkStart w:id="85" w:name="_Toc11672884"/>
      <w:bookmarkStart w:id="86" w:name="_Toc11853095"/>
      <w:r>
        <w:rPr>
          <w:rStyle w:val="CharDivNo"/>
        </w:rPr>
        <w:t>Division 2</w:t>
      </w:r>
      <w:r>
        <w:t> — </w:t>
      </w:r>
      <w:r>
        <w:rPr>
          <w:rStyle w:val="CharDivText"/>
        </w:rPr>
        <w:t>Rest periods</w:t>
      </w:r>
      <w:bookmarkEnd w:id="81"/>
      <w:bookmarkEnd w:id="82"/>
      <w:bookmarkEnd w:id="83"/>
      <w:bookmarkEnd w:id="84"/>
      <w:bookmarkEnd w:id="85"/>
      <w:bookmarkEnd w:id="86"/>
    </w:p>
    <w:p>
      <w:pPr>
        <w:pStyle w:val="Heading5"/>
        <w:rPr>
          <w:rFonts w:ascii="Times" w:hAnsi="Times"/>
          <w:snapToGrid w:val="0"/>
        </w:rPr>
      </w:pPr>
      <w:bookmarkStart w:id="87" w:name="_Toc44582073"/>
      <w:bookmarkStart w:id="88" w:name="_Toc11853096"/>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 or other loss</w:t>
      </w:r>
      <w:bookmarkEnd w:id="87"/>
      <w:bookmarkEnd w:id="88"/>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 or</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w:t>
      </w:r>
      <w:del w:id="89" w:author="Master Repository Process" w:date="2021-07-31T17:05:00Z">
        <w:r>
          <w:delText>:</w:delText>
        </w:r>
      </w:del>
      <w:ins w:id="90" w:author="Master Repository Process" w:date="2021-07-31T17:05:00Z">
        <w:r>
          <w:t xml:space="preserve"> for this subregulation: a fine of</w:t>
        </w:r>
      </w:ins>
      <w:r>
        <w:t xml:space="preserve">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w:t>
      </w:r>
      <w:del w:id="91" w:author="Master Repository Process" w:date="2021-07-31T17:05:00Z">
        <w:r>
          <w:delText>:</w:delText>
        </w:r>
      </w:del>
      <w:ins w:id="92" w:author="Master Repository Process" w:date="2021-07-31T17:05:00Z">
        <w:r>
          <w:t xml:space="preserve"> for this subregulation: a fine of</w:t>
        </w:r>
      </w:ins>
      <w:r>
        <w:t xml:space="preserve">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r>
        <w:tab/>
        <w:t>Penalty</w:t>
      </w:r>
      <w:del w:id="93" w:author="Master Repository Process" w:date="2021-07-31T17:05:00Z">
        <w:r>
          <w:delText>:</w:delText>
        </w:r>
      </w:del>
      <w:ins w:id="94" w:author="Master Repository Process" w:date="2021-07-31T17:05:00Z">
        <w:r>
          <w:t xml:space="preserve"> for this subregulation: a fine of</w:t>
        </w:r>
      </w:ins>
      <w:r>
        <w:t xml:space="preserve">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r>
        <w:tab/>
        <w:t>[Regulation 15 amended: Gazette 22 Feb 2013 p. 1021</w:t>
      </w:r>
      <w:ins w:id="95" w:author="Master Repository Process" w:date="2021-07-31T17:05:00Z">
        <w:r>
          <w:t>; SL 2020/111 r. 8</w:t>
        </w:r>
      </w:ins>
      <w:r>
        <w:t>.]</w:t>
      </w:r>
    </w:p>
    <w:p>
      <w:pPr>
        <w:pStyle w:val="Heading5"/>
        <w:rPr>
          <w:rFonts w:ascii="Times" w:hAnsi="Times"/>
          <w:snapToGrid w:val="0"/>
        </w:rPr>
      </w:pPr>
      <w:bookmarkStart w:id="96" w:name="_Toc44582074"/>
      <w:bookmarkStart w:id="97" w:name="_Toc11853097"/>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96"/>
      <w:bookmarkEnd w:id="97"/>
    </w:p>
    <w:p>
      <w:pPr>
        <w:pStyle w:val="Subsection"/>
      </w:pPr>
      <w:r>
        <w:tab/>
        <w:t>(1)</w:t>
      </w:r>
      <w:r>
        <w:tab/>
      </w:r>
      <w:del w:id="98" w:author="Master Repository Process" w:date="2021-07-31T17:05:00Z">
        <w:r>
          <w:delText>Except where subregulation (2) applies, where</w:delText>
        </w:r>
      </w:del>
      <w:ins w:id="99" w:author="Master Repository Process" w:date="2021-07-31T17:05:00Z">
        <w:r>
          <w:t>If</w:t>
        </w:r>
      </w:ins>
      <w:r>
        <w:t xml:space="preserve"> a contestant has participated in a contest</w:t>
      </w:r>
      <w:del w:id="100" w:author="Master Repository Process" w:date="2021-07-31T17:05:00Z">
        <w:r>
          <w:delText xml:space="preserve"> of 6 rounds or less</w:delText>
        </w:r>
      </w:del>
      <w:r>
        <w:t xml:space="preserve">, the contestant must not participate in another contest for </w:t>
      </w:r>
      <w:ins w:id="101" w:author="Master Repository Process" w:date="2021-07-31T17:05:00Z">
        <w:r>
          <w:t xml:space="preserve">a period of at least </w:t>
        </w:r>
      </w:ins>
      <w:r>
        <w:t>7 days.</w:t>
      </w:r>
    </w:p>
    <w:p>
      <w:pPr>
        <w:pStyle w:val="Penstart"/>
      </w:pPr>
      <w:r>
        <w:tab/>
        <w:t>Penalty</w:t>
      </w:r>
      <w:del w:id="102" w:author="Master Repository Process" w:date="2021-07-31T17:05:00Z">
        <w:r>
          <w:delText>:</w:delText>
        </w:r>
      </w:del>
      <w:ins w:id="103" w:author="Master Repository Process" w:date="2021-07-31T17:05:00Z">
        <w:r>
          <w:t xml:space="preserve"> for this subregulation: a fine of</w:t>
        </w:r>
      </w:ins>
      <w:r>
        <w:t xml:space="preserve"> $1 000.</w:t>
      </w:r>
    </w:p>
    <w:p>
      <w:pPr>
        <w:pStyle w:val="Subsection"/>
        <w:rPr>
          <w:rFonts w:ascii="Times" w:hAnsi="Times"/>
          <w:snapToGrid w:val="0"/>
        </w:rPr>
      </w:pPr>
      <w:r>
        <w:rPr>
          <w:rFonts w:ascii="Times" w:hAnsi="Times"/>
          <w:snapToGrid w:val="0"/>
        </w:rPr>
        <w:tab/>
        <w:t>(2)</w:t>
      </w:r>
      <w:r>
        <w:rPr>
          <w:rFonts w:ascii="Times" w:hAnsi="Times"/>
          <w:snapToGrid w:val="0"/>
        </w:rPr>
        <w:tab/>
      </w:r>
      <w:del w:id="104" w:author="Master Repository Process" w:date="2021-07-31T17:05:00Z">
        <w:r>
          <w:rPr>
            <w:rFonts w:ascii="Times" w:hAnsi="Times"/>
            <w:snapToGrid w:val="0"/>
          </w:rPr>
          <w:delText>Where</w:delText>
        </w:r>
      </w:del>
      <w:ins w:id="105" w:author="Master Repository Process" w:date="2021-07-31T17:05:00Z">
        <w:r>
          <w:t>If</w:t>
        </w:r>
      </w:ins>
      <w:r>
        <w:rPr>
          <w:rFonts w:ascii="Times" w:hAnsi="Times"/>
          <w:snapToGrid w:val="0"/>
        </w:rPr>
        <w:t xml:space="preserv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r>
        <w:tab/>
        <w:t>Penalty</w:t>
      </w:r>
      <w:del w:id="106" w:author="Master Repository Process" w:date="2021-07-31T17:05:00Z">
        <w:r>
          <w:delText>:</w:delText>
        </w:r>
      </w:del>
      <w:ins w:id="107" w:author="Master Repository Process" w:date="2021-07-31T17:05:00Z">
        <w:r>
          <w:t xml:space="preserve"> for this subregulation: a fine of</w:t>
        </w:r>
      </w:ins>
      <w:r>
        <w:t xml:space="preserve"> $1 000.</w:t>
      </w:r>
    </w:p>
    <w:p>
      <w:pPr>
        <w:pStyle w:val="Footnotesection"/>
        <w:keepLines w:val="0"/>
        <w:spacing w:before="100"/>
      </w:pPr>
      <w:r>
        <w:tab/>
        <w:t>[Regulation 16 amended: Gazette 22 Feb 2013 p. 1021-2</w:t>
      </w:r>
      <w:ins w:id="108" w:author="Master Repository Process" w:date="2021-07-31T17:05:00Z">
        <w:r>
          <w:t>; SL 2020/111 r. 4 and  8</w:t>
        </w:r>
      </w:ins>
      <w:r>
        <w:t>.]</w:t>
      </w:r>
    </w:p>
    <w:p>
      <w:pPr>
        <w:pStyle w:val="Heading3"/>
      </w:pPr>
      <w:bookmarkStart w:id="109" w:name="_Toc44576193"/>
      <w:bookmarkStart w:id="110" w:name="_Toc44578699"/>
      <w:bookmarkStart w:id="111" w:name="_Toc44582075"/>
      <w:bookmarkStart w:id="112" w:name="_Toc11669102"/>
      <w:bookmarkStart w:id="113" w:name="_Toc11672887"/>
      <w:bookmarkStart w:id="114" w:name="_Toc11853098"/>
      <w:r>
        <w:rPr>
          <w:rStyle w:val="CharDivNo"/>
        </w:rPr>
        <w:t>Division 3</w:t>
      </w:r>
      <w:r>
        <w:t> — </w:t>
      </w:r>
      <w:r>
        <w:rPr>
          <w:rStyle w:val="CharDivText"/>
        </w:rPr>
        <w:t>Record of contest</w:t>
      </w:r>
      <w:bookmarkEnd w:id="109"/>
      <w:bookmarkEnd w:id="110"/>
      <w:bookmarkEnd w:id="111"/>
      <w:bookmarkEnd w:id="112"/>
      <w:bookmarkEnd w:id="113"/>
      <w:bookmarkEnd w:id="114"/>
    </w:p>
    <w:p>
      <w:pPr>
        <w:pStyle w:val="Footnoteheading"/>
        <w:spacing w:before="100"/>
      </w:pPr>
      <w:r>
        <w:tab/>
        <w:t>[Heading inserted: Gazette 22 Feb 2013 p. 1022.]</w:t>
      </w:r>
    </w:p>
    <w:p>
      <w:pPr>
        <w:pStyle w:val="Heading5"/>
      </w:pPr>
      <w:bookmarkStart w:id="115" w:name="_Toc44582076"/>
      <w:bookmarkStart w:id="116" w:name="_Toc11853099"/>
      <w:r>
        <w:rPr>
          <w:rStyle w:val="CharSectno"/>
        </w:rPr>
        <w:t>17A</w:t>
      </w:r>
      <w:r>
        <w:t>.</w:t>
      </w:r>
      <w:r>
        <w:tab/>
        <w:t>Prescribed information: record of contest</w:t>
      </w:r>
      <w:bookmarkEnd w:id="115"/>
      <w:bookmarkEnd w:id="116"/>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 Gazette 22 Feb 2013 p. 1022.]</w:t>
      </w:r>
    </w:p>
    <w:p>
      <w:pPr>
        <w:pStyle w:val="Heading5"/>
      </w:pPr>
      <w:bookmarkStart w:id="117" w:name="_Toc44582077"/>
      <w:bookmarkStart w:id="118" w:name="_Toc11853100"/>
      <w:r>
        <w:rPr>
          <w:rStyle w:val="CharSectno"/>
        </w:rPr>
        <w:t>17B</w:t>
      </w:r>
      <w:r>
        <w:t>.</w:t>
      </w:r>
      <w:r>
        <w:tab/>
        <w:t>Recording participation in contests outside State</w:t>
      </w:r>
      <w:bookmarkEnd w:id="117"/>
      <w:bookmarkEnd w:id="118"/>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 xml:space="preserve">Penalty: </w:t>
      </w:r>
      <w:ins w:id="119" w:author="Master Repository Process" w:date="2021-07-31T17:05:00Z">
        <w:r>
          <w:t xml:space="preserve">a fine of </w:t>
        </w:r>
      </w:ins>
      <w:r>
        <w:t>$1 000.</w:t>
      </w:r>
    </w:p>
    <w:p>
      <w:pPr>
        <w:pStyle w:val="Footnotesection"/>
        <w:keepLines w:val="0"/>
        <w:spacing w:before="100"/>
      </w:pPr>
      <w:r>
        <w:tab/>
        <w:t>[Regulation 17B inserted: Gazette 22 Feb 2013 p. 1022</w:t>
      </w:r>
      <w:ins w:id="120" w:author="Master Repository Process" w:date="2021-07-31T17:05:00Z">
        <w:r>
          <w:t>; amended: SL 2020/111 r. 5</w:t>
        </w:r>
      </w:ins>
      <w:r>
        <w:t>.]</w:t>
      </w:r>
    </w:p>
    <w:p>
      <w:pPr>
        <w:pStyle w:val="Heading3"/>
      </w:pPr>
      <w:bookmarkStart w:id="121" w:name="_Toc44576196"/>
      <w:bookmarkStart w:id="122" w:name="_Toc44578702"/>
      <w:bookmarkStart w:id="123" w:name="_Toc44582078"/>
      <w:bookmarkStart w:id="124" w:name="_Toc11669105"/>
      <w:bookmarkStart w:id="125" w:name="_Toc11672890"/>
      <w:bookmarkStart w:id="126" w:name="_Toc11853101"/>
      <w:r>
        <w:rPr>
          <w:rStyle w:val="CharDivNo"/>
        </w:rPr>
        <w:t>Division 4</w:t>
      </w:r>
      <w:r>
        <w:t> — </w:t>
      </w:r>
      <w:r>
        <w:rPr>
          <w:rStyle w:val="CharDivText"/>
        </w:rPr>
        <w:t>Permits for contests</w:t>
      </w:r>
      <w:bookmarkEnd w:id="121"/>
      <w:bookmarkEnd w:id="122"/>
      <w:bookmarkEnd w:id="123"/>
      <w:bookmarkEnd w:id="124"/>
      <w:bookmarkEnd w:id="125"/>
      <w:bookmarkEnd w:id="126"/>
    </w:p>
    <w:p>
      <w:pPr>
        <w:pStyle w:val="Footnoteheading"/>
      </w:pPr>
      <w:r>
        <w:tab/>
        <w:t>[Heading inserted: Gazette 22 Feb 2013 p. 1022.]</w:t>
      </w:r>
    </w:p>
    <w:p>
      <w:pPr>
        <w:pStyle w:val="Heading5"/>
      </w:pPr>
      <w:bookmarkStart w:id="127" w:name="_Toc44582079"/>
      <w:bookmarkStart w:id="128" w:name="_Toc11853102"/>
      <w:r>
        <w:rPr>
          <w:rStyle w:val="CharSectno"/>
        </w:rPr>
        <w:t>17C</w:t>
      </w:r>
      <w:r>
        <w:t>.</w:t>
      </w:r>
      <w:r>
        <w:tab/>
        <w:t>Prescribed information: permits to conduct contests</w:t>
      </w:r>
      <w:bookmarkEnd w:id="127"/>
      <w:bookmarkEnd w:id="128"/>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(ea)</w:t>
      </w:r>
      <w:r>
        <w:tab/>
        <w:t>the number of tickets for admission to the contest that are proposed to be made available;</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 xml:space="preserve">the specifications of the contest </w:t>
      </w:r>
      <w:del w:id="129" w:author="Master Repository Process" w:date="2021-07-31T17:05:00Z">
        <w:r>
          <w:delText>ring</w:delText>
        </w:r>
      </w:del>
      <w:ins w:id="130" w:author="Master Repository Process" w:date="2021-07-31T17:05:00Z">
        <w:r>
          <w:t>area</w:t>
        </w:r>
      </w:ins>
      <w:r>
        <w:t>;</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Gazette 22 Feb 2013 p. 1022-3; amended: Gazette 17 May 2019 p. 1435</w:t>
      </w:r>
      <w:ins w:id="131" w:author="Master Repository Process" w:date="2021-07-31T17:05:00Z">
        <w:r>
          <w:t>; SL 2020/111 r. 6</w:t>
        </w:r>
      </w:ins>
      <w:r>
        <w:t>.]</w:t>
      </w:r>
    </w:p>
    <w:p>
      <w:pPr>
        <w:pStyle w:val="Heading5"/>
      </w:pPr>
      <w:bookmarkStart w:id="132" w:name="_Toc44582080"/>
      <w:bookmarkStart w:id="133" w:name="_Toc11853103"/>
      <w:r>
        <w:rPr>
          <w:rStyle w:val="CharSectno"/>
        </w:rPr>
        <w:t>17D</w:t>
      </w:r>
      <w:r>
        <w:t>.</w:t>
      </w:r>
      <w:r>
        <w:tab/>
        <w:t>Prescribed information: permit for contest</w:t>
      </w:r>
      <w:bookmarkEnd w:id="132"/>
      <w:bookmarkEnd w:id="133"/>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Gazette 22 Feb 2013 p. 1023.]</w:t>
      </w:r>
    </w:p>
    <w:p>
      <w:pPr>
        <w:pStyle w:val="Heading5"/>
      </w:pPr>
      <w:bookmarkStart w:id="134" w:name="_Toc44582081"/>
      <w:bookmarkStart w:id="135" w:name="_Toc11853104"/>
      <w:r>
        <w:rPr>
          <w:rStyle w:val="CharSectno"/>
        </w:rPr>
        <w:t>17E</w:t>
      </w:r>
      <w:r>
        <w:t>.</w:t>
      </w:r>
      <w:r>
        <w:tab/>
        <w:t>Fees for permit for contest</w:t>
      </w:r>
      <w:bookmarkEnd w:id="134"/>
      <w:bookmarkEnd w:id="135"/>
    </w:p>
    <w:p>
      <w:pPr>
        <w:pStyle w:val="Subsection"/>
      </w:pPr>
      <w:r>
        <w:tab/>
      </w:r>
      <w:r>
        <w:tab/>
        <w:t>The fees set out in Schedule 3 item 4 are prescribed for a permit for a contest under section 44(2)(e) of the Act.</w:t>
      </w:r>
    </w:p>
    <w:p>
      <w:pPr>
        <w:pStyle w:val="Footnotesection"/>
        <w:keepLines w:val="0"/>
      </w:pPr>
      <w:r>
        <w:tab/>
        <w:t>[Regulation 17E inserted: Gazette 17 May 2019 p. 1436.]</w:t>
      </w:r>
    </w:p>
    <w:p>
      <w:pPr>
        <w:pStyle w:val="Heading2"/>
      </w:pPr>
      <w:bookmarkStart w:id="136" w:name="_Toc44576200"/>
      <w:bookmarkStart w:id="137" w:name="_Toc44578706"/>
      <w:bookmarkStart w:id="138" w:name="_Toc44582082"/>
      <w:bookmarkStart w:id="139" w:name="_Toc11669109"/>
      <w:bookmarkStart w:id="140" w:name="_Toc11672894"/>
      <w:bookmarkStart w:id="141" w:name="_Toc11853105"/>
      <w:r>
        <w:rPr>
          <w:rStyle w:val="CharPartNo"/>
        </w:rPr>
        <w:t>Part 4</w:t>
      </w:r>
      <w:r>
        <w:rPr>
          <w:rStyle w:val="CharDivNo"/>
        </w:rPr>
        <w:t> </w:t>
      </w:r>
      <w:r>
        <w:t>—</w:t>
      </w:r>
      <w:r>
        <w:rPr>
          <w:rStyle w:val="CharDivText"/>
        </w:rPr>
        <w:t> </w:t>
      </w:r>
      <w:r>
        <w:rPr>
          <w:rStyle w:val="CharPartText"/>
        </w:rPr>
        <w:t>Ratings and titles</w:t>
      </w:r>
      <w:bookmarkEnd w:id="136"/>
      <w:bookmarkEnd w:id="137"/>
      <w:bookmarkEnd w:id="138"/>
      <w:bookmarkEnd w:id="139"/>
      <w:bookmarkEnd w:id="140"/>
      <w:bookmarkEnd w:id="141"/>
    </w:p>
    <w:p>
      <w:pPr>
        <w:pStyle w:val="Heading5"/>
        <w:rPr>
          <w:snapToGrid w:val="0"/>
        </w:rPr>
      </w:pPr>
      <w:bookmarkStart w:id="142" w:name="_Toc44582083"/>
      <w:bookmarkStart w:id="143" w:name="_Toc11853106"/>
      <w:r>
        <w:rPr>
          <w:rStyle w:val="CharSectno"/>
        </w:rPr>
        <w:t>17</w:t>
      </w:r>
      <w:r>
        <w:t>.</w:t>
      </w:r>
      <w:r>
        <w:tab/>
      </w:r>
      <w:r>
        <w:rPr>
          <w:snapToGrid w:val="0"/>
        </w:rPr>
        <w:t>Ratings</w:t>
      </w:r>
      <w:bookmarkEnd w:id="142"/>
      <w:bookmarkEnd w:id="143"/>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r>
        <w:tab/>
        <w:t>[Regulation 17 amended: Gazette 22 Feb 2013 p. 1024.]</w:t>
      </w:r>
    </w:p>
    <w:p>
      <w:pPr>
        <w:pStyle w:val="Heading5"/>
      </w:pPr>
      <w:bookmarkStart w:id="144" w:name="_Toc44582084"/>
      <w:bookmarkStart w:id="145" w:name="_Toc11853107"/>
      <w:r>
        <w:rPr>
          <w:rStyle w:val="CharSectno"/>
        </w:rPr>
        <w:t>18</w:t>
      </w:r>
      <w:r>
        <w:t>.</w:t>
      </w:r>
      <w:r>
        <w:tab/>
        <w:t>Titles</w:t>
      </w:r>
      <w:bookmarkEnd w:id="144"/>
      <w:bookmarkEnd w:id="145"/>
    </w:p>
    <w:p>
      <w:pPr>
        <w:pStyle w:val="Subsection"/>
      </w:pPr>
      <w:r>
        <w:tab/>
      </w:r>
      <w:r>
        <w:tab/>
        <w:t>The Commission may in writing adopt the sanctioning of a sanctioning body or a recognised body.</w:t>
      </w:r>
    </w:p>
    <w:p>
      <w:pPr>
        <w:pStyle w:val="Footnotesection"/>
        <w:keepLines w:val="0"/>
      </w:pPr>
      <w:r>
        <w:tab/>
        <w:t>[Regulation 18 inserted: Gazette 22 Feb 2013 p. 1024.]</w:t>
      </w:r>
    </w:p>
    <w:p>
      <w:pPr>
        <w:pStyle w:val="Heading2"/>
      </w:pPr>
      <w:bookmarkStart w:id="146" w:name="_Toc44576203"/>
      <w:bookmarkStart w:id="147" w:name="_Toc44578709"/>
      <w:bookmarkStart w:id="148" w:name="_Toc44582085"/>
      <w:bookmarkStart w:id="149" w:name="_Toc11669112"/>
      <w:bookmarkStart w:id="150" w:name="_Toc11672897"/>
      <w:bookmarkStart w:id="151" w:name="_Toc11853108"/>
      <w:r>
        <w:rPr>
          <w:rStyle w:val="CharPartNo"/>
        </w:rPr>
        <w:t>Part 5</w:t>
      </w:r>
      <w:r>
        <w:rPr>
          <w:rStyle w:val="CharDivNo"/>
        </w:rPr>
        <w:t> </w:t>
      </w:r>
      <w:r>
        <w:t>—</w:t>
      </w:r>
      <w:r>
        <w:rPr>
          <w:rStyle w:val="CharDivText"/>
        </w:rPr>
        <w:t> </w:t>
      </w:r>
      <w:r>
        <w:rPr>
          <w:rStyle w:val="CharPartText"/>
        </w:rPr>
        <w:t>Miscellaneous</w:t>
      </w:r>
      <w:bookmarkEnd w:id="146"/>
      <w:bookmarkEnd w:id="147"/>
      <w:bookmarkEnd w:id="148"/>
      <w:bookmarkEnd w:id="149"/>
      <w:bookmarkEnd w:id="150"/>
      <w:bookmarkEnd w:id="151"/>
    </w:p>
    <w:p>
      <w:pPr>
        <w:pStyle w:val="Footnoteheading"/>
      </w:pPr>
      <w:r>
        <w:tab/>
        <w:t>[Heading inserted: Gazette 22 Feb 2013 p. 1024.]</w:t>
      </w:r>
    </w:p>
    <w:p>
      <w:pPr>
        <w:pStyle w:val="Heading5"/>
      </w:pPr>
      <w:bookmarkStart w:id="152" w:name="_Toc44582086"/>
      <w:bookmarkStart w:id="153" w:name="_Toc11853109"/>
      <w:r>
        <w:rPr>
          <w:rStyle w:val="CharSectno"/>
        </w:rPr>
        <w:t>19</w:t>
      </w:r>
      <w:r>
        <w:t>.</w:t>
      </w:r>
      <w:r>
        <w:tab/>
        <w:t>Minimum fees for officials</w:t>
      </w:r>
      <w:bookmarkEnd w:id="152"/>
      <w:bookmarkEnd w:id="153"/>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Gazette 22 Feb 2013 p. 1024.]</w:t>
      </w:r>
    </w:p>
    <w:p>
      <w:pPr>
        <w:pStyle w:val="Heading2"/>
      </w:pPr>
      <w:bookmarkStart w:id="154" w:name="_Toc44576205"/>
      <w:bookmarkStart w:id="155" w:name="_Toc44578711"/>
      <w:bookmarkStart w:id="156" w:name="_Toc44582087"/>
      <w:bookmarkStart w:id="157" w:name="_Toc11669114"/>
      <w:bookmarkStart w:id="158" w:name="_Toc11672899"/>
      <w:bookmarkStart w:id="159" w:name="_Toc11853110"/>
      <w:r>
        <w:rPr>
          <w:rStyle w:val="CharPartNo"/>
        </w:rPr>
        <w:t>Part 6</w:t>
      </w:r>
      <w:r>
        <w:rPr>
          <w:rStyle w:val="CharDivNo"/>
        </w:rPr>
        <w:t> </w:t>
      </w:r>
      <w:r>
        <w:t>—</w:t>
      </w:r>
      <w:r>
        <w:rPr>
          <w:rStyle w:val="CharDivText"/>
        </w:rPr>
        <w:t> </w:t>
      </w:r>
      <w:r>
        <w:rPr>
          <w:rStyle w:val="CharPartText"/>
        </w:rPr>
        <w:t>Savings and transitional matters</w:t>
      </w:r>
      <w:bookmarkEnd w:id="154"/>
      <w:bookmarkEnd w:id="155"/>
      <w:bookmarkEnd w:id="156"/>
      <w:bookmarkEnd w:id="157"/>
      <w:bookmarkEnd w:id="158"/>
      <w:bookmarkEnd w:id="159"/>
    </w:p>
    <w:p>
      <w:pPr>
        <w:pStyle w:val="Footnoteheading"/>
      </w:pPr>
      <w:r>
        <w:tab/>
        <w:t>[Heading inserted: Gazette 22 Feb 2013 p. 1024.]</w:t>
      </w:r>
    </w:p>
    <w:p>
      <w:pPr>
        <w:pStyle w:val="Heading5"/>
      </w:pPr>
      <w:bookmarkStart w:id="160" w:name="_Toc44582088"/>
      <w:bookmarkStart w:id="161" w:name="_Toc11853111"/>
      <w:r>
        <w:rPr>
          <w:rStyle w:val="CharSectno"/>
        </w:rPr>
        <w:t>20</w:t>
      </w:r>
      <w:r>
        <w:t>.</w:t>
      </w:r>
      <w:r>
        <w:tab/>
        <w:t>Terms used</w:t>
      </w:r>
      <w:bookmarkEnd w:id="160"/>
      <w:bookmarkEnd w:id="161"/>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r>
        <w:rPr>
          <w:vertAlign w:val="superscript"/>
        </w:rPr>
        <w:t> </w:t>
      </w:r>
      <w:del w:id="162" w:author="Master Repository Process" w:date="2021-07-31T17:05:00Z">
        <w:r>
          <w:rPr>
            <w:vertAlign w:val="superscript"/>
          </w:rPr>
          <w:delText>2</w:delText>
        </w:r>
      </w:del>
      <w:ins w:id="163" w:author="Master Repository Process" w:date="2021-07-31T17:05:00Z">
        <w:r>
          <w:rPr>
            <w:vertAlign w:val="superscript"/>
          </w:rPr>
          <w:t>1</w:t>
        </w:r>
      </w:ins>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Gazette 22 Feb 2013 p. 1024-5.]</w:t>
      </w:r>
    </w:p>
    <w:p>
      <w:pPr>
        <w:pStyle w:val="Heading5"/>
      </w:pPr>
      <w:bookmarkStart w:id="164" w:name="_Toc44582089"/>
      <w:bookmarkStart w:id="165" w:name="_Toc11853112"/>
      <w:r>
        <w:rPr>
          <w:rStyle w:val="CharSectno"/>
        </w:rPr>
        <w:t>21</w:t>
      </w:r>
      <w:r>
        <w:t>.</w:t>
      </w:r>
      <w:r>
        <w:tab/>
      </w:r>
      <w:r>
        <w:rPr>
          <w:i/>
        </w:rPr>
        <w:t>Interpretation Act 1984</w:t>
      </w:r>
      <w:r>
        <w:t xml:space="preserve"> not affected</w:t>
      </w:r>
      <w:bookmarkEnd w:id="164"/>
      <w:bookmarkEnd w:id="165"/>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Gazette 22 Feb 2013 p. 1025.]</w:t>
      </w:r>
    </w:p>
    <w:p>
      <w:pPr>
        <w:pStyle w:val="Heading5"/>
      </w:pPr>
      <w:bookmarkStart w:id="166" w:name="_Toc44582090"/>
      <w:bookmarkStart w:id="167" w:name="_Toc11853113"/>
      <w:r>
        <w:rPr>
          <w:rStyle w:val="CharSectno"/>
        </w:rPr>
        <w:t>22</w:t>
      </w:r>
      <w:r>
        <w:t>.</w:t>
      </w:r>
      <w:r>
        <w:tab/>
        <w:t>Contestants registered under PCS Act</w:t>
      </w:r>
      <w:bookmarkEnd w:id="166"/>
      <w:bookmarkEnd w:id="167"/>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Gazette 22 Feb 2013 p. 1025.]</w:t>
      </w:r>
    </w:p>
    <w:p>
      <w:pPr>
        <w:pStyle w:val="Heading5"/>
      </w:pPr>
      <w:bookmarkStart w:id="168" w:name="_Toc44582091"/>
      <w:bookmarkStart w:id="169" w:name="_Toc11853114"/>
      <w:r>
        <w:rPr>
          <w:rStyle w:val="CharSectno"/>
        </w:rPr>
        <w:t>23</w:t>
      </w:r>
      <w:r>
        <w:t>.</w:t>
      </w:r>
      <w:r>
        <w:tab/>
        <w:t>Certificate of registration: contestants</w:t>
      </w:r>
      <w:bookmarkEnd w:id="168"/>
      <w:bookmarkEnd w:id="169"/>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Gazette 22 Feb 2013 p. 1025.]</w:t>
      </w:r>
    </w:p>
    <w:p>
      <w:pPr>
        <w:pStyle w:val="Heading5"/>
      </w:pPr>
      <w:bookmarkStart w:id="170" w:name="_Toc44582092"/>
      <w:bookmarkStart w:id="171" w:name="_Toc11853115"/>
      <w:r>
        <w:rPr>
          <w:rStyle w:val="CharSectno"/>
        </w:rPr>
        <w:t>24</w:t>
      </w:r>
      <w:r>
        <w:t>.</w:t>
      </w:r>
      <w:r>
        <w:tab/>
        <w:t>Participants registered under PCS Act</w:t>
      </w:r>
      <w:bookmarkEnd w:id="170"/>
      <w:bookmarkEnd w:id="171"/>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Gazette 22 Feb 2013 p. 1025.]</w:t>
      </w:r>
    </w:p>
    <w:p>
      <w:pPr>
        <w:pStyle w:val="Heading5"/>
      </w:pPr>
      <w:bookmarkStart w:id="172" w:name="_Toc44582093"/>
      <w:bookmarkStart w:id="173" w:name="_Toc11853116"/>
      <w:r>
        <w:rPr>
          <w:rStyle w:val="CharSectno"/>
        </w:rPr>
        <w:t>25</w:t>
      </w:r>
      <w:r>
        <w:t>.</w:t>
      </w:r>
      <w:r>
        <w:tab/>
        <w:t>Certificate of registration: industry participants</w:t>
      </w:r>
      <w:bookmarkEnd w:id="172"/>
      <w:bookmarkEnd w:id="173"/>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Gazette 22 Feb 2013 p. 1025-6.]</w:t>
      </w:r>
    </w:p>
    <w:p>
      <w:pPr>
        <w:pStyle w:val="Heading5"/>
      </w:pPr>
      <w:bookmarkStart w:id="174" w:name="_Toc44582094"/>
      <w:bookmarkStart w:id="175" w:name="_Toc11853117"/>
      <w:r>
        <w:rPr>
          <w:rStyle w:val="CharSectno"/>
        </w:rPr>
        <w:t>26</w:t>
      </w:r>
      <w:r>
        <w:t>.</w:t>
      </w:r>
      <w:r>
        <w:tab/>
        <w:t>Register: industry participants</w:t>
      </w:r>
      <w:bookmarkEnd w:id="174"/>
      <w:bookmarkEnd w:id="175"/>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Gazette 22 Feb 2013 p. 1026.]</w:t>
      </w:r>
    </w:p>
    <w:p>
      <w:pPr>
        <w:pStyle w:val="yEdnoteschedule"/>
        <w:rPr>
          <w:sz w:val="24"/>
          <w:szCs w:val="24"/>
        </w:rPr>
      </w:pPr>
      <w:r>
        <w:rPr>
          <w:sz w:val="24"/>
          <w:szCs w:val="24"/>
        </w:rPr>
        <w:t>[Schedule 1 deleted: Gazette 22 Feb 2013 p. 1026.]</w:t>
      </w:r>
    </w:p>
    <w:p>
      <w:pPr>
        <w:rPr>
          <w:szCs w:val="24"/>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6" w:name="_Toc44576213"/>
      <w:bookmarkStart w:id="177" w:name="_Toc44578719"/>
      <w:bookmarkStart w:id="178" w:name="_Toc44582095"/>
      <w:bookmarkStart w:id="179" w:name="_Toc11669122"/>
      <w:bookmarkStart w:id="180" w:name="_Toc11672907"/>
      <w:bookmarkStart w:id="181" w:name="_Toc11853118"/>
      <w:r>
        <w:rPr>
          <w:rStyle w:val="CharSchNo"/>
        </w:rPr>
        <w:t>Schedule 2</w:t>
      </w:r>
      <w:r>
        <w:t> — </w:t>
      </w:r>
      <w:r>
        <w:rPr>
          <w:rStyle w:val="CharSchText"/>
        </w:rPr>
        <w:t>Prescribed classes of contestants</w:t>
      </w:r>
      <w:bookmarkEnd w:id="176"/>
      <w:bookmarkEnd w:id="177"/>
      <w:bookmarkEnd w:id="178"/>
      <w:bookmarkEnd w:id="179"/>
      <w:bookmarkEnd w:id="180"/>
      <w:bookmarkEnd w:id="181"/>
    </w:p>
    <w:p>
      <w:pPr>
        <w:pStyle w:val="yShoulderClause"/>
      </w:pPr>
      <w:r>
        <w:t>[r. 5]</w:t>
      </w:r>
    </w:p>
    <w:p>
      <w:pPr>
        <w:pStyle w:val="yFootnoteheading"/>
      </w:pPr>
      <w:r>
        <w:tab/>
        <w:t>[Heading amended: Gazette 22 Feb 2013 p. 1026.]</w:t>
      </w:r>
    </w:p>
    <w:p>
      <w:pPr>
        <w:pStyle w:val="yHeading3"/>
        <w:spacing w:after="60"/>
      </w:pPr>
      <w:bookmarkStart w:id="182" w:name="_Toc44576214"/>
      <w:bookmarkStart w:id="183" w:name="_Toc44578720"/>
      <w:bookmarkStart w:id="184" w:name="_Toc44582096"/>
      <w:bookmarkStart w:id="185" w:name="_Toc11669123"/>
      <w:bookmarkStart w:id="186" w:name="_Toc11672908"/>
      <w:bookmarkStart w:id="187" w:name="_Toc11853119"/>
      <w:r>
        <w:rPr>
          <w:rStyle w:val="CharSDivNo"/>
        </w:rPr>
        <w:t>Division 1</w:t>
      </w:r>
      <w:r>
        <w:rPr>
          <w:b w:val="0"/>
        </w:rPr>
        <w:t> — </w:t>
      </w:r>
      <w:r>
        <w:rPr>
          <w:rStyle w:val="CharSDivText"/>
        </w:rPr>
        <w:t>Boxing, kickboxing and Muay Thai</w:t>
      </w:r>
      <w:bookmarkEnd w:id="182"/>
      <w:bookmarkEnd w:id="183"/>
      <w:bookmarkEnd w:id="184"/>
      <w:bookmarkEnd w:id="185"/>
      <w:bookmarkEnd w:id="186"/>
      <w:bookmarkEnd w:id="187"/>
    </w:p>
    <w:p>
      <w:pPr>
        <w:pStyle w:val="yFootnoteheading"/>
        <w:spacing w:after="60"/>
      </w:pPr>
      <w:r>
        <w:tab/>
        <w:t>[Heading inserted: Gazette 9 Oct 2018 p.  4035.]</w:t>
      </w:r>
    </w:p>
    <w:tbl>
      <w:tblPr>
        <w:tblW w:w="0" w:type="auto"/>
        <w:tblInd w:w="108" w:type="dxa"/>
        <w:tblLayout w:type="fixed"/>
        <w:tblCellMar>
          <w:left w:w="85" w:type="dxa"/>
          <w:right w:w="85" w:type="dxa"/>
        </w:tblCellMar>
        <w:tblLook w:val="0000" w:firstRow="0" w:lastRow="0" w:firstColumn="0" w:lastColumn="0" w:noHBand="0" w:noVBand="0"/>
      </w:tblPr>
      <w:tblGrid>
        <w:gridCol w:w="2812"/>
        <w:gridCol w:w="1800"/>
        <w:gridCol w:w="2453"/>
      </w:tblGrid>
      <w:tr>
        <w:trPr>
          <w:tblHeader/>
        </w:trPr>
        <w:tc>
          <w:tcPr>
            <w:tcW w:w="2812" w:type="dxa"/>
            <w:tcBorders>
              <w:top w:val="single" w:sz="4" w:space="0" w:color="auto"/>
              <w:bottom w:val="single" w:sz="4" w:space="0" w:color="auto"/>
            </w:tcBorders>
          </w:tcPr>
          <w:p>
            <w:pPr>
              <w:pStyle w:val="yTableNAm"/>
            </w:pPr>
            <w:r>
              <w:rPr>
                <w:b/>
              </w:rPr>
              <w:t>Division (Class)</w:t>
            </w:r>
          </w:p>
        </w:tc>
        <w:tc>
          <w:tcPr>
            <w:tcW w:w="1800" w:type="dxa"/>
            <w:tcBorders>
              <w:top w:val="single" w:sz="4" w:space="0" w:color="auto"/>
              <w:bottom w:val="single" w:sz="4" w:space="0" w:color="auto"/>
            </w:tcBorders>
          </w:tcPr>
          <w:p>
            <w:pPr>
              <w:pStyle w:val="yTableNAm"/>
            </w:pPr>
            <w:r>
              <w:rPr>
                <w:b/>
              </w:rPr>
              <w:t>Minimum weight</w:t>
            </w:r>
          </w:p>
        </w:tc>
        <w:tc>
          <w:tcPr>
            <w:tcW w:w="2453" w:type="dxa"/>
            <w:tcBorders>
              <w:top w:val="single" w:sz="4" w:space="0" w:color="auto"/>
              <w:bottom w:val="single" w:sz="4" w:space="0" w:color="auto"/>
            </w:tcBorders>
          </w:tcPr>
          <w:p>
            <w:pPr>
              <w:pStyle w:val="yTableNAm"/>
            </w:pPr>
            <w:r>
              <w:rPr>
                <w:b/>
              </w:rPr>
              <w:t>Maximum weight</w:t>
            </w:r>
          </w:p>
        </w:tc>
      </w:tr>
      <w:tr>
        <w:tc>
          <w:tcPr>
            <w:tcW w:w="2812" w:type="dxa"/>
          </w:tcPr>
          <w:p>
            <w:pPr>
              <w:pStyle w:val="yTableNAm"/>
            </w:pPr>
            <w:r>
              <w:t>Strawweight or Mini Flyweight</w:t>
            </w:r>
          </w:p>
        </w:tc>
        <w:tc>
          <w:tcPr>
            <w:tcW w:w="1800" w:type="dxa"/>
          </w:tcPr>
          <w:p>
            <w:pPr>
              <w:pStyle w:val="yTableNAm"/>
            </w:pPr>
            <w:r>
              <w:rPr>
                <w:snapToGrid w:val="0"/>
              </w:rPr>
              <w:t>(no lower limit)</w:t>
            </w:r>
          </w:p>
        </w:tc>
        <w:tc>
          <w:tcPr>
            <w:tcW w:w="2453" w:type="dxa"/>
          </w:tcPr>
          <w:p>
            <w:pPr>
              <w:pStyle w:val="yTableNAm"/>
            </w:pPr>
            <w:r>
              <w:t>not exceeding 47.60 kg</w:t>
            </w:r>
          </w:p>
        </w:tc>
      </w:tr>
      <w:tr>
        <w:tc>
          <w:tcPr>
            <w:tcW w:w="2812" w:type="dxa"/>
          </w:tcPr>
          <w:p>
            <w:pPr>
              <w:pStyle w:val="yTableNAm"/>
            </w:pPr>
            <w:r>
              <w:t>Junior Flyweight</w:t>
            </w:r>
          </w:p>
        </w:tc>
        <w:tc>
          <w:tcPr>
            <w:tcW w:w="1800" w:type="dxa"/>
          </w:tcPr>
          <w:p>
            <w:pPr>
              <w:pStyle w:val="yTableNAm"/>
            </w:pPr>
            <w:r>
              <w:t>over 47.60 kg</w:t>
            </w:r>
          </w:p>
        </w:tc>
        <w:tc>
          <w:tcPr>
            <w:tcW w:w="2453" w:type="dxa"/>
          </w:tcPr>
          <w:p>
            <w:pPr>
              <w:pStyle w:val="yTableNAm"/>
            </w:pPr>
            <w:r>
              <w:t>not exceeding 49.00 kg</w:t>
            </w:r>
          </w:p>
        </w:tc>
      </w:tr>
      <w:tr>
        <w:tc>
          <w:tcPr>
            <w:tcW w:w="2812" w:type="dxa"/>
          </w:tcPr>
          <w:p>
            <w:pPr>
              <w:pStyle w:val="yTableNAm"/>
            </w:pPr>
            <w:r>
              <w:t>Flyweight</w:t>
            </w:r>
          </w:p>
        </w:tc>
        <w:tc>
          <w:tcPr>
            <w:tcW w:w="1800" w:type="dxa"/>
          </w:tcPr>
          <w:p>
            <w:pPr>
              <w:pStyle w:val="yTableNAm"/>
            </w:pPr>
            <w:r>
              <w:t>over 49.00 kg</w:t>
            </w:r>
          </w:p>
        </w:tc>
        <w:tc>
          <w:tcPr>
            <w:tcW w:w="2453" w:type="dxa"/>
          </w:tcPr>
          <w:p>
            <w:pPr>
              <w:pStyle w:val="yTableNAm"/>
            </w:pPr>
            <w:r>
              <w:t>not exceeding 50.80 kg</w:t>
            </w:r>
          </w:p>
        </w:tc>
      </w:tr>
      <w:tr>
        <w:tc>
          <w:tcPr>
            <w:tcW w:w="2812" w:type="dxa"/>
          </w:tcPr>
          <w:p>
            <w:pPr>
              <w:pStyle w:val="yTableNAm"/>
            </w:pPr>
            <w:r>
              <w:t>Junior Bantamweight</w:t>
            </w:r>
          </w:p>
        </w:tc>
        <w:tc>
          <w:tcPr>
            <w:tcW w:w="1800" w:type="dxa"/>
          </w:tcPr>
          <w:p>
            <w:pPr>
              <w:pStyle w:val="yTableNAm"/>
            </w:pPr>
            <w:r>
              <w:t>over 50.80 kg</w:t>
            </w:r>
          </w:p>
        </w:tc>
        <w:tc>
          <w:tcPr>
            <w:tcW w:w="2453" w:type="dxa"/>
          </w:tcPr>
          <w:p>
            <w:pPr>
              <w:pStyle w:val="yTableNAm"/>
            </w:pPr>
            <w:r>
              <w:t>not exceeding 52.20 kg</w:t>
            </w:r>
          </w:p>
        </w:tc>
      </w:tr>
      <w:tr>
        <w:tc>
          <w:tcPr>
            <w:tcW w:w="2812" w:type="dxa"/>
          </w:tcPr>
          <w:p>
            <w:pPr>
              <w:pStyle w:val="yTableNAm"/>
            </w:pPr>
            <w:r>
              <w:t>Bantamweight</w:t>
            </w:r>
          </w:p>
        </w:tc>
        <w:tc>
          <w:tcPr>
            <w:tcW w:w="1800" w:type="dxa"/>
          </w:tcPr>
          <w:p>
            <w:pPr>
              <w:pStyle w:val="yTableNAm"/>
            </w:pPr>
            <w:r>
              <w:t>over 52.20 kg</w:t>
            </w:r>
          </w:p>
        </w:tc>
        <w:tc>
          <w:tcPr>
            <w:tcW w:w="2453" w:type="dxa"/>
          </w:tcPr>
          <w:p>
            <w:pPr>
              <w:pStyle w:val="yTableNAm"/>
            </w:pPr>
            <w:r>
              <w:t>not exceeding 53.50 kg</w:t>
            </w:r>
          </w:p>
        </w:tc>
      </w:tr>
      <w:tr>
        <w:tc>
          <w:tcPr>
            <w:tcW w:w="2812" w:type="dxa"/>
          </w:tcPr>
          <w:p>
            <w:pPr>
              <w:pStyle w:val="yTableNAm"/>
            </w:pPr>
            <w:r>
              <w:t>Junior Featherweight</w:t>
            </w:r>
          </w:p>
        </w:tc>
        <w:tc>
          <w:tcPr>
            <w:tcW w:w="1800" w:type="dxa"/>
          </w:tcPr>
          <w:p>
            <w:pPr>
              <w:pStyle w:val="yTableNAm"/>
            </w:pPr>
            <w:r>
              <w:t>over 53.50 kg</w:t>
            </w:r>
          </w:p>
        </w:tc>
        <w:tc>
          <w:tcPr>
            <w:tcW w:w="2453" w:type="dxa"/>
          </w:tcPr>
          <w:p>
            <w:pPr>
              <w:pStyle w:val="yTableNAm"/>
            </w:pPr>
            <w:r>
              <w:t>not exceeding 55.30 kg</w:t>
            </w:r>
          </w:p>
        </w:tc>
      </w:tr>
      <w:tr>
        <w:tc>
          <w:tcPr>
            <w:tcW w:w="2812" w:type="dxa"/>
          </w:tcPr>
          <w:p>
            <w:pPr>
              <w:pStyle w:val="yTableNAm"/>
            </w:pPr>
            <w:r>
              <w:t>Featherweight</w:t>
            </w:r>
          </w:p>
        </w:tc>
        <w:tc>
          <w:tcPr>
            <w:tcW w:w="1800" w:type="dxa"/>
          </w:tcPr>
          <w:p>
            <w:pPr>
              <w:pStyle w:val="yTableNAm"/>
            </w:pPr>
            <w:r>
              <w:t>over 55.30 kg</w:t>
            </w:r>
          </w:p>
        </w:tc>
        <w:tc>
          <w:tcPr>
            <w:tcW w:w="2453" w:type="dxa"/>
          </w:tcPr>
          <w:p>
            <w:pPr>
              <w:pStyle w:val="yTableNAm"/>
            </w:pPr>
            <w:r>
              <w:t>not exceeding 57.20 kg</w:t>
            </w:r>
          </w:p>
        </w:tc>
      </w:tr>
      <w:tr>
        <w:tc>
          <w:tcPr>
            <w:tcW w:w="2812" w:type="dxa"/>
          </w:tcPr>
          <w:p>
            <w:pPr>
              <w:pStyle w:val="yTableNAm"/>
            </w:pPr>
            <w:r>
              <w:t>Junior Lightweight</w:t>
            </w:r>
          </w:p>
        </w:tc>
        <w:tc>
          <w:tcPr>
            <w:tcW w:w="1800" w:type="dxa"/>
          </w:tcPr>
          <w:p>
            <w:pPr>
              <w:pStyle w:val="yTableNAm"/>
            </w:pPr>
            <w:r>
              <w:t>over 57.20 kg</w:t>
            </w:r>
          </w:p>
        </w:tc>
        <w:tc>
          <w:tcPr>
            <w:tcW w:w="2453" w:type="dxa"/>
          </w:tcPr>
          <w:p>
            <w:pPr>
              <w:pStyle w:val="yTableNAm"/>
            </w:pPr>
            <w:r>
              <w:t>not exceeding 59.00 kg</w:t>
            </w:r>
          </w:p>
        </w:tc>
      </w:tr>
      <w:tr>
        <w:tc>
          <w:tcPr>
            <w:tcW w:w="2812" w:type="dxa"/>
          </w:tcPr>
          <w:p>
            <w:pPr>
              <w:pStyle w:val="yTableNAm"/>
            </w:pPr>
            <w:r>
              <w:t>Lightweight</w:t>
            </w:r>
          </w:p>
        </w:tc>
        <w:tc>
          <w:tcPr>
            <w:tcW w:w="1800" w:type="dxa"/>
          </w:tcPr>
          <w:p>
            <w:pPr>
              <w:pStyle w:val="yTableNAm"/>
            </w:pPr>
            <w:r>
              <w:t>over 59.00 kg</w:t>
            </w:r>
          </w:p>
        </w:tc>
        <w:tc>
          <w:tcPr>
            <w:tcW w:w="2453" w:type="dxa"/>
          </w:tcPr>
          <w:p>
            <w:pPr>
              <w:pStyle w:val="yTableNAm"/>
            </w:pPr>
            <w:r>
              <w:t>not exceeding 61.20 kg</w:t>
            </w:r>
          </w:p>
        </w:tc>
      </w:tr>
      <w:tr>
        <w:tc>
          <w:tcPr>
            <w:tcW w:w="2812" w:type="dxa"/>
          </w:tcPr>
          <w:p>
            <w:pPr>
              <w:pStyle w:val="yTableNAm"/>
            </w:pPr>
            <w:r>
              <w:t>Junior Welterweight</w:t>
            </w:r>
          </w:p>
        </w:tc>
        <w:tc>
          <w:tcPr>
            <w:tcW w:w="1800" w:type="dxa"/>
          </w:tcPr>
          <w:p>
            <w:pPr>
              <w:pStyle w:val="yTableNAm"/>
            </w:pPr>
            <w:r>
              <w:t>over 61.20 kg</w:t>
            </w:r>
          </w:p>
        </w:tc>
        <w:tc>
          <w:tcPr>
            <w:tcW w:w="2453" w:type="dxa"/>
          </w:tcPr>
          <w:p>
            <w:pPr>
              <w:pStyle w:val="yTableNAm"/>
            </w:pPr>
            <w:r>
              <w:t>not exceeding 63.50 kg</w:t>
            </w:r>
          </w:p>
        </w:tc>
      </w:tr>
      <w:tr>
        <w:tc>
          <w:tcPr>
            <w:tcW w:w="2812" w:type="dxa"/>
          </w:tcPr>
          <w:p>
            <w:pPr>
              <w:pStyle w:val="yTableNAm"/>
            </w:pPr>
            <w:r>
              <w:t>Welterweight</w:t>
            </w:r>
          </w:p>
        </w:tc>
        <w:tc>
          <w:tcPr>
            <w:tcW w:w="1800" w:type="dxa"/>
          </w:tcPr>
          <w:p>
            <w:pPr>
              <w:pStyle w:val="yTableNAm"/>
            </w:pPr>
            <w:r>
              <w:t>over 63.50 kg</w:t>
            </w:r>
          </w:p>
        </w:tc>
        <w:tc>
          <w:tcPr>
            <w:tcW w:w="2453" w:type="dxa"/>
          </w:tcPr>
          <w:p>
            <w:pPr>
              <w:pStyle w:val="yTableNAm"/>
            </w:pPr>
            <w:r>
              <w:t>not exceeding 66.70 kg</w:t>
            </w:r>
          </w:p>
        </w:tc>
      </w:tr>
      <w:tr>
        <w:tc>
          <w:tcPr>
            <w:tcW w:w="2812" w:type="dxa"/>
          </w:tcPr>
          <w:p>
            <w:pPr>
              <w:pStyle w:val="yTableNAm"/>
            </w:pPr>
            <w:r>
              <w:t>Junior Middleweight</w:t>
            </w:r>
          </w:p>
        </w:tc>
        <w:tc>
          <w:tcPr>
            <w:tcW w:w="1800" w:type="dxa"/>
          </w:tcPr>
          <w:p>
            <w:pPr>
              <w:pStyle w:val="yTableNAm"/>
            </w:pPr>
            <w:r>
              <w:t>over 66.70 kg</w:t>
            </w:r>
          </w:p>
        </w:tc>
        <w:tc>
          <w:tcPr>
            <w:tcW w:w="2453" w:type="dxa"/>
          </w:tcPr>
          <w:p>
            <w:pPr>
              <w:pStyle w:val="yTableNAm"/>
            </w:pPr>
            <w:r>
              <w:t>not exceeding 69.90 kg</w:t>
            </w:r>
          </w:p>
        </w:tc>
      </w:tr>
      <w:tr>
        <w:tc>
          <w:tcPr>
            <w:tcW w:w="2812" w:type="dxa"/>
          </w:tcPr>
          <w:p>
            <w:pPr>
              <w:pStyle w:val="yTableNAm"/>
            </w:pPr>
            <w:r>
              <w:t>Middleweight</w:t>
            </w:r>
          </w:p>
        </w:tc>
        <w:tc>
          <w:tcPr>
            <w:tcW w:w="1800" w:type="dxa"/>
          </w:tcPr>
          <w:p>
            <w:pPr>
              <w:pStyle w:val="yTableNAm"/>
            </w:pPr>
            <w:r>
              <w:t>over 69.90 kg</w:t>
            </w:r>
          </w:p>
        </w:tc>
        <w:tc>
          <w:tcPr>
            <w:tcW w:w="2453" w:type="dxa"/>
          </w:tcPr>
          <w:p>
            <w:pPr>
              <w:pStyle w:val="yTableNAm"/>
            </w:pPr>
            <w:r>
              <w:t>not exceeding 72.50 kg</w:t>
            </w:r>
          </w:p>
        </w:tc>
      </w:tr>
      <w:tr>
        <w:tc>
          <w:tcPr>
            <w:tcW w:w="2812" w:type="dxa"/>
          </w:tcPr>
          <w:p>
            <w:pPr>
              <w:pStyle w:val="yTableNAm"/>
            </w:pPr>
            <w:r>
              <w:t>Super Middleweight</w:t>
            </w:r>
          </w:p>
        </w:tc>
        <w:tc>
          <w:tcPr>
            <w:tcW w:w="1800" w:type="dxa"/>
          </w:tcPr>
          <w:p>
            <w:pPr>
              <w:pStyle w:val="yTableNAm"/>
            </w:pPr>
            <w:r>
              <w:t>over 72.50 kg</w:t>
            </w:r>
          </w:p>
        </w:tc>
        <w:tc>
          <w:tcPr>
            <w:tcW w:w="2453" w:type="dxa"/>
          </w:tcPr>
          <w:p>
            <w:pPr>
              <w:pStyle w:val="yTableNAm"/>
            </w:pPr>
            <w:r>
              <w:t>not exceeding 76.20 kg</w:t>
            </w:r>
          </w:p>
        </w:tc>
      </w:tr>
      <w:tr>
        <w:tc>
          <w:tcPr>
            <w:tcW w:w="2812" w:type="dxa"/>
          </w:tcPr>
          <w:p>
            <w:pPr>
              <w:pStyle w:val="yTableNAm"/>
            </w:pPr>
            <w:r>
              <w:t>Light Heavyweight</w:t>
            </w:r>
          </w:p>
        </w:tc>
        <w:tc>
          <w:tcPr>
            <w:tcW w:w="1800" w:type="dxa"/>
          </w:tcPr>
          <w:p>
            <w:pPr>
              <w:pStyle w:val="yTableNAm"/>
            </w:pPr>
            <w:r>
              <w:t>over 76.20 kg</w:t>
            </w:r>
          </w:p>
        </w:tc>
        <w:tc>
          <w:tcPr>
            <w:tcW w:w="2453" w:type="dxa"/>
          </w:tcPr>
          <w:p>
            <w:pPr>
              <w:pStyle w:val="yTableNAm"/>
            </w:pPr>
            <w:r>
              <w:t>not exceeding 79.40 kg</w:t>
            </w:r>
          </w:p>
        </w:tc>
      </w:tr>
      <w:tr>
        <w:tc>
          <w:tcPr>
            <w:tcW w:w="2812" w:type="dxa"/>
          </w:tcPr>
          <w:p>
            <w:pPr>
              <w:pStyle w:val="yTableNAm"/>
            </w:pPr>
            <w:r>
              <w:t>Cruiserweight</w:t>
            </w:r>
          </w:p>
        </w:tc>
        <w:tc>
          <w:tcPr>
            <w:tcW w:w="1800" w:type="dxa"/>
          </w:tcPr>
          <w:p>
            <w:pPr>
              <w:pStyle w:val="yTableNAm"/>
            </w:pPr>
            <w:r>
              <w:t>over 79.40 kg</w:t>
            </w:r>
          </w:p>
        </w:tc>
        <w:tc>
          <w:tcPr>
            <w:tcW w:w="2453" w:type="dxa"/>
          </w:tcPr>
          <w:p>
            <w:pPr>
              <w:pStyle w:val="yTableNAm"/>
            </w:pPr>
            <w:r>
              <w:t>not exceeding 90.70 kg</w:t>
            </w:r>
          </w:p>
        </w:tc>
      </w:tr>
      <w:tr>
        <w:tc>
          <w:tcPr>
            <w:tcW w:w="2812" w:type="dxa"/>
          </w:tcPr>
          <w:p>
            <w:pPr>
              <w:pStyle w:val="yTableNAm"/>
            </w:pPr>
            <w:r>
              <w:t>Heavyweight</w:t>
            </w:r>
          </w:p>
        </w:tc>
        <w:tc>
          <w:tcPr>
            <w:tcW w:w="1800" w:type="dxa"/>
          </w:tcPr>
          <w:p>
            <w:pPr>
              <w:pStyle w:val="yTableNAm"/>
            </w:pPr>
            <w:r>
              <w:t>over 90.70 kg</w:t>
            </w:r>
          </w:p>
        </w:tc>
        <w:tc>
          <w:tcPr>
            <w:tcW w:w="2453" w:type="dxa"/>
          </w:tcPr>
          <w:p>
            <w:pPr>
              <w:pStyle w:val="yTableNAm"/>
            </w:pPr>
            <w:r>
              <w:t>not exceeding 100.00 kg</w:t>
            </w:r>
          </w:p>
        </w:tc>
      </w:tr>
      <w:tr>
        <w:tc>
          <w:tcPr>
            <w:tcW w:w="2812" w:type="dxa"/>
            <w:tcBorders>
              <w:bottom w:val="single" w:sz="4" w:space="0" w:color="auto"/>
            </w:tcBorders>
          </w:tcPr>
          <w:p>
            <w:pPr>
              <w:pStyle w:val="yTableNAm"/>
            </w:pPr>
            <w:r>
              <w:t>Super Heavyweight</w:t>
            </w:r>
          </w:p>
        </w:tc>
        <w:tc>
          <w:tcPr>
            <w:tcW w:w="1800" w:type="dxa"/>
            <w:tcBorders>
              <w:bottom w:val="single" w:sz="4" w:space="0" w:color="auto"/>
            </w:tcBorders>
          </w:tcPr>
          <w:p>
            <w:pPr>
              <w:pStyle w:val="yTableNAm"/>
            </w:pPr>
            <w:r>
              <w:t>over 100.00 kg</w:t>
            </w:r>
          </w:p>
        </w:tc>
        <w:tc>
          <w:tcPr>
            <w:tcW w:w="2453" w:type="dxa"/>
            <w:tcBorders>
              <w:bottom w:val="single" w:sz="4" w:space="0" w:color="auto"/>
            </w:tcBorders>
          </w:tcPr>
          <w:p>
            <w:pPr>
              <w:pStyle w:val="yTableNAm"/>
            </w:pPr>
            <w:r>
              <w:t>(no upper limit)</w:t>
            </w:r>
          </w:p>
        </w:tc>
      </w:tr>
    </w:tbl>
    <w:p>
      <w:pPr>
        <w:pStyle w:val="yFootnotesection"/>
      </w:pPr>
      <w:r>
        <w:tab/>
        <w:t>[Division 1 inserted: Gazette 9 Oct 2018 p. 4035</w:t>
      </w:r>
      <w:r>
        <w:noBreakHyphen/>
        <w:t>6.]</w:t>
      </w:r>
    </w:p>
    <w:p>
      <w:pPr>
        <w:pStyle w:val="yHeading3"/>
        <w:spacing w:after="160"/>
      </w:pPr>
      <w:bookmarkStart w:id="188" w:name="_Toc44576215"/>
      <w:bookmarkStart w:id="189" w:name="_Toc44578721"/>
      <w:bookmarkStart w:id="190" w:name="_Toc44582097"/>
      <w:bookmarkStart w:id="191" w:name="_Toc11669124"/>
      <w:bookmarkStart w:id="192" w:name="_Toc11672909"/>
      <w:bookmarkStart w:id="193" w:name="_Toc11853120"/>
      <w:r>
        <w:rPr>
          <w:rStyle w:val="CharSDivNo"/>
        </w:rPr>
        <w:t>Division 2</w:t>
      </w:r>
      <w:r>
        <w:rPr>
          <w:b w:val="0"/>
        </w:rPr>
        <w:t> — </w:t>
      </w:r>
      <w:r>
        <w:rPr>
          <w:rStyle w:val="CharSDivText"/>
        </w:rPr>
        <w:t>Brazilian ju jitsu and full contact karate</w:t>
      </w:r>
      <w:bookmarkEnd w:id="188"/>
      <w:bookmarkEnd w:id="189"/>
      <w:bookmarkEnd w:id="190"/>
      <w:bookmarkEnd w:id="191"/>
      <w:bookmarkEnd w:id="192"/>
      <w:bookmarkEnd w:id="193"/>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Minimum weight</w:t>
            </w:r>
          </w:p>
        </w:tc>
        <w:tc>
          <w:tcPr>
            <w:tcW w:w="2288" w:type="dxa"/>
            <w:tcBorders>
              <w:top w:val="single" w:sz="4" w:space="0" w:color="auto"/>
              <w:bottom w:val="single" w:sz="4" w:space="0" w:color="auto"/>
            </w:tcBorders>
          </w:tcPr>
          <w:p>
            <w:pPr>
              <w:pStyle w:val="yTable"/>
              <w:keepNext/>
              <w:spacing w:after="60"/>
              <w:rPr>
                <w:b/>
              </w:rPr>
            </w:pPr>
            <w:r>
              <w:rPr>
                <w:b/>
              </w:rPr>
              <w:t>Maximum weight</w:t>
            </w:r>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yHeading3"/>
      </w:pPr>
      <w:bookmarkStart w:id="194" w:name="_Toc44578722"/>
      <w:bookmarkStart w:id="195" w:name="_Toc44582098"/>
      <w:bookmarkStart w:id="196" w:name="_Toc11669125"/>
      <w:bookmarkStart w:id="197" w:name="_Toc11672910"/>
      <w:bookmarkStart w:id="198" w:name="_Toc11853121"/>
      <w:bookmarkStart w:id="199" w:name="_Toc44576216"/>
      <w:r>
        <w:rPr>
          <w:rStyle w:val="CharSDivNo"/>
        </w:rPr>
        <w:t>Division 3</w:t>
      </w:r>
      <w:r>
        <w:t> — </w:t>
      </w:r>
      <w:r>
        <w:rPr>
          <w:rStyle w:val="CharSDivText"/>
        </w:rPr>
        <w:t>Mixed martial arts</w:t>
      </w:r>
      <w:bookmarkEnd w:id="194"/>
      <w:bookmarkEnd w:id="195"/>
      <w:bookmarkEnd w:id="196"/>
      <w:bookmarkEnd w:id="197"/>
      <w:bookmarkEnd w:id="198"/>
    </w:p>
    <w:p>
      <w:pPr>
        <w:pStyle w:val="yFootnoteheading"/>
        <w:spacing w:after="120"/>
      </w:pPr>
      <w:r>
        <w:tab/>
        <w:t xml:space="preserve">[Heading inserted: </w:t>
      </w:r>
      <w:del w:id="200" w:author="Master Repository Process" w:date="2021-07-31T17:05:00Z">
        <w:r>
          <w:delText>Gazette 22 Feb 2013 p. 1026</w:delText>
        </w:r>
      </w:del>
      <w:ins w:id="201" w:author="Master Repository Process" w:date="2021-07-31T17:05:00Z">
        <w:r>
          <w:t>SL 2020/111 r. 7</w:t>
        </w:r>
      </w:ins>
      <w:r>
        <w:t>.]</w:t>
      </w:r>
    </w:p>
    <w:tbl>
      <w:tblPr>
        <w:tblW w:w="0" w:type="auto"/>
        <w:tblInd w:w="108" w:type="dxa"/>
        <w:tblLayout w:type="fixed"/>
        <w:tblCellMar>
          <w:left w:w="85" w:type="dxa"/>
          <w:right w:w="85" w:type="dxa"/>
        </w:tblCellMar>
        <w:tblLook w:val="0000" w:firstRow="0" w:lastRow="0" w:firstColumn="0" w:lastColumn="0" w:noHBand="0" w:noVBand="0"/>
      </w:tblPr>
      <w:tblGrid>
        <w:gridCol w:w="2529"/>
        <w:gridCol w:w="1984"/>
        <w:gridCol w:w="2575"/>
      </w:tblGrid>
      <w:tr>
        <w:trPr>
          <w:tblHeader/>
        </w:trPr>
        <w:tc>
          <w:tcPr>
            <w:tcW w:w="2529" w:type="dxa"/>
            <w:tcBorders>
              <w:top w:val="single" w:sz="4" w:space="0" w:color="auto"/>
              <w:bottom w:val="single" w:sz="4" w:space="0" w:color="auto"/>
            </w:tcBorders>
            <w:noWrap/>
          </w:tcPr>
          <w:p>
            <w:pPr>
              <w:pStyle w:val="yTableNAm"/>
              <w:spacing w:before="60" w:after="60"/>
              <w:rPr>
                <w:b/>
              </w:rPr>
            </w:pPr>
            <w:r>
              <w:rPr>
                <w:b/>
              </w:rPr>
              <w:t>Division (Class)</w:t>
            </w:r>
          </w:p>
        </w:tc>
        <w:tc>
          <w:tcPr>
            <w:tcW w:w="1984" w:type="dxa"/>
            <w:tcBorders>
              <w:top w:val="single" w:sz="4" w:space="0" w:color="auto"/>
              <w:bottom w:val="single" w:sz="4" w:space="0" w:color="auto"/>
            </w:tcBorders>
            <w:noWrap/>
          </w:tcPr>
          <w:p>
            <w:pPr>
              <w:pStyle w:val="yTableNAm"/>
              <w:spacing w:before="60" w:after="60"/>
              <w:rPr>
                <w:b/>
              </w:rPr>
            </w:pPr>
            <w:r>
              <w:rPr>
                <w:b/>
              </w:rPr>
              <w:t>Minimum weight</w:t>
            </w:r>
          </w:p>
        </w:tc>
        <w:tc>
          <w:tcPr>
            <w:tcW w:w="2575" w:type="dxa"/>
            <w:tcBorders>
              <w:top w:val="single" w:sz="4" w:space="0" w:color="auto"/>
              <w:bottom w:val="single" w:sz="4" w:space="0" w:color="auto"/>
            </w:tcBorders>
            <w:noWrap/>
          </w:tcPr>
          <w:p>
            <w:pPr>
              <w:pStyle w:val="yTableNAm"/>
              <w:spacing w:before="60" w:after="60"/>
              <w:rPr>
                <w:b/>
              </w:rPr>
            </w:pPr>
            <w:r>
              <w:rPr>
                <w:b/>
              </w:rPr>
              <w:t>Maximum weight</w:t>
            </w:r>
          </w:p>
        </w:tc>
      </w:tr>
      <w:tr>
        <w:tc>
          <w:tcPr>
            <w:tcW w:w="2529" w:type="dxa"/>
            <w:noWrap/>
          </w:tcPr>
          <w:p>
            <w:pPr>
              <w:pStyle w:val="yTableNAm"/>
            </w:pPr>
            <w:del w:id="202" w:author="Master Repository Process" w:date="2021-07-31T17:05:00Z">
              <w:r>
                <w:delText>Flyweight</w:delText>
              </w:r>
            </w:del>
            <w:ins w:id="203" w:author="Master Repository Process" w:date="2021-07-31T17:05:00Z">
              <w:r>
                <w:t>Strawweight</w:t>
              </w:r>
            </w:ins>
          </w:p>
        </w:tc>
        <w:tc>
          <w:tcPr>
            <w:tcW w:w="1984" w:type="dxa"/>
            <w:noWrap/>
          </w:tcPr>
          <w:p>
            <w:pPr>
              <w:pStyle w:val="yTableNAm"/>
            </w:pPr>
            <w:r>
              <w:t>(no lower limit)</w:t>
            </w:r>
          </w:p>
        </w:tc>
        <w:tc>
          <w:tcPr>
            <w:tcW w:w="2575" w:type="dxa"/>
            <w:noWrap/>
          </w:tcPr>
          <w:p>
            <w:pPr>
              <w:pStyle w:val="yTableNAm"/>
            </w:pPr>
            <w:r>
              <w:t>not exceeding </w:t>
            </w:r>
            <w:del w:id="204" w:author="Master Repository Process" w:date="2021-07-31T17:05:00Z">
              <w:r>
                <w:delText>56.69</w:delText>
              </w:r>
            </w:del>
            <w:ins w:id="205" w:author="Master Repository Process" w:date="2021-07-31T17:05:00Z">
              <w:r>
                <w:t>52.16</w:t>
              </w:r>
            </w:ins>
            <w:r>
              <w:t> kg</w:t>
            </w:r>
          </w:p>
        </w:tc>
      </w:tr>
      <w:tr>
        <w:trPr>
          <w:ins w:id="206" w:author="Master Repository Process" w:date="2021-07-31T17:05:00Z"/>
        </w:trPr>
        <w:tc>
          <w:tcPr>
            <w:tcW w:w="2529" w:type="dxa"/>
            <w:noWrap/>
          </w:tcPr>
          <w:p>
            <w:pPr>
              <w:pStyle w:val="yTableNAm"/>
              <w:rPr>
                <w:ins w:id="207" w:author="Master Repository Process" w:date="2021-07-31T17:05:00Z"/>
              </w:rPr>
            </w:pPr>
            <w:ins w:id="208" w:author="Master Repository Process" w:date="2021-07-31T17:05:00Z">
              <w:r>
                <w:t>Flyweight</w:t>
              </w:r>
            </w:ins>
          </w:p>
        </w:tc>
        <w:tc>
          <w:tcPr>
            <w:tcW w:w="1984" w:type="dxa"/>
            <w:noWrap/>
          </w:tcPr>
          <w:p>
            <w:pPr>
              <w:pStyle w:val="yTableNAm"/>
              <w:rPr>
                <w:ins w:id="209" w:author="Master Repository Process" w:date="2021-07-31T17:05:00Z"/>
              </w:rPr>
            </w:pPr>
            <w:ins w:id="210" w:author="Master Repository Process" w:date="2021-07-31T17:05:00Z">
              <w:r>
                <w:t>over 52.16 kg</w:t>
              </w:r>
            </w:ins>
          </w:p>
        </w:tc>
        <w:tc>
          <w:tcPr>
            <w:tcW w:w="2575" w:type="dxa"/>
            <w:noWrap/>
          </w:tcPr>
          <w:p>
            <w:pPr>
              <w:pStyle w:val="yTableNAm"/>
              <w:rPr>
                <w:ins w:id="211" w:author="Master Repository Process" w:date="2021-07-31T17:05:00Z"/>
              </w:rPr>
            </w:pPr>
            <w:ins w:id="212" w:author="Master Repository Process" w:date="2021-07-31T17:05:00Z">
              <w:r>
                <w:t>not exceeding 56.70 kg</w:t>
              </w:r>
            </w:ins>
          </w:p>
        </w:tc>
      </w:tr>
      <w:tr>
        <w:tc>
          <w:tcPr>
            <w:tcW w:w="2529" w:type="dxa"/>
            <w:noWrap/>
          </w:tcPr>
          <w:p>
            <w:pPr>
              <w:pStyle w:val="yTableNAm"/>
            </w:pPr>
            <w:r>
              <w:t>Bantamweight</w:t>
            </w:r>
          </w:p>
        </w:tc>
        <w:tc>
          <w:tcPr>
            <w:tcW w:w="1984" w:type="dxa"/>
            <w:noWrap/>
          </w:tcPr>
          <w:p>
            <w:pPr>
              <w:pStyle w:val="yTableNAm"/>
            </w:pPr>
            <w:r>
              <w:t>over 56.</w:t>
            </w:r>
            <w:del w:id="213" w:author="Master Repository Process" w:date="2021-07-31T17:05:00Z">
              <w:r>
                <w:delText>69</w:delText>
              </w:r>
            </w:del>
            <w:ins w:id="214" w:author="Master Repository Process" w:date="2021-07-31T17:05:00Z">
              <w:r>
                <w:t>70</w:t>
              </w:r>
            </w:ins>
            <w:r>
              <w:t> kg</w:t>
            </w:r>
            <w:del w:id="215" w:author="Master Repository Process" w:date="2021-07-31T17:05:00Z">
              <w:r>
                <w:delText xml:space="preserve">  </w:delText>
              </w:r>
            </w:del>
          </w:p>
        </w:tc>
        <w:tc>
          <w:tcPr>
            <w:tcW w:w="2575" w:type="dxa"/>
            <w:noWrap/>
          </w:tcPr>
          <w:p>
            <w:pPr>
              <w:pStyle w:val="yTableNAm"/>
            </w:pPr>
            <w:r>
              <w:t>not exceeding 61.23 kg</w:t>
            </w:r>
          </w:p>
        </w:tc>
      </w:tr>
      <w:tr>
        <w:tc>
          <w:tcPr>
            <w:tcW w:w="2529" w:type="dxa"/>
            <w:noWrap/>
          </w:tcPr>
          <w:p>
            <w:pPr>
              <w:pStyle w:val="yTableNAm"/>
            </w:pPr>
            <w:r>
              <w:t>Featherweight</w:t>
            </w:r>
          </w:p>
        </w:tc>
        <w:tc>
          <w:tcPr>
            <w:tcW w:w="1984" w:type="dxa"/>
            <w:noWrap/>
          </w:tcPr>
          <w:p>
            <w:pPr>
              <w:pStyle w:val="yTableNAm"/>
            </w:pPr>
            <w:del w:id="216" w:author="Master Repository Process" w:date="2021-07-31T17:05:00Z">
              <w:r>
                <w:delText>Over</w:delText>
              </w:r>
            </w:del>
            <w:ins w:id="217" w:author="Master Repository Process" w:date="2021-07-31T17:05:00Z">
              <w:r>
                <w:t>over</w:t>
              </w:r>
            </w:ins>
            <w:r>
              <w:t> 61.23 kg</w:t>
            </w:r>
          </w:p>
        </w:tc>
        <w:tc>
          <w:tcPr>
            <w:tcW w:w="2575" w:type="dxa"/>
            <w:noWrap/>
          </w:tcPr>
          <w:p>
            <w:pPr>
              <w:pStyle w:val="yTableNAm"/>
            </w:pPr>
            <w:r>
              <w:t>not exceeding 65.77 kg</w:t>
            </w:r>
          </w:p>
        </w:tc>
      </w:tr>
      <w:tr>
        <w:tc>
          <w:tcPr>
            <w:tcW w:w="2529" w:type="dxa"/>
            <w:noWrap/>
          </w:tcPr>
          <w:p>
            <w:pPr>
              <w:pStyle w:val="yTableNAm"/>
            </w:pPr>
            <w:r>
              <w:t>Lightweight</w:t>
            </w:r>
          </w:p>
        </w:tc>
        <w:tc>
          <w:tcPr>
            <w:tcW w:w="1984" w:type="dxa"/>
            <w:noWrap/>
          </w:tcPr>
          <w:p>
            <w:pPr>
              <w:pStyle w:val="yTableNAm"/>
            </w:pPr>
            <w:del w:id="218" w:author="Master Repository Process" w:date="2021-07-31T17:05:00Z">
              <w:r>
                <w:delText>Over</w:delText>
              </w:r>
            </w:del>
            <w:ins w:id="219" w:author="Master Repository Process" w:date="2021-07-31T17:05:00Z">
              <w:r>
                <w:t>over</w:t>
              </w:r>
            </w:ins>
            <w:r>
              <w:t> 65.77 kg</w:t>
            </w:r>
          </w:p>
        </w:tc>
        <w:tc>
          <w:tcPr>
            <w:tcW w:w="2575" w:type="dxa"/>
            <w:noWrap/>
          </w:tcPr>
          <w:p>
            <w:pPr>
              <w:pStyle w:val="yTableNAm"/>
            </w:pPr>
            <w:r>
              <w:t>not exceeding 70.</w:t>
            </w:r>
            <w:del w:id="220" w:author="Master Repository Process" w:date="2021-07-31T17:05:00Z">
              <w:r>
                <w:delText>30</w:delText>
              </w:r>
            </w:del>
            <w:ins w:id="221" w:author="Master Repository Process" w:date="2021-07-31T17:05:00Z">
              <w:r>
                <w:t>31</w:t>
              </w:r>
            </w:ins>
            <w:r>
              <w:t> kg</w:t>
            </w:r>
          </w:p>
        </w:tc>
      </w:tr>
      <w:tr>
        <w:trPr>
          <w:ins w:id="222" w:author="Master Repository Process" w:date="2021-07-31T17:05:00Z"/>
        </w:trPr>
        <w:tc>
          <w:tcPr>
            <w:tcW w:w="2529" w:type="dxa"/>
            <w:noWrap/>
          </w:tcPr>
          <w:p>
            <w:pPr>
              <w:pStyle w:val="yTableNAm"/>
              <w:rPr>
                <w:ins w:id="223" w:author="Master Repository Process" w:date="2021-07-31T17:05:00Z"/>
              </w:rPr>
            </w:pPr>
            <w:ins w:id="224" w:author="Master Repository Process" w:date="2021-07-31T17:05:00Z">
              <w:r>
                <w:t>Super Lightweight</w:t>
              </w:r>
            </w:ins>
          </w:p>
        </w:tc>
        <w:tc>
          <w:tcPr>
            <w:tcW w:w="1984" w:type="dxa"/>
            <w:noWrap/>
          </w:tcPr>
          <w:p>
            <w:pPr>
              <w:pStyle w:val="yTableNAm"/>
              <w:rPr>
                <w:ins w:id="225" w:author="Master Repository Process" w:date="2021-07-31T17:05:00Z"/>
              </w:rPr>
            </w:pPr>
            <w:ins w:id="226" w:author="Master Repository Process" w:date="2021-07-31T17:05:00Z">
              <w:r>
                <w:t>over 70.31 kg</w:t>
              </w:r>
            </w:ins>
          </w:p>
        </w:tc>
        <w:tc>
          <w:tcPr>
            <w:tcW w:w="2575" w:type="dxa"/>
            <w:noWrap/>
          </w:tcPr>
          <w:p>
            <w:pPr>
              <w:pStyle w:val="yTableNAm"/>
              <w:rPr>
                <w:ins w:id="227" w:author="Master Repository Process" w:date="2021-07-31T17:05:00Z"/>
              </w:rPr>
            </w:pPr>
            <w:ins w:id="228" w:author="Master Repository Process" w:date="2021-07-31T17:05:00Z">
              <w:r>
                <w:t>not exceeding 74.84 kg</w:t>
              </w:r>
            </w:ins>
          </w:p>
        </w:tc>
      </w:tr>
      <w:tr>
        <w:trPr>
          <w:ins w:id="229" w:author="Master Repository Process" w:date="2021-07-31T17:05:00Z"/>
        </w:trPr>
        <w:tc>
          <w:tcPr>
            <w:tcW w:w="2529" w:type="dxa"/>
            <w:noWrap/>
          </w:tcPr>
          <w:p>
            <w:pPr>
              <w:pStyle w:val="yTableNAm"/>
              <w:rPr>
                <w:ins w:id="230" w:author="Master Repository Process" w:date="2021-07-31T17:05:00Z"/>
              </w:rPr>
            </w:pPr>
            <w:ins w:id="231" w:author="Master Repository Process" w:date="2021-07-31T17:05:00Z">
              <w:r>
                <w:t>Welterweight</w:t>
              </w:r>
            </w:ins>
          </w:p>
        </w:tc>
        <w:tc>
          <w:tcPr>
            <w:tcW w:w="1984" w:type="dxa"/>
            <w:noWrap/>
          </w:tcPr>
          <w:p>
            <w:pPr>
              <w:pStyle w:val="yTableNAm"/>
              <w:rPr>
                <w:ins w:id="232" w:author="Master Repository Process" w:date="2021-07-31T17:05:00Z"/>
              </w:rPr>
            </w:pPr>
            <w:ins w:id="233" w:author="Master Repository Process" w:date="2021-07-31T17:05:00Z">
              <w:r>
                <w:t>over 74.84 kg</w:t>
              </w:r>
            </w:ins>
          </w:p>
        </w:tc>
        <w:tc>
          <w:tcPr>
            <w:tcW w:w="2575" w:type="dxa"/>
            <w:noWrap/>
          </w:tcPr>
          <w:p>
            <w:pPr>
              <w:pStyle w:val="yTableNAm"/>
              <w:rPr>
                <w:ins w:id="234" w:author="Master Repository Process" w:date="2021-07-31T17:05:00Z"/>
              </w:rPr>
            </w:pPr>
            <w:ins w:id="235" w:author="Master Repository Process" w:date="2021-07-31T17:05:00Z">
              <w:r>
                <w:t>not exceeding 77.11 kg</w:t>
              </w:r>
            </w:ins>
          </w:p>
        </w:tc>
      </w:tr>
      <w:tr>
        <w:tc>
          <w:tcPr>
            <w:tcW w:w="2529" w:type="dxa"/>
            <w:noWrap/>
          </w:tcPr>
          <w:p>
            <w:pPr>
              <w:pStyle w:val="yTableNAm"/>
            </w:pPr>
            <w:ins w:id="236" w:author="Master Repository Process" w:date="2021-07-31T17:05:00Z">
              <w:r>
                <w:t xml:space="preserve">Super </w:t>
              </w:r>
            </w:ins>
            <w:r>
              <w:t>Welterweight</w:t>
            </w:r>
          </w:p>
        </w:tc>
        <w:tc>
          <w:tcPr>
            <w:tcW w:w="1984" w:type="dxa"/>
            <w:noWrap/>
          </w:tcPr>
          <w:p>
            <w:pPr>
              <w:pStyle w:val="yTableNAm"/>
            </w:pPr>
            <w:del w:id="237" w:author="Master Repository Process" w:date="2021-07-31T17:05:00Z">
              <w:r>
                <w:delText>Over 70.30</w:delText>
              </w:r>
            </w:del>
            <w:ins w:id="238" w:author="Master Repository Process" w:date="2021-07-31T17:05:00Z">
              <w:r>
                <w:t>over 77.11</w:t>
              </w:r>
            </w:ins>
            <w:r>
              <w:t> kg</w:t>
            </w:r>
            <w:del w:id="239" w:author="Master Repository Process" w:date="2021-07-31T17:05:00Z">
              <w:r>
                <w:delText xml:space="preserve"> </w:delText>
              </w:r>
            </w:del>
          </w:p>
        </w:tc>
        <w:tc>
          <w:tcPr>
            <w:tcW w:w="2575" w:type="dxa"/>
            <w:noWrap/>
          </w:tcPr>
          <w:p>
            <w:pPr>
              <w:pStyle w:val="yTableNAm"/>
            </w:pPr>
            <w:r>
              <w:t>not exceeding </w:t>
            </w:r>
            <w:del w:id="240" w:author="Master Repository Process" w:date="2021-07-31T17:05:00Z">
              <w:r>
                <w:delText>77.11</w:delText>
              </w:r>
            </w:del>
            <w:ins w:id="241" w:author="Master Repository Process" w:date="2021-07-31T17:05:00Z">
              <w:r>
                <w:t>79.38</w:t>
              </w:r>
            </w:ins>
            <w:r>
              <w:t> kg</w:t>
            </w:r>
          </w:p>
        </w:tc>
      </w:tr>
      <w:tr>
        <w:tc>
          <w:tcPr>
            <w:tcW w:w="2529" w:type="dxa"/>
            <w:noWrap/>
          </w:tcPr>
          <w:p>
            <w:pPr>
              <w:pStyle w:val="yTableNAm"/>
            </w:pPr>
            <w:r>
              <w:t>Middleweight</w:t>
            </w:r>
          </w:p>
        </w:tc>
        <w:tc>
          <w:tcPr>
            <w:tcW w:w="1984" w:type="dxa"/>
            <w:noWrap/>
          </w:tcPr>
          <w:p>
            <w:pPr>
              <w:pStyle w:val="yTableNAm"/>
            </w:pPr>
            <w:del w:id="242" w:author="Master Repository Process" w:date="2021-07-31T17:05:00Z">
              <w:r>
                <w:delText>Over 77.11</w:delText>
              </w:r>
            </w:del>
            <w:ins w:id="243" w:author="Master Repository Process" w:date="2021-07-31T17:05:00Z">
              <w:r>
                <w:t>over 79.38</w:t>
              </w:r>
            </w:ins>
            <w:r>
              <w:t> kg</w:t>
            </w:r>
            <w:del w:id="244" w:author="Master Repository Process" w:date="2021-07-31T17:05:00Z">
              <w:r>
                <w:delText xml:space="preserve"> </w:delText>
              </w:r>
            </w:del>
          </w:p>
        </w:tc>
        <w:tc>
          <w:tcPr>
            <w:tcW w:w="2575" w:type="dxa"/>
            <w:noWrap/>
          </w:tcPr>
          <w:p>
            <w:pPr>
              <w:pStyle w:val="yTableNAm"/>
            </w:pPr>
            <w:r>
              <w:t>not exceeding </w:t>
            </w:r>
            <w:del w:id="245" w:author="Master Repository Process" w:date="2021-07-31T17:05:00Z">
              <w:r>
                <w:delText>79.</w:delText>
              </w:r>
            </w:del>
            <w:r>
              <w:t>83</w:t>
            </w:r>
            <w:ins w:id="246" w:author="Master Repository Process" w:date="2021-07-31T17:05:00Z">
              <w:r>
                <w:t>.91</w:t>
              </w:r>
            </w:ins>
            <w:r>
              <w:t> kg</w:t>
            </w:r>
          </w:p>
        </w:tc>
      </w:tr>
      <w:tr>
        <w:tc>
          <w:tcPr>
            <w:tcW w:w="2529" w:type="dxa"/>
            <w:noWrap/>
          </w:tcPr>
          <w:p>
            <w:pPr>
              <w:pStyle w:val="yTableNAm"/>
            </w:pPr>
            <w:del w:id="247" w:author="Master Repository Process" w:date="2021-07-31T17:05:00Z">
              <w:r>
                <w:delText>Cruiserweight</w:delText>
              </w:r>
            </w:del>
            <w:ins w:id="248" w:author="Master Repository Process" w:date="2021-07-31T17:05:00Z">
              <w:r>
                <w:t>Super Middleweight</w:t>
              </w:r>
            </w:ins>
          </w:p>
        </w:tc>
        <w:tc>
          <w:tcPr>
            <w:tcW w:w="1984" w:type="dxa"/>
            <w:noWrap/>
          </w:tcPr>
          <w:p>
            <w:pPr>
              <w:pStyle w:val="yTableNAm"/>
            </w:pPr>
            <w:del w:id="249" w:author="Master Repository Process" w:date="2021-07-31T17:05:00Z">
              <w:r>
                <w:delText>Over 79.</w:delText>
              </w:r>
            </w:del>
            <w:ins w:id="250" w:author="Master Repository Process" w:date="2021-07-31T17:05:00Z">
              <w:r>
                <w:t>over </w:t>
              </w:r>
            </w:ins>
            <w:r>
              <w:t>83</w:t>
            </w:r>
            <w:ins w:id="251" w:author="Master Repository Process" w:date="2021-07-31T17:05:00Z">
              <w:r>
                <w:t>.91</w:t>
              </w:r>
            </w:ins>
            <w:r>
              <w:t> kg</w:t>
            </w:r>
          </w:p>
        </w:tc>
        <w:tc>
          <w:tcPr>
            <w:tcW w:w="2575" w:type="dxa"/>
            <w:noWrap/>
          </w:tcPr>
          <w:p>
            <w:pPr>
              <w:pStyle w:val="yTableNAm"/>
            </w:pPr>
            <w:r>
              <w:t>not exceeding </w:t>
            </w:r>
            <w:del w:id="252" w:author="Master Repository Process" w:date="2021-07-31T17:05:00Z">
              <w:r>
                <w:delText>90.7</w:delText>
              </w:r>
            </w:del>
            <w:ins w:id="253" w:author="Master Repository Process" w:date="2021-07-31T17:05:00Z">
              <w:r>
                <w:t>88.45</w:t>
              </w:r>
            </w:ins>
            <w:r>
              <w:t> kg</w:t>
            </w:r>
          </w:p>
        </w:tc>
      </w:tr>
      <w:tr>
        <w:trPr>
          <w:ins w:id="254" w:author="Master Repository Process" w:date="2021-07-31T17:05:00Z"/>
        </w:trPr>
        <w:tc>
          <w:tcPr>
            <w:tcW w:w="2529" w:type="dxa"/>
            <w:noWrap/>
          </w:tcPr>
          <w:p>
            <w:pPr>
              <w:pStyle w:val="yTableNAm"/>
              <w:rPr>
                <w:ins w:id="255" w:author="Master Repository Process" w:date="2021-07-31T17:05:00Z"/>
              </w:rPr>
            </w:pPr>
            <w:ins w:id="256" w:author="Master Repository Process" w:date="2021-07-31T17:05:00Z">
              <w:r>
                <w:t>Light Heavyweight</w:t>
              </w:r>
            </w:ins>
          </w:p>
        </w:tc>
        <w:tc>
          <w:tcPr>
            <w:tcW w:w="1984" w:type="dxa"/>
            <w:noWrap/>
          </w:tcPr>
          <w:p>
            <w:pPr>
              <w:pStyle w:val="yTableNAm"/>
              <w:rPr>
                <w:ins w:id="257" w:author="Master Repository Process" w:date="2021-07-31T17:05:00Z"/>
              </w:rPr>
            </w:pPr>
            <w:ins w:id="258" w:author="Master Repository Process" w:date="2021-07-31T17:05:00Z">
              <w:r>
                <w:t>over 88.45 kg</w:t>
              </w:r>
            </w:ins>
          </w:p>
        </w:tc>
        <w:tc>
          <w:tcPr>
            <w:tcW w:w="2575" w:type="dxa"/>
            <w:noWrap/>
          </w:tcPr>
          <w:p>
            <w:pPr>
              <w:pStyle w:val="yTableNAm"/>
              <w:rPr>
                <w:ins w:id="259" w:author="Master Repository Process" w:date="2021-07-31T17:05:00Z"/>
              </w:rPr>
            </w:pPr>
            <w:ins w:id="260" w:author="Master Repository Process" w:date="2021-07-31T17:05:00Z">
              <w:r>
                <w:t>not exceeding 92.99 kg</w:t>
              </w:r>
            </w:ins>
          </w:p>
        </w:tc>
      </w:tr>
      <w:tr>
        <w:trPr>
          <w:ins w:id="261" w:author="Master Repository Process" w:date="2021-07-31T17:05:00Z"/>
        </w:trPr>
        <w:tc>
          <w:tcPr>
            <w:tcW w:w="2529" w:type="dxa"/>
            <w:noWrap/>
          </w:tcPr>
          <w:p>
            <w:pPr>
              <w:pStyle w:val="yTableNAm"/>
              <w:rPr>
                <w:ins w:id="262" w:author="Master Repository Process" w:date="2021-07-31T17:05:00Z"/>
              </w:rPr>
            </w:pPr>
            <w:ins w:id="263" w:author="Master Repository Process" w:date="2021-07-31T17:05:00Z">
              <w:r>
                <w:t>Cruiserweight</w:t>
              </w:r>
            </w:ins>
          </w:p>
        </w:tc>
        <w:tc>
          <w:tcPr>
            <w:tcW w:w="1984" w:type="dxa"/>
            <w:noWrap/>
          </w:tcPr>
          <w:p>
            <w:pPr>
              <w:pStyle w:val="yTableNAm"/>
              <w:rPr>
                <w:ins w:id="264" w:author="Master Repository Process" w:date="2021-07-31T17:05:00Z"/>
              </w:rPr>
            </w:pPr>
            <w:ins w:id="265" w:author="Master Repository Process" w:date="2021-07-31T17:05:00Z">
              <w:r>
                <w:t>over 92.99 kg</w:t>
              </w:r>
            </w:ins>
          </w:p>
        </w:tc>
        <w:tc>
          <w:tcPr>
            <w:tcW w:w="2575" w:type="dxa"/>
            <w:noWrap/>
          </w:tcPr>
          <w:p>
            <w:pPr>
              <w:pStyle w:val="yTableNAm"/>
              <w:rPr>
                <w:ins w:id="266" w:author="Master Repository Process" w:date="2021-07-31T17:05:00Z"/>
              </w:rPr>
            </w:pPr>
            <w:ins w:id="267" w:author="Master Repository Process" w:date="2021-07-31T17:05:00Z">
              <w:r>
                <w:t>not exceeding 102.06 kg</w:t>
              </w:r>
            </w:ins>
          </w:p>
        </w:tc>
      </w:tr>
      <w:tr>
        <w:trPr>
          <w:ins w:id="268" w:author="Master Repository Process" w:date="2021-07-31T17:05:00Z"/>
        </w:trPr>
        <w:tc>
          <w:tcPr>
            <w:tcW w:w="2529" w:type="dxa"/>
            <w:noWrap/>
          </w:tcPr>
          <w:p>
            <w:pPr>
              <w:pStyle w:val="yTableNAm"/>
              <w:keepNext/>
              <w:rPr>
                <w:ins w:id="269" w:author="Master Repository Process" w:date="2021-07-31T17:05:00Z"/>
              </w:rPr>
            </w:pPr>
            <w:ins w:id="270" w:author="Master Repository Process" w:date="2021-07-31T17:05:00Z">
              <w:r>
                <w:t>Heavyweight</w:t>
              </w:r>
            </w:ins>
          </w:p>
        </w:tc>
        <w:tc>
          <w:tcPr>
            <w:tcW w:w="1984" w:type="dxa"/>
            <w:noWrap/>
          </w:tcPr>
          <w:p>
            <w:pPr>
              <w:pStyle w:val="yTableNAm"/>
              <w:rPr>
                <w:ins w:id="271" w:author="Master Repository Process" w:date="2021-07-31T17:05:00Z"/>
              </w:rPr>
            </w:pPr>
            <w:ins w:id="272" w:author="Master Repository Process" w:date="2021-07-31T17:05:00Z">
              <w:r>
                <w:t>over 102.06 kg</w:t>
              </w:r>
            </w:ins>
          </w:p>
        </w:tc>
        <w:tc>
          <w:tcPr>
            <w:tcW w:w="2575" w:type="dxa"/>
            <w:noWrap/>
          </w:tcPr>
          <w:p>
            <w:pPr>
              <w:pStyle w:val="yTableNAm"/>
              <w:rPr>
                <w:ins w:id="273" w:author="Master Repository Process" w:date="2021-07-31T17:05:00Z"/>
              </w:rPr>
            </w:pPr>
            <w:ins w:id="274" w:author="Master Repository Process" w:date="2021-07-31T17:05:00Z">
              <w:r>
                <w:t>not exceeding 120.20 kg</w:t>
              </w:r>
            </w:ins>
          </w:p>
        </w:tc>
      </w:tr>
      <w:tr>
        <w:tc>
          <w:tcPr>
            <w:tcW w:w="2529" w:type="dxa"/>
            <w:tcBorders>
              <w:bottom w:val="single" w:sz="4" w:space="0" w:color="auto"/>
            </w:tcBorders>
            <w:noWrap/>
          </w:tcPr>
          <w:p>
            <w:pPr>
              <w:pStyle w:val="yTableNAm"/>
            </w:pPr>
            <w:ins w:id="275" w:author="Master Repository Process" w:date="2021-07-31T17:05:00Z">
              <w:r>
                <w:t xml:space="preserve">Super </w:t>
              </w:r>
            </w:ins>
            <w:r>
              <w:t>Heavyweight</w:t>
            </w:r>
          </w:p>
        </w:tc>
        <w:tc>
          <w:tcPr>
            <w:tcW w:w="1984" w:type="dxa"/>
            <w:tcBorders>
              <w:bottom w:val="single" w:sz="4" w:space="0" w:color="auto"/>
            </w:tcBorders>
            <w:noWrap/>
          </w:tcPr>
          <w:p>
            <w:pPr>
              <w:pStyle w:val="yTableNAm"/>
            </w:pPr>
            <w:del w:id="276" w:author="Master Repository Process" w:date="2021-07-31T17:05:00Z">
              <w:r>
                <w:delText>Over 90.7</w:delText>
              </w:r>
            </w:del>
            <w:ins w:id="277" w:author="Master Repository Process" w:date="2021-07-31T17:05:00Z">
              <w:r>
                <w:t>over 120.20</w:t>
              </w:r>
            </w:ins>
            <w:r>
              <w:t> kg</w:t>
            </w:r>
          </w:p>
        </w:tc>
        <w:tc>
          <w:tcPr>
            <w:tcW w:w="2575" w:type="dxa"/>
            <w:tcBorders>
              <w:bottom w:val="single" w:sz="4" w:space="0" w:color="auto"/>
            </w:tcBorders>
            <w:noWrap/>
          </w:tcPr>
          <w:p>
            <w:pPr>
              <w:pStyle w:val="yTableNAm"/>
            </w:pPr>
            <w:r>
              <w:t>(no upper limit)</w:t>
            </w:r>
          </w:p>
        </w:tc>
      </w:tr>
    </w:tbl>
    <w:p>
      <w:pPr>
        <w:pStyle w:val="yFootnotesection"/>
        <w:rPr>
          <w:ins w:id="278" w:author="Master Repository Process" w:date="2021-07-31T17:05:00Z"/>
        </w:rPr>
      </w:pPr>
      <w:r>
        <w:tab/>
        <w:t>[Division</w:t>
      </w:r>
      <w:del w:id="279" w:author="Master Repository Process" w:date="2021-07-31T17:05:00Z">
        <w:r>
          <w:delText xml:space="preserve"> </w:delText>
        </w:r>
      </w:del>
      <w:ins w:id="280" w:author="Master Repository Process" w:date="2021-07-31T17:05:00Z">
        <w:r>
          <w:t> </w:t>
        </w:r>
      </w:ins>
      <w:r>
        <w:t xml:space="preserve">3 inserted: </w:t>
      </w:r>
      <w:del w:id="281" w:author="Master Repository Process" w:date="2021-07-31T17:05:00Z">
        <w:r>
          <w:delText>Gazette 22 Feb 2013 p. 1026.]</w:delText>
        </w:r>
      </w:del>
      <w:ins w:id="282" w:author="Master Repository Process" w:date="2021-07-31T17:05:00Z">
        <w:r>
          <w:t>SL 2020/111 r. 7.]</w:t>
        </w:r>
        <w:bookmarkEnd w:id="199"/>
      </w:ins>
    </w:p>
    <w:p>
      <w:pPr>
        <w:pStyle w:val="y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84" w:name="_Toc44576217"/>
      <w:bookmarkStart w:id="285" w:name="_Toc44578723"/>
      <w:bookmarkStart w:id="286" w:name="_Toc44582099"/>
      <w:bookmarkStart w:id="287" w:name="_Toc11672911"/>
      <w:bookmarkStart w:id="288" w:name="_Toc11853122"/>
      <w:bookmarkStart w:id="289" w:name="_Toc11669126"/>
      <w:r>
        <w:rPr>
          <w:rStyle w:val="CharSchNo"/>
        </w:rPr>
        <w:t>Schedule 3</w:t>
      </w:r>
      <w:r>
        <w:rPr>
          <w:rStyle w:val="CharSDivNo"/>
        </w:rPr>
        <w:t> </w:t>
      </w:r>
      <w:r>
        <w:t>—</w:t>
      </w:r>
      <w:r>
        <w:rPr>
          <w:rStyle w:val="CharSDivText"/>
        </w:rPr>
        <w:t> </w:t>
      </w:r>
      <w:r>
        <w:rPr>
          <w:rStyle w:val="CharSchText"/>
        </w:rPr>
        <w:t>Fees</w:t>
      </w:r>
      <w:bookmarkEnd w:id="284"/>
      <w:bookmarkEnd w:id="285"/>
      <w:bookmarkEnd w:id="286"/>
      <w:bookmarkEnd w:id="287"/>
      <w:bookmarkEnd w:id="288"/>
    </w:p>
    <w:p>
      <w:pPr>
        <w:pStyle w:val="yShoulderClause"/>
      </w:pPr>
      <w:r>
        <w:t>[r. 8, 11 and 17E]</w:t>
      </w:r>
    </w:p>
    <w:tbl>
      <w:tblPr>
        <w:tblW w:w="0" w:type="auto"/>
        <w:tblInd w:w="250" w:type="dxa"/>
        <w:tblLayout w:type="fixed"/>
        <w:tblCellMar>
          <w:bottom w:w="113" w:type="dxa"/>
        </w:tblCellMar>
        <w:tblLook w:val="0000" w:firstRow="0" w:lastRow="0" w:firstColumn="0" w:lastColumn="0" w:noHBand="0" w:noVBand="0"/>
      </w:tblPr>
      <w:tblGrid>
        <w:gridCol w:w="601"/>
        <w:gridCol w:w="4922"/>
        <w:gridCol w:w="1486"/>
      </w:tblGrid>
      <w:tr>
        <w:trPr>
          <w:tblHeader/>
        </w:trPr>
        <w:tc>
          <w:tcPr>
            <w:tcW w:w="601" w:type="dxa"/>
          </w:tcPr>
          <w:p>
            <w:pPr>
              <w:pStyle w:val="yTableNAm"/>
              <w:jc w:val="center"/>
              <w:rPr>
                <w:b/>
                <w:bCs/>
              </w:rPr>
            </w:pPr>
          </w:p>
        </w:tc>
        <w:tc>
          <w:tcPr>
            <w:tcW w:w="4922" w:type="dxa"/>
          </w:tcPr>
          <w:p>
            <w:pPr>
              <w:pStyle w:val="yTableNAm"/>
              <w:jc w:val="center"/>
              <w:rPr>
                <w:b/>
                <w:bCs/>
              </w:rPr>
            </w:pPr>
          </w:p>
        </w:tc>
        <w:tc>
          <w:tcPr>
            <w:tcW w:w="1486" w:type="dxa"/>
          </w:tcPr>
          <w:p>
            <w:pPr>
              <w:pStyle w:val="yTableNAm"/>
              <w:jc w:val="center"/>
              <w:rPr>
                <w:b/>
                <w:bCs/>
              </w:rPr>
            </w:pPr>
            <w:r>
              <w:rPr>
                <w:b/>
                <w:bCs/>
              </w:rPr>
              <w:t>$</w:t>
            </w:r>
          </w:p>
        </w:tc>
      </w:tr>
      <w:tr>
        <w:tc>
          <w:tcPr>
            <w:tcW w:w="601" w:type="dxa"/>
          </w:tcPr>
          <w:p>
            <w:pPr>
              <w:pStyle w:val="yTableNAm"/>
            </w:pPr>
            <w:r>
              <w:t>1.</w:t>
            </w:r>
          </w:p>
        </w:tc>
        <w:tc>
          <w:tcPr>
            <w:tcW w:w="4922" w:type="dxa"/>
          </w:tcPr>
          <w:p>
            <w:pPr>
              <w:pStyle w:val="yTableNAm"/>
              <w:tabs>
                <w:tab w:val="left" w:leader="dot" w:pos="567"/>
                <w:tab w:val="left" w:leader="dot" w:pos="4922"/>
              </w:tabs>
            </w:pPr>
            <w:r>
              <w:t xml:space="preserve">Fee for registration as a contestant under section 16(2)(c) of the Act or renewal of registration as a contestant under section 19(3)(c) of the Act </w:t>
            </w:r>
            <w:r>
              <w:tab/>
            </w:r>
          </w:p>
        </w:tc>
        <w:tc>
          <w:tcPr>
            <w:tcW w:w="1486" w:type="dxa"/>
          </w:tcPr>
          <w:p>
            <w:pPr>
              <w:pStyle w:val="yTableNAm"/>
              <w:ind w:right="340"/>
              <w:jc w:val="right"/>
            </w:pPr>
            <w:r>
              <w:br/>
            </w:r>
            <w:r>
              <w:br/>
              <w:t>101.50</w:t>
            </w:r>
          </w:p>
        </w:tc>
      </w:tr>
      <w:tr>
        <w:tc>
          <w:tcPr>
            <w:tcW w:w="601" w:type="dxa"/>
          </w:tcPr>
          <w:p>
            <w:pPr>
              <w:pStyle w:val="yTableNAm"/>
            </w:pPr>
            <w:r>
              <w:t>2.</w:t>
            </w:r>
          </w:p>
        </w:tc>
        <w:tc>
          <w:tcPr>
            <w:tcW w:w="4922" w:type="dxa"/>
          </w:tcPr>
          <w:p>
            <w:pPr>
              <w:pStyle w:val="yTableNAm"/>
            </w:pPr>
            <w:r>
              <w:t>Fees for registration as an industry participant under section 27(3)(b) of the Act or renewal of registration under section 31(2)(b) of the Act as —</w:t>
            </w:r>
          </w:p>
        </w:tc>
        <w:tc>
          <w:tcPr>
            <w:tcW w:w="1486" w:type="dxa"/>
          </w:tcPr>
          <w:p>
            <w:pPr>
              <w:pStyle w:val="yTableNAm"/>
              <w:ind w:right="340"/>
              <w:jc w:val="right"/>
            </w:pPr>
          </w:p>
        </w:tc>
      </w:tr>
      <w:tr>
        <w:tc>
          <w:tcPr>
            <w:tcW w:w="601" w:type="dxa"/>
          </w:tcPr>
          <w:p>
            <w:pPr>
              <w:pStyle w:val="yTableNAm"/>
            </w:pPr>
          </w:p>
        </w:tc>
        <w:tc>
          <w:tcPr>
            <w:tcW w:w="4922" w:type="dxa"/>
            <w:vAlign w:val="bottom"/>
          </w:tcPr>
          <w:p>
            <w:pPr>
              <w:pStyle w:val="yTableNAm"/>
              <w:tabs>
                <w:tab w:val="left" w:pos="1089"/>
                <w:tab w:val="left" w:leader="dot" w:pos="4922"/>
              </w:tabs>
            </w:pPr>
            <w:r>
              <w:tab/>
              <w:t>(a)</w:t>
            </w:r>
            <w:r>
              <w:tab/>
              <w:t>a promoter</w:t>
            </w:r>
            <w:r>
              <w:tab/>
            </w:r>
          </w:p>
        </w:tc>
        <w:tc>
          <w:tcPr>
            <w:tcW w:w="1486" w:type="dxa"/>
          </w:tcPr>
          <w:p>
            <w:pPr>
              <w:pStyle w:val="yTableNAm"/>
              <w:ind w:right="340"/>
              <w:jc w:val="right"/>
            </w:pPr>
            <w:r>
              <w:t>334.50</w:t>
            </w:r>
          </w:p>
        </w:tc>
      </w:tr>
      <w:tr>
        <w:tc>
          <w:tcPr>
            <w:tcW w:w="601" w:type="dxa"/>
          </w:tcPr>
          <w:p>
            <w:pPr>
              <w:pStyle w:val="yTableNAm"/>
            </w:pPr>
          </w:p>
        </w:tc>
        <w:tc>
          <w:tcPr>
            <w:tcW w:w="4922" w:type="dxa"/>
            <w:vAlign w:val="bottom"/>
          </w:tcPr>
          <w:p>
            <w:pPr>
              <w:pStyle w:val="yTableNAm"/>
              <w:tabs>
                <w:tab w:val="left" w:pos="1089"/>
                <w:tab w:val="left" w:leader="dot" w:pos="4922"/>
              </w:tabs>
            </w:pPr>
            <w:r>
              <w:tab/>
              <w:t>(b)</w:t>
            </w:r>
            <w:r>
              <w:tab/>
              <w:t>a matchmaker</w:t>
            </w:r>
            <w:r>
              <w:tab/>
            </w:r>
          </w:p>
        </w:tc>
        <w:tc>
          <w:tcPr>
            <w:tcW w:w="1486" w:type="dxa"/>
          </w:tcPr>
          <w:p>
            <w:pPr>
              <w:pStyle w:val="yTableNAm"/>
              <w:ind w:right="340"/>
              <w:jc w:val="right"/>
            </w:pPr>
            <w:r>
              <w:t>167.00</w:t>
            </w:r>
          </w:p>
        </w:tc>
      </w:tr>
      <w:tr>
        <w:tc>
          <w:tcPr>
            <w:tcW w:w="601" w:type="dxa"/>
          </w:tcPr>
          <w:p>
            <w:pPr>
              <w:pStyle w:val="yTableNAm"/>
            </w:pPr>
          </w:p>
        </w:tc>
        <w:tc>
          <w:tcPr>
            <w:tcW w:w="4922" w:type="dxa"/>
            <w:vAlign w:val="bottom"/>
          </w:tcPr>
          <w:p>
            <w:pPr>
              <w:pStyle w:val="yTableNAm"/>
              <w:tabs>
                <w:tab w:val="left" w:pos="1089"/>
                <w:tab w:val="left" w:leader="dot" w:pos="4922"/>
              </w:tabs>
            </w:pPr>
            <w:r>
              <w:tab/>
              <w:t>(c)</w:t>
            </w:r>
            <w:r>
              <w:tab/>
              <w:t>a manager</w:t>
            </w:r>
            <w:r>
              <w:tab/>
            </w:r>
          </w:p>
        </w:tc>
        <w:tc>
          <w:tcPr>
            <w:tcW w:w="1486" w:type="dxa"/>
          </w:tcPr>
          <w:p>
            <w:pPr>
              <w:pStyle w:val="yTableNAm"/>
              <w:ind w:right="340"/>
              <w:jc w:val="right"/>
            </w:pPr>
            <w:r>
              <w:t>167.00</w:t>
            </w:r>
          </w:p>
        </w:tc>
      </w:tr>
      <w:tr>
        <w:tc>
          <w:tcPr>
            <w:tcW w:w="601" w:type="dxa"/>
          </w:tcPr>
          <w:p>
            <w:pPr>
              <w:pStyle w:val="yTableNAm"/>
            </w:pPr>
          </w:p>
        </w:tc>
        <w:tc>
          <w:tcPr>
            <w:tcW w:w="4922" w:type="dxa"/>
            <w:vAlign w:val="bottom"/>
          </w:tcPr>
          <w:p>
            <w:pPr>
              <w:pStyle w:val="yTableNAm"/>
              <w:tabs>
                <w:tab w:val="left" w:pos="1089"/>
                <w:tab w:val="left" w:leader="dot" w:pos="4922"/>
              </w:tabs>
            </w:pPr>
            <w:r>
              <w:tab/>
              <w:t>(d)</w:t>
            </w:r>
            <w:r>
              <w:tab/>
              <w:t>a trainer</w:t>
            </w:r>
            <w:r>
              <w:tab/>
            </w:r>
          </w:p>
        </w:tc>
        <w:tc>
          <w:tcPr>
            <w:tcW w:w="1486" w:type="dxa"/>
          </w:tcPr>
          <w:p>
            <w:pPr>
              <w:pStyle w:val="yTableNAm"/>
              <w:ind w:right="340"/>
              <w:jc w:val="right"/>
            </w:pPr>
            <w:r>
              <w:t>83.50</w:t>
            </w:r>
          </w:p>
        </w:tc>
      </w:tr>
      <w:tr>
        <w:tc>
          <w:tcPr>
            <w:tcW w:w="601" w:type="dxa"/>
          </w:tcPr>
          <w:p>
            <w:pPr>
              <w:pStyle w:val="yTableNAm"/>
            </w:pPr>
          </w:p>
        </w:tc>
        <w:tc>
          <w:tcPr>
            <w:tcW w:w="4922" w:type="dxa"/>
            <w:vAlign w:val="bottom"/>
          </w:tcPr>
          <w:p>
            <w:pPr>
              <w:pStyle w:val="yTableNAm"/>
              <w:tabs>
                <w:tab w:val="left" w:pos="1089"/>
                <w:tab w:val="left" w:leader="dot" w:pos="4922"/>
              </w:tabs>
            </w:pPr>
            <w:r>
              <w:tab/>
              <w:t>(e)</w:t>
            </w:r>
            <w:r>
              <w:tab/>
              <w:t>a referee</w:t>
            </w:r>
            <w:r>
              <w:tab/>
            </w:r>
          </w:p>
        </w:tc>
        <w:tc>
          <w:tcPr>
            <w:tcW w:w="1486" w:type="dxa"/>
          </w:tcPr>
          <w:p>
            <w:pPr>
              <w:pStyle w:val="yTableNAm"/>
              <w:ind w:right="340"/>
              <w:jc w:val="right"/>
            </w:pPr>
            <w:r>
              <w:t>101.50</w:t>
            </w:r>
          </w:p>
        </w:tc>
      </w:tr>
      <w:tr>
        <w:tc>
          <w:tcPr>
            <w:tcW w:w="601" w:type="dxa"/>
          </w:tcPr>
          <w:p>
            <w:pPr>
              <w:pStyle w:val="yTableNAm"/>
            </w:pPr>
          </w:p>
        </w:tc>
        <w:tc>
          <w:tcPr>
            <w:tcW w:w="4922" w:type="dxa"/>
            <w:vAlign w:val="bottom"/>
          </w:tcPr>
          <w:p>
            <w:pPr>
              <w:pStyle w:val="yTableNAm"/>
              <w:tabs>
                <w:tab w:val="left" w:pos="1089"/>
                <w:tab w:val="left" w:leader="dot" w:pos="4922"/>
              </w:tabs>
            </w:pPr>
            <w:r>
              <w:tab/>
              <w:t>(f)</w:t>
            </w:r>
            <w:r>
              <w:tab/>
              <w:t>a judge</w:t>
            </w:r>
            <w:r>
              <w:tab/>
            </w:r>
          </w:p>
        </w:tc>
        <w:tc>
          <w:tcPr>
            <w:tcW w:w="1486" w:type="dxa"/>
          </w:tcPr>
          <w:p>
            <w:pPr>
              <w:pStyle w:val="yTableNAm"/>
              <w:ind w:right="340"/>
              <w:jc w:val="right"/>
            </w:pPr>
            <w:r>
              <w:t>81.00</w:t>
            </w:r>
          </w:p>
        </w:tc>
      </w:tr>
      <w:tr>
        <w:tc>
          <w:tcPr>
            <w:tcW w:w="601" w:type="dxa"/>
          </w:tcPr>
          <w:p>
            <w:pPr>
              <w:pStyle w:val="yTableNAm"/>
            </w:pPr>
          </w:p>
        </w:tc>
        <w:tc>
          <w:tcPr>
            <w:tcW w:w="4922" w:type="dxa"/>
            <w:vAlign w:val="bottom"/>
          </w:tcPr>
          <w:p>
            <w:pPr>
              <w:pStyle w:val="yTableNAm"/>
              <w:tabs>
                <w:tab w:val="left" w:pos="1089"/>
                <w:tab w:val="left" w:leader="dot" w:pos="4922"/>
              </w:tabs>
            </w:pPr>
            <w:r>
              <w:tab/>
              <w:t>(g)</w:t>
            </w:r>
            <w:r>
              <w:tab/>
              <w:t>a timekeeper</w:t>
            </w:r>
            <w:r>
              <w:tab/>
            </w:r>
          </w:p>
        </w:tc>
        <w:tc>
          <w:tcPr>
            <w:tcW w:w="1486" w:type="dxa"/>
          </w:tcPr>
          <w:p>
            <w:pPr>
              <w:pStyle w:val="yTableNAm"/>
              <w:ind w:right="340"/>
              <w:jc w:val="right"/>
            </w:pPr>
            <w:r>
              <w:t>81.00</w:t>
            </w:r>
          </w:p>
        </w:tc>
      </w:tr>
      <w:tr>
        <w:tc>
          <w:tcPr>
            <w:tcW w:w="601" w:type="dxa"/>
          </w:tcPr>
          <w:p>
            <w:pPr>
              <w:pStyle w:val="yTableNAm"/>
            </w:pPr>
          </w:p>
        </w:tc>
        <w:tc>
          <w:tcPr>
            <w:tcW w:w="4922" w:type="dxa"/>
            <w:vAlign w:val="bottom"/>
          </w:tcPr>
          <w:p>
            <w:pPr>
              <w:pStyle w:val="yTableNAm"/>
              <w:tabs>
                <w:tab w:val="left" w:pos="1089"/>
                <w:tab w:val="left" w:leader="dot" w:pos="4922"/>
              </w:tabs>
            </w:pPr>
            <w:r>
              <w:tab/>
              <w:t>(h)</w:t>
            </w:r>
            <w:r>
              <w:tab/>
              <w:t>a second</w:t>
            </w:r>
            <w:r>
              <w:tab/>
            </w:r>
          </w:p>
        </w:tc>
        <w:tc>
          <w:tcPr>
            <w:tcW w:w="1486" w:type="dxa"/>
          </w:tcPr>
          <w:p>
            <w:pPr>
              <w:pStyle w:val="yTableNAm"/>
              <w:ind w:right="340"/>
              <w:jc w:val="right"/>
            </w:pPr>
            <w:r>
              <w:t>30.00</w:t>
            </w:r>
          </w:p>
        </w:tc>
      </w:tr>
      <w:tr>
        <w:tc>
          <w:tcPr>
            <w:tcW w:w="601" w:type="dxa"/>
          </w:tcPr>
          <w:p>
            <w:pPr>
              <w:pStyle w:val="yTableNAm"/>
            </w:pPr>
            <w:r>
              <w:t>3.</w:t>
            </w:r>
          </w:p>
        </w:tc>
        <w:tc>
          <w:tcPr>
            <w:tcW w:w="4922" w:type="dxa"/>
          </w:tcPr>
          <w:p>
            <w:pPr>
              <w:pStyle w:val="yTableNAm"/>
              <w:tabs>
                <w:tab w:val="left" w:leader="dot" w:pos="4922"/>
              </w:tabs>
            </w:pPr>
            <w:r>
              <w:t xml:space="preserve">Fee for issue of a duplicate contestant record book under section 42 of the Act </w:t>
            </w:r>
            <w:r>
              <w:tab/>
            </w:r>
          </w:p>
        </w:tc>
        <w:tc>
          <w:tcPr>
            <w:tcW w:w="1486" w:type="dxa"/>
          </w:tcPr>
          <w:p>
            <w:pPr>
              <w:pStyle w:val="yTableNAm"/>
              <w:ind w:right="340"/>
              <w:jc w:val="right"/>
            </w:pPr>
            <w:r>
              <w:br/>
              <w:t>100.00</w:t>
            </w:r>
          </w:p>
        </w:tc>
      </w:tr>
      <w:tr>
        <w:tc>
          <w:tcPr>
            <w:tcW w:w="601" w:type="dxa"/>
          </w:tcPr>
          <w:p>
            <w:pPr>
              <w:pStyle w:val="yTableNAm"/>
              <w:keepNext/>
            </w:pPr>
            <w:r>
              <w:t>4.</w:t>
            </w:r>
          </w:p>
        </w:tc>
        <w:tc>
          <w:tcPr>
            <w:tcW w:w="4922" w:type="dxa"/>
          </w:tcPr>
          <w:p>
            <w:pPr>
              <w:pStyle w:val="yTableNAm"/>
              <w:keepNext/>
            </w:pPr>
            <w:r>
              <w:t>Fees for permit for a contest under section 44(2)(e) of the Act for which the following number of tickets for admission to the contest are proposed to be made available —</w:t>
            </w:r>
          </w:p>
        </w:tc>
        <w:tc>
          <w:tcPr>
            <w:tcW w:w="1486" w:type="dxa"/>
          </w:tcPr>
          <w:p>
            <w:pPr>
              <w:pStyle w:val="yTableNAm"/>
              <w:keepNext/>
            </w:pPr>
          </w:p>
        </w:tc>
      </w:tr>
      <w:tr>
        <w:tc>
          <w:tcPr>
            <w:tcW w:w="601" w:type="dxa"/>
          </w:tcPr>
          <w:p>
            <w:pPr>
              <w:pStyle w:val="yTableNAm"/>
            </w:pPr>
          </w:p>
        </w:tc>
        <w:tc>
          <w:tcPr>
            <w:tcW w:w="4922" w:type="dxa"/>
            <w:vAlign w:val="bottom"/>
          </w:tcPr>
          <w:p>
            <w:pPr>
              <w:pStyle w:val="yTableNAm"/>
              <w:tabs>
                <w:tab w:val="left" w:pos="1089"/>
                <w:tab w:val="left" w:leader="dot" w:pos="4922"/>
              </w:tabs>
            </w:pPr>
            <w:r>
              <w:tab/>
              <w:t>(a)</w:t>
            </w:r>
            <w:r>
              <w:tab/>
              <w:t>not more than 300</w:t>
            </w:r>
            <w:r>
              <w:tab/>
            </w:r>
          </w:p>
        </w:tc>
        <w:tc>
          <w:tcPr>
            <w:tcW w:w="1486" w:type="dxa"/>
          </w:tcPr>
          <w:p>
            <w:pPr>
              <w:pStyle w:val="yTableNAm"/>
              <w:ind w:right="340"/>
              <w:jc w:val="right"/>
            </w:pPr>
            <w:r>
              <w:t>100.00</w:t>
            </w:r>
          </w:p>
        </w:tc>
      </w:tr>
      <w:tr>
        <w:tc>
          <w:tcPr>
            <w:tcW w:w="601" w:type="dxa"/>
          </w:tcPr>
          <w:p>
            <w:pPr>
              <w:pStyle w:val="yTableNAm"/>
            </w:pPr>
          </w:p>
        </w:tc>
        <w:tc>
          <w:tcPr>
            <w:tcW w:w="4922" w:type="dxa"/>
            <w:vAlign w:val="bottom"/>
          </w:tcPr>
          <w:p>
            <w:pPr>
              <w:pStyle w:val="yTableNAm"/>
              <w:tabs>
                <w:tab w:val="left" w:pos="1089"/>
                <w:tab w:val="left" w:leader="dot" w:pos="4922"/>
              </w:tabs>
            </w:pPr>
            <w:r>
              <w:tab/>
              <w:t>(b)</w:t>
            </w:r>
            <w:r>
              <w:tab/>
              <w:t>more than 300 but not more than 700</w:t>
            </w:r>
            <w:r>
              <w:tab/>
            </w:r>
          </w:p>
        </w:tc>
        <w:tc>
          <w:tcPr>
            <w:tcW w:w="1486" w:type="dxa"/>
          </w:tcPr>
          <w:p>
            <w:pPr>
              <w:pStyle w:val="yTableNAm"/>
              <w:ind w:right="340"/>
              <w:jc w:val="right"/>
            </w:pPr>
            <w:r>
              <w:t>300.00</w:t>
            </w:r>
          </w:p>
        </w:tc>
      </w:tr>
      <w:tr>
        <w:tc>
          <w:tcPr>
            <w:tcW w:w="601" w:type="dxa"/>
          </w:tcPr>
          <w:p>
            <w:pPr>
              <w:pStyle w:val="yTableNAm"/>
            </w:pPr>
          </w:p>
        </w:tc>
        <w:tc>
          <w:tcPr>
            <w:tcW w:w="4922" w:type="dxa"/>
            <w:vAlign w:val="bottom"/>
          </w:tcPr>
          <w:p>
            <w:pPr>
              <w:pStyle w:val="yTableNAm"/>
              <w:tabs>
                <w:tab w:val="left" w:pos="1089"/>
                <w:tab w:val="left" w:leader="dot" w:pos="4922"/>
              </w:tabs>
            </w:pPr>
            <w:r>
              <w:tab/>
              <w:t>(c)</w:t>
            </w:r>
            <w:r>
              <w:tab/>
              <w:t>more than 700 but not more than 2 500</w:t>
            </w:r>
            <w:r>
              <w:tab/>
            </w:r>
          </w:p>
        </w:tc>
        <w:tc>
          <w:tcPr>
            <w:tcW w:w="1486" w:type="dxa"/>
          </w:tcPr>
          <w:p>
            <w:pPr>
              <w:pStyle w:val="yTableNAm"/>
              <w:ind w:right="340"/>
              <w:jc w:val="right"/>
            </w:pPr>
            <w:r>
              <w:t>600.00</w:t>
            </w:r>
          </w:p>
        </w:tc>
      </w:tr>
      <w:tr>
        <w:tc>
          <w:tcPr>
            <w:tcW w:w="601" w:type="dxa"/>
          </w:tcPr>
          <w:p>
            <w:pPr>
              <w:pStyle w:val="yTableNAm"/>
            </w:pPr>
          </w:p>
        </w:tc>
        <w:tc>
          <w:tcPr>
            <w:tcW w:w="4922" w:type="dxa"/>
            <w:vAlign w:val="bottom"/>
          </w:tcPr>
          <w:p>
            <w:pPr>
              <w:pStyle w:val="yTableNAm"/>
              <w:tabs>
                <w:tab w:val="left" w:pos="1089"/>
                <w:tab w:val="left" w:leader="dot" w:pos="4922"/>
              </w:tabs>
              <w:ind w:left="1077" w:hanging="1077"/>
            </w:pPr>
            <w:r>
              <w:tab/>
              <w:t>(d)</w:t>
            </w:r>
            <w:r>
              <w:tab/>
              <w:t xml:space="preserve">more than 2 500 but not more </w:t>
            </w:r>
            <w:r>
              <w:br/>
              <w:t>than 4 500</w:t>
            </w:r>
            <w:r>
              <w:tab/>
            </w:r>
          </w:p>
        </w:tc>
        <w:tc>
          <w:tcPr>
            <w:tcW w:w="1486" w:type="dxa"/>
          </w:tcPr>
          <w:p>
            <w:pPr>
              <w:pStyle w:val="yTableNAm"/>
              <w:ind w:right="340"/>
              <w:jc w:val="right"/>
            </w:pPr>
            <w:r>
              <w:br/>
              <w:t>1 000.00</w:t>
            </w:r>
          </w:p>
        </w:tc>
      </w:tr>
      <w:tr>
        <w:tc>
          <w:tcPr>
            <w:tcW w:w="601" w:type="dxa"/>
          </w:tcPr>
          <w:p>
            <w:pPr>
              <w:pStyle w:val="yTableNAm"/>
            </w:pPr>
          </w:p>
        </w:tc>
        <w:tc>
          <w:tcPr>
            <w:tcW w:w="4922" w:type="dxa"/>
            <w:vAlign w:val="bottom"/>
          </w:tcPr>
          <w:p>
            <w:pPr>
              <w:pStyle w:val="yTableNAm"/>
              <w:tabs>
                <w:tab w:val="left" w:pos="1089"/>
                <w:tab w:val="left" w:leader="dot" w:pos="4922"/>
              </w:tabs>
            </w:pPr>
            <w:r>
              <w:tab/>
              <w:t>(e)</w:t>
            </w:r>
            <w:r>
              <w:tab/>
              <w:t>more than 4 500</w:t>
            </w:r>
            <w:r>
              <w:tab/>
            </w:r>
          </w:p>
        </w:tc>
        <w:tc>
          <w:tcPr>
            <w:tcW w:w="1486" w:type="dxa"/>
          </w:tcPr>
          <w:p>
            <w:pPr>
              <w:pStyle w:val="yTableNAm"/>
              <w:ind w:right="340"/>
              <w:jc w:val="right"/>
            </w:pPr>
            <w:r>
              <w:t>2 500.00</w:t>
            </w:r>
          </w:p>
        </w:tc>
      </w:tr>
    </w:tbl>
    <w:p>
      <w:pPr>
        <w:pStyle w:val="yFootnotesection"/>
      </w:pPr>
      <w:r>
        <w:tab/>
        <w:t>[Schedule 3 inserted: Gazette 17 May 2019 p 1436</w:t>
      </w:r>
      <w:r>
        <w:noBreakHyphen/>
        <w:t>7.]</w:t>
      </w:r>
    </w:p>
    <w:p>
      <w:pPr>
        <w:pStyle w:val="yScheduleHeading"/>
      </w:pPr>
      <w:bookmarkStart w:id="290" w:name="_Toc44576218"/>
      <w:bookmarkStart w:id="291" w:name="_Toc44578724"/>
      <w:bookmarkStart w:id="292" w:name="_Toc44582100"/>
      <w:bookmarkStart w:id="293" w:name="_Toc11669127"/>
      <w:bookmarkStart w:id="294" w:name="_Toc11672912"/>
      <w:bookmarkStart w:id="295" w:name="_Toc11853123"/>
      <w:bookmarkEnd w:id="289"/>
      <w:r>
        <w:rPr>
          <w:rStyle w:val="CharSchNo"/>
        </w:rPr>
        <w:t>Schedule 4</w:t>
      </w:r>
      <w:r>
        <w:t> — </w:t>
      </w:r>
      <w:r>
        <w:rPr>
          <w:rStyle w:val="CharSchText"/>
        </w:rPr>
        <w:t>Minimum fees for officials</w:t>
      </w:r>
      <w:bookmarkEnd w:id="290"/>
      <w:bookmarkEnd w:id="291"/>
      <w:bookmarkEnd w:id="292"/>
      <w:bookmarkEnd w:id="293"/>
      <w:bookmarkEnd w:id="294"/>
      <w:bookmarkEnd w:id="295"/>
    </w:p>
    <w:p>
      <w:pPr>
        <w:pStyle w:val="yShoulderClause"/>
      </w:pPr>
      <w:r>
        <w:t>[r. 19]</w:t>
      </w:r>
    </w:p>
    <w:p>
      <w:pPr>
        <w:pStyle w:val="yFootnoteheading"/>
        <w:spacing w:after="120"/>
      </w:pPr>
      <w:r>
        <w:tab/>
        <w:t>[Heading inserted: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 Gazette 22 Feb 2013 p. 1027.]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endnotePr>
            <w:numFmt w:val="decimal"/>
          </w:endnotePr>
          <w:pgSz w:w="11907" w:h="16840" w:code="9"/>
          <w:pgMar w:top="2376" w:right="2405" w:bottom="3542" w:left="2405" w:header="706" w:footer="3380" w:gutter="0"/>
          <w:cols w:space="720"/>
          <w:noEndnote/>
          <w:docGrid w:linePitch="326"/>
        </w:sectPr>
      </w:pPr>
    </w:p>
    <w:p>
      <w:pPr>
        <w:pStyle w:val="nHeading2"/>
      </w:pPr>
      <w:bookmarkStart w:id="296" w:name="_Toc44578725"/>
      <w:bookmarkStart w:id="297" w:name="_Toc44582101"/>
      <w:bookmarkStart w:id="298" w:name="_Toc11669128"/>
      <w:bookmarkStart w:id="299" w:name="_Toc11672913"/>
      <w:bookmarkStart w:id="300" w:name="_Toc11853124"/>
      <w:bookmarkStart w:id="301" w:name="_Toc44576221"/>
      <w:r>
        <w:t>Notes</w:t>
      </w:r>
      <w:bookmarkEnd w:id="296"/>
      <w:bookmarkEnd w:id="297"/>
      <w:bookmarkEnd w:id="298"/>
      <w:bookmarkEnd w:id="299"/>
      <w:bookmarkEnd w:id="300"/>
    </w:p>
    <w:p>
      <w:pPr>
        <w:pStyle w:val="nStatement"/>
      </w:pPr>
      <w:del w:id="302" w:author="Master Repository Process" w:date="2021-07-31T17:05:00Z">
        <w:r>
          <w:rPr>
            <w:snapToGrid w:val="0"/>
            <w:vertAlign w:val="superscript"/>
          </w:rPr>
          <w:delText>1</w:delText>
        </w:r>
        <w:r>
          <w:rPr>
            <w:snapToGrid w:val="0"/>
          </w:rPr>
          <w:tab/>
        </w:r>
      </w:del>
      <w:r>
        <w:t xml:space="preserve">This is a compilation of the </w:t>
      </w:r>
      <w:r>
        <w:rPr>
          <w:i/>
          <w:noProof/>
        </w:rPr>
        <w:t>Combat Sports Regulations</w:t>
      </w:r>
      <w:del w:id="303" w:author="Master Repository Process" w:date="2021-07-31T17:05:00Z">
        <w:r>
          <w:rPr>
            <w:i/>
            <w:noProof/>
            <w:snapToGrid w:val="0"/>
          </w:rPr>
          <w:delText> </w:delText>
        </w:r>
      </w:del>
      <w:ins w:id="304" w:author="Master Repository Process" w:date="2021-07-31T17:05:00Z">
        <w:r>
          <w:rPr>
            <w:i/>
            <w:noProof/>
          </w:rPr>
          <w:t xml:space="preserve"> </w:t>
        </w:r>
      </w:ins>
      <w:r>
        <w:rPr>
          <w:i/>
          <w:noProof/>
        </w:rPr>
        <w:t>2004</w:t>
      </w:r>
      <w:r>
        <w:t xml:space="preserve"> and includes </w:t>
      </w:r>
      <w:del w:id="305" w:author="Master Repository Process" w:date="2021-07-31T17:05:00Z">
        <w:r>
          <w:rPr>
            <w:snapToGrid w:val="0"/>
          </w:rPr>
          <w:delText xml:space="preserve">the </w:delText>
        </w:r>
      </w:del>
      <w:r>
        <w:t xml:space="preserve">amendments made by </w:t>
      </w:r>
      <w:del w:id="306" w:author="Master Repository Process" w:date="2021-07-31T17:05:00Z">
        <w:r>
          <w:rPr>
            <w:snapToGrid w:val="0"/>
          </w:rPr>
          <w:delText xml:space="preserve">the </w:delText>
        </w:r>
      </w:del>
      <w:r>
        <w:t>other written laws</w:t>
      </w:r>
      <w:del w:id="307" w:author="Master Repository Process" w:date="2021-07-31T17:05:00Z">
        <w:r>
          <w:rPr>
            <w:snapToGrid w:val="0"/>
          </w:rPr>
          <w:delText xml:space="preserve"> referred to in the following table</w:delText>
        </w:r>
        <w:r>
          <w:delText> </w:delText>
        </w:r>
        <w:r>
          <w:rPr>
            <w:snapToGrid w:val="0"/>
          </w:rPr>
          <w:delText>.  The table also contains</w:delText>
        </w:r>
      </w:del>
      <w:ins w:id="308" w:author="Master Repository Process" w:date="2021-07-31T17:05:00Z">
        <w:r>
          <w:t>. For provisions that have come into operation, and for</w:t>
        </w:r>
      </w:ins>
      <w:r>
        <w:t xml:space="preserve"> information about any </w:t>
      </w:r>
      <w:del w:id="309" w:author="Master Repository Process" w:date="2021-07-31T17:05:00Z">
        <w:r>
          <w:rPr>
            <w:snapToGrid w:val="0"/>
          </w:rPr>
          <w:delText>reprint</w:delText>
        </w:r>
      </w:del>
      <w:ins w:id="310" w:author="Master Repository Process" w:date="2021-07-31T17:05:00Z">
        <w:r>
          <w:t>reprints, see the compilation table</w:t>
        </w:r>
      </w:ins>
      <w:r>
        <w:t>.</w:t>
      </w:r>
    </w:p>
    <w:p>
      <w:pPr>
        <w:pStyle w:val="nHeading3"/>
      </w:pPr>
      <w:bookmarkStart w:id="311" w:name="_Toc44582102"/>
      <w:bookmarkStart w:id="312" w:name="_Toc11853125"/>
      <w:r>
        <w:t>Compilation table</w:t>
      </w:r>
      <w:bookmarkEnd w:id="311"/>
      <w:bookmarkEnd w:id="3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13" w:author="Master Repository Process" w:date="2021-07-31T17:05:00Z">
              <w:r>
                <w:rPr>
                  <w:b/>
                </w:rPr>
                <w:delText>Gazettal</w:delText>
              </w:r>
            </w:del>
            <w:ins w:id="314" w:author="Master Repository Process" w:date="2021-07-31T17:0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Professional Combat Sports Regulations 2004</w:t>
            </w:r>
            <w:r>
              <w:rPr>
                <w:noProof/>
                <w:snapToGrid w:val="0"/>
                <w:vertAlign w:val="superscript"/>
              </w:rPr>
              <w:t> </w:t>
            </w:r>
            <w:del w:id="315" w:author="Master Repository Process" w:date="2021-07-31T17:05:00Z">
              <w:r>
                <w:rPr>
                  <w:noProof/>
                  <w:snapToGrid w:val="0"/>
                  <w:vertAlign w:val="superscript"/>
                </w:rPr>
                <w:delText>3</w:delText>
              </w:r>
            </w:del>
            <w:ins w:id="316" w:author="Master Repository Process" w:date="2021-07-31T17:05:00Z">
              <w:r>
                <w:rPr>
                  <w:noProof/>
                  <w:snapToGrid w:val="0"/>
                  <w:vertAlign w:val="superscript"/>
                </w:rPr>
                <w:t>2</w:t>
              </w:r>
            </w:ins>
          </w:p>
        </w:tc>
        <w:tc>
          <w:tcPr>
            <w:tcW w:w="1276" w:type="dxa"/>
            <w:tcBorders>
              <w:top w:val="single" w:sz="8" w:space="0" w:color="auto"/>
            </w:tcBorders>
          </w:tcPr>
          <w:p>
            <w:pPr>
              <w:pStyle w:val="nTable"/>
              <w:spacing w:after="40"/>
            </w:pPr>
            <w:r>
              <w:t>11 Jan 2005 p. 115-33</w:t>
            </w:r>
          </w:p>
        </w:tc>
        <w:tc>
          <w:tcPr>
            <w:tcW w:w="2693" w:type="dxa"/>
            <w:tcBorders>
              <w:top w:val="single" w:sz="8" w:space="0" w:color="auto"/>
            </w:tcBorders>
          </w:tcPr>
          <w:p>
            <w:pPr>
              <w:pStyle w:val="nTable"/>
              <w:spacing w:after="40"/>
            </w:pPr>
            <w:r>
              <w:t xml:space="preserve">12 Jan 2005 (see r. 2 and </w:t>
            </w:r>
            <w:r>
              <w:rPr>
                <w:i/>
              </w:rPr>
              <w:t>Gazette</w:t>
            </w:r>
            <w:r>
              <w:t xml:space="preserve"> 11 Jan 2005 p. 89)</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noProof/>
                <w:snapToGrid w:val="0"/>
              </w:rPr>
              <w:t>Professional Combat Sports Amendment Regulations 2013</w:t>
            </w:r>
          </w:p>
        </w:tc>
        <w:tc>
          <w:tcPr>
            <w:tcW w:w="1276" w:type="dxa"/>
            <w:shd w:val="clear" w:color="auto" w:fill="auto"/>
          </w:tcPr>
          <w:p>
            <w:pPr>
              <w:pStyle w:val="nTable"/>
              <w:spacing w:after="40"/>
            </w:pPr>
            <w:r>
              <w:t>22 Feb 2013 p. 1013-27</w:t>
            </w:r>
          </w:p>
        </w:tc>
        <w:tc>
          <w:tcPr>
            <w:tcW w:w="2693" w:type="dxa"/>
            <w:shd w:val="clear" w:color="auto" w:fill="auto"/>
          </w:tcPr>
          <w:p>
            <w:pPr>
              <w:pStyle w:val="nTable"/>
              <w:spacing w:after="40"/>
            </w:pPr>
            <w:r>
              <w:t>r. 1 and 2: 22 Feb 2013 (see r. 2(a));</w:t>
            </w:r>
            <w:r>
              <w:br/>
              <w:t xml:space="preserve">Regulations other than r. 1 and 2: 1 Mar 2013 (see r. 2(b) and </w:t>
            </w:r>
            <w:r>
              <w:rPr>
                <w:i/>
              </w:rPr>
              <w:t>Gazette</w:t>
            </w:r>
            <w:r>
              <w:t xml:space="preserve"> 1 Mar 2013 p. 1091)</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Combat Sports Regulations 2004</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Combat Sports Amendment Regulations 2018</w:t>
            </w:r>
          </w:p>
        </w:tc>
        <w:tc>
          <w:tcPr>
            <w:tcW w:w="1276" w:type="dxa"/>
            <w:shd w:val="clear" w:color="auto" w:fill="auto"/>
          </w:tcPr>
          <w:p>
            <w:pPr>
              <w:pStyle w:val="nTable"/>
              <w:spacing w:after="40"/>
            </w:pPr>
            <w:r>
              <w:t>9 Oct 2018 p. 4035</w:t>
            </w:r>
            <w:r>
              <w:noBreakHyphen/>
              <w:t>6</w:t>
            </w:r>
          </w:p>
        </w:tc>
        <w:tc>
          <w:tcPr>
            <w:tcW w:w="2693" w:type="dxa"/>
            <w:shd w:val="clear" w:color="auto" w:fill="auto"/>
          </w:tcPr>
          <w:p>
            <w:pPr>
              <w:pStyle w:val="nTable"/>
              <w:spacing w:after="40"/>
            </w:pPr>
            <w:r>
              <w:t>r. 1 and 2: 9 Oct 2018 (see r. 2(a));</w:t>
            </w:r>
            <w:r>
              <w:br/>
              <w:t>Regulations other than r. 1 and 2: 10 Oct 2018 (see r. 2(b))</w:t>
            </w:r>
          </w:p>
        </w:tc>
      </w:tr>
      <w:tr>
        <w:tc>
          <w:tcPr>
            <w:tcW w:w="3118" w:type="dxa"/>
            <w:tcBorders>
              <w:top w:val="nil"/>
              <w:bottom w:val="nil"/>
            </w:tcBorders>
            <w:shd w:val="clear" w:color="auto" w:fill="auto"/>
          </w:tcPr>
          <w:p>
            <w:pPr>
              <w:pStyle w:val="nTable"/>
              <w:spacing w:after="40"/>
              <w:rPr>
                <w:i/>
              </w:rPr>
            </w:pPr>
            <w:r>
              <w:rPr>
                <w:i/>
              </w:rPr>
              <w:t>Combat Sports Amendment Regulations 2019</w:t>
            </w:r>
          </w:p>
        </w:tc>
        <w:tc>
          <w:tcPr>
            <w:tcW w:w="1276" w:type="dxa"/>
            <w:tcBorders>
              <w:top w:val="nil"/>
              <w:bottom w:val="nil"/>
            </w:tcBorders>
            <w:shd w:val="clear" w:color="auto" w:fill="auto"/>
          </w:tcPr>
          <w:p>
            <w:pPr>
              <w:pStyle w:val="nTable"/>
              <w:spacing w:after="40"/>
            </w:pPr>
            <w:r>
              <w:t>17 May 2019 p. 1434</w:t>
            </w:r>
            <w:r>
              <w:noBreakHyphen/>
              <w:t>7</w:t>
            </w:r>
          </w:p>
        </w:tc>
        <w:tc>
          <w:tcPr>
            <w:tcW w:w="2693" w:type="dxa"/>
            <w:tcBorders>
              <w:top w:val="nil"/>
              <w:bottom w:val="nil"/>
            </w:tcBorders>
            <w:shd w:val="clear" w:color="auto" w:fill="auto"/>
          </w:tcPr>
          <w:p>
            <w:pPr>
              <w:pStyle w:val="nTable"/>
              <w:spacing w:after="40"/>
            </w:pPr>
            <w:r>
              <w:t>r. 1 and 2: 17 May 2019 (see r. 2(a));</w:t>
            </w:r>
            <w:r>
              <w:br/>
              <w:t>Regulations other than r. 1 and 2: 1 Jul 2019 (see r. 2(b))</w:t>
            </w:r>
          </w:p>
        </w:tc>
      </w:tr>
    </w:tbl>
    <w:p>
      <w:pPr>
        <w:pStyle w:val="nTable"/>
        <w:spacing w:after="40"/>
        <w:rPr>
          <w:del w:id="317" w:author="Master Repository Process" w:date="2021-07-31T17:05:00Z"/>
          <w:i/>
        </w:rPr>
      </w:pPr>
      <w:del w:id="318" w:author="Master Repository Process" w:date="2021-07-31T17:05: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319" w:author="Master Repository Process" w:date="2021-07-31T17:05:00Z"/>
        </w:trPr>
        <w:tc>
          <w:tcPr>
            <w:tcW w:w="3118" w:type="dxa"/>
            <w:tcBorders>
              <w:bottom w:val="single" w:sz="4" w:space="0" w:color="auto"/>
            </w:tcBorders>
            <w:shd w:val="clear" w:color="auto" w:fill="auto"/>
          </w:tcPr>
          <w:p>
            <w:pPr>
              <w:pStyle w:val="nTable"/>
              <w:spacing w:after="40"/>
              <w:rPr>
                <w:ins w:id="320" w:author="Master Repository Process" w:date="2021-07-31T17:05:00Z"/>
                <w:i/>
              </w:rPr>
            </w:pPr>
            <w:ins w:id="321" w:author="Master Repository Process" w:date="2021-07-31T17:05:00Z">
              <w:r>
                <w:rPr>
                  <w:i/>
                </w:rPr>
                <w:t>Combat Sports Amendment Regulations 2020</w:t>
              </w:r>
            </w:ins>
          </w:p>
        </w:tc>
        <w:tc>
          <w:tcPr>
            <w:tcW w:w="1276" w:type="dxa"/>
            <w:tcBorders>
              <w:bottom w:val="single" w:sz="4" w:space="0" w:color="auto"/>
            </w:tcBorders>
            <w:shd w:val="clear" w:color="auto" w:fill="auto"/>
          </w:tcPr>
          <w:p>
            <w:pPr>
              <w:pStyle w:val="nTable"/>
              <w:spacing w:after="40"/>
              <w:rPr>
                <w:ins w:id="322" w:author="Master Repository Process" w:date="2021-07-31T17:05:00Z"/>
              </w:rPr>
            </w:pPr>
            <w:ins w:id="323" w:author="Master Repository Process" w:date="2021-07-31T17:05:00Z">
              <w:r>
                <w:t>SL 2020/111 3 Jul 2020</w:t>
              </w:r>
            </w:ins>
          </w:p>
        </w:tc>
        <w:tc>
          <w:tcPr>
            <w:tcW w:w="2693" w:type="dxa"/>
            <w:tcBorders>
              <w:bottom w:val="single" w:sz="4" w:space="0" w:color="auto"/>
            </w:tcBorders>
            <w:shd w:val="clear" w:color="auto" w:fill="auto"/>
          </w:tcPr>
          <w:p>
            <w:pPr>
              <w:pStyle w:val="nTable"/>
              <w:spacing w:after="40"/>
              <w:rPr>
                <w:ins w:id="324" w:author="Master Repository Process" w:date="2021-07-31T17:05:00Z"/>
              </w:rPr>
            </w:pPr>
            <w:ins w:id="325" w:author="Master Repository Process" w:date="2021-07-31T17:05:00Z">
              <w:r>
                <w:t>r. 1 and 2: 3 Jul 2020 (see r. 2(a));</w:t>
              </w:r>
              <w:r>
                <w:br/>
                <w:t>Regulations other than r. 1 and 2: 4 Jul 2020 (see r. 2(b))</w:t>
              </w:r>
            </w:ins>
          </w:p>
        </w:tc>
      </w:tr>
    </w:tbl>
    <w:p>
      <w:pPr>
        <w:pStyle w:val="nHeading3"/>
        <w:rPr>
          <w:ins w:id="326" w:author="Master Repository Process" w:date="2021-07-31T17:05:00Z"/>
        </w:rPr>
      </w:pPr>
      <w:bookmarkStart w:id="327" w:name="_Toc44582103"/>
      <w:ins w:id="328" w:author="Master Repository Process" w:date="2021-07-31T17:05:00Z">
        <w:r>
          <w:t>Other notes</w:t>
        </w:r>
        <w:bookmarkEnd w:id="327"/>
      </w:ins>
    </w:p>
    <w:p>
      <w:pPr>
        <w:pStyle w:val="nNote"/>
      </w:pPr>
      <w:ins w:id="329" w:author="Master Repository Process" w:date="2021-07-31T17:05:00Z">
        <w:r>
          <w:rPr>
            <w:vertAlign w:val="superscript"/>
          </w:rPr>
          <w:t>1</w:t>
        </w:r>
      </w:ins>
      <w:r>
        <w:tab/>
        <w:t>Commenced 1 March 2013.</w:t>
      </w:r>
    </w:p>
    <w:p>
      <w:pPr>
        <w:pStyle w:val="nNote"/>
      </w:pPr>
      <w:del w:id="330" w:author="Master Repository Process" w:date="2021-07-31T17:05:00Z">
        <w:r>
          <w:rPr>
            <w:vertAlign w:val="superscript"/>
          </w:rPr>
          <w:delText>3</w:delText>
        </w:r>
      </w:del>
      <w:ins w:id="331" w:author="Master Repository Process" w:date="2021-07-31T17:05:00Z">
        <w:r>
          <w:rPr>
            <w:vertAlign w:val="superscript"/>
          </w:rPr>
          <w:t>2</w:t>
        </w:r>
      </w:ins>
      <w:r>
        <w:tab/>
        <w:t xml:space="preserve">Now known as the </w:t>
      </w:r>
      <w:r>
        <w:rPr>
          <w:i/>
        </w:rPr>
        <w:t>Combat Sports Regulations 2004</w:t>
      </w:r>
      <w: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01"/>
    <w:p>
      <w:pPr>
        <w:rPr>
          <w:sz w:val="16"/>
          <w:szCs w:val="16"/>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3" w:name="Coversheet"/>
    <w:bookmarkEnd w:id="3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3" w:name="Schedule"/>
    <w:bookmarkEnd w:id="2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02095439"/>
    <w:docVar w:name="WAFER_20140115094743" w:val="RemoveTocBookmarks,RemoveUnusedBookmarks,RemoveLanguageTags,UsedStyles,ResetPageSize,UpdateArrangement"/>
    <w:docVar w:name="WAFER_20140115094743_GUID" w:val="e9c34fc4-63a4-446e-b699-a2056e66f2c5"/>
    <w:docVar w:name="WAFER_20140115094750" w:val="RemoveTocBookmarks,RunningHeaders"/>
    <w:docVar w:name="WAFER_20140115094750_GUID" w:val="9a94384a-91e5-45ce-b1dd-f47153250fef"/>
    <w:docVar w:name="WAFER_20150330145057" w:val="ResetPageSize,UpdateArrangement,UpdateNTable"/>
    <w:docVar w:name="WAFER_20150330145057_GUID" w:val="050cc9a7-7cbc-40e0-a1c7-45d5c9d25fc7"/>
    <w:docVar w:name="WAFER_20151102153039" w:val="UpdateStyles,UsedStyles"/>
    <w:docVar w:name="WAFER_20151102153039_GUID" w:val="1b0acb34-6340-456e-9540-7dc0c54a2e26"/>
    <w:docVar w:name="WAFER_20190516145331" w:val="RemoveTocBookmarks,RemoveUnusedBookmarks,RemoveLanguageTags,ResetPageSize,RunningHeaders,UpdateStyles,UsedStyles"/>
    <w:docVar w:name="WAFER_20190516145331_GUID" w:val="030146c3-92a0-4391-8e3b-e6a4cd76d464"/>
    <w:docVar w:name="WAFER_20190617130240" w:val="RemoveTocBookmarks,RemoveUnusedBookmarks,RemoveLanguageTags,ResetPageSize,RunningHeaders,UpdateStyles,UsedStyles"/>
    <w:docVar w:name="WAFER_20190617130240_GUID" w:val="5eb8ef17-3a1a-49c2-adb0-98b90dbf060f"/>
    <w:docVar w:name="WAFER_20200702095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095439_GUID" w:val="4deba340-63a4-4ba4-b7c7-fb99c686ee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2117E3-D17C-45A3-A2C9-25856CFB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CD07-65F9-4E3D-BC4D-B4BE6565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4809</Words>
  <Characters>23853</Characters>
  <Application>Microsoft Office Word</Application>
  <DocSecurity>0</DocSecurity>
  <Lines>883</Lines>
  <Paragraphs>636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01-d0-00 - 01-e0-00</dc:title>
  <dc:subject/>
  <dc:creator/>
  <cp:keywords/>
  <dc:description/>
  <cp:lastModifiedBy>Master Repository Process</cp:lastModifiedBy>
  <cp:revision>2</cp:revision>
  <cp:lastPrinted>2013-04-03T01:39:00Z</cp:lastPrinted>
  <dcterms:created xsi:type="dcterms:W3CDTF">2021-07-31T09:05:00Z</dcterms:created>
  <dcterms:modified xsi:type="dcterms:W3CDTF">2021-07-31T09:05:00Z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OwlsUID">
    <vt:i4>34331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CommencementDate">
    <vt:lpwstr>20200704</vt:lpwstr>
  </property>
  <property fmtid="{D5CDD505-2E9C-101B-9397-08002B2CF9AE}" pid="8" name="FromSuffix">
    <vt:lpwstr>01-d0-00</vt:lpwstr>
  </property>
  <property fmtid="{D5CDD505-2E9C-101B-9397-08002B2CF9AE}" pid="9" name="FromAsAtDate">
    <vt:lpwstr>01 Jul 2019</vt:lpwstr>
  </property>
  <property fmtid="{D5CDD505-2E9C-101B-9397-08002B2CF9AE}" pid="10" name="ToSuffix">
    <vt:lpwstr>01-e0-00</vt:lpwstr>
  </property>
  <property fmtid="{D5CDD505-2E9C-101B-9397-08002B2CF9AE}" pid="11" name="ToAsAtDate">
    <vt:lpwstr>04 Jul 2020</vt:lpwstr>
  </property>
</Properties>
</file>