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2017</w:t>
      </w:r>
      <w:r>
        <w:fldChar w:fldCharType="end"/>
      </w:r>
      <w:r>
        <w:t xml:space="preserve">, </w:t>
      </w:r>
      <w:r>
        <w:fldChar w:fldCharType="begin"/>
      </w:r>
      <w:r>
        <w:instrText xml:space="preserve"> DocProperty FromSuffix </w:instrText>
      </w:r>
      <w:r>
        <w:fldChar w:fldCharType="separate"/>
      </w:r>
      <w:r>
        <w:t>12-b0-01</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12-c0-00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Administration Act 1903 </w:t>
      </w:r>
    </w:p>
    <w:p>
      <w:pPr>
        <w:pStyle w:val="LongTitle"/>
        <w:rPr>
          <w:snapToGrid w:val="0"/>
        </w:rPr>
      </w:pPr>
      <w:r>
        <w:rPr>
          <w:snapToGrid w:val="0"/>
        </w:rPr>
        <w:t>A</w:t>
      </w:r>
      <w:bookmarkStart w:id="1" w:name="_GoBack"/>
      <w:bookmarkEnd w:id="1"/>
      <w:r>
        <w:rPr>
          <w:snapToGrid w:val="0"/>
        </w:rPr>
        <w:t xml:space="preserve">n Act to consolidate and amend the law relating to probate and administration and the duties on the estates of deceased persons and for other purposes. </w:t>
      </w:r>
    </w:p>
    <w:p>
      <w:pPr>
        <w:pStyle w:val="Heading2"/>
      </w:pPr>
      <w:bookmarkStart w:id="2" w:name="_Toc50708605"/>
      <w:bookmarkStart w:id="3" w:name="_Toc50708838"/>
      <w:bookmarkStart w:id="4" w:name="_Toc50716819"/>
      <w:bookmarkStart w:id="5" w:name="_Toc444244418"/>
      <w:bookmarkStart w:id="6" w:name="_Toc449454354"/>
      <w:bookmarkStart w:id="7" w:name="_Toc49306009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50716820"/>
      <w:bookmarkStart w:id="9" w:name="_Toc493060098"/>
      <w:r>
        <w:rPr>
          <w:rStyle w:val="CharSectno"/>
        </w:rPr>
        <w:t>1</w:t>
      </w:r>
      <w:r>
        <w:rPr>
          <w:snapToGrid w:val="0"/>
        </w:rPr>
        <w:t>.</w:t>
      </w:r>
      <w:r>
        <w:rPr>
          <w:snapToGrid w:val="0"/>
        </w:rPr>
        <w:tab/>
        <w:t>Short title and construction</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del w:id="10" w:author="svcMRProcess" w:date="2020-09-11T15:09:00Z">
        <w:r>
          <w:rPr>
            <w:snapToGrid w:val="0"/>
          </w:rPr>
          <w:delText xml:space="preserve"> </w:delText>
        </w:r>
        <w:r>
          <w:rPr>
            <w:snapToGrid w:val="0"/>
            <w:vertAlign w:val="superscript"/>
          </w:rPr>
          <w:delText>1</w:delText>
        </w:r>
      </w:del>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No. 57 of 1984 s. 2.] </w:t>
      </w:r>
    </w:p>
    <w:p>
      <w:pPr>
        <w:pStyle w:val="Ednotesection"/>
      </w:pPr>
      <w:r>
        <w:t>[</w:t>
      </w:r>
      <w:r>
        <w:rPr>
          <w:b/>
          <w:bCs/>
        </w:rPr>
        <w:t>2.</w:t>
      </w:r>
      <w:r>
        <w:tab/>
        <w:t>Omitted under Reprints Act 1984 s. 7(4)(f).]</w:t>
      </w:r>
    </w:p>
    <w:p>
      <w:pPr>
        <w:pStyle w:val="Heading5"/>
        <w:rPr>
          <w:snapToGrid w:val="0"/>
        </w:rPr>
      </w:pPr>
      <w:bookmarkStart w:id="11" w:name="_Toc50716821"/>
      <w:bookmarkStart w:id="12" w:name="_Toc493060099"/>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w:t>
      </w:r>
      <w:r>
        <w:rPr>
          <w:vertAlign w:val="superscript"/>
        </w:rPr>
        <w:t> </w:t>
      </w:r>
      <w:del w:id="13" w:author="svcMRProcess" w:date="2020-09-11T15:09:00Z">
        <w:r>
          <w:rPr>
            <w:vertAlign w:val="superscript"/>
          </w:rPr>
          <w:delText>2</w:delText>
        </w:r>
      </w:del>
      <w:ins w:id="14" w:author="svcMRProcess" w:date="2020-09-11T15:09:00Z">
        <w:r>
          <w:rPr>
            <w:vertAlign w:val="superscript"/>
          </w:rPr>
          <w:t>1</w:t>
        </w:r>
      </w:ins>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lastRenderedPageBreak/>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No. 62 of 1955 s. 2; No. 67 of 1979 s. 42; No. 72 of 1984 s. 3.] </w:t>
      </w:r>
    </w:p>
    <w:p>
      <w:pPr>
        <w:pStyle w:val="Heading5"/>
        <w:rPr>
          <w:ins w:id="15" w:author="svcMRProcess" w:date="2020-09-11T15:09:00Z"/>
        </w:rPr>
      </w:pPr>
      <w:bookmarkStart w:id="16" w:name="_Toc50716822"/>
      <w:bookmarkStart w:id="17" w:name="_Toc50708608"/>
      <w:ins w:id="18" w:author="svcMRProcess" w:date="2020-09-11T15:09:00Z">
        <w:r>
          <w:rPr>
            <w:rStyle w:val="CharSectno"/>
          </w:rPr>
          <w:t>3A</w:t>
        </w:r>
        <w:r>
          <w:t>.</w:t>
        </w:r>
        <w:r>
          <w:tab/>
        </w:r>
        <w:r>
          <w:rPr>
            <w:i/>
          </w:rPr>
          <w:t>Courts and Tribunals (Electronic Processes Facilitation) Act 2013</w:t>
        </w:r>
        <w:r>
          <w:t xml:space="preserve"> Pt. 2 applies</w:t>
        </w:r>
        <w:bookmarkEnd w:id="16"/>
      </w:ins>
    </w:p>
    <w:p>
      <w:pPr>
        <w:pStyle w:val="Subsection"/>
        <w:rPr>
          <w:ins w:id="19" w:author="svcMRProcess" w:date="2020-09-11T15:09:00Z"/>
        </w:rPr>
      </w:pPr>
      <w:ins w:id="20" w:author="svcMRProcess" w:date="2020-09-11T15:09:00Z">
        <w:r>
          <w:tab/>
        </w:r>
        <w:r>
          <w:tab/>
          <w:t xml:space="preserve">The </w:t>
        </w:r>
        <w:r>
          <w:rPr>
            <w:i/>
          </w:rPr>
          <w:t>Courts and Tribunals (Electronic Processes Facilitation) Act 2013</w:t>
        </w:r>
        <w:r>
          <w:t xml:space="preserve"> Part 2 applies to this Act.</w:t>
        </w:r>
      </w:ins>
    </w:p>
    <w:p>
      <w:pPr>
        <w:pStyle w:val="Footnotesection"/>
        <w:rPr>
          <w:ins w:id="21" w:author="svcMRProcess" w:date="2020-09-11T15:09:00Z"/>
        </w:rPr>
      </w:pPr>
      <w:ins w:id="22" w:author="svcMRProcess" w:date="2020-09-11T15:09:00Z">
        <w:r>
          <w:tab/>
          <w:t>[Section 3A inserted: No. 34 of 2020 s. 53</w:t>
        </w:r>
      </w:ins>
    </w:p>
    <w:p>
      <w:pPr>
        <w:pStyle w:val="Heading2"/>
      </w:pPr>
      <w:bookmarkStart w:id="23" w:name="_Toc50708842"/>
      <w:bookmarkStart w:id="24" w:name="_Toc50716823"/>
      <w:bookmarkStart w:id="25" w:name="_Toc444244421"/>
      <w:bookmarkStart w:id="26" w:name="_Toc449454357"/>
      <w:bookmarkStart w:id="27" w:name="_Toc493060100"/>
      <w:r>
        <w:rPr>
          <w:rStyle w:val="CharPartNo"/>
        </w:rPr>
        <w:lastRenderedPageBreak/>
        <w:t>Part II</w:t>
      </w:r>
      <w:r>
        <w:rPr>
          <w:rStyle w:val="CharDivNo"/>
        </w:rPr>
        <w:t> </w:t>
      </w:r>
      <w:r>
        <w:t>—</w:t>
      </w:r>
      <w:r>
        <w:rPr>
          <w:rStyle w:val="CharDivText"/>
        </w:rPr>
        <w:t> </w:t>
      </w:r>
      <w:r>
        <w:rPr>
          <w:rStyle w:val="CharPartText"/>
        </w:rPr>
        <w:t>Probate and administration</w:t>
      </w:r>
      <w:bookmarkEnd w:id="17"/>
      <w:bookmarkEnd w:id="23"/>
      <w:bookmarkEnd w:id="24"/>
      <w:bookmarkEnd w:id="25"/>
      <w:bookmarkEnd w:id="26"/>
      <w:bookmarkEnd w:id="27"/>
      <w:r>
        <w:rPr>
          <w:rStyle w:val="CharPartText"/>
        </w:rPr>
        <w:t xml:space="preserve"> </w:t>
      </w:r>
    </w:p>
    <w:p>
      <w:pPr>
        <w:pStyle w:val="Heading5"/>
        <w:rPr>
          <w:snapToGrid w:val="0"/>
        </w:rPr>
      </w:pPr>
      <w:bookmarkStart w:id="28" w:name="_Toc50716824"/>
      <w:bookmarkStart w:id="29" w:name="_Toc493060101"/>
      <w:r>
        <w:rPr>
          <w:rStyle w:val="CharSectno"/>
        </w:rPr>
        <w:t>4</w:t>
      </w:r>
      <w:r>
        <w:rPr>
          <w:snapToGrid w:val="0"/>
        </w:rPr>
        <w:t>.</w:t>
      </w:r>
      <w:r>
        <w:rPr>
          <w:snapToGrid w:val="0"/>
        </w:rPr>
        <w:tab/>
        <w:t>Jurisdiction of Court as heretofore</w:t>
      </w:r>
      <w:bookmarkEnd w:id="28"/>
      <w:bookmarkEnd w:id="29"/>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30" w:name="_Toc50716825"/>
      <w:bookmarkStart w:id="31" w:name="_Toc493060102"/>
      <w:r>
        <w:rPr>
          <w:rStyle w:val="CharSectno"/>
        </w:rPr>
        <w:t>5</w:t>
      </w:r>
      <w:r>
        <w:rPr>
          <w:snapToGrid w:val="0"/>
        </w:rPr>
        <w:t>.</w:t>
      </w:r>
      <w:r>
        <w:rPr>
          <w:snapToGrid w:val="0"/>
        </w:rPr>
        <w:tab/>
        <w:t>Duties of Principal Registrar</w:t>
      </w:r>
      <w:bookmarkEnd w:id="30"/>
      <w:bookmarkEnd w:id="31"/>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del w:id="32" w:author="svcMRProcess" w:date="2020-09-11T15:09:00Z">
        <w:r>
          <w:rPr>
            <w:snapToGrid w:val="0"/>
          </w:rPr>
          <w:delText xml:space="preserve"> </w:delText>
        </w:r>
        <w:r>
          <w:rPr>
            <w:snapToGrid w:val="0"/>
            <w:vertAlign w:val="superscript"/>
          </w:rPr>
          <w:delText>1</w:delText>
        </w:r>
      </w:del>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No. 67 of 1979 s. 43.] </w:t>
      </w:r>
    </w:p>
    <w:p>
      <w:pPr>
        <w:pStyle w:val="Heading5"/>
        <w:rPr>
          <w:snapToGrid w:val="0"/>
        </w:rPr>
      </w:pPr>
      <w:bookmarkStart w:id="33" w:name="_Toc50716826"/>
      <w:bookmarkStart w:id="34" w:name="_Toc493060103"/>
      <w:r>
        <w:rPr>
          <w:rStyle w:val="CharSectno"/>
        </w:rPr>
        <w:t>6</w:t>
      </w:r>
      <w:r>
        <w:rPr>
          <w:snapToGrid w:val="0"/>
        </w:rPr>
        <w:t>.</w:t>
      </w:r>
      <w:r>
        <w:rPr>
          <w:snapToGrid w:val="0"/>
        </w:rPr>
        <w:tab/>
        <w:t>Power to grant probate and administration</w:t>
      </w:r>
      <w:bookmarkEnd w:id="33"/>
      <w:bookmarkEnd w:id="34"/>
      <w:r>
        <w:rPr>
          <w:snapToGrid w:val="0"/>
        </w:rPr>
        <w:t xml:space="preserve"> </w:t>
      </w:r>
    </w:p>
    <w:p>
      <w:pPr>
        <w:pStyle w:val="Subsection"/>
        <w:rPr>
          <w:snapToGrid w:val="0"/>
        </w:rPr>
      </w:pPr>
      <w:r>
        <w:rPr>
          <w:snapToGrid w:val="0"/>
        </w:rPr>
        <w:tab/>
      </w:r>
      <w:r>
        <w:rPr>
          <w:snapToGrid w:val="0"/>
        </w:rPr>
        <w:tab/>
        <w:t>The Court shall have jurisdiction to grant probate of the will or administration of the estate of any deceased person leaving property, whether real or personal, in Western Australia.</w:t>
      </w:r>
    </w:p>
    <w:p>
      <w:pPr>
        <w:pStyle w:val="Heading5"/>
        <w:rPr>
          <w:snapToGrid w:val="0"/>
        </w:rPr>
      </w:pPr>
      <w:bookmarkStart w:id="35" w:name="_Toc50716827"/>
      <w:bookmarkStart w:id="36" w:name="_Toc493060104"/>
      <w:r>
        <w:rPr>
          <w:rStyle w:val="CharSectno"/>
        </w:rPr>
        <w:t>7</w:t>
      </w:r>
      <w:r>
        <w:rPr>
          <w:snapToGrid w:val="0"/>
        </w:rPr>
        <w:t>.</w:t>
      </w:r>
      <w:r>
        <w:rPr>
          <w:snapToGrid w:val="0"/>
        </w:rPr>
        <w:tab/>
        <w:t>Probate may be granted to one or more executors</w:t>
      </w:r>
      <w:bookmarkEnd w:id="35"/>
      <w:bookmarkEnd w:id="36"/>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37" w:name="_Toc50716828"/>
      <w:bookmarkStart w:id="38" w:name="_Toc493060105"/>
      <w:r>
        <w:rPr>
          <w:rStyle w:val="CharSectno"/>
        </w:rPr>
        <w:t>8</w:t>
      </w:r>
      <w:r>
        <w:rPr>
          <w:snapToGrid w:val="0"/>
        </w:rPr>
        <w:t>.</w:t>
      </w:r>
      <w:r>
        <w:rPr>
          <w:snapToGrid w:val="0"/>
        </w:rPr>
        <w:tab/>
        <w:t>Upon grant of probate or administration real and personal estate to vest in executor or administrator</w:t>
      </w:r>
      <w:bookmarkEnd w:id="37"/>
      <w:bookmarkEnd w:id="38"/>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spacing w:before="180"/>
        <w:rPr>
          <w:snapToGrid w:val="0"/>
        </w:rPr>
      </w:pPr>
      <w:bookmarkStart w:id="39" w:name="_Toc50716829"/>
      <w:bookmarkStart w:id="40" w:name="_Toc493060106"/>
      <w:r>
        <w:rPr>
          <w:rStyle w:val="CharSectno"/>
        </w:rPr>
        <w:t>9</w:t>
      </w:r>
      <w:r>
        <w:rPr>
          <w:snapToGrid w:val="0"/>
        </w:rPr>
        <w:t>.</w:t>
      </w:r>
      <w:r>
        <w:rPr>
          <w:snapToGrid w:val="0"/>
        </w:rPr>
        <w:tab/>
        <w:t>Real estate to vest subject to trusts</w:t>
      </w:r>
      <w:bookmarkEnd w:id="39"/>
      <w:bookmarkEnd w:id="40"/>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spacing w:before="180"/>
        <w:rPr>
          <w:snapToGrid w:val="0"/>
        </w:rPr>
      </w:pPr>
      <w:bookmarkStart w:id="41" w:name="_Toc50716830"/>
      <w:bookmarkStart w:id="42" w:name="_Toc493060107"/>
      <w:r>
        <w:rPr>
          <w:rStyle w:val="CharSectno"/>
        </w:rPr>
        <w:t>10</w:t>
      </w:r>
      <w:r>
        <w:rPr>
          <w:snapToGrid w:val="0"/>
        </w:rPr>
        <w:t>.</w:t>
      </w:r>
      <w:r>
        <w:rPr>
          <w:snapToGrid w:val="0"/>
        </w:rPr>
        <w:tab/>
        <w:t>Real and personal estate to be assets</w:t>
      </w:r>
      <w:bookmarkEnd w:id="41"/>
      <w:bookmarkEnd w:id="42"/>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del w:id="43" w:author="svcMRProcess" w:date="2020-09-11T15:09:00Z">
        <w:r>
          <w:rPr>
            <w:snapToGrid w:val="0"/>
            <w:vertAlign w:val="superscript"/>
          </w:rPr>
          <w:delText>1</w:delText>
        </w:r>
        <w:r>
          <w:rPr>
            <w:snapToGrid w:val="0"/>
          </w:rPr>
          <w:delText xml:space="preserve"> </w:delText>
        </w:r>
      </w:del>
      <w:r>
        <w:rPr>
          <w:snapToGrid w:val="0"/>
        </w:rPr>
        <w:t>comes into operation shall not have or exercise any right to give preference as between creditors standing in equal degree.</w:t>
      </w:r>
    </w:p>
    <w:p>
      <w:pPr>
        <w:pStyle w:val="Subsection"/>
        <w:spacing w:before="120"/>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No. 62 of 1955 s. 3; No. 72 of 1984 s. 4.] </w:t>
      </w:r>
    </w:p>
    <w:p>
      <w:pPr>
        <w:pStyle w:val="Heading5"/>
        <w:rPr>
          <w:snapToGrid w:val="0"/>
        </w:rPr>
      </w:pPr>
      <w:bookmarkStart w:id="44" w:name="_Toc50716831"/>
      <w:bookmarkStart w:id="45" w:name="_Toc493060108"/>
      <w:r>
        <w:rPr>
          <w:rStyle w:val="CharSectno"/>
        </w:rPr>
        <w:t>10A</w:t>
      </w:r>
      <w:r>
        <w:rPr>
          <w:snapToGrid w:val="0"/>
        </w:rPr>
        <w:t xml:space="preserve">. </w:t>
      </w:r>
      <w:r>
        <w:rPr>
          <w:snapToGrid w:val="0"/>
        </w:rPr>
        <w:tab/>
        <w:t>Insolvent estates</w:t>
      </w:r>
      <w:bookmarkEnd w:id="44"/>
      <w:bookmarkEnd w:id="45"/>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del w:id="46" w:author="svcMRProcess" w:date="2020-09-11T15:09:00Z">
        <w:r>
          <w:rPr>
            <w:snapToGrid w:val="0"/>
            <w:vertAlign w:val="superscript"/>
          </w:rPr>
          <w:delText>1</w:delText>
        </w:r>
        <w:r>
          <w:rPr>
            <w:snapToGrid w:val="0"/>
          </w:rPr>
          <w:delText xml:space="preserve"> </w:delText>
        </w:r>
      </w:del>
      <w:r>
        <w:rPr>
          <w:snapToGrid w:val="0"/>
        </w:rPr>
        <w:t>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No. 72 of 1984 s. 5.] </w:t>
      </w:r>
    </w:p>
    <w:p>
      <w:pPr>
        <w:pStyle w:val="Heading5"/>
        <w:rPr>
          <w:snapToGrid w:val="0"/>
        </w:rPr>
      </w:pPr>
      <w:bookmarkStart w:id="47" w:name="_Toc50716832"/>
      <w:bookmarkStart w:id="48" w:name="_Toc493060109"/>
      <w:r>
        <w:rPr>
          <w:rStyle w:val="CharSectno"/>
        </w:rPr>
        <w:t>11</w:t>
      </w:r>
      <w:r>
        <w:rPr>
          <w:snapToGrid w:val="0"/>
        </w:rPr>
        <w:t>.</w:t>
      </w:r>
      <w:r>
        <w:rPr>
          <w:snapToGrid w:val="0"/>
        </w:rPr>
        <w:tab/>
        <w:t>Subject as aforesaid real estate to vest according to will</w:t>
      </w:r>
      <w:bookmarkEnd w:id="47"/>
      <w:bookmarkEnd w:id="48"/>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49" w:name="_Toc50716833"/>
      <w:bookmarkStart w:id="50" w:name="_Toc493060110"/>
      <w:r>
        <w:rPr>
          <w:rStyle w:val="CharSectno"/>
        </w:rPr>
        <w:t>12</w:t>
      </w:r>
      <w:r>
        <w:rPr>
          <w:snapToGrid w:val="0"/>
        </w:rPr>
        <w:t>.</w:t>
      </w:r>
      <w:r>
        <w:rPr>
          <w:snapToGrid w:val="0"/>
        </w:rPr>
        <w:tab/>
        <w:t>Executor to have same rights and duties as to real estate as heretofore as to personal estate</w:t>
      </w:r>
      <w:bookmarkEnd w:id="49"/>
      <w:bookmarkEnd w:id="50"/>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51" w:name="_Toc50716834"/>
      <w:bookmarkStart w:id="52" w:name="_Toc493060111"/>
      <w:r>
        <w:rPr>
          <w:rStyle w:val="CharSectno"/>
        </w:rPr>
        <w:t>12A</w:t>
      </w:r>
      <w:r>
        <w:rPr>
          <w:snapToGrid w:val="0"/>
        </w:rPr>
        <w:t xml:space="preserve">. </w:t>
      </w:r>
      <w:r>
        <w:rPr>
          <w:snapToGrid w:val="0"/>
        </w:rPr>
        <w:tab/>
        <w:t>Entitlement to participation in distribution of intestate estates</w:t>
      </w:r>
      <w:bookmarkEnd w:id="51"/>
      <w:bookmarkEnd w:id="52"/>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del w:id="53" w:author="svcMRProcess" w:date="2020-09-11T15:09:00Z">
        <w:r>
          <w:rPr>
            <w:snapToGrid w:val="0"/>
          </w:rPr>
          <w:delText xml:space="preserve"> </w:delText>
        </w:r>
        <w:r>
          <w:rPr>
            <w:snapToGrid w:val="0"/>
            <w:vertAlign w:val="superscript"/>
          </w:rPr>
          <w:delText>1</w:delText>
        </w:r>
      </w:del>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del w:id="54" w:author="svcMRProcess" w:date="2020-09-11T15:09:00Z">
        <w:r>
          <w:rPr>
            <w:i/>
            <w:snapToGrid w:val="0"/>
            <w:vertAlign w:val="superscript"/>
          </w:rPr>
          <w:delText xml:space="preserve"> </w:delText>
        </w:r>
        <w:r>
          <w:rPr>
            <w:iCs/>
            <w:snapToGrid w:val="0"/>
            <w:vertAlign w:val="superscript"/>
          </w:rPr>
          <w:delText>1</w:delText>
        </w:r>
      </w:del>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del w:id="55" w:author="svcMRProcess" w:date="2020-09-11T15:09:00Z">
        <w:r>
          <w:rPr>
            <w:snapToGrid w:val="0"/>
          </w:rPr>
          <w:delText xml:space="preserve"> </w:delText>
        </w:r>
        <w:r>
          <w:rPr>
            <w:snapToGrid w:val="0"/>
            <w:vertAlign w:val="superscript"/>
          </w:rPr>
          <w:delText>1</w:delText>
        </w:r>
      </w:del>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del w:id="56" w:author="svcMRProcess" w:date="2020-09-11T15:09:00Z">
        <w:r>
          <w:rPr>
            <w:snapToGrid w:val="0"/>
          </w:rPr>
          <w:delText> </w:delText>
        </w:r>
        <w:r>
          <w:rPr>
            <w:snapToGrid w:val="0"/>
            <w:vertAlign w:val="superscript"/>
          </w:rPr>
          <w:delText>1</w:delText>
        </w:r>
      </w:del>
      <w:r>
        <w:t xml:space="preserve"> shall be distributed in accordance with the enactments and rules of law which would have applied to them if that Act had not been passed.</w:t>
      </w:r>
    </w:p>
    <w:p>
      <w:pPr>
        <w:pStyle w:val="Footnotesection"/>
      </w:pPr>
      <w:r>
        <w:tab/>
        <w:t>[Section 12A inserted: No. 18 of 1971 s. 3; amended: No. 14 of 1985 s. 8; No. 3 of 2002 s. 4.]</w:t>
      </w:r>
    </w:p>
    <w:p>
      <w:pPr>
        <w:pStyle w:val="Heading5"/>
        <w:rPr>
          <w:snapToGrid w:val="0"/>
        </w:rPr>
      </w:pPr>
      <w:bookmarkStart w:id="57" w:name="_Toc50716835"/>
      <w:bookmarkStart w:id="58" w:name="_Toc493060112"/>
      <w:r>
        <w:rPr>
          <w:rStyle w:val="CharSectno"/>
        </w:rPr>
        <w:t>12B</w:t>
      </w:r>
      <w:r>
        <w:rPr>
          <w:snapToGrid w:val="0"/>
        </w:rPr>
        <w:t xml:space="preserve">. </w:t>
      </w:r>
      <w:r>
        <w:rPr>
          <w:snapToGrid w:val="0"/>
        </w:rPr>
        <w:tab/>
        <w:t>Relationships of whole and half blood</w:t>
      </w:r>
      <w:bookmarkEnd w:id="57"/>
      <w:bookmarkEnd w:id="58"/>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No. 57 of 1984 s. 3.] </w:t>
      </w:r>
    </w:p>
    <w:p>
      <w:pPr>
        <w:pStyle w:val="Heading5"/>
        <w:rPr>
          <w:snapToGrid w:val="0"/>
        </w:rPr>
      </w:pPr>
      <w:bookmarkStart w:id="59" w:name="_Toc50716836"/>
      <w:bookmarkStart w:id="60" w:name="_Toc493060113"/>
      <w:r>
        <w:rPr>
          <w:rStyle w:val="CharSectno"/>
        </w:rPr>
        <w:t>13</w:t>
      </w:r>
      <w:r>
        <w:rPr>
          <w:snapToGrid w:val="0"/>
        </w:rPr>
        <w:t>.</w:t>
      </w:r>
      <w:r>
        <w:rPr>
          <w:snapToGrid w:val="0"/>
        </w:rPr>
        <w:tab/>
        <w:t>Real and personal estate in case of intestacy</w:t>
      </w:r>
      <w:bookmarkEnd w:id="59"/>
      <w:bookmarkEnd w:id="60"/>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del w:id="61" w:author="svcMRProcess" w:date="2020-09-11T15:09:00Z">
        <w:r>
          <w:rPr>
            <w:snapToGrid w:val="0"/>
          </w:rPr>
          <w:delText xml:space="preserve"> </w:delText>
        </w:r>
        <w:r>
          <w:rPr>
            <w:snapToGrid w:val="0"/>
            <w:vertAlign w:val="superscript"/>
          </w:rPr>
          <w:delText>1</w:delText>
        </w:r>
      </w:del>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del w:id="62" w:author="svcMRProcess" w:date="2020-09-11T15:09:00Z">
        <w:r>
          <w:rPr>
            <w:snapToGrid w:val="0"/>
            <w:vertAlign w:val="superscript"/>
          </w:rPr>
          <w:delText>1</w:delText>
        </w:r>
        <w:r>
          <w:rPr>
            <w:snapToGrid w:val="0"/>
          </w:rPr>
          <w:delText xml:space="preserve"> </w:delText>
        </w:r>
      </w:del>
      <w:r>
        <w:rPr>
          <w:snapToGrid w:val="0"/>
        </w:rPr>
        <w:t>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No. 28 of 1934 s. 77(3)(b) and (4); No. 138 of 1976 s. 3; No. 72 of 1984 s. 6; No. 25 of 2002 s. 52.] </w:t>
      </w:r>
    </w:p>
    <w:p>
      <w:pPr>
        <w:pStyle w:val="Heading5"/>
        <w:rPr>
          <w:snapToGrid w:val="0"/>
        </w:rPr>
      </w:pPr>
      <w:bookmarkStart w:id="63" w:name="_Toc50716837"/>
      <w:bookmarkStart w:id="64" w:name="_Toc493060114"/>
      <w:r>
        <w:rPr>
          <w:rStyle w:val="CharSectno"/>
        </w:rPr>
        <w:t>14</w:t>
      </w:r>
      <w:r>
        <w:rPr>
          <w:snapToGrid w:val="0"/>
        </w:rPr>
        <w:t>.</w:t>
      </w:r>
      <w:r>
        <w:rPr>
          <w:snapToGrid w:val="0"/>
        </w:rPr>
        <w:tab/>
        <w:t>Entitlements on intestacy</w:t>
      </w:r>
      <w:bookmarkEnd w:id="63"/>
      <w:bookmarkEnd w:id="64"/>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the </w:t>
      </w:r>
      <w:r>
        <w:rPr>
          <w:rStyle w:val="CharDefText"/>
        </w:rPr>
        <w:t>intestate</w:t>
      </w:r>
      <w:r>
        <w:rPr>
          <w:snapToGrid w:val="0"/>
        </w:rPr>
        <w:t>) dies intestate as to all or any of his property, the property as to which he dies intestate (in this section called the</w:t>
      </w:r>
      <w:r>
        <w:rPr>
          <w:rStyle w:val="CharDefText"/>
        </w:rPr>
        <w:t xml:space="preserve"> intestate property</w:t>
      </w:r>
      <w:r>
        <w:rPr>
          <w:snapToGrid w:val="0"/>
        </w:rPr>
        <w:t xml:space="preserve">) shall be distributed according to the entitlements set out in the following table (in this section called the </w:t>
      </w:r>
      <w:r>
        <w:rPr>
          <w:rStyle w:val="CharDefText"/>
        </w:rPr>
        <w:t>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rPr>
          <w:cantSplit/>
        </w:trP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ab/>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ab/>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ab/>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ab/>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ab/>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12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120"/>
        <w:rPr>
          <w:snapToGrid w:val="0"/>
        </w:rPr>
      </w:pPr>
      <w:r>
        <w:rPr>
          <w:snapToGrid w:val="0"/>
        </w:rPr>
        <w:tab/>
        <w:t>(2b)</w:t>
      </w:r>
      <w:r>
        <w:rPr>
          <w:snapToGrid w:val="0"/>
        </w:rPr>
        <w:tab/>
        <w:t>Where, under the Table, the issue of an intestate is or are entitled to a portion or the whole of the intestate property (which portion or whole, as the case may be, is referred to in this subsection as the</w:t>
      </w:r>
      <w:r>
        <w:rPr>
          <w:rStyle w:val="CharDefText"/>
        </w:rPr>
        <w:t xml:space="preserve"> relevant property</w:t>
      </w:r>
      <w:r>
        <w:rPr>
          <w:snapToGrid w:val="0"/>
        </w:rPr>
        <w:t>) — </w:t>
      </w:r>
    </w:p>
    <w:p>
      <w:pPr>
        <w:pStyle w:val="Indenta"/>
        <w:rPr>
          <w:snapToGrid w:val="0"/>
        </w:rPr>
      </w:pPr>
      <w:r>
        <w:rPr>
          <w:snapToGrid w:val="0"/>
        </w:rPr>
        <w:tab/>
        <w:t>(a)</w:t>
      </w:r>
      <w:r>
        <w:rPr>
          <w:snapToGrid w:val="0"/>
        </w:rPr>
        <w:tab/>
        <w:t>where a person is the only entitled issue of the intestate, then that person is entitled to all of the relevant property;</w:t>
      </w:r>
    </w:p>
    <w:p>
      <w:pPr>
        <w:pStyle w:val="Indenta"/>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issue who survived the intestate,</w:t>
      </w:r>
    </w:p>
    <w:p>
      <w:pPr>
        <w:pStyle w:val="Indenta"/>
        <w:rPr>
          <w:snapToGrid w:val="0"/>
        </w:rPr>
      </w:pPr>
      <w:r>
        <w:rPr>
          <w:snapToGrid w:val="0"/>
        </w:rPr>
        <w:tab/>
      </w:r>
      <w:r>
        <w:rPr>
          <w:snapToGrid w:val="0"/>
        </w:rPr>
        <w:tab/>
        <w:t>and a child of the intestate who so survived shall be entitled to one of those parts;</w:t>
      </w:r>
    </w:p>
    <w:p>
      <w:pPr>
        <w:pStyle w:val="Indenta"/>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spacing w:before="60"/>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spacing w:before="100"/>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0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the </w:t>
      </w:r>
      <w:r>
        <w:rPr>
          <w:rStyle w:val="CharDefText"/>
        </w:rPr>
        <w:t>relevant property</w:t>
      </w:r>
      <w:r>
        <w:rPr>
          <w:snapToGrid w:val="0"/>
        </w:rPr>
        <w:t>) — </w:t>
      </w:r>
    </w:p>
    <w:p>
      <w:pPr>
        <w:pStyle w:val="Indenta"/>
        <w:spacing w:before="60"/>
        <w:rPr>
          <w:snapToGrid w:val="0"/>
        </w:rPr>
      </w:pPr>
      <w:r>
        <w:rPr>
          <w:snapToGrid w:val="0"/>
        </w:rPr>
        <w:tab/>
        <w:t>(a)</w:t>
      </w:r>
      <w:r>
        <w:rPr>
          <w:snapToGrid w:val="0"/>
        </w:rPr>
        <w:tab/>
        <w:t>where only one such person survives the intestate, then that person is entitled to all of the relevant property;</w:t>
      </w:r>
    </w:p>
    <w:p>
      <w:pPr>
        <w:pStyle w:val="Indenta"/>
        <w:spacing w:before="60"/>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spacing w:before="60"/>
        <w:rPr>
          <w:snapToGrid w:val="0"/>
        </w:rPr>
      </w:pPr>
      <w:r>
        <w:rPr>
          <w:snapToGrid w:val="0"/>
        </w:rPr>
        <w:tab/>
        <w:t>(i)</w:t>
      </w:r>
      <w:r>
        <w:rPr>
          <w:snapToGrid w:val="0"/>
        </w:rPr>
        <w:tab/>
        <w:t>survived the intestate; or</w:t>
      </w:r>
    </w:p>
    <w:p>
      <w:pPr>
        <w:pStyle w:val="Indenti"/>
        <w:spacing w:before="100"/>
        <w:rPr>
          <w:snapToGrid w:val="0"/>
        </w:rPr>
      </w:pPr>
      <w:r>
        <w:rPr>
          <w:snapToGrid w:val="0"/>
        </w:rPr>
        <w:tab/>
        <w:t>(ii)</w:t>
      </w:r>
      <w:r>
        <w:rPr>
          <w:snapToGrid w:val="0"/>
        </w:rPr>
        <w:tab/>
        <w:t>left children who survived the intestate,</w:t>
      </w:r>
    </w:p>
    <w:p>
      <w:pPr>
        <w:pStyle w:val="Indenta"/>
        <w:spacing w:before="100"/>
        <w:rPr>
          <w:snapToGrid w:val="0"/>
        </w:rPr>
      </w:pPr>
      <w:r>
        <w:rPr>
          <w:snapToGrid w:val="0"/>
        </w:rPr>
        <w:tab/>
      </w:r>
      <w:r>
        <w:rPr>
          <w:snapToGrid w:val="0"/>
        </w:rPr>
        <w:tab/>
        <w:t>and a brother or sister of the intestate who so survived shall be entitled to one of those parts;</w:t>
      </w:r>
    </w:p>
    <w:p>
      <w:pPr>
        <w:pStyle w:val="Indenta"/>
        <w:spacing w:before="100"/>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spacing w:before="100"/>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spacing w:before="100"/>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spacing w:before="200"/>
        <w:rPr>
          <w:snapToGrid w:val="0"/>
        </w:rPr>
      </w:pPr>
      <w:r>
        <w:rPr>
          <w:snapToGrid w:val="0"/>
        </w:rPr>
        <w:tab/>
        <w:t>(4)</w:t>
      </w:r>
      <w:r>
        <w:rPr>
          <w:snapToGrid w:val="0"/>
        </w:rPr>
        <w:tab/>
        <w:t>Where the intestate dies leaving a husband or wife who is entitled to — </w:t>
      </w:r>
    </w:p>
    <w:p>
      <w:pPr>
        <w:pStyle w:val="Indenta"/>
        <w:spacing w:before="120"/>
        <w:rPr>
          <w:snapToGrid w:val="0"/>
        </w:rPr>
      </w:pPr>
      <w:r>
        <w:rPr>
          <w:snapToGrid w:val="0"/>
        </w:rPr>
        <w:tab/>
        <w:t>(a)</w:t>
      </w:r>
      <w:r>
        <w:rPr>
          <w:snapToGrid w:val="0"/>
        </w:rPr>
        <w:tab/>
        <w:t>the sum of $50 000 mentioned in paragraph (b) of item 2 of the Table; or</w:t>
      </w:r>
    </w:p>
    <w:p>
      <w:pPr>
        <w:pStyle w:val="Indenta"/>
        <w:spacing w:before="120"/>
        <w:rPr>
          <w:snapToGrid w:val="0"/>
        </w:rPr>
      </w:pPr>
      <w:r>
        <w:rPr>
          <w:snapToGrid w:val="0"/>
        </w:rPr>
        <w:tab/>
        <w:t>(b)</w:t>
      </w:r>
      <w:r>
        <w:rPr>
          <w:snapToGrid w:val="0"/>
        </w:rPr>
        <w:tab/>
        <w:t>the sum of $75 000 mentioned in paragraph (b) of item 3 of the Table,</w:t>
      </w:r>
    </w:p>
    <w:p>
      <w:pPr>
        <w:pStyle w:val="Subsection"/>
        <w:spacing w:before="200"/>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spacing w:before="120"/>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spacing w:before="120"/>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spacing w:before="100"/>
        <w:rPr>
          <w:snapToGrid w:val="0"/>
        </w:rPr>
      </w:pPr>
      <w:r>
        <w:tab/>
      </w:r>
      <w:r>
        <w:tab/>
      </w:r>
      <w:r>
        <w:rPr>
          <w:snapToGrid w:val="0"/>
        </w:rPr>
        <w:t>then that Schedule applies with respect to that interest.</w:t>
      </w:r>
    </w:p>
    <w:p>
      <w:pPr>
        <w:pStyle w:val="Subsection"/>
        <w:spacing w:before="100"/>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spacing w:before="100"/>
        <w:rPr>
          <w:snapToGrid w:val="0"/>
        </w:rPr>
      </w:pPr>
      <w:r>
        <w:rPr>
          <w:snapToGrid w:val="0"/>
        </w:rPr>
        <w:tab/>
        <w:t>(8)</w:t>
      </w:r>
      <w:r>
        <w:rPr>
          <w:snapToGrid w:val="0"/>
        </w:rPr>
        <w:tab/>
        <w:t>Subject to subsections (9) and (10), this section shall apply to the estates of all persons who die on or after 1 March 1977.</w:t>
      </w:r>
    </w:p>
    <w:p>
      <w:pPr>
        <w:pStyle w:val="Subsection"/>
        <w:spacing w:before="100"/>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w:t>
      </w:r>
      <w:del w:id="65" w:author="svcMRProcess" w:date="2020-09-11T15:09:00Z">
        <w:r>
          <w:rPr>
            <w:snapToGrid w:val="0"/>
          </w:rPr>
          <w:delText> </w:delText>
        </w:r>
        <w:r>
          <w:rPr>
            <w:snapToGrid w:val="0"/>
            <w:vertAlign w:val="superscript"/>
          </w:rPr>
          <w:delText>1</w:delText>
        </w:r>
      </w:del>
      <w:r>
        <w:rPr>
          <w:snapToGrid w:val="0"/>
        </w:rPr>
        <w:t>.</w:t>
      </w:r>
    </w:p>
    <w:p>
      <w:pPr>
        <w:pStyle w:val="Subsection"/>
        <w:spacing w:before="100"/>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del w:id="66" w:author="svcMRProcess" w:date="2020-09-11T15:09:00Z">
        <w:r>
          <w:rPr>
            <w:snapToGrid w:val="0"/>
            <w:vertAlign w:val="superscript"/>
          </w:rPr>
          <w:delText>1</w:delText>
        </w:r>
        <w:r>
          <w:rPr>
            <w:snapToGrid w:val="0"/>
          </w:rPr>
          <w:delText xml:space="preserve"> </w:delText>
        </w:r>
      </w:del>
      <w:r>
        <w:rPr>
          <w:snapToGrid w:val="0"/>
        </w:rPr>
        <w:t>shall be distributed in accordance with the enactments and rules of law which would have applied to them if that Act had not been passed.</w:t>
      </w:r>
    </w:p>
    <w:p>
      <w:pPr>
        <w:pStyle w:val="Footnotesection"/>
        <w:keepLines w:val="0"/>
        <w:spacing w:before="60"/>
        <w:ind w:left="890" w:hanging="890"/>
      </w:pPr>
      <w:r>
        <w:tab/>
        <w:t xml:space="preserve">[Section 14 inserted: No. 138 of 1976 s. 4; amended: No. 103 of 1979 s. 3; No. 48 of 1982 s. 3; No. 57 of 1984 s. 4; No. 57 of 1997 s. 16(1); No. 25 of 2002 s. 52.] </w:t>
      </w:r>
    </w:p>
    <w:p>
      <w:pPr>
        <w:pStyle w:val="Heading5"/>
        <w:rPr>
          <w:snapToGrid w:val="0"/>
        </w:rPr>
      </w:pPr>
      <w:bookmarkStart w:id="67" w:name="_Toc50716838"/>
      <w:bookmarkStart w:id="68" w:name="_Toc493060115"/>
      <w:r>
        <w:rPr>
          <w:rStyle w:val="CharSectno"/>
        </w:rPr>
        <w:t>15</w:t>
      </w:r>
      <w:r>
        <w:rPr>
          <w:snapToGrid w:val="0"/>
        </w:rPr>
        <w:t>.</w:t>
      </w:r>
      <w:r>
        <w:rPr>
          <w:snapToGrid w:val="0"/>
        </w:rPr>
        <w:tab/>
        <w:t>De facto partners and distribution on intestacy</w:t>
      </w:r>
      <w:bookmarkEnd w:id="67"/>
      <w:bookmarkEnd w:id="68"/>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rStyle w:val="CharDefText"/>
        </w:rPr>
        <w:t>intestate</w:t>
      </w:r>
      <w:r>
        <w:t xml:space="preserve"> and </w:t>
      </w:r>
      <w:r>
        <w:rPr>
          <w:rStyle w:val="CharDefText"/>
        </w:rPr>
        <w:t>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No. 25 of 2002 s. 52.]</w:t>
      </w:r>
    </w:p>
    <w:p>
      <w:pPr>
        <w:pStyle w:val="Ednotesection"/>
        <w:spacing w:before="180"/>
      </w:pPr>
      <w:r>
        <w:t>[</w:t>
      </w:r>
      <w:r>
        <w:rPr>
          <w:b/>
        </w:rPr>
        <w:t>15A</w:t>
      </w:r>
      <w:r>
        <w:t>.</w:t>
      </w:r>
      <w:r>
        <w:tab/>
        <w:t xml:space="preserve">Deleted: No. 138 of 1976 s. 4.] </w:t>
      </w:r>
    </w:p>
    <w:p>
      <w:pPr>
        <w:pStyle w:val="Heading5"/>
        <w:spacing w:before="180"/>
        <w:rPr>
          <w:snapToGrid w:val="0"/>
        </w:rPr>
      </w:pPr>
      <w:bookmarkStart w:id="69" w:name="_Toc50716839"/>
      <w:bookmarkStart w:id="70" w:name="_Toc493060116"/>
      <w:r>
        <w:rPr>
          <w:rStyle w:val="CharSectno"/>
        </w:rPr>
        <w:t>16</w:t>
      </w:r>
      <w:r>
        <w:rPr>
          <w:snapToGrid w:val="0"/>
        </w:rPr>
        <w:t>.</w:t>
      </w:r>
      <w:r>
        <w:rPr>
          <w:snapToGrid w:val="0"/>
        </w:rPr>
        <w:tab/>
        <w:t>Courtesy and dower abolished</w:t>
      </w:r>
      <w:bookmarkEnd w:id="69"/>
      <w:bookmarkEnd w:id="70"/>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spacing w:before="180"/>
        <w:rPr>
          <w:snapToGrid w:val="0"/>
        </w:rPr>
      </w:pPr>
      <w:bookmarkStart w:id="71" w:name="_Toc50716840"/>
      <w:bookmarkStart w:id="72" w:name="_Toc493060117"/>
      <w:r>
        <w:rPr>
          <w:rStyle w:val="CharSectno"/>
        </w:rPr>
        <w:t>17</w:t>
      </w:r>
      <w:r>
        <w:rPr>
          <w:snapToGrid w:val="0"/>
        </w:rPr>
        <w:t>.</w:t>
      </w:r>
      <w:r>
        <w:rPr>
          <w:snapToGrid w:val="0"/>
        </w:rPr>
        <w:tab/>
        <w:t>Court may deal with interest of infants in certain cases</w:t>
      </w:r>
      <w:bookmarkEnd w:id="71"/>
      <w:bookmarkEnd w:id="72"/>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No. 62 of 1955 s. 5; No. 80 of 1962 s. 3; No. 113 of 1965 s. 8.] </w:t>
      </w:r>
    </w:p>
    <w:p>
      <w:pPr>
        <w:pStyle w:val="Heading5"/>
        <w:rPr>
          <w:snapToGrid w:val="0"/>
        </w:rPr>
      </w:pPr>
      <w:bookmarkStart w:id="73" w:name="_Toc50716841"/>
      <w:bookmarkStart w:id="74" w:name="_Toc493060118"/>
      <w:r>
        <w:rPr>
          <w:rStyle w:val="CharSectno"/>
        </w:rPr>
        <w:t>17A</w:t>
      </w:r>
      <w:r>
        <w:rPr>
          <w:snapToGrid w:val="0"/>
        </w:rPr>
        <w:t xml:space="preserve">. </w:t>
      </w:r>
      <w:r>
        <w:rPr>
          <w:snapToGrid w:val="0"/>
        </w:rPr>
        <w:tab/>
        <w:t>Power to appoint trustees of infant’s property</w:t>
      </w:r>
      <w:bookmarkEnd w:id="73"/>
      <w:bookmarkEnd w:id="74"/>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the </w:t>
      </w:r>
      <w:r>
        <w:rPr>
          <w:rStyle w:val="CharDefText"/>
        </w:rPr>
        <w:t>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No. 80 of 1962 s. 4; amended: No. 1 of 1997 s. 18.] </w:t>
      </w:r>
    </w:p>
    <w:p>
      <w:pPr>
        <w:pStyle w:val="Ednotesection"/>
        <w:spacing w:before="180"/>
      </w:pPr>
      <w:r>
        <w:t>[</w:t>
      </w:r>
      <w:r>
        <w:rPr>
          <w:b/>
        </w:rPr>
        <w:t>18.</w:t>
      </w:r>
      <w:r>
        <w:tab/>
        <w:t xml:space="preserve">Deleted: No. 80 of 1962 s. 5.] </w:t>
      </w:r>
    </w:p>
    <w:p>
      <w:pPr>
        <w:pStyle w:val="Heading5"/>
        <w:spacing w:before="180"/>
        <w:rPr>
          <w:snapToGrid w:val="0"/>
        </w:rPr>
      </w:pPr>
      <w:bookmarkStart w:id="75" w:name="_Toc50716842"/>
      <w:bookmarkStart w:id="76" w:name="_Toc493060119"/>
      <w:r>
        <w:rPr>
          <w:rStyle w:val="CharSectno"/>
        </w:rPr>
        <w:t>19</w:t>
      </w:r>
      <w:r>
        <w:rPr>
          <w:snapToGrid w:val="0"/>
        </w:rPr>
        <w:t>.</w:t>
      </w:r>
      <w:r>
        <w:rPr>
          <w:snapToGrid w:val="0"/>
        </w:rPr>
        <w:tab/>
        <w:t>Court may direct partition of real estate</w:t>
      </w:r>
      <w:bookmarkEnd w:id="75"/>
      <w:bookmarkEnd w:id="76"/>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ind w:left="890" w:hanging="890"/>
      </w:pPr>
      <w:r>
        <w:tab/>
        <w:t xml:space="preserve">[Section 19 amended: No. 67 of 1979 s. 44; No. 81 of 1996 s. 153(1); No. 60 of 2006 s. 120.] </w:t>
      </w:r>
    </w:p>
    <w:p>
      <w:pPr>
        <w:pStyle w:val="Heading5"/>
        <w:rPr>
          <w:snapToGrid w:val="0"/>
        </w:rPr>
      </w:pPr>
      <w:bookmarkStart w:id="77" w:name="_Toc50716843"/>
      <w:bookmarkStart w:id="78" w:name="_Toc493060120"/>
      <w:r>
        <w:rPr>
          <w:rStyle w:val="CharSectno"/>
        </w:rPr>
        <w:t>20</w:t>
      </w:r>
      <w:r>
        <w:rPr>
          <w:snapToGrid w:val="0"/>
        </w:rPr>
        <w:t>.</w:t>
      </w:r>
      <w:r>
        <w:rPr>
          <w:snapToGrid w:val="0"/>
        </w:rPr>
        <w:tab/>
        <w:t>Personal representative may relinquish trust</w:t>
      </w:r>
      <w:bookmarkEnd w:id="77"/>
      <w:bookmarkEnd w:id="78"/>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79" w:name="_Toc50716844"/>
      <w:bookmarkStart w:id="80" w:name="_Toc493060121"/>
      <w:r>
        <w:rPr>
          <w:rStyle w:val="CharSectno"/>
        </w:rPr>
        <w:t>21</w:t>
      </w:r>
      <w:r>
        <w:rPr>
          <w:snapToGrid w:val="0"/>
        </w:rPr>
        <w:t>.</w:t>
      </w:r>
      <w:r>
        <w:rPr>
          <w:snapToGrid w:val="0"/>
        </w:rPr>
        <w:tab/>
        <w:t>Executor or administrator to represent real estate</w:t>
      </w:r>
      <w:bookmarkEnd w:id="79"/>
      <w:bookmarkEnd w:id="80"/>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 No. 26 of 1941 s. 3.]</w:t>
      </w:r>
    </w:p>
    <w:p>
      <w:pPr>
        <w:pStyle w:val="Heading5"/>
        <w:spacing w:before="200"/>
        <w:rPr>
          <w:snapToGrid w:val="0"/>
        </w:rPr>
      </w:pPr>
      <w:bookmarkStart w:id="81" w:name="_Toc50716845"/>
      <w:bookmarkStart w:id="82" w:name="_Toc493060122"/>
      <w:r>
        <w:rPr>
          <w:rStyle w:val="CharSectno"/>
        </w:rPr>
        <w:t>23</w:t>
      </w:r>
      <w:r>
        <w:rPr>
          <w:snapToGrid w:val="0"/>
        </w:rPr>
        <w:t>.</w:t>
      </w:r>
      <w:r>
        <w:rPr>
          <w:snapToGrid w:val="0"/>
        </w:rPr>
        <w:tab/>
        <w:t>All creditors to stand in equal degree</w:t>
      </w:r>
      <w:bookmarkEnd w:id="81"/>
      <w:bookmarkEnd w:id="82"/>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No. 72 of 1984 s. 7.] </w:t>
      </w:r>
    </w:p>
    <w:p>
      <w:pPr>
        <w:pStyle w:val="Heading5"/>
        <w:spacing w:before="200"/>
        <w:rPr>
          <w:snapToGrid w:val="0"/>
        </w:rPr>
      </w:pPr>
      <w:bookmarkStart w:id="83" w:name="_Toc50716846"/>
      <w:bookmarkStart w:id="84" w:name="_Toc493060123"/>
      <w:r>
        <w:rPr>
          <w:rStyle w:val="CharSectno"/>
        </w:rPr>
        <w:t>24</w:t>
      </w:r>
      <w:r>
        <w:rPr>
          <w:snapToGrid w:val="0"/>
        </w:rPr>
        <w:t>.</w:t>
      </w:r>
      <w:r>
        <w:rPr>
          <w:snapToGrid w:val="0"/>
        </w:rPr>
        <w:tab/>
        <w:t>Administration in case of intestacy</w:t>
      </w:r>
      <w:bookmarkEnd w:id="83"/>
      <w:bookmarkEnd w:id="84"/>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85" w:name="_Toc50716847"/>
      <w:bookmarkStart w:id="86" w:name="_Toc493060124"/>
      <w:r>
        <w:rPr>
          <w:rStyle w:val="CharSectno"/>
        </w:rPr>
        <w:t>25</w:t>
      </w:r>
      <w:r>
        <w:rPr>
          <w:snapToGrid w:val="0"/>
        </w:rPr>
        <w:t>.</w:t>
      </w:r>
      <w:r>
        <w:rPr>
          <w:snapToGrid w:val="0"/>
        </w:rPr>
        <w:tab/>
        <w:t>Persons entitled to administration</w:t>
      </w:r>
      <w:bookmarkEnd w:id="85"/>
      <w:bookmarkEnd w:id="86"/>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No. 46 of 1972 s. 6(2); No. 57 of 1984 s. 5; No. 21 of 1986 s. 4.] </w:t>
      </w:r>
    </w:p>
    <w:p>
      <w:pPr>
        <w:pStyle w:val="Heading5"/>
        <w:spacing w:before="180"/>
        <w:rPr>
          <w:snapToGrid w:val="0"/>
        </w:rPr>
      </w:pPr>
      <w:bookmarkStart w:id="87" w:name="_Toc50716848"/>
      <w:bookmarkStart w:id="88" w:name="_Toc493060125"/>
      <w:r>
        <w:rPr>
          <w:rStyle w:val="CharSectno"/>
        </w:rPr>
        <w:t>26</w:t>
      </w:r>
      <w:r>
        <w:rPr>
          <w:snapToGrid w:val="0"/>
        </w:rPr>
        <w:t>.</w:t>
      </w:r>
      <w:r>
        <w:rPr>
          <w:snapToGrid w:val="0"/>
        </w:rPr>
        <w:tab/>
        <w:t>Power to require administrator to produce sureties</w:t>
      </w:r>
      <w:bookmarkEnd w:id="87"/>
      <w:bookmarkEnd w:id="88"/>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(5)</w:t>
      </w:r>
      <w:r>
        <w:rPr>
          <w:snapToGrid w:val="0"/>
        </w:rPr>
        <w:tab/>
        <w:t>Where a guarantee is given as required by subsection (1) an action on that guarantee — </w:t>
      </w:r>
    </w:p>
    <w:p>
      <w:pPr>
        <w:pStyle w:val="Indenta"/>
        <w:rPr>
          <w:snapToGrid w:val="0"/>
        </w:rPr>
      </w:pPr>
      <w:r>
        <w:rPr>
          <w:snapToGrid w:val="0"/>
        </w:rPr>
        <w:tab/>
        <w:t>(a)</w:t>
      </w:r>
      <w:r>
        <w:rPr>
          <w:snapToGrid w:val="0"/>
        </w:rPr>
        <w:tab/>
        <w:t>shall not be brought without the leave of either the Court or the Principal Registrar;</w:t>
      </w:r>
    </w:p>
    <w:p>
      <w:pPr>
        <w:pStyle w:val="Indenta"/>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rPr>
          <w:snapToGrid w:val="0"/>
        </w:rPr>
      </w:pPr>
      <w:r>
        <w:rPr>
          <w:snapToGrid w:val="0"/>
        </w:rPr>
        <w:tab/>
        <w:t>(a)</w:t>
      </w:r>
      <w:r>
        <w:rPr>
          <w:snapToGrid w:val="0"/>
        </w:rPr>
        <w:tab/>
        <w:t>the estate is being wasted, or is in danger of being wasted; or</w:t>
      </w:r>
    </w:p>
    <w:p>
      <w:pPr>
        <w:pStyle w:val="Indenta"/>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No. 138 of 1976 s. 5; amended: No. 67 of 1979 s. 44.] </w:t>
      </w:r>
    </w:p>
    <w:p>
      <w:pPr>
        <w:pStyle w:val="Ednotesection"/>
      </w:pPr>
      <w:r>
        <w:t>[</w:t>
      </w:r>
      <w:r>
        <w:rPr>
          <w:b/>
        </w:rPr>
        <w:t>27</w:t>
      </w:r>
      <w:r>
        <w:rPr>
          <w:b/>
        </w:rPr>
        <w:noBreakHyphen/>
        <w:t>28.</w:t>
      </w:r>
      <w:r>
        <w:tab/>
        <w:t xml:space="preserve">Deleted: No. 138 of 1976 s. 6.] </w:t>
      </w:r>
    </w:p>
    <w:p>
      <w:pPr>
        <w:pStyle w:val="Heading5"/>
        <w:rPr>
          <w:snapToGrid w:val="0"/>
        </w:rPr>
      </w:pPr>
      <w:bookmarkStart w:id="89" w:name="_Toc50716849"/>
      <w:bookmarkStart w:id="90" w:name="_Toc493060126"/>
      <w:r>
        <w:rPr>
          <w:rStyle w:val="CharSectno"/>
        </w:rPr>
        <w:t>29</w:t>
      </w:r>
      <w:r>
        <w:rPr>
          <w:snapToGrid w:val="0"/>
        </w:rPr>
        <w:t>.</w:t>
      </w:r>
      <w:r>
        <w:rPr>
          <w:snapToGrid w:val="0"/>
        </w:rPr>
        <w:tab/>
        <w:t>Court may revoke grant of administration</w:t>
      </w:r>
      <w:bookmarkEnd w:id="89"/>
      <w:bookmarkEnd w:id="90"/>
    </w:p>
    <w:p>
      <w:pPr>
        <w:pStyle w:val="Subsection"/>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pPr>
      <w:r>
        <w:tab/>
        <w:t>[(2)</w:t>
      </w:r>
      <w:r>
        <w:tab/>
        <w:t>deleted]</w:t>
      </w:r>
    </w:p>
    <w:p>
      <w:pPr>
        <w:pStyle w:val="Footnotesection"/>
      </w:pPr>
      <w:r>
        <w:tab/>
        <w:t xml:space="preserve">[Section 29 inserted: No. 138 of 1976 s. 7; amended: No. 67 of 1979 s. 44; No. 103 of 1979 s. 4; No. 57 of 1997 s. 16(2).] </w:t>
      </w:r>
    </w:p>
    <w:p>
      <w:pPr>
        <w:pStyle w:val="Ednotesection"/>
        <w:spacing w:before="180"/>
        <w:ind w:left="890" w:hanging="890"/>
      </w:pPr>
      <w:r>
        <w:t>[</w:t>
      </w:r>
      <w:r>
        <w:rPr>
          <w:b/>
        </w:rPr>
        <w:t>30</w:t>
      </w:r>
      <w:r>
        <w:rPr>
          <w:b/>
        </w:rPr>
        <w:noBreakHyphen/>
        <w:t>31.</w:t>
      </w:r>
      <w:r>
        <w:tab/>
        <w:t xml:space="preserve">Deleted: No. 138 of 1976 s. 8.] </w:t>
      </w:r>
    </w:p>
    <w:p>
      <w:pPr>
        <w:pStyle w:val="Heading5"/>
        <w:pageBreakBefore/>
        <w:spacing w:before="0"/>
        <w:rPr>
          <w:snapToGrid w:val="0"/>
        </w:rPr>
      </w:pPr>
      <w:bookmarkStart w:id="91" w:name="_Toc50716850"/>
      <w:bookmarkStart w:id="92" w:name="_Toc493060127"/>
      <w:r>
        <w:rPr>
          <w:rStyle w:val="CharSectno"/>
        </w:rPr>
        <w:t>32</w:t>
      </w:r>
      <w:r>
        <w:rPr>
          <w:snapToGrid w:val="0"/>
        </w:rPr>
        <w:t>.</w:t>
      </w:r>
      <w:r>
        <w:rPr>
          <w:snapToGrid w:val="0"/>
        </w:rPr>
        <w:tab/>
        <w:t>In case of renunciation or failure to take probate, right of executor gone</w:t>
      </w:r>
      <w:bookmarkEnd w:id="91"/>
      <w:bookmarkEnd w:id="92"/>
      <w:r>
        <w:rPr>
          <w:snapToGrid w:val="0"/>
        </w:rPr>
        <w:t xml:space="preserve"> </w:t>
      </w:r>
    </w:p>
    <w:p>
      <w:pPr>
        <w:pStyle w:val="Subsection"/>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rPr>
          <w:snapToGrid w:val="0"/>
        </w:rPr>
      </w:pPr>
      <w:bookmarkStart w:id="93" w:name="_Toc50716851"/>
      <w:bookmarkStart w:id="94" w:name="_Toc493060128"/>
      <w:r>
        <w:rPr>
          <w:rStyle w:val="CharSectno"/>
        </w:rPr>
        <w:t>33</w:t>
      </w:r>
      <w:r>
        <w:rPr>
          <w:snapToGrid w:val="0"/>
        </w:rPr>
        <w:t>.</w:t>
      </w:r>
      <w:r>
        <w:rPr>
          <w:snapToGrid w:val="0"/>
        </w:rPr>
        <w:tab/>
        <w:t>Where infant is executor etc.</w:t>
      </w:r>
      <w:bookmarkEnd w:id="93"/>
      <w:bookmarkEnd w:id="94"/>
      <w:r>
        <w:rPr>
          <w:snapToGrid w:val="0"/>
        </w:rPr>
        <w:t xml:space="preserve"> </w:t>
      </w:r>
    </w:p>
    <w:p>
      <w:pPr>
        <w:pStyle w:val="Subsection"/>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No. 46 of 1972 s. 6(2).] </w:t>
      </w:r>
    </w:p>
    <w:p>
      <w:pPr>
        <w:pStyle w:val="Heading5"/>
        <w:rPr>
          <w:snapToGrid w:val="0"/>
        </w:rPr>
      </w:pPr>
      <w:bookmarkStart w:id="95" w:name="_Toc50716852"/>
      <w:bookmarkStart w:id="96" w:name="_Toc493060129"/>
      <w:r>
        <w:rPr>
          <w:rStyle w:val="CharSectno"/>
        </w:rPr>
        <w:t>34</w:t>
      </w:r>
      <w:r>
        <w:rPr>
          <w:snapToGrid w:val="0"/>
        </w:rPr>
        <w:t>.</w:t>
      </w:r>
      <w:r>
        <w:rPr>
          <w:snapToGrid w:val="0"/>
        </w:rPr>
        <w:tab/>
        <w:t>Where person entitled to probate or administration is out of the jurisdiction</w:t>
      </w:r>
      <w:bookmarkEnd w:id="95"/>
      <w:bookmarkEnd w:id="96"/>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No. 21 of 1942 s. 2.] </w:t>
      </w:r>
    </w:p>
    <w:p>
      <w:pPr>
        <w:pStyle w:val="Heading5"/>
        <w:rPr>
          <w:snapToGrid w:val="0"/>
        </w:rPr>
      </w:pPr>
      <w:bookmarkStart w:id="97" w:name="_Toc50716853"/>
      <w:bookmarkStart w:id="98" w:name="_Toc493060130"/>
      <w:r>
        <w:rPr>
          <w:rStyle w:val="CharSectno"/>
        </w:rPr>
        <w:t>35</w:t>
      </w:r>
      <w:r>
        <w:rPr>
          <w:snapToGrid w:val="0"/>
        </w:rPr>
        <w:t>.</w:t>
      </w:r>
      <w:r>
        <w:rPr>
          <w:snapToGrid w:val="0"/>
        </w:rPr>
        <w:tab/>
        <w:t>Court may appoint manager and receiver pending litigation</w:t>
      </w:r>
      <w:bookmarkEnd w:id="97"/>
      <w:bookmarkEnd w:id="98"/>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No. 138 of 1976 s. 9.] </w:t>
      </w:r>
    </w:p>
    <w:p>
      <w:pPr>
        <w:pStyle w:val="Heading5"/>
        <w:spacing w:before="180"/>
        <w:rPr>
          <w:snapToGrid w:val="0"/>
        </w:rPr>
      </w:pPr>
      <w:bookmarkStart w:id="99" w:name="_Toc50716854"/>
      <w:bookmarkStart w:id="100" w:name="_Toc493060131"/>
      <w:r>
        <w:rPr>
          <w:rStyle w:val="CharSectno"/>
        </w:rPr>
        <w:t>36</w:t>
      </w:r>
      <w:r>
        <w:rPr>
          <w:snapToGrid w:val="0"/>
        </w:rPr>
        <w:t>.</w:t>
      </w:r>
      <w:r>
        <w:rPr>
          <w:snapToGrid w:val="0"/>
        </w:rPr>
        <w:tab/>
        <w:t>Administration with will annexed</w:t>
      </w:r>
      <w:bookmarkEnd w:id="99"/>
      <w:bookmarkEnd w:id="100"/>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No. 138 of 1976 s. 10.] </w:t>
      </w:r>
    </w:p>
    <w:p>
      <w:pPr>
        <w:pStyle w:val="Heading5"/>
        <w:spacing w:before="180"/>
        <w:rPr>
          <w:snapToGrid w:val="0"/>
        </w:rPr>
      </w:pPr>
      <w:bookmarkStart w:id="101" w:name="_Toc50716855"/>
      <w:bookmarkStart w:id="102" w:name="_Toc493060132"/>
      <w:r>
        <w:rPr>
          <w:rStyle w:val="CharSectno"/>
        </w:rPr>
        <w:t>37</w:t>
      </w:r>
      <w:r>
        <w:rPr>
          <w:snapToGrid w:val="0"/>
        </w:rPr>
        <w:t>.</w:t>
      </w:r>
      <w:r>
        <w:rPr>
          <w:snapToGrid w:val="0"/>
        </w:rPr>
        <w:tab/>
        <w:t>Probate or administration if executor etc. absent or neglects to obtain probate etc.</w:t>
      </w:r>
      <w:bookmarkEnd w:id="101"/>
      <w:bookmarkEnd w:id="102"/>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No. 46 of 1972 s. 6(2).] </w:t>
      </w:r>
    </w:p>
    <w:p>
      <w:pPr>
        <w:pStyle w:val="Heading5"/>
        <w:keepNext w:val="0"/>
        <w:keepLines w:val="0"/>
        <w:spacing w:before="160"/>
        <w:rPr>
          <w:snapToGrid w:val="0"/>
        </w:rPr>
      </w:pPr>
      <w:bookmarkStart w:id="103" w:name="_Toc50716856"/>
      <w:bookmarkStart w:id="104" w:name="_Toc493060133"/>
      <w:r>
        <w:rPr>
          <w:rStyle w:val="CharSectno"/>
        </w:rPr>
        <w:t>38</w:t>
      </w:r>
      <w:r>
        <w:rPr>
          <w:snapToGrid w:val="0"/>
        </w:rPr>
        <w:t>.</w:t>
      </w:r>
      <w:r>
        <w:rPr>
          <w:snapToGrid w:val="0"/>
        </w:rPr>
        <w:tab/>
        <w:t>Special letters of administration if executor or administrator not within jurisdiction</w:t>
      </w:r>
      <w:bookmarkEnd w:id="103"/>
      <w:bookmarkEnd w:id="104"/>
      <w:r>
        <w:rPr>
          <w:snapToGrid w:val="0"/>
        </w:rPr>
        <w:t xml:space="preserve"> </w:t>
      </w:r>
    </w:p>
    <w:p>
      <w:pPr>
        <w:pStyle w:val="Subsection"/>
        <w:spacing w:before="120"/>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105" w:name="_Toc50716857"/>
      <w:bookmarkStart w:id="106" w:name="_Toc493060134"/>
      <w:r>
        <w:rPr>
          <w:rStyle w:val="CharSectno"/>
        </w:rPr>
        <w:t>39</w:t>
      </w:r>
      <w:r>
        <w:rPr>
          <w:snapToGrid w:val="0"/>
        </w:rPr>
        <w:t>.</w:t>
      </w:r>
      <w:r>
        <w:rPr>
          <w:snapToGrid w:val="0"/>
        </w:rPr>
        <w:tab/>
        <w:t>On return of executor or administrator, special administration may be revoked</w:t>
      </w:r>
      <w:bookmarkEnd w:id="105"/>
      <w:bookmarkEnd w:id="106"/>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rPr>
          <w:snapToGrid w:val="0"/>
        </w:rPr>
      </w:pPr>
      <w:bookmarkStart w:id="107" w:name="_Toc50716858"/>
      <w:bookmarkStart w:id="108" w:name="_Toc493060135"/>
      <w:r>
        <w:rPr>
          <w:rStyle w:val="CharSectno"/>
        </w:rPr>
        <w:t>40</w:t>
      </w:r>
      <w:r>
        <w:rPr>
          <w:snapToGrid w:val="0"/>
        </w:rPr>
        <w:t>.</w:t>
      </w:r>
      <w:r>
        <w:rPr>
          <w:snapToGrid w:val="0"/>
        </w:rPr>
        <w:tab/>
        <w:t>Absent executor liable to account</w:t>
      </w:r>
      <w:bookmarkEnd w:id="107"/>
      <w:bookmarkEnd w:id="108"/>
      <w:r>
        <w:rPr>
          <w:snapToGrid w:val="0"/>
        </w:rPr>
        <w:t xml:space="preserve"> </w:t>
      </w:r>
    </w:p>
    <w:p>
      <w:pPr>
        <w:pStyle w:val="Subsection"/>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rPr>
          <w:snapToGrid w:val="0"/>
        </w:rPr>
      </w:pPr>
      <w:bookmarkStart w:id="109" w:name="_Toc50716859"/>
      <w:bookmarkStart w:id="110" w:name="_Toc493060136"/>
      <w:r>
        <w:rPr>
          <w:rStyle w:val="CharSectno"/>
        </w:rPr>
        <w:t>41</w:t>
      </w:r>
      <w:r>
        <w:rPr>
          <w:snapToGrid w:val="0"/>
        </w:rPr>
        <w:t>.</w:t>
      </w:r>
      <w:r>
        <w:rPr>
          <w:snapToGrid w:val="0"/>
        </w:rPr>
        <w:tab/>
        <w:t>Revocation pending litigation not to abate proceedings</w:t>
      </w:r>
      <w:bookmarkEnd w:id="109"/>
      <w:bookmarkEnd w:id="110"/>
      <w:r>
        <w:rPr>
          <w:snapToGrid w:val="0"/>
        </w:rPr>
        <w:t xml:space="preserve"> </w:t>
      </w:r>
    </w:p>
    <w:p>
      <w:pPr>
        <w:pStyle w:val="Subsection"/>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spacing w:before="180"/>
        <w:rPr>
          <w:snapToGrid w:val="0"/>
        </w:rPr>
      </w:pPr>
      <w:bookmarkStart w:id="111" w:name="_Toc50716860"/>
      <w:bookmarkStart w:id="112" w:name="_Toc493060137"/>
      <w:r>
        <w:rPr>
          <w:rStyle w:val="CharSectno"/>
        </w:rPr>
        <w:t>42</w:t>
      </w:r>
      <w:r>
        <w:rPr>
          <w:snapToGrid w:val="0"/>
        </w:rPr>
        <w:t>.</w:t>
      </w:r>
      <w:r>
        <w:rPr>
          <w:snapToGrid w:val="0"/>
        </w:rPr>
        <w:tab/>
        <w:t>Devisee or legatee may apply to Court in certain cases</w:t>
      </w:r>
      <w:bookmarkEnd w:id="111"/>
      <w:bookmarkEnd w:id="112"/>
      <w:r>
        <w:rPr>
          <w:snapToGrid w:val="0"/>
        </w:rPr>
        <w:t xml:space="preserve"> </w:t>
      </w:r>
    </w:p>
    <w:p>
      <w:pPr>
        <w:pStyle w:val="Subsection"/>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spacing w:before="180"/>
        <w:rPr>
          <w:snapToGrid w:val="0"/>
        </w:rPr>
      </w:pPr>
      <w:bookmarkStart w:id="113" w:name="_Toc50716861"/>
      <w:bookmarkStart w:id="114" w:name="_Toc493060138"/>
      <w:r>
        <w:rPr>
          <w:rStyle w:val="CharSectno"/>
        </w:rPr>
        <w:t>43</w:t>
      </w:r>
      <w:r>
        <w:rPr>
          <w:snapToGrid w:val="0"/>
        </w:rPr>
        <w:t>.</w:t>
      </w:r>
      <w:r>
        <w:rPr>
          <w:snapToGrid w:val="0"/>
        </w:rPr>
        <w:tab/>
        <w:t>Inventory and accounts</w:t>
      </w:r>
      <w:bookmarkEnd w:id="113"/>
      <w:bookmarkEnd w:id="114"/>
      <w:r>
        <w:rPr>
          <w:snapToGrid w:val="0"/>
        </w:rPr>
        <w:t xml:space="preserve"> </w:t>
      </w:r>
    </w:p>
    <w:p>
      <w:pPr>
        <w:pStyle w:val="Subsection"/>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No. 138 of 1976 s. 11.] </w:t>
      </w:r>
    </w:p>
    <w:p>
      <w:pPr>
        <w:pStyle w:val="Heading5"/>
        <w:rPr>
          <w:snapToGrid w:val="0"/>
        </w:rPr>
      </w:pPr>
      <w:bookmarkStart w:id="115" w:name="_Toc50716862"/>
      <w:bookmarkStart w:id="116" w:name="_Toc493060139"/>
      <w:r>
        <w:rPr>
          <w:rStyle w:val="CharSectno"/>
        </w:rPr>
        <w:t>44</w:t>
      </w:r>
      <w:r>
        <w:rPr>
          <w:snapToGrid w:val="0"/>
        </w:rPr>
        <w:t>.</w:t>
      </w:r>
      <w:r>
        <w:rPr>
          <w:snapToGrid w:val="0"/>
        </w:rPr>
        <w:tab/>
        <w:t>If accounts not filed Principal Registrar to give notice etc.</w:t>
      </w:r>
      <w:bookmarkEnd w:id="115"/>
      <w:bookmarkEnd w:id="116"/>
      <w:r>
        <w:rPr>
          <w:snapToGrid w:val="0"/>
        </w:rPr>
        <w:t xml:space="preserve"> </w:t>
      </w:r>
    </w:p>
    <w:p>
      <w:pPr>
        <w:pStyle w:val="Subsection"/>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No. 138 of 1976 s. 12; No. 67 of 1979 s. 44.] </w:t>
      </w:r>
    </w:p>
    <w:p>
      <w:pPr>
        <w:pStyle w:val="Heading5"/>
        <w:rPr>
          <w:snapToGrid w:val="0"/>
        </w:rPr>
      </w:pPr>
      <w:bookmarkStart w:id="117" w:name="_Toc50716863"/>
      <w:bookmarkStart w:id="118" w:name="_Toc493060140"/>
      <w:r>
        <w:rPr>
          <w:rStyle w:val="CharSectno"/>
        </w:rPr>
        <w:t>45</w:t>
      </w:r>
      <w:r>
        <w:rPr>
          <w:snapToGrid w:val="0"/>
        </w:rPr>
        <w:t>.</w:t>
      </w:r>
      <w:r>
        <w:rPr>
          <w:snapToGrid w:val="0"/>
        </w:rPr>
        <w:tab/>
        <w:t>Court may settle all questions arising in administration</w:t>
      </w:r>
      <w:bookmarkEnd w:id="117"/>
      <w:bookmarkEnd w:id="118"/>
      <w:r>
        <w:rPr>
          <w:snapToGrid w:val="0"/>
        </w:rPr>
        <w:t xml:space="preserve"> </w:t>
      </w:r>
    </w:p>
    <w:p>
      <w:pPr>
        <w:pStyle w:val="Subsection"/>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No. 62 of 1955 s. 8.] </w:t>
      </w:r>
    </w:p>
    <w:p>
      <w:pPr>
        <w:pStyle w:val="Heading5"/>
        <w:rPr>
          <w:snapToGrid w:val="0"/>
        </w:rPr>
      </w:pPr>
      <w:bookmarkStart w:id="119" w:name="_Toc50716864"/>
      <w:bookmarkStart w:id="120" w:name="_Toc493060141"/>
      <w:r>
        <w:rPr>
          <w:rStyle w:val="CharSectno"/>
        </w:rPr>
        <w:t>46</w:t>
      </w:r>
      <w:r>
        <w:rPr>
          <w:snapToGrid w:val="0"/>
        </w:rPr>
        <w:t>.</w:t>
      </w:r>
      <w:r>
        <w:rPr>
          <w:snapToGrid w:val="0"/>
        </w:rPr>
        <w:tab/>
        <w:t>Payments made before revocation to be valid</w:t>
      </w:r>
      <w:bookmarkEnd w:id="119"/>
      <w:bookmarkEnd w:id="120"/>
      <w:r>
        <w:rPr>
          <w:snapToGrid w:val="0"/>
        </w:rPr>
        <w:t xml:space="preserve"> </w:t>
      </w:r>
    </w:p>
    <w:p>
      <w:pPr>
        <w:pStyle w:val="Subsection"/>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rPr>
          <w:snapToGrid w:val="0"/>
        </w:rPr>
      </w:pPr>
      <w:bookmarkStart w:id="121" w:name="_Toc50716865"/>
      <w:bookmarkStart w:id="122" w:name="_Toc493060142"/>
      <w:r>
        <w:rPr>
          <w:rStyle w:val="CharSectno"/>
        </w:rPr>
        <w:t>47</w:t>
      </w:r>
      <w:r>
        <w:rPr>
          <w:snapToGrid w:val="0"/>
        </w:rPr>
        <w:t>.</w:t>
      </w:r>
      <w:r>
        <w:rPr>
          <w:snapToGrid w:val="0"/>
        </w:rPr>
        <w:tab/>
        <w:t>Payments etc. to be valid notwithstanding defect</w:t>
      </w:r>
      <w:bookmarkEnd w:id="121"/>
      <w:bookmarkEnd w:id="122"/>
      <w:r>
        <w:rPr>
          <w:snapToGrid w:val="0"/>
        </w:rPr>
        <w:t xml:space="preserve"> </w:t>
      </w:r>
    </w:p>
    <w:p>
      <w:pPr>
        <w:pStyle w:val="Subsection"/>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rPr>
          <w:snapToGrid w:val="0"/>
        </w:rPr>
      </w:pPr>
      <w:bookmarkStart w:id="123" w:name="_Toc50716866"/>
      <w:bookmarkStart w:id="124" w:name="_Toc493060143"/>
      <w:r>
        <w:rPr>
          <w:rStyle w:val="CharSectno"/>
        </w:rPr>
        <w:t>47A</w:t>
      </w:r>
      <w:r>
        <w:rPr>
          <w:snapToGrid w:val="0"/>
        </w:rPr>
        <w:t xml:space="preserve">. </w:t>
      </w:r>
      <w:r>
        <w:rPr>
          <w:snapToGrid w:val="0"/>
        </w:rPr>
        <w:tab/>
        <w:t>Protection of executors, administrators and trustees</w:t>
      </w:r>
      <w:bookmarkEnd w:id="123"/>
      <w:bookmarkEnd w:id="124"/>
      <w:r>
        <w:rPr>
          <w:snapToGrid w:val="0"/>
        </w:rPr>
        <w:t xml:space="preserve"> </w:t>
      </w:r>
    </w:p>
    <w:p>
      <w:pPr>
        <w:pStyle w:val="Subsection"/>
        <w:keepNext/>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No. 18 of 1971 s. 4.] </w:t>
      </w:r>
    </w:p>
    <w:p>
      <w:pPr>
        <w:pStyle w:val="Ednotesection"/>
        <w:spacing w:before="200"/>
        <w:ind w:left="890" w:hanging="890"/>
      </w:pPr>
      <w:r>
        <w:t>[</w:t>
      </w:r>
      <w:r>
        <w:rPr>
          <w:b/>
        </w:rPr>
        <w:t>48</w:t>
      </w:r>
      <w:r>
        <w:rPr>
          <w:b/>
        </w:rPr>
        <w:noBreakHyphen/>
        <w:t>52.</w:t>
      </w:r>
      <w:r>
        <w:tab/>
        <w:t xml:space="preserve">Deleted: No. 80 of 1962 s. 5.] </w:t>
      </w:r>
    </w:p>
    <w:p>
      <w:pPr>
        <w:pStyle w:val="Heading5"/>
        <w:rPr>
          <w:snapToGrid w:val="0"/>
        </w:rPr>
      </w:pPr>
      <w:bookmarkStart w:id="125" w:name="_Toc50716867"/>
      <w:bookmarkStart w:id="126" w:name="_Toc493060144"/>
      <w:r>
        <w:rPr>
          <w:rStyle w:val="CharSectno"/>
        </w:rPr>
        <w:t>53</w:t>
      </w:r>
      <w:r>
        <w:rPr>
          <w:snapToGrid w:val="0"/>
        </w:rPr>
        <w:t>.</w:t>
      </w:r>
      <w:r>
        <w:rPr>
          <w:snapToGrid w:val="0"/>
        </w:rPr>
        <w:tab/>
        <w:t>Executor deemed to be resident in State</w:t>
      </w:r>
      <w:bookmarkEnd w:id="125"/>
      <w:bookmarkEnd w:id="126"/>
      <w:r>
        <w:rPr>
          <w:snapToGrid w:val="0"/>
        </w:rPr>
        <w:t xml:space="preserve"> </w:t>
      </w:r>
    </w:p>
    <w:p>
      <w:pPr>
        <w:pStyle w:val="Subsection"/>
        <w:rPr>
          <w:snapToGrid w:val="0"/>
        </w:rPr>
      </w:pPr>
      <w:r>
        <w:rPr>
          <w:snapToGrid w:val="0"/>
        </w:rPr>
        <w:tab/>
        <w:t>(1)</w:t>
      </w:r>
      <w:r>
        <w:rPr>
          <w:snapToGrid w:val="0"/>
        </w:rPr>
        <w:tab/>
        <w:t>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Western Australia.</w:t>
      </w:r>
    </w:p>
    <w:p>
      <w:pPr>
        <w:pStyle w:val="Subsection"/>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No. 67 of 1979 s. 44; No. 14 of 1980 s. 3.] </w:t>
      </w:r>
    </w:p>
    <w:p>
      <w:pPr>
        <w:pStyle w:val="Heading5"/>
        <w:spacing w:before="200"/>
        <w:rPr>
          <w:snapToGrid w:val="0"/>
        </w:rPr>
      </w:pPr>
      <w:bookmarkStart w:id="127" w:name="_Toc50716868"/>
      <w:bookmarkStart w:id="128" w:name="_Toc493060145"/>
      <w:r>
        <w:rPr>
          <w:rStyle w:val="CharSectno"/>
        </w:rPr>
        <w:t>54</w:t>
      </w:r>
      <w:r>
        <w:rPr>
          <w:snapToGrid w:val="0"/>
        </w:rPr>
        <w:t>.</w:t>
      </w:r>
      <w:r>
        <w:rPr>
          <w:snapToGrid w:val="0"/>
        </w:rPr>
        <w:tab/>
        <w:t>Court may appoint district agents</w:t>
      </w:r>
      <w:bookmarkEnd w:id="127"/>
      <w:bookmarkEnd w:id="128"/>
      <w:r>
        <w:rPr>
          <w:snapToGrid w:val="0"/>
        </w:rPr>
        <w:t xml:space="preserve"> </w:t>
      </w:r>
    </w:p>
    <w:p>
      <w:pPr>
        <w:pStyle w:val="Subsection"/>
        <w:rPr>
          <w:snapToGrid w:val="0"/>
        </w:rPr>
      </w:pPr>
      <w:r>
        <w:rPr>
          <w:snapToGrid w:val="0"/>
        </w:rPr>
        <w:tab/>
        <w:t>(1)</w:t>
      </w:r>
      <w:r>
        <w:rPr>
          <w:snapToGrid w:val="0"/>
        </w:rPr>
        <w:tab/>
        <w:t xml:space="preserve">For the purpose of receiving applications for probate or administration under this Act, </w:t>
      </w:r>
      <w:r>
        <w:t xml:space="preserve">a magistrate of the Magistrates Court at a place </w:t>
      </w:r>
      <w:r>
        <w:rPr>
          <w:snapToGrid w:val="0"/>
        </w:rPr>
        <w:t>beyond 80 km from Perth shall be and is hereby appointed to act as a district agent for the Principal Registrar.</w:t>
      </w:r>
    </w:p>
    <w:p>
      <w:pPr>
        <w:pStyle w:val="Subsection"/>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No. 55 of 1941 s. 5; No. 94 of 1972 s. 4 (as amended: No. 19 of 1973); No. 67 of 1979 s. 44; No. 59 of 2004 s. 141; No. 24 of 2005 s. 63.] </w:t>
      </w:r>
    </w:p>
    <w:p>
      <w:pPr>
        <w:pStyle w:val="Heading5"/>
        <w:rPr>
          <w:snapToGrid w:val="0"/>
        </w:rPr>
      </w:pPr>
      <w:bookmarkStart w:id="129" w:name="_Toc50716869"/>
      <w:bookmarkStart w:id="130" w:name="_Toc493060146"/>
      <w:r>
        <w:rPr>
          <w:rStyle w:val="CharSectno"/>
        </w:rPr>
        <w:t>55</w:t>
      </w:r>
      <w:r>
        <w:rPr>
          <w:snapToGrid w:val="0"/>
        </w:rPr>
        <w:t>.</w:t>
      </w:r>
      <w:r>
        <w:rPr>
          <w:snapToGrid w:val="0"/>
        </w:rPr>
        <w:tab/>
        <w:t>Where estate does not exceed $10 000 the Principal Registrar or district agent may act</w:t>
      </w:r>
      <w:bookmarkEnd w:id="129"/>
      <w:bookmarkEnd w:id="130"/>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No. 66 of 1963 s. 2; amended: No. 113 of 1965 s. 8; No. 94 of 1972 s. 4 (as amended: No. 19 of 1973); No. 37 of 1977 s. 3; No. 67 of 1979 s. 44; No. 14 of 1980 s. 4.] </w:t>
      </w:r>
    </w:p>
    <w:p>
      <w:pPr>
        <w:pStyle w:val="Heading5"/>
        <w:spacing w:before="180"/>
        <w:rPr>
          <w:snapToGrid w:val="0"/>
        </w:rPr>
      </w:pPr>
      <w:bookmarkStart w:id="131" w:name="_Toc50716870"/>
      <w:bookmarkStart w:id="132" w:name="_Toc493060147"/>
      <w:r>
        <w:rPr>
          <w:rStyle w:val="CharSectno"/>
        </w:rPr>
        <w:t>56</w:t>
      </w:r>
      <w:r>
        <w:rPr>
          <w:snapToGrid w:val="0"/>
        </w:rPr>
        <w:t>.</w:t>
      </w:r>
      <w:r>
        <w:rPr>
          <w:snapToGrid w:val="0"/>
        </w:rPr>
        <w:tab/>
        <w:t>Information to be furnished by Principal Registrar or agent</w:t>
      </w:r>
      <w:bookmarkEnd w:id="131"/>
      <w:bookmarkEnd w:id="132"/>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No. 67 of 1979 s. 44.] </w:t>
      </w:r>
    </w:p>
    <w:p>
      <w:pPr>
        <w:pStyle w:val="Heading5"/>
        <w:keepNext w:val="0"/>
        <w:keepLines w:val="0"/>
        <w:spacing w:before="180"/>
        <w:rPr>
          <w:snapToGrid w:val="0"/>
        </w:rPr>
      </w:pPr>
      <w:bookmarkStart w:id="133" w:name="_Toc50716871"/>
      <w:bookmarkStart w:id="134" w:name="_Toc493060148"/>
      <w:r>
        <w:rPr>
          <w:rStyle w:val="CharSectno"/>
        </w:rPr>
        <w:t>57</w:t>
      </w:r>
      <w:r>
        <w:rPr>
          <w:snapToGrid w:val="0"/>
        </w:rPr>
        <w:t>.</w:t>
      </w:r>
      <w:r>
        <w:rPr>
          <w:snapToGrid w:val="0"/>
        </w:rPr>
        <w:tab/>
        <w:t>Applications to be transmitted by agent to Principal Registrar</w:t>
      </w:r>
      <w:bookmarkEnd w:id="133"/>
      <w:bookmarkEnd w:id="134"/>
      <w:r>
        <w:rPr>
          <w:snapToGrid w:val="0"/>
        </w:rPr>
        <w:t xml:space="preserve"> </w:t>
      </w:r>
    </w:p>
    <w:p>
      <w:pPr>
        <w:pStyle w:val="Subsection"/>
        <w:spacing w:before="120"/>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No. 55 of 1950 s. 4; No. 66 of 1963 s. 3; No. 113 of 1965 s. 8; No. 37 of 1977 s. 3; No. 67 of 1979 s. 44.] </w:t>
      </w:r>
    </w:p>
    <w:p>
      <w:pPr>
        <w:pStyle w:val="Heading5"/>
        <w:rPr>
          <w:snapToGrid w:val="0"/>
        </w:rPr>
      </w:pPr>
      <w:bookmarkStart w:id="135" w:name="_Toc50716872"/>
      <w:bookmarkStart w:id="136" w:name="_Toc493060149"/>
      <w:r>
        <w:rPr>
          <w:rStyle w:val="CharSectno"/>
        </w:rPr>
        <w:t>58</w:t>
      </w:r>
      <w:r>
        <w:rPr>
          <w:snapToGrid w:val="0"/>
        </w:rPr>
        <w:t>.</w:t>
      </w:r>
      <w:r>
        <w:rPr>
          <w:snapToGrid w:val="0"/>
        </w:rPr>
        <w:tab/>
        <w:t>Principal Registrar to refer matter back to agent if not satisfied</w:t>
      </w:r>
      <w:bookmarkEnd w:id="135"/>
      <w:bookmarkEnd w:id="136"/>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keepLines/>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No. 67 of 1979 s. 44.] </w:t>
      </w:r>
    </w:p>
    <w:p>
      <w:pPr>
        <w:pStyle w:val="Ednotesection"/>
      </w:pPr>
      <w:r>
        <w:t>[</w:t>
      </w:r>
      <w:r>
        <w:rPr>
          <w:b/>
        </w:rPr>
        <w:t>59.</w:t>
      </w:r>
      <w:r>
        <w:tab/>
        <w:t>Deleted: No. 14 of 1980 s. 5.]</w:t>
      </w:r>
    </w:p>
    <w:p>
      <w:pPr>
        <w:pStyle w:val="Heading5"/>
        <w:rPr>
          <w:snapToGrid w:val="0"/>
        </w:rPr>
      </w:pPr>
      <w:bookmarkStart w:id="137" w:name="_Toc50716873"/>
      <w:bookmarkStart w:id="138" w:name="_Toc493060150"/>
      <w:r>
        <w:rPr>
          <w:rStyle w:val="CharSectno"/>
        </w:rPr>
        <w:t>60</w:t>
      </w:r>
      <w:r>
        <w:rPr>
          <w:snapToGrid w:val="0"/>
        </w:rPr>
        <w:t>.</w:t>
      </w:r>
      <w:r>
        <w:rPr>
          <w:snapToGrid w:val="0"/>
        </w:rPr>
        <w:tab/>
        <w:t>Principal Registrar may refer to Court</w:t>
      </w:r>
      <w:bookmarkEnd w:id="137"/>
      <w:bookmarkEnd w:id="138"/>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No. 67 of 1979 s. 44.]</w:t>
      </w:r>
    </w:p>
    <w:p>
      <w:pPr>
        <w:pStyle w:val="Heading5"/>
        <w:rPr>
          <w:snapToGrid w:val="0"/>
        </w:rPr>
      </w:pPr>
      <w:bookmarkStart w:id="139" w:name="_Toc50716874"/>
      <w:bookmarkStart w:id="140" w:name="_Toc493060151"/>
      <w:r>
        <w:rPr>
          <w:rStyle w:val="CharSectno"/>
        </w:rPr>
        <w:t>60A</w:t>
      </w:r>
      <w:r>
        <w:rPr>
          <w:snapToGrid w:val="0"/>
        </w:rPr>
        <w:t>.</w:t>
      </w:r>
      <w:r>
        <w:rPr>
          <w:snapToGrid w:val="0"/>
        </w:rPr>
        <w:tab/>
        <w:t xml:space="preserve">Application of </w:t>
      </w:r>
      <w:r>
        <w:rPr>
          <w:i/>
          <w:snapToGrid w:val="0"/>
        </w:rPr>
        <w:t>Family Provision Act 1972</w:t>
      </w:r>
      <w:bookmarkEnd w:id="139"/>
      <w:bookmarkEnd w:id="140"/>
    </w:p>
    <w:p>
      <w:pPr>
        <w:pStyle w:val="Subsection"/>
        <w:rPr>
          <w:snapToGrid w:val="0"/>
        </w:rPr>
      </w:pPr>
      <w:r>
        <w:rPr>
          <w:snapToGrid w:val="0"/>
        </w:rPr>
        <w:tab/>
      </w:r>
      <w:r>
        <w:rPr>
          <w:snapToGrid w:val="0"/>
        </w:rPr>
        <w:tab/>
        <w:t xml:space="preserve">Nothing in this Part shall effect or derogate from the provisions of the </w:t>
      </w:r>
      <w:r>
        <w:rPr>
          <w:i/>
        </w:rPr>
        <w:t>Family Provision Act 1972</w:t>
      </w:r>
      <w:r>
        <w:t xml:space="preserve"> section 6.</w:t>
      </w:r>
    </w:p>
    <w:p>
      <w:pPr>
        <w:pStyle w:val="Footnotesection"/>
      </w:pPr>
      <w:r>
        <w:tab/>
        <w:t>[Section 60A inserted: No. 57 of 1972 s. 3(2); amended: No. 48 of 2011 s. 14; No. 6 of 2017 s. 3(2).]</w:t>
      </w:r>
    </w:p>
    <w:p>
      <w:pPr>
        <w:pStyle w:val="Heading2"/>
      </w:pPr>
      <w:bookmarkStart w:id="141" w:name="_Toc50708660"/>
      <w:bookmarkStart w:id="142" w:name="_Toc50708894"/>
      <w:bookmarkStart w:id="143" w:name="_Toc50716875"/>
      <w:bookmarkStart w:id="144" w:name="_Toc444244473"/>
      <w:bookmarkStart w:id="145" w:name="_Toc449454409"/>
      <w:bookmarkStart w:id="146" w:name="_Toc493060152"/>
      <w:r>
        <w:rPr>
          <w:rStyle w:val="CharPartNo"/>
        </w:rPr>
        <w:t>Part III</w:t>
      </w:r>
      <w:r>
        <w:rPr>
          <w:rStyle w:val="CharDivNo"/>
        </w:rPr>
        <w:t> </w:t>
      </w:r>
      <w:r>
        <w:t>—</w:t>
      </w:r>
      <w:r>
        <w:rPr>
          <w:rStyle w:val="CharDivText"/>
        </w:rPr>
        <w:t> </w:t>
      </w:r>
      <w:r>
        <w:rPr>
          <w:rStyle w:val="CharPartText"/>
        </w:rPr>
        <w:t>Foreign probates and administration</w:t>
      </w:r>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50716876"/>
      <w:bookmarkStart w:id="148" w:name="_Toc493060153"/>
      <w:r>
        <w:rPr>
          <w:rStyle w:val="CharSectno"/>
        </w:rPr>
        <w:t>61</w:t>
      </w:r>
      <w:r>
        <w:rPr>
          <w:snapToGrid w:val="0"/>
        </w:rPr>
        <w:t>.</w:t>
      </w:r>
      <w:r>
        <w:rPr>
          <w:snapToGrid w:val="0"/>
        </w:rPr>
        <w:tab/>
        <w:t>Foreign probates etc. may be sealed</w:t>
      </w:r>
      <w:bookmarkEnd w:id="147"/>
      <w:bookmarkEnd w:id="148"/>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No. 138 of 1976 s. 13; No. 67 of 1979 s. 44.] </w:t>
      </w:r>
    </w:p>
    <w:p>
      <w:pPr>
        <w:pStyle w:val="Heading5"/>
        <w:rPr>
          <w:snapToGrid w:val="0"/>
        </w:rPr>
      </w:pPr>
      <w:bookmarkStart w:id="149" w:name="_Toc50716877"/>
      <w:bookmarkStart w:id="150" w:name="_Toc493060154"/>
      <w:r>
        <w:rPr>
          <w:rStyle w:val="CharSectno"/>
        </w:rPr>
        <w:t>62</w:t>
      </w:r>
      <w:r>
        <w:rPr>
          <w:snapToGrid w:val="0"/>
        </w:rPr>
        <w:t>.</w:t>
      </w:r>
      <w:r>
        <w:rPr>
          <w:snapToGrid w:val="0"/>
        </w:rPr>
        <w:tab/>
        <w:t>Power to require sureties to be provided before foreign administration sealed</w:t>
      </w:r>
      <w:bookmarkEnd w:id="149"/>
      <w:bookmarkEnd w:id="150"/>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No. 138 of 1976 s. 14.] </w:t>
      </w:r>
    </w:p>
    <w:p>
      <w:pPr>
        <w:pStyle w:val="Heading2"/>
      </w:pPr>
      <w:bookmarkStart w:id="151" w:name="_Toc444244476"/>
      <w:bookmarkStart w:id="152" w:name="_Toc449454412"/>
      <w:bookmarkStart w:id="153" w:name="_Toc493060155"/>
      <w:bookmarkStart w:id="154" w:name="_Toc50708663"/>
      <w:bookmarkStart w:id="155" w:name="_Toc50708897"/>
      <w:bookmarkStart w:id="156" w:name="_Toc50716878"/>
      <w:r>
        <w:rPr>
          <w:rStyle w:val="CharPartNo"/>
        </w:rPr>
        <w:t>Part IV</w:t>
      </w:r>
      <w:r>
        <w:t> — </w:t>
      </w:r>
      <w:r>
        <w:rPr>
          <w:rStyle w:val="CharPartText"/>
        </w:rPr>
        <w:t>Caveats</w:t>
      </w:r>
      <w:r>
        <w:rPr>
          <w:vertAlign w:val="superscript"/>
        </w:rPr>
        <w:t xml:space="preserve"> </w:t>
      </w:r>
      <w:del w:id="157" w:author="svcMRProcess" w:date="2020-09-11T15:09:00Z">
        <w:r>
          <w:rPr>
            <w:sz w:val="24"/>
            <w:vertAlign w:val="superscript"/>
          </w:rPr>
          <w:delText>3</w:delText>
        </w:r>
      </w:del>
      <w:bookmarkEnd w:id="151"/>
      <w:bookmarkEnd w:id="152"/>
      <w:bookmarkEnd w:id="153"/>
      <w:ins w:id="158" w:author="svcMRProcess" w:date="2020-09-11T15:09:00Z">
        <w:r>
          <w:rPr>
            <w:vertAlign w:val="superscript"/>
          </w:rPr>
          <w:t>2</w:t>
        </w:r>
      </w:ins>
      <w:bookmarkEnd w:id="154"/>
      <w:bookmarkEnd w:id="155"/>
      <w:bookmarkEnd w:id="156"/>
      <w:r>
        <w:t xml:space="preserve"> </w:t>
      </w:r>
    </w:p>
    <w:p>
      <w:pPr>
        <w:pStyle w:val="Heading5"/>
        <w:rPr>
          <w:snapToGrid w:val="0"/>
        </w:rPr>
      </w:pPr>
      <w:bookmarkStart w:id="159" w:name="_Toc50716879"/>
      <w:bookmarkStart w:id="160" w:name="_Toc493060156"/>
      <w:r>
        <w:rPr>
          <w:rStyle w:val="CharSectno"/>
        </w:rPr>
        <w:t>63</w:t>
      </w:r>
      <w:r>
        <w:rPr>
          <w:snapToGrid w:val="0"/>
        </w:rPr>
        <w:t>.</w:t>
      </w:r>
      <w:r>
        <w:rPr>
          <w:snapToGrid w:val="0"/>
        </w:rPr>
        <w:tab/>
        <w:t>Caveat</w:t>
      </w:r>
      <w:bookmarkEnd w:id="159"/>
      <w:bookmarkEnd w:id="160"/>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No. 67 of 1979 s. 44; No. 14 of 1980 s. 6.] </w:t>
      </w:r>
    </w:p>
    <w:p>
      <w:pPr>
        <w:pStyle w:val="Heading5"/>
        <w:rPr>
          <w:snapToGrid w:val="0"/>
        </w:rPr>
      </w:pPr>
      <w:bookmarkStart w:id="161" w:name="_Toc50716880"/>
      <w:bookmarkStart w:id="162" w:name="_Toc493060157"/>
      <w:r>
        <w:rPr>
          <w:rStyle w:val="CharSectno"/>
        </w:rPr>
        <w:t>64</w:t>
      </w:r>
      <w:r>
        <w:rPr>
          <w:snapToGrid w:val="0"/>
        </w:rPr>
        <w:t>.</w:t>
      </w:r>
      <w:r>
        <w:rPr>
          <w:snapToGrid w:val="0"/>
        </w:rPr>
        <w:tab/>
        <w:t>Court may remove caveat</w:t>
      </w:r>
      <w:bookmarkEnd w:id="161"/>
      <w:bookmarkEnd w:id="162"/>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163" w:name="_Toc444244479"/>
      <w:bookmarkStart w:id="164" w:name="_Toc449454415"/>
      <w:bookmarkStart w:id="165" w:name="_Toc493060158"/>
      <w:bookmarkStart w:id="166" w:name="_Toc50708666"/>
      <w:bookmarkStart w:id="167" w:name="_Toc50708900"/>
      <w:bookmarkStart w:id="168" w:name="_Toc50716881"/>
      <w:r>
        <w:rPr>
          <w:rStyle w:val="CharPartNo"/>
        </w:rPr>
        <w:t>Part V</w:t>
      </w:r>
      <w:r>
        <w:rPr>
          <w:rStyle w:val="CharDivNo"/>
        </w:rPr>
        <w:t> </w:t>
      </w:r>
      <w:r>
        <w:t>—</w:t>
      </w:r>
      <w:r>
        <w:rPr>
          <w:rStyle w:val="CharDivText"/>
        </w:rPr>
        <w:t> </w:t>
      </w:r>
      <w:r>
        <w:rPr>
          <w:rStyle w:val="CharPartText"/>
        </w:rPr>
        <w:t>Duties on deceased persons’ estates and succession duties</w:t>
      </w:r>
      <w:r>
        <w:rPr>
          <w:rStyle w:val="CharPartText"/>
          <w:vertAlign w:val="superscript"/>
        </w:rPr>
        <w:t xml:space="preserve"> </w:t>
      </w:r>
      <w:del w:id="169" w:author="svcMRProcess" w:date="2020-09-11T15:09:00Z">
        <w:r>
          <w:rPr>
            <w:b w:val="0"/>
            <w:sz w:val="24"/>
            <w:vertAlign w:val="superscript"/>
          </w:rPr>
          <w:delText>4</w:delText>
        </w:r>
      </w:del>
      <w:bookmarkEnd w:id="163"/>
      <w:bookmarkEnd w:id="164"/>
      <w:bookmarkEnd w:id="165"/>
      <w:ins w:id="170" w:author="svcMRProcess" w:date="2020-09-11T15:09:00Z">
        <w:r>
          <w:rPr>
            <w:rStyle w:val="CharPartText"/>
            <w:vertAlign w:val="superscript"/>
          </w:rPr>
          <w:t>3</w:t>
        </w:r>
      </w:ins>
      <w:bookmarkEnd w:id="166"/>
      <w:bookmarkEnd w:id="167"/>
      <w:bookmarkEnd w:id="168"/>
    </w:p>
    <w:p>
      <w:pPr>
        <w:pStyle w:val="Ednotesection"/>
      </w:pPr>
      <w:r>
        <w:t>[</w:t>
      </w:r>
      <w:r>
        <w:rPr>
          <w:b/>
        </w:rPr>
        <w:t>65</w:t>
      </w:r>
      <w:r>
        <w:rPr>
          <w:b/>
        </w:rPr>
        <w:noBreakHyphen/>
        <w:t>70A.</w:t>
      </w:r>
      <w:r>
        <w:rPr>
          <w:b/>
        </w:rPr>
        <w:tab/>
        <w:t xml:space="preserve"> </w:t>
      </w:r>
      <w:r>
        <w:t>Deleted: No. 80 of 1973 s. 3.]</w:t>
      </w:r>
    </w:p>
    <w:p>
      <w:pPr>
        <w:pStyle w:val="Heading5"/>
        <w:rPr>
          <w:snapToGrid w:val="0"/>
        </w:rPr>
      </w:pPr>
      <w:bookmarkStart w:id="171" w:name="_Toc50716882"/>
      <w:bookmarkStart w:id="172" w:name="_Toc493060159"/>
      <w:r>
        <w:rPr>
          <w:rStyle w:val="CharSectno"/>
        </w:rPr>
        <w:t>71</w:t>
      </w:r>
      <w:r>
        <w:rPr>
          <w:snapToGrid w:val="0"/>
        </w:rPr>
        <w:t>.</w:t>
      </w:r>
      <w:r>
        <w:rPr>
          <w:snapToGrid w:val="0"/>
        </w:rPr>
        <w:tab/>
        <w:t>No will to be registered or admissible in evidence until proved</w:t>
      </w:r>
      <w:bookmarkEnd w:id="171"/>
      <w:bookmarkEnd w:id="172"/>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No. 57 of 1964 s. 7; No. 107 of 1970 s. 11.] </w:t>
      </w:r>
    </w:p>
    <w:p>
      <w:pPr>
        <w:pStyle w:val="Ednotesection"/>
      </w:pPr>
      <w:r>
        <w:t>[</w:t>
      </w:r>
      <w:r>
        <w:rPr>
          <w:b/>
        </w:rPr>
        <w:t>72</w:t>
      </w:r>
      <w:r>
        <w:rPr>
          <w:b/>
        </w:rPr>
        <w:noBreakHyphen/>
        <w:t>137.</w:t>
      </w:r>
      <w:r>
        <w:rPr>
          <w:b/>
        </w:rPr>
        <w:tab/>
      </w:r>
      <w:r>
        <w:t>Deleted: No. 80 of 1973 s. 3.]</w:t>
      </w:r>
    </w:p>
    <w:p>
      <w:pPr>
        <w:pStyle w:val="Heading2"/>
      </w:pPr>
      <w:bookmarkStart w:id="173" w:name="_Toc50708668"/>
      <w:bookmarkStart w:id="174" w:name="_Toc50708902"/>
      <w:bookmarkStart w:id="175" w:name="_Toc50716883"/>
      <w:bookmarkStart w:id="176" w:name="_Toc444244481"/>
      <w:bookmarkStart w:id="177" w:name="_Toc449454417"/>
      <w:bookmarkStart w:id="178" w:name="_Toc493060160"/>
      <w:r>
        <w:rPr>
          <w:rStyle w:val="CharPartNo"/>
        </w:rPr>
        <w:t>Part VI</w:t>
      </w:r>
      <w:r>
        <w:rPr>
          <w:rStyle w:val="CharDivNo"/>
        </w:rPr>
        <w:t> </w:t>
      </w:r>
      <w:r>
        <w:t>—</w:t>
      </w:r>
      <w:r>
        <w:rPr>
          <w:rStyle w:val="CharDivText"/>
        </w:rPr>
        <w:t> </w:t>
      </w:r>
      <w:r>
        <w:rPr>
          <w:rStyle w:val="CharPartText"/>
        </w:rPr>
        <w:t>Miscellaneous</w:t>
      </w:r>
      <w:bookmarkEnd w:id="173"/>
      <w:bookmarkEnd w:id="174"/>
      <w:bookmarkEnd w:id="175"/>
      <w:bookmarkEnd w:id="176"/>
      <w:bookmarkEnd w:id="177"/>
      <w:bookmarkEnd w:id="178"/>
      <w:r>
        <w:rPr>
          <w:rStyle w:val="CharPartText"/>
        </w:rPr>
        <w:t xml:space="preserve"> </w:t>
      </w:r>
    </w:p>
    <w:p>
      <w:pPr>
        <w:pStyle w:val="Ednotesection"/>
        <w:spacing w:before="180"/>
        <w:ind w:left="890" w:hanging="890"/>
      </w:pPr>
      <w:r>
        <w:t>[</w:t>
      </w:r>
      <w:r>
        <w:rPr>
          <w:b/>
        </w:rPr>
        <w:t>138.</w:t>
      </w:r>
      <w:r>
        <w:tab/>
        <w:t xml:space="preserve">Deleted: No. 40 of 1971 s. 2.] </w:t>
      </w:r>
    </w:p>
    <w:p>
      <w:pPr>
        <w:pStyle w:val="Heading5"/>
        <w:spacing w:before="180"/>
        <w:rPr>
          <w:snapToGrid w:val="0"/>
        </w:rPr>
      </w:pPr>
      <w:bookmarkStart w:id="179" w:name="_Toc50716884"/>
      <w:bookmarkStart w:id="180" w:name="_Toc493060161"/>
      <w:r>
        <w:rPr>
          <w:rStyle w:val="CharSectno"/>
        </w:rPr>
        <w:t>139</w:t>
      </w:r>
      <w:r>
        <w:rPr>
          <w:snapToGrid w:val="0"/>
        </w:rPr>
        <w:t>.</w:t>
      </w:r>
      <w:r>
        <w:rPr>
          <w:snapToGrid w:val="0"/>
        </w:rPr>
        <w:tab/>
        <w:t>Deposits not exceeding prescribed amount in any ADI may be paid to widow or next of kin without probate or administration</w:t>
      </w:r>
      <w:bookmarkEnd w:id="179"/>
      <w:bookmarkEnd w:id="180"/>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w:t>
      </w:r>
      <w:del w:id="181" w:author="svcMRProcess" w:date="2020-09-11T15:09:00Z">
        <w:r>
          <w:rPr>
            <w:snapToGrid w:val="0"/>
            <w:vertAlign w:val="superscript"/>
          </w:rPr>
          <w:delText>5</w:delText>
        </w:r>
      </w:del>
      <w:ins w:id="182" w:author="svcMRProcess" w:date="2020-09-11T15:09:00Z">
        <w:r>
          <w:rPr>
            <w:snapToGrid w:val="0"/>
            <w:vertAlign w:val="superscript"/>
          </w:rPr>
          <w:t>4</w:t>
        </w:r>
      </w:ins>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No. 62 of 1955 s. 15; No. 57 of 1964 s. 11; No. 78 of 1965 s. 4; No. 113 of 1965 s. 8; No. 80 of 1973 s. 3; No. 26 of 1999 s. 59; No. 25 of 2002 s. 52.] </w:t>
      </w:r>
    </w:p>
    <w:p>
      <w:pPr>
        <w:pStyle w:val="Heading5"/>
        <w:rPr>
          <w:snapToGrid w:val="0"/>
        </w:rPr>
      </w:pPr>
      <w:bookmarkStart w:id="183" w:name="_Toc50716885"/>
      <w:bookmarkStart w:id="184" w:name="_Toc493060162"/>
      <w:r>
        <w:rPr>
          <w:rStyle w:val="CharSectno"/>
        </w:rPr>
        <w:t>140</w:t>
      </w:r>
      <w:r>
        <w:rPr>
          <w:snapToGrid w:val="0"/>
        </w:rPr>
        <w:t>.</w:t>
      </w:r>
      <w:r>
        <w:rPr>
          <w:snapToGrid w:val="0"/>
        </w:rPr>
        <w:tab/>
        <w:t>Records of grants etc.</w:t>
      </w:r>
      <w:bookmarkEnd w:id="183"/>
      <w:bookmarkEnd w:id="184"/>
      <w:r>
        <w:rPr>
          <w:snapToGrid w:val="0"/>
        </w:rPr>
        <w:t xml:space="preserve"> </w:t>
      </w:r>
    </w:p>
    <w:p>
      <w:pPr>
        <w:pStyle w:val="Subsection"/>
        <w:rPr>
          <w:snapToGrid w:val="0"/>
        </w:rPr>
      </w:pPr>
      <w:r>
        <w:rPr>
          <w:snapToGrid w:val="0"/>
        </w:rPr>
        <w:tab/>
        <w:t>(1)</w:t>
      </w:r>
      <w:r>
        <w:rPr>
          <w:snapToGrid w:val="0"/>
        </w:rPr>
        <w:tab/>
        <w:t>The Principal Registrar shall cause entries to be made in a book to be kept for that purpose of — </w:t>
      </w:r>
    </w:p>
    <w:p>
      <w:pPr>
        <w:pStyle w:val="Indenta"/>
        <w:rPr>
          <w:snapToGrid w:val="0"/>
        </w:rPr>
      </w:pPr>
      <w:r>
        <w:rPr>
          <w:snapToGrid w:val="0"/>
        </w:rPr>
        <w:tab/>
        <w:t>(a)</w:t>
      </w:r>
      <w:r>
        <w:rPr>
          <w:snapToGrid w:val="0"/>
        </w:rPr>
        <w:tab/>
        <w:t>all grants of probate and administration, and all orders to collect;</w:t>
      </w:r>
    </w:p>
    <w:p>
      <w:pPr>
        <w:pStyle w:val="Indenta"/>
        <w:rPr>
          <w:snapToGrid w:val="0"/>
        </w:rPr>
      </w:pPr>
      <w:r>
        <w:rPr>
          <w:snapToGrid w:val="0"/>
        </w:rPr>
        <w:tab/>
        <w:t>(b)</w:t>
      </w:r>
      <w:r>
        <w:rPr>
          <w:snapToGrid w:val="0"/>
        </w:rPr>
        <w:tab/>
        <w:t>the filing, passing, and allowance of the accounts of all executors and administrators; and of</w:t>
      </w:r>
    </w:p>
    <w:p>
      <w:pPr>
        <w:pStyle w:val="Indenta"/>
        <w:rPr>
          <w:snapToGrid w:val="0"/>
        </w:rPr>
      </w:pPr>
      <w:r>
        <w:rPr>
          <w:snapToGrid w:val="0"/>
        </w:rPr>
        <w:tab/>
        <w:t>(c)</w:t>
      </w:r>
      <w:r>
        <w:rPr>
          <w:snapToGrid w:val="0"/>
        </w:rPr>
        <w:tab/>
        <w:t>any special order extending the time for passing such accounts.</w:t>
      </w:r>
    </w:p>
    <w:p>
      <w:pPr>
        <w:pStyle w:val="Subsection"/>
        <w:rPr>
          <w:snapToGrid w:val="0"/>
        </w:rPr>
      </w:pPr>
      <w:r>
        <w:rPr>
          <w:snapToGrid w:val="0"/>
        </w:rPr>
        <w:tab/>
        <w:t>(2)</w:t>
      </w:r>
      <w:r>
        <w:rPr>
          <w:snapToGrid w:val="0"/>
        </w:rPr>
        <w:tab/>
        <w:t>Such book shall set forth — </w:t>
      </w:r>
    </w:p>
    <w:p>
      <w:pPr>
        <w:pStyle w:val="Indenta"/>
        <w:rPr>
          <w:snapToGrid w:val="0"/>
        </w:rPr>
      </w:pPr>
      <w:r>
        <w:rPr>
          <w:snapToGrid w:val="0"/>
        </w:rPr>
        <w:tab/>
        <w:t>(a)</w:t>
      </w:r>
      <w:r>
        <w:rPr>
          <w:snapToGrid w:val="0"/>
        </w:rPr>
        <w:tab/>
        <w:t>the dates of such grants;</w:t>
      </w:r>
    </w:p>
    <w:p>
      <w:pPr>
        <w:pStyle w:val="Indenta"/>
        <w:rPr>
          <w:snapToGrid w:val="0"/>
        </w:rPr>
      </w:pPr>
      <w:r>
        <w:rPr>
          <w:snapToGrid w:val="0"/>
        </w:rPr>
        <w:tab/>
        <w:t>(b)</w:t>
      </w:r>
      <w:r>
        <w:rPr>
          <w:snapToGrid w:val="0"/>
        </w:rPr>
        <w:tab/>
        <w:t>the names of the testators or intestates;</w:t>
      </w:r>
    </w:p>
    <w:p>
      <w:pPr>
        <w:pStyle w:val="Indenta"/>
        <w:rPr>
          <w:snapToGrid w:val="0"/>
        </w:rPr>
      </w:pPr>
      <w:r>
        <w:rPr>
          <w:snapToGrid w:val="0"/>
        </w:rPr>
        <w:tab/>
        <w:t>(c)</w:t>
      </w:r>
      <w:r>
        <w:rPr>
          <w:snapToGrid w:val="0"/>
        </w:rPr>
        <w:tab/>
        <w:t>the place and time of death;</w:t>
      </w:r>
    </w:p>
    <w:p>
      <w:pPr>
        <w:pStyle w:val="Indenta"/>
        <w:rPr>
          <w:snapToGrid w:val="0"/>
        </w:rPr>
      </w:pPr>
      <w:r>
        <w:rPr>
          <w:snapToGrid w:val="0"/>
        </w:rPr>
        <w:tab/>
        <w:t>(d)</w:t>
      </w:r>
      <w:r>
        <w:rPr>
          <w:snapToGrid w:val="0"/>
        </w:rPr>
        <w:tab/>
        <w:t xml:space="preserve">the names and description of the executors or administrators; </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the dates of the filing, passing, allowance of, and special orders with reference to the said accounts.</w:t>
      </w:r>
    </w:p>
    <w:p>
      <w:pPr>
        <w:pStyle w:val="Subsection"/>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ind w:left="890" w:hanging="890"/>
      </w:pPr>
      <w:r>
        <w:tab/>
        <w:t xml:space="preserve">[Section 140 amended: No. 57 of 1964 s. 12; No. 107 of 1970 s. 16; No. 67 of 1979 s. 44.] </w:t>
      </w:r>
    </w:p>
    <w:p>
      <w:pPr>
        <w:pStyle w:val="Heading5"/>
        <w:spacing w:before="180"/>
        <w:rPr>
          <w:snapToGrid w:val="0"/>
        </w:rPr>
      </w:pPr>
      <w:bookmarkStart w:id="185" w:name="_Toc50716886"/>
      <w:bookmarkStart w:id="186" w:name="_Toc493060163"/>
      <w:r>
        <w:rPr>
          <w:rStyle w:val="CharSectno"/>
        </w:rPr>
        <w:t>141</w:t>
      </w:r>
      <w:r>
        <w:rPr>
          <w:snapToGrid w:val="0"/>
        </w:rPr>
        <w:t>.</w:t>
      </w:r>
      <w:r>
        <w:rPr>
          <w:snapToGrid w:val="0"/>
        </w:rPr>
        <w:tab/>
        <w:t>Court may appoint attorney for absent executor</w:t>
      </w:r>
      <w:bookmarkEnd w:id="185"/>
      <w:bookmarkEnd w:id="186"/>
      <w:r>
        <w:rPr>
          <w:snapToGrid w:val="0"/>
        </w:rPr>
        <w:t xml:space="preserve"> </w:t>
      </w:r>
    </w:p>
    <w:p>
      <w:pPr>
        <w:pStyle w:val="Ednotesubsection"/>
        <w:spacing w:before="180"/>
      </w:pPr>
      <w:r>
        <w:tab/>
        <w:t>[(1)</w:t>
      </w:r>
      <w:r>
        <w:tab/>
        <w:t>deleted]</w:t>
      </w:r>
    </w:p>
    <w:p>
      <w:pPr>
        <w:pStyle w:val="Subsection"/>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No. 21 of 1942 s. 4; No. 80 of 1962 s. 8; No. 57 of 1984 s. 6.] </w:t>
      </w:r>
    </w:p>
    <w:p>
      <w:pPr>
        <w:pStyle w:val="Heading5"/>
        <w:rPr>
          <w:snapToGrid w:val="0"/>
        </w:rPr>
      </w:pPr>
      <w:bookmarkStart w:id="187" w:name="_Toc50716887"/>
      <w:bookmarkStart w:id="188" w:name="_Toc493060164"/>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187"/>
      <w:bookmarkEnd w:id="188"/>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Where any part of the estate of a deceased person, whose estate is being administered by the Public Trustee of Western Australia, is situated outside the limits of Western Australia, such Public Trustee may receive any part of such estate so situated, and, when received, the same shall be dealt with according to the law of Western Australia.</w:t>
      </w:r>
    </w:p>
    <w:p>
      <w:pPr>
        <w:pStyle w:val="Footnotesection"/>
      </w:pPr>
      <w:r>
        <w:tab/>
        <w:t xml:space="preserve">[Section 142 amended: No. 62 of 1955 s. 16.] </w:t>
      </w:r>
    </w:p>
    <w:p>
      <w:pPr>
        <w:pStyle w:val="Ednotesection"/>
      </w:pPr>
      <w:r>
        <w:t>[</w:t>
      </w:r>
      <w:r>
        <w:rPr>
          <w:b/>
        </w:rPr>
        <w:t>143.</w:t>
      </w:r>
      <w:r>
        <w:tab/>
        <w:t xml:space="preserve">Deleted: No. 80 of 1962 s. 8.] </w:t>
      </w:r>
    </w:p>
    <w:p>
      <w:pPr>
        <w:pStyle w:val="Heading5"/>
        <w:rPr>
          <w:snapToGrid w:val="0"/>
        </w:rPr>
      </w:pPr>
      <w:bookmarkStart w:id="189" w:name="_Toc50716888"/>
      <w:bookmarkStart w:id="190" w:name="_Toc493060165"/>
      <w:r>
        <w:rPr>
          <w:rStyle w:val="CharSectno"/>
        </w:rPr>
        <w:t>143A</w:t>
      </w:r>
      <w:r>
        <w:rPr>
          <w:snapToGrid w:val="0"/>
        </w:rPr>
        <w:t xml:space="preserve">. </w:t>
      </w:r>
      <w:r>
        <w:rPr>
          <w:snapToGrid w:val="0"/>
        </w:rPr>
        <w:tab/>
        <w:t>Rate of interest payable on legacies</w:t>
      </w:r>
      <w:bookmarkEnd w:id="189"/>
      <w:bookmarkEnd w:id="190"/>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No. 39 of 1945 s. 2; amended: No 113 of 1965 s. 8.] </w:t>
      </w:r>
    </w:p>
    <w:p>
      <w:pPr>
        <w:pStyle w:val="Heading5"/>
        <w:rPr>
          <w:snapToGrid w:val="0"/>
        </w:rPr>
      </w:pPr>
      <w:bookmarkStart w:id="191" w:name="_Toc50716889"/>
      <w:bookmarkStart w:id="192" w:name="_Toc493060166"/>
      <w:r>
        <w:rPr>
          <w:rStyle w:val="CharSectno"/>
        </w:rPr>
        <w:t>143B</w:t>
      </w:r>
      <w:r>
        <w:rPr>
          <w:snapToGrid w:val="0"/>
        </w:rPr>
        <w:t xml:space="preserve">. </w:t>
      </w:r>
      <w:r>
        <w:rPr>
          <w:snapToGrid w:val="0"/>
        </w:rPr>
        <w:tab/>
        <w:t>Saving provision as to bonds</w:t>
      </w:r>
      <w:bookmarkEnd w:id="191"/>
      <w:bookmarkEnd w:id="192"/>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del w:id="193" w:author="svcMRProcess" w:date="2020-09-11T15:09:00Z">
        <w:r>
          <w:rPr>
            <w:snapToGrid w:val="0"/>
            <w:vertAlign w:val="superscript"/>
          </w:rPr>
          <w:delText>1</w:delText>
        </w:r>
        <w:r>
          <w:rPr>
            <w:snapToGrid w:val="0"/>
          </w:rPr>
          <w:delText xml:space="preserve"> </w:delText>
        </w:r>
      </w:del>
      <w:r>
        <w:rPr>
          <w:snapToGrid w:val="0"/>
        </w:rPr>
        <w:t>may be enforced and assigned as if that Act had not been passed.</w:t>
      </w:r>
    </w:p>
    <w:p>
      <w:pPr>
        <w:pStyle w:val="Footnotesection"/>
      </w:pPr>
      <w:r>
        <w:tab/>
        <w:t xml:space="preserve">[Section 143B inserted: No. 138 of 1976 s. 15.] </w:t>
      </w:r>
    </w:p>
    <w:p>
      <w:pPr>
        <w:pStyle w:val="Heading5"/>
        <w:rPr>
          <w:snapToGrid w:val="0"/>
        </w:rPr>
      </w:pPr>
      <w:bookmarkStart w:id="194" w:name="_Toc50716890"/>
      <w:bookmarkStart w:id="195" w:name="_Toc493060167"/>
      <w:r>
        <w:rPr>
          <w:rStyle w:val="CharSectno"/>
        </w:rPr>
        <w:t>144</w:t>
      </w:r>
      <w:r>
        <w:rPr>
          <w:snapToGrid w:val="0"/>
        </w:rPr>
        <w:t>.</w:t>
      </w:r>
      <w:r>
        <w:rPr>
          <w:snapToGrid w:val="0"/>
        </w:rPr>
        <w:tab/>
        <w:t>Rules of Court</w:t>
      </w:r>
      <w:bookmarkEnd w:id="194"/>
      <w:bookmarkEnd w:id="195"/>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del w:id="196" w:author="svcMRProcess" w:date="2020-09-11T15:09:00Z">
        <w:r>
          <w:rPr>
            <w:snapToGrid w:val="0"/>
          </w:rPr>
          <w:delText xml:space="preserve"> </w:delText>
        </w:r>
        <w:r>
          <w:rPr>
            <w:snapToGrid w:val="0"/>
            <w:vertAlign w:val="superscript"/>
          </w:rPr>
          <w:delText>1</w:delText>
        </w:r>
      </w:del>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No. 30 of 1954 s. 5; No. 57 of 1964 s. 13; No. 67 1979 s. 45.] </w:t>
      </w:r>
    </w:p>
    <w:p>
      <w:pPr>
        <w:pStyle w:val="Ednotesection"/>
      </w:pPr>
      <w:r>
        <w:t>[</w:t>
      </w:r>
      <w:r>
        <w:rPr>
          <w:b/>
        </w:rPr>
        <w:t>145</w:t>
      </w:r>
      <w:r>
        <w:rPr>
          <w:b/>
        </w:rPr>
        <w:noBreakHyphen/>
        <w:t>148.</w:t>
      </w:r>
      <w:r>
        <w:tab/>
        <w:t xml:space="preserve">Deleted: No. 80 of 1973 s. 3.] </w:t>
      </w:r>
    </w:p>
    <w:p>
      <w:pPr>
        <w:pStyle w:val="yEdnoteschedule"/>
      </w:pPr>
      <w:r>
        <w:t>[First Schedule omitted under the Reprints Act 1984 s. 7(4)(f).]</w:t>
      </w:r>
    </w:p>
    <w:p>
      <w:pPr>
        <w:pStyle w:val="yEdnoteschedule"/>
      </w:pPr>
      <w:r>
        <w:t>[Second Schedule deleted: No. 80 of 1973 s. 3.]</w:t>
      </w:r>
    </w:p>
    <w:p>
      <w:pPr>
        <w:pStyle w:val="yEdnoteschedule"/>
      </w:pPr>
      <w:r>
        <w:t>[Third Schedule deleted: No. 19 of 2010 s. 6(2).]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97" w:name="_Toc50708676"/>
      <w:bookmarkStart w:id="198" w:name="_Toc50708910"/>
      <w:bookmarkStart w:id="199" w:name="_Toc50716891"/>
      <w:bookmarkStart w:id="200" w:name="_Toc444244489"/>
      <w:bookmarkStart w:id="201" w:name="_Toc449454425"/>
      <w:bookmarkStart w:id="202" w:name="_Toc493060168"/>
      <w:r>
        <w:rPr>
          <w:rStyle w:val="CharSchNo"/>
        </w:rPr>
        <w:t>Fourth Schedule</w:t>
      </w:r>
      <w:r>
        <w:rPr>
          <w:rStyle w:val="CharSDivNo"/>
        </w:rPr>
        <w:t> </w:t>
      </w:r>
      <w:r>
        <w:t>—</w:t>
      </w:r>
      <w:r>
        <w:rPr>
          <w:rStyle w:val="CharSDivText"/>
        </w:rPr>
        <w:t> </w:t>
      </w:r>
      <w:r>
        <w:rPr>
          <w:rStyle w:val="CharSchText"/>
        </w:rPr>
        <w:t>Rights in respect of dwelling houses</w:t>
      </w:r>
      <w:bookmarkEnd w:id="197"/>
      <w:bookmarkEnd w:id="198"/>
      <w:bookmarkEnd w:id="199"/>
      <w:bookmarkEnd w:id="200"/>
      <w:bookmarkEnd w:id="201"/>
      <w:bookmarkEnd w:id="202"/>
    </w:p>
    <w:p>
      <w:pPr>
        <w:pStyle w:val="yShoulderClause"/>
      </w:pPr>
      <w:r>
        <w:t>[s. 14]</w:t>
      </w:r>
    </w:p>
    <w:p>
      <w:pPr>
        <w:pStyle w:val="yFootnoteheading"/>
      </w:pPr>
      <w:r>
        <w:tab/>
        <w:t>[Heading inserted: No. 138 of 1976 s. 16; amended: No. 25 of 2002 s. 52; No. 19 of 2010 s. 6(3).]</w:t>
      </w:r>
    </w:p>
    <w:p>
      <w:pPr>
        <w:pStyle w:val="yHeading5"/>
        <w:spacing w:before="240"/>
        <w:rPr>
          <w:snapToGrid w:val="0"/>
        </w:rPr>
      </w:pPr>
      <w:bookmarkStart w:id="203" w:name="_Toc50716892"/>
      <w:bookmarkStart w:id="204" w:name="_Toc493060169"/>
      <w:r>
        <w:rPr>
          <w:rStyle w:val="CharSClsNo"/>
        </w:rPr>
        <w:t>1</w:t>
      </w:r>
      <w:r>
        <w:rPr>
          <w:snapToGrid w:val="0"/>
        </w:rPr>
        <w:t>.</w:t>
      </w:r>
      <w:r>
        <w:rPr>
          <w:snapToGrid w:val="0"/>
        </w:rPr>
        <w:tab/>
        <w:t>Rights of surviving spouse if dwelling house is residence</w:t>
      </w:r>
      <w:bookmarkEnd w:id="203"/>
      <w:bookmarkEnd w:id="204"/>
    </w:p>
    <w:p>
      <w:pPr>
        <w:pStyle w:val="ySubsection"/>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the </w:t>
      </w:r>
      <w:r>
        <w:rPr>
          <w:b/>
          <w:i/>
          <w:snapToGrid w:val="0"/>
        </w:rPr>
        <w:t>i</w:t>
      </w:r>
      <w:r>
        <w:rPr>
          <w:rStyle w:val="CharDefText"/>
        </w:rPr>
        <w:t>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Footnotesection"/>
      </w:pPr>
      <w:r>
        <w:tab/>
        <w:t>[Clause 1 amended: No. 19 of 2010 s. 51.]</w:t>
      </w:r>
    </w:p>
    <w:p>
      <w:pPr>
        <w:pStyle w:val="yHeading5"/>
        <w:rPr>
          <w:snapToGrid w:val="0"/>
        </w:rPr>
      </w:pPr>
      <w:bookmarkStart w:id="205" w:name="_Toc50716893"/>
      <w:bookmarkStart w:id="206" w:name="_Toc493060170"/>
      <w:r>
        <w:rPr>
          <w:rStyle w:val="CharSClsNo"/>
        </w:rPr>
        <w:t>2</w:t>
      </w:r>
      <w:r>
        <w:rPr>
          <w:snapToGrid w:val="0"/>
        </w:rPr>
        <w:t>.</w:t>
      </w:r>
      <w:r>
        <w:rPr>
          <w:snapToGrid w:val="0"/>
        </w:rPr>
        <w:tab/>
        <w:t>Court order required in certain cases</w:t>
      </w:r>
      <w:bookmarkEnd w:id="205"/>
      <w:bookmarkEnd w:id="206"/>
    </w:p>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 or</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 or</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Footnotesection"/>
      </w:pPr>
      <w:r>
        <w:tab/>
        <w:t>[Clause 2 amended: No. 19 of 2010 s. 51.]</w:t>
      </w:r>
    </w:p>
    <w:p>
      <w:pPr>
        <w:pStyle w:val="yHeading5"/>
        <w:rPr>
          <w:snapToGrid w:val="0"/>
        </w:rPr>
      </w:pPr>
      <w:bookmarkStart w:id="207" w:name="_Toc50716894"/>
      <w:bookmarkStart w:id="208" w:name="_Toc493060171"/>
      <w:r>
        <w:rPr>
          <w:rStyle w:val="CharSClsNo"/>
        </w:rPr>
        <w:t>3</w:t>
      </w:r>
      <w:r>
        <w:rPr>
          <w:snapToGrid w:val="0"/>
        </w:rPr>
        <w:t>.</w:t>
      </w:r>
      <w:r>
        <w:rPr>
          <w:snapToGrid w:val="0"/>
        </w:rPr>
        <w:tab/>
        <w:t>Time limit for exercising right under par. 1</w:t>
      </w:r>
      <w:bookmarkEnd w:id="207"/>
      <w:bookmarkEnd w:id="208"/>
    </w:p>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Footnotesection"/>
      </w:pPr>
      <w:r>
        <w:tab/>
        <w:t>[Clause 3 amended: No. 19 of 2010 s. 51.]</w:t>
      </w:r>
    </w:p>
    <w:p>
      <w:pPr>
        <w:pStyle w:val="yHeading5"/>
        <w:rPr>
          <w:snapToGrid w:val="0"/>
        </w:rPr>
      </w:pPr>
      <w:bookmarkStart w:id="209" w:name="_Toc50716895"/>
      <w:bookmarkStart w:id="210" w:name="_Toc493060172"/>
      <w:r>
        <w:rPr>
          <w:rStyle w:val="CharSClsNo"/>
        </w:rPr>
        <w:t>4</w:t>
      </w:r>
      <w:r>
        <w:rPr>
          <w:snapToGrid w:val="0"/>
        </w:rPr>
        <w:t>.</w:t>
      </w:r>
      <w:r>
        <w:rPr>
          <w:snapToGrid w:val="0"/>
        </w:rPr>
        <w:tab/>
        <w:t>Mode of exercising right under par. 1</w:t>
      </w:r>
      <w:bookmarkEnd w:id="209"/>
      <w:bookmarkEnd w:id="210"/>
    </w:p>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 or</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Footnotesection"/>
      </w:pPr>
      <w:r>
        <w:tab/>
        <w:t>[Clause 4 amended: No. 19 of 2010 s. 51.]</w:t>
      </w:r>
    </w:p>
    <w:p>
      <w:pPr>
        <w:pStyle w:val="yHeading5"/>
        <w:rPr>
          <w:snapToGrid w:val="0"/>
        </w:rPr>
      </w:pPr>
      <w:bookmarkStart w:id="211" w:name="_Toc50716896"/>
      <w:bookmarkStart w:id="212" w:name="_Toc493060173"/>
      <w:r>
        <w:rPr>
          <w:rStyle w:val="CharSClsNo"/>
        </w:rPr>
        <w:t>5</w:t>
      </w:r>
      <w:r>
        <w:rPr>
          <w:snapToGrid w:val="0"/>
        </w:rPr>
        <w:t>.</w:t>
      </w:r>
      <w:r>
        <w:rPr>
          <w:snapToGrid w:val="0"/>
        </w:rPr>
        <w:tab/>
        <w:t>Determination of value</w:t>
      </w:r>
      <w:bookmarkEnd w:id="211"/>
      <w:bookmarkEnd w:id="212"/>
    </w:p>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Footnotesection"/>
      </w:pPr>
      <w:r>
        <w:tab/>
        <w:t>[Clause 5 amended: No. 19 of 2010 s. 51.]</w:t>
      </w:r>
    </w:p>
    <w:p>
      <w:pPr>
        <w:pStyle w:val="yHeading5"/>
        <w:rPr>
          <w:snapToGrid w:val="0"/>
        </w:rPr>
      </w:pPr>
      <w:bookmarkStart w:id="213" w:name="_Toc50716897"/>
      <w:bookmarkStart w:id="214" w:name="_Toc493060174"/>
      <w:r>
        <w:rPr>
          <w:rStyle w:val="CharSClsNo"/>
        </w:rPr>
        <w:t>6</w:t>
      </w:r>
      <w:r>
        <w:rPr>
          <w:snapToGrid w:val="0"/>
        </w:rPr>
        <w:t>.</w:t>
      </w:r>
      <w:r>
        <w:rPr>
          <w:snapToGrid w:val="0"/>
        </w:rPr>
        <w:tab/>
        <w:t>Restriction on sale during election period</w:t>
      </w:r>
      <w:bookmarkEnd w:id="213"/>
      <w:bookmarkEnd w:id="214"/>
    </w:p>
    <w:p>
      <w:pPr>
        <w:pStyle w:val="ySubsection"/>
        <w:rPr>
          <w:snapToGrid w:val="0"/>
        </w:rPr>
      </w:pPr>
      <w:r>
        <w:rPr>
          <w:snapToGrid w:val="0"/>
        </w:rPr>
        <w:tab/>
        <w:t>(1)</w:t>
      </w:r>
      <w:r>
        <w:rPr>
          <w:snapToGrid w:val="0"/>
        </w:rPr>
        <w:tab/>
        <w:t>In this paragraph —</w:t>
      </w:r>
    </w:p>
    <w:p>
      <w:pPr>
        <w:pStyle w:val="yDefstart"/>
      </w:pPr>
      <w:r>
        <w:tab/>
      </w:r>
      <w:r>
        <w:rPr>
          <w:rStyle w:val="CharDefText"/>
        </w:rPr>
        <w:t>election period</w:t>
      </w:r>
      <w: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Footnotesection"/>
      </w:pPr>
      <w:r>
        <w:tab/>
        <w:t>[Clause 6 amended: No. 19 of 2010 s. 51.]</w:t>
      </w:r>
    </w:p>
    <w:p>
      <w:pPr>
        <w:pStyle w:val="yHeading5"/>
        <w:rPr>
          <w:snapToGrid w:val="0"/>
        </w:rPr>
      </w:pPr>
      <w:bookmarkStart w:id="215" w:name="_Toc50716898"/>
      <w:bookmarkStart w:id="216" w:name="_Toc493060175"/>
      <w:r>
        <w:rPr>
          <w:rStyle w:val="CharSClsNo"/>
        </w:rPr>
        <w:t>7</w:t>
      </w:r>
      <w:r>
        <w:rPr>
          <w:snapToGrid w:val="0"/>
        </w:rPr>
        <w:t>.</w:t>
      </w:r>
      <w:r>
        <w:rPr>
          <w:snapToGrid w:val="0"/>
        </w:rPr>
        <w:tab/>
        <w:t>Surviving spouse as sole personal representative</w:t>
      </w:r>
      <w:bookmarkEnd w:id="215"/>
      <w:bookmarkEnd w:id="216"/>
    </w:p>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Footnotesection"/>
      </w:pPr>
      <w:r>
        <w:tab/>
        <w:t>[Clause 7 amended: No. 19 of 2010 s. 51.]</w:t>
      </w:r>
    </w:p>
    <w:p>
      <w:pPr>
        <w:pStyle w:val="yHeading5"/>
        <w:rPr>
          <w:snapToGrid w:val="0"/>
        </w:rPr>
      </w:pPr>
      <w:bookmarkStart w:id="217" w:name="_Toc50716899"/>
      <w:bookmarkStart w:id="218" w:name="_Toc493060176"/>
      <w:r>
        <w:rPr>
          <w:rStyle w:val="CharSClsNo"/>
        </w:rPr>
        <w:t>8</w:t>
      </w:r>
      <w:r>
        <w:rPr>
          <w:snapToGrid w:val="0"/>
        </w:rPr>
        <w:t>.</w:t>
      </w:r>
      <w:r>
        <w:rPr>
          <w:snapToGrid w:val="0"/>
        </w:rPr>
        <w:tab/>
        <w:t>Surviving spouse not of full mental capacity</w:t>
      </w:r>
      <w:bookmarkEnd w:id="217"/>
      <w:bookmarkEnd w:id="218"/>
    </w:p>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Footnotesection"/>
      </w:pPr>
      <w:r>
        <w:tab/>
        <w:t>[Clause 8 amended: No. 19 of 2010 s. 51.]</w:t>
      </w:r>
    </w:p>
    <w:p>
      <w:pPr>
        <w:pStyle w:val="yHeading5"/>
        <w:rPr>
          <w:snapToGrid w:val="0"/>
        </w:rPr>
      </w:pPr>
      <w:bookmarkStart w:id="219" w:name="_Toc50716900"/>
      <w:bookmarkStart w:id="220" w:name="_Toc493060177"/>
      <w:r>
        <w:rPr>
          <w:rStyle w:val="CharSClsNo"/>
        </w:rPr>
        <w:t>9</w:t>
      </w:r>
      <w:r>
        <w:rPr>
          <w:snapToGrid w:val="0"/>
        </w:rPr>
        <w:t>.</w:t>
      </w:r>
      <w:r>
        <w:rPr>
          <w:snapToGrid w:val="0"/>
        </w:rPr>
        <w:tab/>
        <w:t>Terms used</w:t>
      </w:r>
      <w:bookmarkEnd w:id="219"/>
      <w:bookmarkEnd w:id="220"/>
    </w:p>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[Clause 9 amended: No. 19 of 2010 s. 51.]</w:t>
      </w:r>
    </w:p>
    <w:p>
      <w:pPr>
        <w:pStyle w:val="yFootnotesection"/>
      </w:pPr>
      <w:r>
        <w:tab/>
        <w:t xml:space="preserve">[Fourth Schedule inserted: No. 138 of 1976 s. 16; amended: No. 67 of 1979 s. 44(z); No. 25 of 2002 s. 52; No. 19 of 2010 s. 51.] </w:t>
      </w:r>
    </w:p>
    <w:p>
      <w:pPr>
        <w:pStyle w:val="yScheduleHeading"/>
      </w:pPr>
      <w:bookmarkStart w:id="221" w:name="_Toc50708686"/>
      <w:bookmarkStart w:id="222" w:name="_Toc50708920"/>
      <w:bookmarkStart w:id="223" w:name="_Toc50716901"/>
      <w:bookmarkStart w:id="224" w:name="_Toc444244499"/>
      <w:bookmarkStart w:id="225" w:name="_Toc449454435"/>
      <w:bookmarkStart w:id="226" w:name="_Toc493060178"/>
      <w:r>
        <w:rPr>
          <w:rStyle w:val="CharSchNo"/>
        </w:rPr>
        <w:t>Fifth Schedule</w:t>
      </w:r>
      <w:r>
        <w:rPr>
          <w:rStyle w:val="CharSDivNo"/>
        </w:rPr>
        <w:t> </w:t>
      </w:r>
      <w:r>
        <w:t>—</w:t>
      </w:r>
      <w:r>
        <w:rPr>
          <w:rStyle w:val="CharSDivText"/>
        </w:rPr>
        <w:t> </w:t>
      </w:r>
      <w:r>
        <w:rPr>
          <w:rStyle w:val="CharSchText"/>
        </w:rPr>
        <w:t>Rules as to payment of debts and liabilities of insolvent estates</w:t>
      </w:r>
      <w:bookmarkEnd w:id="221"/>
      <w:bookmarkEnd w:id="222"/>
      <w:bookmarkEnd w:id="223"/>
      <w:bookmarkEnd w:id="224"/>
      <w:bookmarkEnd w:id="225"/>
      <w:bookmarkEnd w:id="226"/>
    </w:p>
    <w:p>
      <w:pPr>
        <w:pStyle w:val="yShoulderClause"/>
      </w:pPr>
      <w:r>
        <w:t>[s. 10A]</w:t>
      </w:r>
    </w:p>
    <w:p>
      <w:pPr>
        <w:pStyle w:val="yFootnoteheading"/>
        <w:rPr>
          <w:snapToGrid w:val="0"/>
        </w:rPr>
      </w:pPr>
      <w:r>
        <w:rPr>
          <w:snapToGrid w:val="0"/>
        </w:rPr>
        <w:tab/>
        <w:t>[Heading amended: No. 19 of 2010 s. 6(3).]</w:t>
      </w:r>
    </w:p>
    <w:p>
      <w:pPr>
        <w:pStyle w:val="yHeading5"/>
      </w:pPr>
      <w:bookmarkStart w:id="227" w:name="_Toc50716902"/>
      <w:bookmarkStart w:id="228" w:name="_Toc493060179"/>
      <w:r>
        <w:rPr>
          <w:rStyle w:val="CharSClsNo"/>
        </w:rPr>
        <w:t>1</w:t>
      </w:r>
      <w:r>
        <w:t>.</w:t>
      </w:r>
      <w:r>
        <w:tab/>
        <w:t>Expenses having priority</w:t>
      </w:r>
      <w:bookmarkEnd w:id="227"/>
      <w:bookmarkEnd w:id="228"/>
    </w:p>
    <w:p>
      <w:pPr>
        <w:pStyle w:val="ySubsection"/>
        <w:spacing w:before="140"/>
        <w:rPr>
          <w:snapToGrid w:val="0"/>
        </w:rPr>
      </w:pPr>
      <w:r>
        <w:rPr>
          <w:snapToGrid w:val="0"/>
        </w:rPr>
        <w:tab/>
      </w:r>
      <w:r>
        <w:rPr>
          <w:snapToGrid w:val="0"/>
        </w:rPr>
        <w:tab/>
        <w:t>Funeral, testamentary and administration expenses have priority.</w:t>
      </w:r>
    </w:p>
    <w:p>
      <w:pPr>
        <w:pStyle w:val="yFootnotesection"/>
      </w:pPr>
      <w:r>
        <w:tab/>
        <w:t>[Clause 1 amended: No. 19 of 2010 s. 51.]</w:t>
      </w:r>
    </w:p>
    <w:p>
      <w:pPr>
        <w:pStyle w:val="yHeading5"/>
      </w:pPr>
      <w:bookmarkStart w:id="229" w:name="_Toc50716903"/>
      <w:bookmarkStart w:id="230" w:name="_Toc493060180"/>
      <w:r>
        <w:rPr>
          <w:rStyle w:val="CharSClsNo"/>
        </w:rPr>
        <w:t>2</w:t>
      </w:r>
      <w:r>
        <w:t>.</w:t>
      </w:r>
      <w:r>
        <w:tab/>
        <w:t>Demand for unliquidated damages</w:t>
      </w:r>
      <w:bookmarkEnd w:id="229"/>
      <w:bookmarkEnd w:id="230"/>
    </w:p>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Footnotesection"/>
      </w:pPr>
      <w:r>
        <w:tab/>
        <w:t>[Clause 2 amended: No. 19 of 2010 s. 51.]</w:t>
      </w:r>
    </w:p>
    <w:p>
      <w:pPr>
        <w:pStyle w:val="yHeading5"/>
      </w:pPr>
      <w:bookmarkStart w:id="231" w:name="_Toc50716904"/>
      <w:bookmarkStart w:id="232" w:name="_Toc493060181"/>
      <w:r>
        <w:rPr>
          <w:rStyle w:val="CharSClsNo"/>
        </w:rPr>
        <w:t>3</w:t>
      </w:r>
      <w:r>
        <w:t>.</w:t>
      </w:r>
      <w:r>
        <w:tab/>
        <w:t>Rules of bankruptcy apply</w:t>
      </w:r>
      <w:bookmarkEnd w:id="231"/>
      <w:bookmarkEnd w:id="232"/>
    </w:p>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 and</w:t>
      </w:r>
    </w:p>
    <w:p>
      <w:pPr>
        <w:pStyle w:val="yIndenta"/>
        <w:rPr>
          <w:snapToGrid w:val="0"/>
        </w:rPr>
      </w:pPr>
      <w:r>
        <w:rPr>
          <w:snapToGrid w:val="0"/>
        </w:rPr>
        <w:tab/>
        <w:t>(b)</w:t>
      </w:r>
      <w:r>
        <w:rPr>
          <w:snapToGrid w:val="0"/>
        </w:rPr>
        <w:tab/>
        <w:t>debts and liabilities provable; and</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[Clause 3 amended: No. 19 of 2010 s. 51.]</w:t>
      </w:r>
    </w:p>
    <w:p>
      <w:pPr>
        <w:pStyle w:val="yFootnotesection"/>
      </w:pPr>
      <w:r>
        <w:tab/>
        <w:t xml:space="preserve">[Fifth Schedule inserted: No. 72 of 1984 s. 8; amended: No. 19 of 2010 s. 51.] </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234" w:name="_Toc50708690"/>
      <w:bookmarkStart w:id="235" w:name="_Toc50708924"/>
      <w:bookmarkStart w:id="236" w:name="_Toc50716905"/>
      <w:bookmarkStart w:id="237" w:name="_Toc444244503"/>
      <w:bookmarkStart w:id="238" w:name="_Toc449454439"/>
      <w:bookmarkStart w:id="239" w:name="_Toc493060182"/>
      <w:r>
        <w:t>Notes</w:t>
      </w:r>
      <w:bookmarkEnd w:id="234"/>
      <w:bookmarkEnd w:id="235"/>
      <w:bookmarkEnd w:id="236"/>
      <w:bookmarkEnd w:id="237"/>
      <w:bookmarkEnd w:id="238"/>
      <w:bookmarkEnd w:id="239"/>
    </w:p>
    <w:p>
      <w:pPr>
        <w:pStyle w:val="nStatement"/>
      </w:pPr>
      <w:del w:id="240" w:author="svcMRProcess" w:date="2020-09-11T15:09:00Z">
        <w:r>
          <w:rPr>
            <w:vertAlign w:val="superscript"/>
          </w:rPr>
          <w:delText>1</w:delText>
        </w:r>
        <w:r>
          <w:tab/>
        </w:r>
      </w:del>
      <w:r>
        <w:t xml:space="preserve">This is a compilation of the </w:t>
      </w:r>
      <w:r>
        <w:rPr>
          <w:i/>
          <w:noProof/>
        </w:rPr>
        <w:t>Administration Act</w:t>
      </w:r>
      <w:del w:id="241" w:author="svcMRProcess" w:date="2020-09-11T15:09:00Z">
        <w:r>
          <w:rPr>
            <w:i/>
            <w:noProof/>
          </w:rPr>
          <w:delText xml:space="preserve"> </w:delText>
        </w:r>
      </w:del>
      <w:ins w:id="242" w:author="svcMRProcess" w:date="2020-09-11T15:09:00Z">
        <w:r>
          <w:rPr>
            <w:i/>
            <w:noProof/>
          </w:rPr>
          <w:t> </w:t>
        </w:r>
      </w:ins>
      <w:r>
        <w:rPr>
          <w:i/>
          <w:noProof/>
        </w:rPr>
        <w:t>1903</w:t>
      </w:r>
      <w:r>
        <w:t xml:space="preserve"> and includes </w:t>
      </w:r>
      <w:del w:id="243" w:author="svcMRProcess" w:date="2020-09-11T15:09:00Z">
        <w:r>
          <w:delText xml:space="preserve">the </w:delText>
        </w:r>
      </w:del>
      <w:r>
        <w:t xml:space="preserve">amendments made by </w:t>
      </w:r>
      <w:del w:id="244" w:author="svcMRProcess" w:date="2020-09-11T15:09:00Z">
        <w:r>
          <w:delText xml:space="preserve">the </w:delText>
        </w:r>
      </w:del>
      <w:r>
        <w:t>other written laws</w:t>
      </w:r>
      <w:del w:id="245" w:author="svcMRProcess" w:date="2020-09-11T15:09:00Z">
        <w:r>
          <w:delText xml:space="preserve"> referred to in the following table</w:delText>
        </w:r>
        <w:r>
          <w:rPr>
            <w:vertAlign w:val="superscript"/>
          </w:rPr>
          <w:delText> 6</w:delText>
        </w:r>
        <w:r>
          <w:delText>.  The table also contains</w:delText>
        </w:r>
      </w:del>
      <w:ins w:id="246" w:author="svcMRProcess" w:date="2020-09-11T15:09:00Z">
        <w:r>
          <w:t>. For provisions that have come into operation, and for</w:t>
        </w:r>
      </w:ins>
      <w:r>
        <w:t xml:space="preserve"> information about any </w:t>
      </w:r>
      <w:del w:id="247" w:author="svcMRProcess" w:date="2020-09-11T15:09:00Z">
        <w:r>
          <w:delText>reprint</w:delText>
        </w:r>
      </w:del>
      <w:ins w:id="248" w:author="svcMRProcess" w:date="2020-09-11T15:09:00Z">
        <w:r>
          <w:t>reprints, see the compilation table</w:t>
        </w:r>
      </w:ins>
      <w:r>
        <w:t>.</w:t>
      </w:r>
    </w:p>
    <w:p>
      <w:pPr>
        <w:pStyle w:val="nHeading3"/>
      </w:pPr>
      <w:bookmarkStart w:id="249" w:name="_Toc50716906"/>
      <w:bookmarkStart w:id="250" w:name="_Toc493060183"/>
      <w:r>
        <w:t>Compilation table</w:t>
      </w:r>
      <w:bookmarkEnd w:id="249"/>
      <w:bookmarkEnd w:id="2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6"/>
        <w:gridCol w:w="8"/>
      </w:tblGrid>
      <w:tr>
        <w:trPr>
          <w:gridAfter w:val="1"/>
          <w:wAfter w:w="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251" w:author="svcMRProcess" w:date="2020-09-11T15:09:00Z">
              <w:r>
                <w:rPr>
                  <w:b/>
                </w:rPr>
                <w:delText xml:space="preserve"> </w:delText>
              </w:r>
            </w:del>
            <w:ins w:id="252" w:author="svcMRProcess" w:date="2020-09-11T15:09: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Borders>
              <w:top w:val="single" w:sz="8" w:space="0" w:color="auto"/>
            </w:tcBorders>
          </w:tcPr>
          <w:p>
            <w:pPr>
              <w:pStyle w:val="nTable"/>
              <w:spacing w:after="40"/>
              <w:ind w:right="170"/>
            </w:pPr>
            <w:r>
              <w:rPr>
                <w:i/>
              </w:rPr>
              <w:t>Administration Act 1903</w:t>
            </w:r>
          </w:p>
        </w:tc>
        <w:tc>
          <w:tcPr>
            <w:tcW w:w="1134" w:type="dxa"/>
            <w:gridSpan w:val="2"/>
            <w:tcBorders>
              <w:top w:val="single" w:sz="8" w:space="0" w:color="auto"/>
            </w:tcBorders>
          </w:tcPr>
          <w:p>
            <w:pPr>
              <w:pStyle w:val="nTable"/>
              <w:spacing w:after="40"/>
            </w:pPr>
            <w:r>
              <w:t>13 of 1903</w:t>
            </w:r>
            <w:r>
              <w:rPr>
                <w:color w:val="000000"/>
              </w:rPr>
              <w:t xml:space="preserve"> (3 Edw. VII No. 13)</w:t>
            </w:r>
          </w:p>
        </w:tc>
        <w:tc>
          <w:tcPr>
            <w:tcW w:w="1134" w:type="dxa"/>
            <w:gridSpan w:val="2"/>
            <w:tcBorders>
              <w:top w:val="single" w:sz="8" w:space="0" w:color="auto"/>
            </w:tcBorders>
          </w:tcPr>
          <w:p>
            <w:pPr>
              <w:pStyle w:val="nTable"/>
              <w:spacing w:after="40"/>
            </w:pPr>
            <w:r>
              <w:t>31 Dec 1903</w:t>
            </w:r>
          </w:p>
        </w:tc>
        <w:tc>
          <w:tcPr>
            <w:tcW w:w="2552" w:type="dxa"/>
            <w:gridSpan w:val="2"/>
            <w:tcBorders>
              <w:top w:val="single" w:sz="8" w:space="0" w:color="auto"/>
            </w:tcBorders>
          </w:tcPr>
          <w:p>
            <w:pPr>
              <w:pStyle w:val="nTable"/>
              <w:spacing w:after="40"/>
            </w:pPr>
            <w:r>
              <w:t>1 Jan 1904 (see s. 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1909</w:t>
            </w:r>
          </w:p>
        </w:tc>
        <w:tc>
          <w:tcPr>
            <w:tcW w:w="1134" w:type="dxa"/>
            <w:gridSpan w:val="2"/>
          </w:tcPr>
          <w:p>
            <w:pPr>
              <w:pStyle w:val="nTable"/>
              <w:spacing w:after="40"/>
            </w:pPr>
            <w:r>
              <w:t xml:space="preserve">29 of 1909 </w:t>
            </w:r>
            <w:r>
              <w:rPr>
                <w:color w:val="000000"/>
              </w:rPr>
              <w:t>(9 Edw. VII No. 25)</w:t>
            </w:r>
          </w:p>
        </w:tc>
        <w:tc>
          <w:tcPr>
            <w:tcW w:w="1134" w:type="dxa"/>
            <w:gridSpan w:val="2"/>
          </w:tcPr>
          <w:p>
            <w:pPr>
              <w:pStyle w:val="nTable"/>
              <w:spacing w:after="40"/>
            </w:pPr>
            <w:r>
              <w:t>20 Nov 1909</w:t>
            </w:r>
          </w:p>
        </w:tc>
        <w:tc>
          <w:tcPr>
            <w:tcW w:w="2552" w:type="dxa"/>
            <w:gridSpan w:val="2"/>
          </w:tcPr>
          <w:p>
            <w:pPr>
              <w:pStyle w:val="nTable"/>
              <w:spacing w:after="40"/>
            </w:pPr>
            <w:r>
              <w:t>20 Nov 1909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Curator of Intestate Estates Act 1918</w:t>
            </w:r>
            <w:r>
              <w:t xml:space="preserve"> s. 2</w:t>
            </w:r>
          </w:p>
        </w:tc>
        <w:tc>
          <w:tcPr>
            <w:tcW w:w="1134" w:type="dxa"/>
            <w:gridSpan w:val="2"/>
          </w:tcPr>
          <w:p>
            <w:pPr>
              <w:pStyle w:val="nTable"/>
              <w:spacing w:after="40"/>
            </w:pPr>
            <w:r>
              <w:t xml:space="preserve">9 of 1918 </w:t>
            </w:r>
            <w:r>
              <w:rPr>
                <w:color w:val="000000"/>
              </w:rPr>
              <w:t>(8 Geo. V No. 23)</w:t>
            </w:r>
          </w:p>
        </w:tc>
        <w:tc>
          <w:tcPr>
            <w:tcW w:w="1134" w:type="dxa"/>
            <w:gridSpan w:val="2"/>
          </w:tcPr>
          <w:p>
            <w:pPr>
              <w:pStyle w:val="nTable"/>
              <w:spacing w:after="40"/>
            </w:pPr>
            <w:r>
              <w:t>15 Apr 1918</w:t>
            </w:r>
          </w:p>
        </w:tc>
        <w:tc>
          <w:tcPr>
            <w:tcW w:w="2552" w:type="dxa"/>
            <w:gridSpan w:val="2"/>
          </w:tcPr>
          <w:p>
            <w:pPr>
              <w:pStyle w:val="nTable"/>
              <w:spacing w:after="40"/>
            </w:pPr>
            <w:r>
              <w:t xml:space="preserve">1 Jul 1918 (see s. 1 and </w:t>
            </w:r>
            <w:r>
              <w:rPr>
                <w:i/>
              </w:rPr>
              <w:t>Gazette</w:t>
            </w:r>
            <w:r>
              <w:t xml:space="preserve"> 7 Jun 1918 p. 813)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1921</w:t>
            </w:r>
          </w:p>
        </w:tc>
        <w:tc>
          <w:tcPr>
            <w:tcW w:w="1134" w:type="dxa"/>
            <w:gridSpan w:val="2"/>
          </w:tcPr>
          <w:p>
            <w:pPr>
              <w:pStyle w:val="nTable"/>
              <w:spacing w:after="40"/>
            </w:pPr>
            <w:r>
              <w:t>13 of 1921</w:t>
            </w:r>
            <w:r>
              <w:rPr>
                <w:color w:val="000000"/>
              </w:rPr>
              <w:t xml:space="preserve"> (12 Geo. V No. 13)</w:t>
            </w:r>
          </w:p>
        </w:tc>
        <w:tc>
          <w:tcPr>
            <w:tcW w:w="1134" w:type="dxa"/>
            <w:gridSpan w:val="2"/>
          </w:tcPr>
          <w:p>
            <w:pPr>
              <w:pStyle w:val="nTable"/>
              <w:spacing w:after="40"/>
            </w:pPr>
            <w:r>
              <w:t>15 Nov 1921</w:t>
            </w:r>
          </w:p>
        </w:tc>
        <w:tc>
          <w:tcPr>
            <w:tcW w:w="2552" w:type="dxa"/>
            <w:gridSpan w:val="2"/>
          </w:tcPr>
          <w:p>
            <w:pPr>
              <w:pStyle w:val="nTable"/>
              <w:spacing w:after="40"/>
            </w:pPr>
            <w:r>
              <w:t>15 Nov 1921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1922</w:t>
            </w:r>
          </w:p>
        </w:tc>
        <w:tc>
          <w:tcPr>
            <w:tcW w:w="1134" w:type="dxa"/>
            <w:gridSpan w:val="2"/>
          </w:tcPr>
          <w:p>
            <w:pPr>
              <w:pStyle w:val="nTable"/>
              <w:spacing w:after="40"/>
            </w:pPr>
            <w:r>
              <w:t xml:space="preserve">29 of 1922 </w:t>
            </w:r>
            <w:r>
              <w:rPr>
                <w:color w:val="000000"/>
              </w:rPr>
              <w:t>(13 Geo. V No. 11)</w:t>
            </w:r>
          </w:p>
        </w:tc>
        <w:tc>
          <w:tcPr>
            <w:tcW w:w="1134" w:type="dxa"/>
            <w:gridSpan w:val="2"/>
          </w:tcPr>
          <w:p>
            <w:pPr>
              <w:pStyle w:val="nTable"/>
              <w:spacing w:after="40"/>
            </w:pPr>
            <w:r>
              <w:t>7 Dec 1922</w:t>
            </w:r>
          </w:p>
        </w:tc>
        <w:tc>
          <w:tcPr>
            <w:tcW w:w="2552" w:type="dxa"/>
            <w:gridSpan w:val="2"/>
          </w:tcPr>
          <w:p>
            <w:pPr>
              <w:pStyle w:val="nTable"/>
              <w:spacing w:after="40"/>
            </w:pPr>
            <w:r>
              <w:t>7 Dec 1922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(Estate and Succession Duties) Amendment Act 1934</w:t>
            </w:r>
            <w:r>
              <w:rPr>
                <w:iCs/>
              </w:rPr>
              <w:t xml:space="preserve"> </w:t>
            </w:r>
            <w:r>
              <w:t>s. 2 and Pt. III</w:t>
            </w:r>
            <w:r>
              <w:rPr>
                <w:vertAlign w:val="superscript"/>
              </w:rPr>
              <w:t> </w:t>
            </w:r>
            <w:del w:id="253" w:author="svcMRProcess" w:date="2020-09-11T15:09:00Z">
              <w:r>
                <w:rPr>
                  <w:vertAlign w:val="superscript"/>
                </w:rPr>
                <w:delText>4</w:delText>
              </w:r>
            </w:del>
            <w:ins w:id="254" w:author="svcMRProcess" w:date="2020-09-11T15:09:00Z">
              <w:r>
                <w:rPr>
                  <w:vertAlign w:val="superscript"/>
                </w:rPr>
                <w:t>3</w:t>
              </w:r>
            </w:ins>
          </w:p>
        </w:tc>
        <w:tc>
          <w:tcPr>
            <w:tcW w:w="1134" w:type="dxa"/>
            <w:gridSpan w:val="2"/>
          </w:tcPr>
          <w:p>
            <w:pPr>
              <w:pStyle w:val="nTable"/>
              <w:spacing w:after="40"/>
            </w:pPr>
            <w:r>
              <w:t xml:space="preserve">28 of 1934 </w:t>
            </w:r>
            <w:r>
              <w:rPr>
                <w:color w:val="000000"/>
              </w:rPr>
              <w:t>(25 Geo. V No. 27)</w:t>
            </w:r>
          </w:p>
        </w:tc>
        <w:tc>
          <w:tcPr>
            <w:tcW w:w="1134" w:type="dxa"/>
            <w:gridSpan w:val="2"/>
          </w:tcPr>
          <w:p>
            <w:pPr>
              <w:pStyle w:val="nTable"/>
              <w:spacing w:after="40"/>
            </w:pPr>
            <w:r>
              <w:t>28 Dec 1934</w:t>
            </w:r>
          </w:p>
        </w:tc>
        <w:tc>
          <w:tcPr>
            <w:tcW w:w="2552" w:type="dxa"/>
            <w:gridSpan w:val="2"/>
          </w:tcPr>
          <w:p>
            <w:pPr>
              <w:pStyle w:val="nTable"/>
              <w:spacing w:after="40"/>
            </w:pPr>
            <w:r>
              <w:t xml:space="preserve">1 Jan 1935 (see s. 1 and </w:t>
            </w:r>
            <w:r>
              <w:rPr>
                <w:i/>
              </w:rPr>
              <w:t>Gazette</w:t>
            </w:r>
            <w:r>
              <w:t xml:space="preserve"> 28 Dec 1934 p. 1983)</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1939</w:t>
            </w:r>
          </w:p>
        </w:tc>
        <w:tc>
          <w:tcPr>
            <w:tcW w:w="1134" w:type="dxa"/>
            <w:gridSpan w:val="2"/>
          </w:tcPr>
          <w:p>
            <w:pPr>
              <w:pStyle w:val="nTable"/>
              <w:spacing w:after="40"/>
            </w:pPr>
            <w:r>
              <w:t xml:space="preserve">24 of 1939 </w:t>
            </w:r>
            <w:r>
              <w:rPr>
                <w:color w:val="000000"/>
              </w:rPr>
              <w:t>(3 Geo. VI No. 24)</w:t>
            </w:r>
          </w:p>
        </w:tc>
        <w:tc>
          <w:tcPr>
            <w:tcW w:w="1134" w:type="dxa"/>
            <w:gridSpan w:val="2"/>
          </w:tcPr>
          <w:p>
            <w:pPr>
              <w:pStyle w:val="nTable"/>
              <w:spacing w:after="40"/>
            </w:pPr>
            <w:r>
              <w:t>22 Nov 1939</w:t>
            </w:r>
          </w:p>
        </w:tc>
        <w:tc>
          <w:tcPr>
            <w:tcW w:w="2552"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Public Trustee Act 1941</w:t>
            </w:r>
            <w:r>
              <w:t xml:space="preserve"> s. 3</w:t>
            </w:r>
          </w:p>
        </w:tc>
        <w:tc>
          <w:tcPr>
            <w:tcW w:w="1134" w:type="dxa"/>
            <w:gridSpan w:val="2"/>
          </w:tcPr>
          <w:p>
            <w:pPr>
              <w:pStyle w:val="nTable"/>
              <w:spacing w:after="40"/>
            </w:pPr>
            <w:r>
              <w:t xml:space="preserve">26 of 1941 </w:t>
            </w:r>
            <w:r>
              <w:rPr>
                <w:color w:val="000000"/>
              </w:rP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(No. 2) 1941</w:t>
            </w:r>
          </w:p>
        </w:tc>
        <w:tc>
          <w:tcPr>
            <w:tcW w:w="1134" w:type="dxa"/>
            <w:gridSpan w:val="2"/>
          </w:tcPr>
          <w:p>
            <w:pPr>
              <w:pStyle w:val="nTable"/>
              <w:spacing w:after="40"/>
            </w:pPr>
            <w:r>
              <w:t xml:space="preserve">52 of 1941 </w:t>
            </w:r>
            <w:r>
              <w:rPr>
                <w:color w:val="000000"/>
              </w:rPr>
              <w:t>(5 &amp; 6 Geo. VI No. 52)</w:t>
            </w:r>
          </w:p>
        </w:tc>
        <w:tc>
          <w:tcPr>
            <w:tcW w:w="1134" w:type="dxa"/>
            <w:gridSpan w:val="2"/>
          </w:tcPr>
          <w:p>
            <w:pPr>
              <w:pStyle w:val="nTable"/>
              <w:spacing w:after="40"/>
            </w:pPr>
            <w:r>
              <w:t>15 Jan 1942</w:t>
            </w:r>
          </w:p>
        </w:tc>
        <w:tc>
          <w:tcPr>
            <w:tcW w:w="2552" w:type="dxa"/>
            <w:gridSpan w:val="2"/>
          </w:tcPr>
          <w:p>
            <w:pPr>
              <w:pStyle w:val="nTable"/>
              <w:spacing w:after="40"/>
            </w:pPr>
            <w:r>
              <w:t>15 Jan 1942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1941</w:t>
            </w:r>
          </w:p>
        </w:tc>
        <w:tc>
          <w:tcPr>
            <w:tcW w:w="1134" w:type="dxa"/>
            <w:gridSpan w:val="2"/>
          </w:tcPr>
          <w:p>
            <w:pPr>
              <w:pStyle w:val="nTable"/>
              <w:spacing w:after="40"/>
            </w:pPr>
            <w:r>
              <w:t xml:space="preserve">55 of 1941 </w:t>
            </w:r>
            <w:r>
              <w:rPr>
                <w:color w:val="000000"/>
              </w:rPr>
              <w:t>(5 &amp; 6 Geo. VI No. 55)</w:t>
            </w:r>
          </w:p>
        </w:tc>
        <w:tc>
          <w:tcPr>
            <w:tcW w:w="1134" w:type="dxa"/>
            <w:gridSpan w:val="2"/>
          </w:tcPr>
          <w:p>
            <w:pPr>
              <w:pStyle w:val="nTable"/>
              <w:spacing w:after="40"/>
            </w:pPr>
            <w:r>
              <w:t>15 Jan 1942</w:t>
            </w:r>
          </w:p>
        </w:tc>
        <w:tc>
          <w:tcPr>
            <w:tcW w:w="2552" w:type="dxa"/>
            <w:gridSpan w:val="2"/>
          </w:tcPr>
          <w:p>
            <w:pPr>
              <w:pStyle w:val="nTable"/>
              <w:spacing w:after="40"/>
            </w:pPr>
            <w:r>
              <w:t>1 Jul 1942 (see s. 8)</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1942</w:t>
            </w:r>
          </w:p>
        </w:tc>
        <w:tc>
          <w:tcPr>
            <w:tcW w:w="1134" w:type="dxa"/>
            <w:gridSpan w:val="2"/>
          </w:tcPr>
          <w:p>
            <w:pPr>
              <w:pStyle w:val="nTable"/>
              <w:spacing w:after="40"/>
            </w:pPr>
            <w:r>
              <w:t xml:space="preserve">21 of 1942 </w:t>
            </w:r>
            <w:r>
              <w:rPr>
                <w:color w:val="000000"/>
              </w:rPr>
              <w:t>(6 Geo. VI No. 21)</w:t>
            </w:r>
          </w:p>
        </w:tc>
        <w:tc>
          <w:tcPr>
            <w:tcW w:w="1134" w:type="dxa"/>
            <w:gridSpan w:val="2"/>
          </w:tcPr>
          <w:p>
            <w:pPr>
              <w:pStyle w:val="nTable"/>
              <w:spacing w:after="40"/>
            </w:pPr>
            <w:r>
              <w:t>9 Dec 1942</w:t>
            </w:r>
          </w:p>
        </w:tc>
        <w:tc>
          <w:tcPr>
            <w:tcW w:w="2552" w:type="dxa"/>
            <w:gridSpan w:val="2"/>
          </w:tcPr>
          <w:p>
            <w:pPr>
              <w:pStyle w:val="nTable"/>
              <w:spacing w:after="40"/>
            </w:pPr>
            <w:r>
              <w:t>9 Dec 1942</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in Volume 2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1945</w:t>
            </w:r>
          </w:p>
        </w:tc>
        <w:tc>
          <w:tcPr>
            <w:tcW w:w="1134" w:type="dxa"/>
            <w:gridSpan w:val="2"/>
          </w:tcPr>
          <w:p>
            <w:pPr>
              <w:pStyle w:val="nTable"/>
              <w:spacing w:after="40"/>
            </w:pPr>
            <w:r>
              <w:t xml:space="preserve">39 of 1945 </w:t>
            </w:r>
            <w:r>
              <w:rPr>
                <w:color w:val="000000"/>
              </w:rPr>
              <w:t>(9 &amp; 10 Geo. VI No. 39)</w:t>
            </w:r>
          </w:p>
        </w:tc>
        <w:tc>
          <w:tcPr>
            <w:tcW w:w="1134" w:type="dxa"/>
            <w:gridSpan w:val="2"/>
          </w:tcPr>
          <w:p>
            <w:pPr>
              <w:pStyle w:val="nTable"/>
              <w:spacing w:after="40"/>
            </w:pPr>
            <w:r>
              <w:t>30 Jan 1946</w:t>
            </w:r>
          </w:p>
        </w:tc>
        <w:tc>
          <w:tcPr>
            <w:tcW w:w="2552" w:type="dxa"/>
            <w:gridSpan w:val="2"/>
          </w:tcPr>
          <w:p>
            <w:pPr>
              <w:pStyle w:val="nTable"/>
              <w:spacing w:after="40"/>
            </w:pPr>
            <w:r>
              <w:t>30 Jan 1946</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1949</w:t>
            </w:r>
          </w:p>
        </w:tc>
        <w:tc>
          <w:tcPr>
            <w:tcW w:w="1134" w:type="dxa"/>
            <w:gridSpan w:val="2"/>
          </w:tcPr>
          <w:p>
            <w:pPr>
              <w:pStyle w:val="nTable"/>
              <w:spacing w:after="40"/>
            </w:pPr>
            <w:r>
              <w:t xml:space="preserve">8 of 1949 </w:t>
            </w:r>
            <w:r>
              <w:rPr>
                <w:color w:val="000000"/>
              </w:rPr>
              <w:t>(13 Geo. VI No. 94)</w:t>
            </w:r>
          </w:p>
        </w:tc>
        <w:tc>
          <w:tcPr>
            <w:tcW w:w="1134" w:type="dxa"/>
            <w:gridSpan w:val="2"/>
          </w:tcPr>
          <w:p>
            <w:pPr>
              <w:pStyle w:val="nTable"/>
              <w:spacing w:after="40"/>
            </w:pPr>
            <w:r>
              <w:t>14 Sep 1949</w:t>
            </w:r>
          </w:p>
        </w:tc>
        <w:tc>
          <w:tcPr>
            <w:tcW w:w="2552" w:type="dxa"/>
            <w:gridSpan w:val="2"/>
          </w:tcPr>
          <w:p>
            <w:pPr>
              <w:pStyle w:val="nTable"/>
              <w:spacing w:after="40"/>
            </w:pPr>
            <w:r>
              <w:t>14 Sep 1949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1950</w:t>
            </w:r>
          </w:p>
        </w:tc>
        <w:tc>
          <w:tcPr>
            <w:tcW w:w="1134" w:type="dxa"/>
            <w:gridSpan w:val="2"/>
          </w:tcPr>
          <w:p>
            <w:pPr>
              <w:pStyle w:val="nTable"/>
              <w:spacing w:after="40"/>
            </w:pPr>
            <w:r>
              <w:t xml:space="preserve">55 of 1950 </w:t>
            </w:r>
            <w:r>
              <w:rPr>
                <w:color w:val="000000"/>
              </w:rPr>
              <w:t>(14 &amp; 15 Geo. VI No. 55)</w:t>
            </w:r>
          </w:p>
        </w:tc>
        <w:tc>
          <w:tcPr>
            <w:tcW w:w="1134" w:type="dxa"/>
            <w:gridSpan w:val="2"/>
          </w:tcPr>
          <w:p>
            <w:pPr>
              <w:pStyle w:val="nTable"/>
              <w:spacing w:after="40"/>
            </w:pPr>
            <w:r>
              <w:t>18 Dec 1950</w:t>
            </w:r>
          </w:p>
        </w:tc>
        <w:tc>
          <w:tcPr>
            <w:tcW w:w="2552" w:type="dxa"/>
            <w:gridSpan w:val="2"/>
          </w:tcPr>
          <w:p>
            <w:pPr>
              <w:pStyle w:val="nTable"/>
              <w:spacing w:after="40"/>
            </w:pPr>
            <w:r>
              <w:t>18 Dec 1950</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1953</w:t>
            </w:r>
          </w:p>
        </w:tc>
        <w:tc>
          <w:tcPr>
            <w:tcW w:w="1134" w:type="dxa"/>
            <w:gridSpan w:val="2"/>
          </w:tcPr>
          <w:p>
            <w:pPr>
              <w:pStyle w:val="nTable"/>
              <w:spacing w:after="40"/>
            </w:pPr>
            <w:r>
              <w:t xml:space="preserve">62 of 1953 </w:t>
            </w:r>
            <w:r>
              <w:rPr>
                <w:color w:val="000000"/>
              </w:rPr>
              <w:t>(2 Eliz. II No. 62)</w:t>
            </w:r>
          </w:p>
        </w:tc>
        <w:tc>
          <w:tcPr>
            <w:tcW w:w="1134" w:type="dxa"/>
            <w:gridSpan w:val="2"/>
          </w:tcPr>
          <w:p>
            <w:pPr>
              <w:pStyle w:val="nTable"/>
              <w:spacing w:after="40"/>
            </w:pPr>
            <w:r>
              <w:t>9 Jan 1954</w:t>
            </w:r>
          </w:p>
        </w:tc>
        <w:tc>
          <w:tcPr>
            <w:tcW w:w="2552" w:type="dxa"/>
            <w:gridSpan w:val="2"/>
          </w:tcPr>
          <w:p>
            <w:pPr>
              <w:pStyle w:val="nTable"/>
              <w:spacing w:after="40"/>
            </w:pPr>
            <w:r>
              <w:t>9 Jan 1954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(No. 2) 1953</w:t>
            </w:r>
          </w:p>
        </w:tc>
        <w:tc>
          <w:tcPr>
            <w:tcW w:w="1134" w:type="dxa"/>
            <w:gridSpan w:val="2"/>
          </w:tcPr>
          <w:p>
            <w:pPr>
              <w:pStyle w:val="nTable"/>
              <w:spacing w:after="40"/>
            </w:pPr>
            <w:r>
              <w:t xml:space="preserve">81 of 1953 </w:t>
            </w:r>
            <w:r>
              <w:rPr>
                <w:color w:val="000000"/>
              </w:rPr>
              <w:t>(2 Eliz. II No. 81)</w:t>
            </w:r>
          </w:p>
        </w:tc>
        <w:tc>
          <w:tcPr>
            <w:tcW w:w="1134" w:type="dxa"/>
            <w:gridSpan w:val="2"/>
          </w:tcPr>
          <w:p>
            <w:pPr>
              <w:pStyle w:val="nTable"/>
              <w:spacing w:after="40"/>
            </w:pPr>
            <w:r>
              <w:t>18 Jan 1954</w:t>
            </w:r>
          </w:p>
        </w:tc>
        <w:tc>
          <w:tcPr>
            <w:tcW w:w="2552" w:type="dxa"/>
            <w:gridSpan w:val="2"/>
          </w:tcPr>
          <w:p>
            <w:pPr>
              <w:pStyle w:val="nTable"/>
              <w:spacing w:after="40"/>
            </w:pPr>
            <w:r>
              <w:t>18 Jan 1954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1954</w:t>
            </w:r>
          </w:p>
        </w:tc>
        <w:tc>
          <w:tcPr>
            <w:tcW w:w="1134" w:type="dxa"/>
            <w:gridSpan w:val="2"/>
          </w:tcPr>
          <w:p>
            <w:pPr>
              <w:pStyle w:val="nTable"/>
              <w:spacing w:after="40"/>
            </w:pPr>
            <w:r>
              <w:t xml:space="preserve">30 of 1954 </w:t>
            </w:r>
            <w:r>
              <w:rPr>
                <w:color w:val="000000"/>
              </w:rPr>
              <w:t>(3 Eliz. II No. 30)</w:t>
            </w:r>
          </w:p>
        </w:tc>
        <w:tc>
          <w:tcPr>
            <w:tcW w:w="1134" w:type="dxa"/>
            <w:gridSpan w:val="2"/>
          </w:tcPr>
          <w:p>
            <w:pPr>
              <w:pStyle w:val="nTable"/>
              <w:spacing w:after="40"/>
            </w:pPr>
            <w:r>
              <w:t>8 Nov 1954</w:t>
            </w:r>
          </w:p>
        </w:tc>
        <w:tc>
          <w:tcPr>
            <w:tcW w:w="2552" w:type="dxa"/>
            <w:gridSpan w:val="2"/>
          </w:tcPr>
          <w:p>
            <w:pPr>
              <w:pStyle w:val="nTable"/>
              <w:spacing w:after="40"/>
            </w:pPr>
            <w:r>
              <w:t>8 Nov 1954</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21 Jun 1955 in Volume 9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1955</w:t>
            </w:r>
          </w:p>
        </w:tc>
        <w:tc>
          <w:tcPr>
            <w:tcW w:w="1134" w:type="dxa"/>
            <w:gridSpan w:val="2"/>
          </w:tcPr>
          <w:p>
            <w:pPr>
              <w:pStyle w:val="nTable"/>
              <w:spacing w:after="40"/>
            </w:pPr>
            <w:r>
              <w:t xml:space="preserve">62 of 1955 </w:t>
            </w:r>
            <w:r>
              <w:rPr>
                <w:color w:val="000000"/>
              </w:rPr>
              <w:t>(4 Eliz. II No. 62)</w:t>
            </w:r>
          </w:p>
        </w:tc>
        <w:tc>
          <w:tcPr>
            <w:tcW w:w="1134" w:type="dxa"/>
            <w:gridSpan w:val="2"/>
          </w:tcPr>
          <w:p>
            <w:pPr>
              <w:pStyle w:val="nTable"/>
              <w:spacing w:after="40"/>
            </w:pPr>
            <w:r>
              <w:t>19 Dec 1955</w:t>
            </w:r>
          </w:p>
        </w:tc>
        <w:tc>
          <w:tcPr>
            <w:tcW w:w="2552" w:type="dxa"/>
            <w:gridSpan w:val="2"/>
          </w:tcPr>
          <w:p>
            <w:pPr>
              <w:pStyle w:val="nTable"/>
              <w:spacing w:after="40"/>
            </w:pPr>
            <w:r>
              <w:t>19 Dec 1955</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1956</w:t>
            </w:r>
          </w:p>
        </w:tc>
        <w:tc>
          <w:tcPr>
            <w:tcW w:w="1134" w:type="dxa"/>
            <w:gridSpan w:val="2"/>
          </w:tcPr>
          <w:p>
            <w:pPr>
              <w:pStyle w:val="nTable"/>
              <w:spacing w:after="40"/>
            </w:pPr>
            <w:r>
              <w:t xml:space="preserve">81 of 1956 </w:t>
            </w:r>
            <w:r>
              <w:rPr>
                <w:color w:val="000000"/>
              </w:rPr>
              <w:t>(5 Eliz. II No. 81)</w:t>
            </w:r>
          </w:p>
        </w:tc>
        <w:tc>
          <w:tcPr>
            <w:tcW w:w="1134" w:type="dxa"/>
            <w:gridSpan w:val="2"/>
          </w:tcPr>
          <w:p>
            <w:pPr>
              <w:pStyle w:val="nTable"/>
              <w:spacing w:after="40"/>
            </w:pPr>
            <w:r>
              <w:t>17 Jan 1957</w:t>
            </w:r>
          </w:p>
        </w:tc>
        <w:tc>
          <w:tcPr>
            <w:tcW w:w="2552" w:type="dxa"/>
            <w:gridSpan w:val="2"/>
          </w:tcPr>
          <w:p>
            <w:pPr>
              <w:pStyle w:val="nTable"/>
              <w:spacing w:after="40"/>
            </w:pPr>
            <w:r>
              <w:t xml:space="preserve">1 Feb 1957 (see s. 2 and </w:t>
            </w:r>
            <w:r>
              <w:rPr>
                <w:i/>
              </w:rPr>
              <w:t>Gazette</w:t>
            </w:r>
            <w:r>
              <w:t xml:space="preserve"> 1 Feb 1957 p. 161)</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23 Apr 1958 in Volume 12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1959</w:t>
            </w:r>
          </w:p>
        </w:tc>
        <w:tc>
          <w:tcPr>
            <w:tcW w:w="1134" w:type="dxa"/>
            <w:gridSpan w:val="2"/>
          </w:tcPr>
          <w:p>
            <w:pPr>
              <w:pStyle w:val="nTable"/>
              <w:spacing w:after="40"/>
            </w:pPr>
            <w:r>
              <w:t xml:space="preserve">56 of 1959 </w:t>
            </w:r>
            <w:r>
              <w:rPr>
                <w:color w:val="000000"/>
              </w:rPr>
              <w:t>(8 Eliz. II No. 56)</w:t>
            </w:r>
          </w:p>
        </w:tc>
        <w:tc>
          <w:tcPr>
            <w:tcW w:w="1134" w:type="dxa"/>
            <w:gridSpan w:val="2"/>
          </w:tcPr>
          <w:p>
            <w:pPr>
              <w:pStyle w:val="nTable"/>
              <w:spacing w:after="40"/>
            </w:pPr>
            <w:r>
              <w:t>25 Nov 1959</w:t>
            </w:r>
          </w:p>
        </w:tc>
        <w:tc>
          <w:tcPr>
            <w:tcW w:w="2552" w:type="dxa"/>
            <w:gridSpan w:val="2"/>
          </w:tcPr>
          <w:p>
            <w:pPr>
              <w:pStyle w:val="nTable"/>
              <w:spacing w:after="40"/>
            </w:pPr>
            <w:r>
              <w:t>25 Nov 1959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1960</w:t>
            </w:r>
          </w:p>
        </w:tc>
        <w:tc>
          <w:tcPr>
            <w:tcW w:w="1134" w:type="dxa"/>
            <w:gridSpan w:val="2"/>
          </w:tcPr>
          <w:p>
            <w:pPr>
              <w:pStyle w:val="nTable"/>
              <w:spacing w:after="40"/>
            </w:pPr>
            <w:r>
              <w:t xml:space="preserve">21 of 1960 </w:t>
            </w:r>
            <w:r>
              <w:rPr>
                <w:color w:val="000000"/>
              </w:rPr>
              <w:t>(9 Eliz. II No. 21)</w:t>
            </w:r>
          </w:p>
        </w:tc>
        <w:tc>
          <w:tcPr>
            <w:tcW w:w="1134" w:type="dxa"/>
            <w:gridSpan w:val="2"/>
          </w:tcPr>
          <w:p>
            <w:pPr>
              <w:pStyle w:val="nTable"/>
              <w:spacing w:after="40"/>
            </w:pPr>
            <w:r>
              <w:t>11 Oct 1960</w:t>
            </w:r>
          </w:p>
        </w:tc>
        <w:tc>
          <w:tcPr>
            <w:tcW w:w="2552" w:type="dxa"/>
            <w:gridSpan w:val="2"/>
          </w:tcPr>
          <w:p>
            <w:pPr>
              <w:pStyle w:val="nTable"/>
              <w:spacing w:after="40"/>
            </w:pPr>
            <w:r>
              <w:t xml:space="preserve">25 Nov 1960 (see s. 2 and </w:t>
            </w:r>
            <w:r>
              <w:rPr>
                <w:i/>
              </w:rPr>
              <w:t>Gazette</w:t>
            </w:r>
            <w:r>
              <w:t xml:space="preserve"> 25 Nov 1960 p. 3779)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1961</w:t>
            </w:r>
          </w:p>
        </w:tc>
        <w:tc>
          <w:tcPr>
            <w:tcW w:w="1134" w:type="dxa"/>
            <w:gridSpan w:val="2"/>
          </w:tcPr>
          <w:p>
            <w:pPr>
              <w:pStyle w:val="nTable"/>
              <w:spacing w:after="40"/>
            </w:pPr>
            <w:r>
              <w:t xml:space="preserve">57 of 1961 </w:t>
            </w:r>
            <w:r>
              <w:rPr>
                <w:color w:val="000000"/>
              </w:rPr>
              <w:t>(10 Eliz. II No. 57)</w:t>
            </w:r>
          </w:p>
        </w:tc>
        <w:tc>
          <w:tcPr>
            <w:tcW w:w="1134" w:type="dxa"/>
            <w:gridSpan w:val="2"/>
          </w:tcPr>
          <w:p>
            <w:pPr>
              <w:pStyle w:val="nTable"/>
              <w:spacing w:after="40"/>
            </w:pPr>
            <w:r>
              <w:t>28 Nov 1961</w:t>
            </w:r>
          </w:p>
        </w:tc>
        <w:tc>
          <w:tcPr>
            <w:tcW w:w="2552" w:type="dxa"/>
            <w:gridSpan w:val="2"/>
          </w:tcPr>
          <w:p>
            <w:pPr>
              <w:pStyle w:val="nTable"/>
              <w:spacing w:after="40"/>
            </w:pPr>
            <w:r>
              <w:t>28 Nov 1961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1962</w:t>
            </w:r>
          </w:p>
        </w:tc>
        <w:tc>
          <w:tcPr>
            <w:tcW w:w="1134" w:type="dxa"/>
            <w:gridSpan w:val="2"/>
          </w:tcPr>
          <w:p>
            <w:pPr>
              <w:pStyle w:val="nTable"/>
              <w:spacing w:after="40"/>
            </w:pPr>
            <w:r>
              <w:t xml:space="preserve">80 of 1962 </w:t>
            </w:r>
            <w:r>
              <w:rPr>
                <w:color w:val="000000"/>
              </w:rPr>
              <w:t>(11 Eliz. II No. 80)</w:t>
            </w:r>
          </w:p>
        </w:tc>
        <w:tc>
          <w:tcPr>
            <w:tcW w:w="1134" w:type="dxa"/>
            <w:gridSpan w:val="2"/>
          </w:tcPr>
          <w:p>
            <w:pPr>
              <w:pStyle w:val="nTable"/>
              <w:spacing w:after="40"/>
            </w:pPr>
            <w:r>
              <w:t>6 Dec 1962</w:t>
            </w:r>
          </w:p>
        </w:tc>
        <w:tc>
          <w:tcPr>
            <w:tcW w:w="2552" w:type="dxa"/>
            <w:gridSpan w:val="2"/>
          </w:tcPr>
          <w:p>
            <w:pPr>
              <w:pStyle w:val="nTable"/>
              <w:spacing w:after="40"/>
            </w:pPr>
            <w:r>
              <w:t>1 Jan 1963 (see s. 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1963</w:t>
            </w:r>
          </w:p>
        </w:tc>
        <w:tc>
          <w:tcPr>
            <w:tcW w:w="1134" w:type="dxa"/>
            <w:gridSpan w:val="2"/>
          </w:tcPr>
          <w:p>
            <w:pPr>
              <w:pStyle w:val="nTable"/>
              <w:spacing w:after="40"/>
            </w:pPr>
            <w:r>
              <w:t xml:space="preserve">66 of 1963 </w:t>
            </w:r>
            <w:r>
              <w:rPr>
                <w:color w:val="000000"/>
              </w:rPr>
              <w:t>(12 Eliz. II No. 66)</w:t>
            </w:r>
          </w:p>
        </w:tc>
        <w:tc>
          <w:tcPr>
            <w:tcW w:w="1134" w:type="dxa"/>
            <w:gridSpan w:val="2"/>
          </w:tcPr>
          <w:p>
            <w:pPr>
              <w:pStyle w:val="nTable"/>
              <w:spacing w:after="40"/>
            </w:pPr>
            <w:r>
              <w:t>18 Dec 1963</w:t>
            </w:r>
          </w:p>
        </w:tc>
        <w:tc>
          <w:tcPr>
            <w:tcW w:w="2552" w:type="dxa"/>
            <w:gridSpan w:val="2"/>
          </w:tcPr>
          <w:p>
            <w:pPr>
              <w:pStyle w:val="nTable"/>
              <w:spacing w:after="40"/>
            </w:pPr>
            <w:r>
              <w:t>18 Dec 1963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1964</w:t>
            </w:r>
          </w:p>
        </w:tc>
        <w:tc>
          <w:tcPr>
            <w:tcW w:w="1134" w:type="dxa"/>
            <w:gridSpan w:val="2"/>
          </w:tcPr>
          <w:p>
            <w:pPr>
              <w:pStyle w:val="nTable"/>
              <w:spacing w:after="40"/>
            </w:pPr>
            <w:r>
              <w:t xml:space="preserve">57 of 1964 </w:t>
            </w:r>
            <w:r>
              <w:rPr>
                <w:color w:val="000000"/>
              </w:rPr>
              <w:t>(13 Eliz. II No. 57)</w:t>
            </w:r>
          </w:p>
        </w:tc>
        <w:tc>
          <w:tcPr>
            <w:tcW w:w="1134" w:type="dxa"/>
            <w:gridSpan w:val="2"/>
          </w:tcPr>
          <w:p>
            <w:pPr>
              <w:pStyle w:val="nTable"/>
              <w:spacing w:after="40"/>
            </w:pPr>
            <w:r>
              <w:t>30 Nov 1964</w:t>
            </w:r>
          </w:p>
        </w:tc>
        <w:tc>
          <w:tcPr>
            <w:tcW w:w="2552" w:type="dxa"/>
            <w:gridSpan w:val="2"/>
          </w:tcPr>
          <w:p>
            <w:pPr>
              <w:pStyle w:val="nTable"/>
              <w:spacing w:after="40"/>
            </w:pPr>
            <w:r>
              <w:t>30 Nov 1964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1965</w:t>
            </w:r>
          </w:p>
        </w:tc>
        <w:tc>
          <w:tcPr>
            <w:tcW w:w="1134" w:type="dxa"/>
            <w:gridSpan w:val="2"/>
          </w:tcPr>
          <w:p>
            <w:pPr>
              <w:pStyle w:val="nTable"/>
              <w:spacing w:after="40"/>
            </w:pPr>
            <w:r>
              <w:t>78 of 1965</w:t>
            </w:r>
          </w:p>
        </w:tc>
        <w:tc>
          <w:tcPr>
            <w:tcW w:w="1134" w:type="dxa"/>
            <w:gridSpan w:val="2"/>
          </w:tcPr>
          <w:p>
            <w:pPr>
              <w:pStyle w:val="nTable"/>
              <w:spacing w:after="40"/>
            </w:pPr>
            <w:r>
              <w:t>7 Dec 1965</w:t>
            </w:r>
          </w:p>
        </w:tc>
        <w:tc>
          <w:tcPr>
            <w:tcW w:w="2552" w:type="dxa"/>
            <w:gridSpan w:val="2"/>
          </w:tcPr>
          <w:p>
            <w:pPr>
              <w:pStyle w:val="nTable"/>
              <w:spacing w:after="40"/>
            </w:pPr>
            <w:r>
              <w:t>7 Dec 1965</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1966</w:t>
            </w:r>
          </w:p>
        </w:tc>
        <w:tc>
          <w:tcPr>
            <w:tcW w:w="1134" w:type="dxa"/>
            <w:gridSpan w:val="2"/>
          </w:tcPr>
          <w:p>
            <w:pPr>
              <w:pStyle w:val="nTable"/>
              <w:keepNext/>
              <w:keepLines/>
              <w:spacing w:after="40"/>
            </w:pPr>
            <w:r>
              <w:t>68 of 1966</w:t>
            </w:r>
          </w:p>
        </w:tc>
        <w:tc>
          <w:tcPr>
            <w:tcW w:w="1134" w:type="dxa"/>
            <w:gridSpan w:val="2"/>
          </w:tcPr>
          <w:p>
            <w:pPr>
              <w:pStyle w:val="nTable"/>
              <w:keepNext/>
              <w:keepLines/>
              <w:spacing w:after="40"/>
            </w:pPr>
            <w:r>
              <w:t>12 Dec 1966</w:t>
            </w:r>
          </w:p>
        </w:tc>
        <w:tc>
          <w:tcPr>
            <w:tcW w:w="2552" w:type="dxa"/>
            <w:gridSpan w:val="2"/>
          </w:tcPr>
          <w:p>
            <w:pPr>
              <w:pStyle w:val="nTable"/>
              <w:keepNext/>
              <w:keepLines/>
              <w:spacing w:after="40"/>
            </w:pPr>
            <w:r>
              <w:t>12 Dec 1966</w:t>
            </w:r>
          </w:p>
        </w:tc>
      </w:tr>
      <w:tr>
        <w:tblPrEx>
          <w:tblBorders>
            <w:top w:val="none" w:sz="0" w:space="0" w:color="auto"/>
            <w:bottom w:val="none" w:sz="0" w:space="0" w:color="auto"/>
            <w:insideH w:val="none" w:sz="0" w:space="0" w:color="auto"/>
          </w:tblBorders>
        </w:tblPrEx>
        <w:trPr>
          <w:gridAfter w:val="1"/>
          <w:wAfter w:w="8" w:type="dxa"/>
          <w:cantSplit/>
        </w:trPr>
        <w:tc>
          <w:tcPr>
            <w:tcW w:w="4536" w:type="dxa"/>
            <w:gridSpan w:val="6"/>
          </w:tcPr>
          <w:p>
            <w:pPr>
              <w:pStyle w:val="nTable"/>
              <w:spacing w:after="40"/>
            </w:pPr>
            <w:r>
              <w:t>Rules (3rd Schedule) Revoked</w:t>
            </w:r>
            <w:del w:id="255" w:author="svcMRProcess" w:date="2020-09-11T15:09:00Z">
              <w:r>
                <w:delText xml:space="preserve"> by</w:delText>
              </w:r>
            </w:del>
            <w:ins w:id="256" w:author="svcMRProcess" w:date="2020-09-11T15:09:00Z">
              <w:r>
                <w:t>:</w:t>
              </w:r>
            </w:ins>
            <w:r>
              <w:t xml:space="preserve"> </w:t>
            </w:r>
            <w:r>
              <w:rPr>
                <w:i/>
                <w:iCs/>
              </w:rPr>
              <w:t>Gazette</w:t>
            </w:r>
            <w:r>
              <w:t xml:space="preserve"> 11 Sep 1967 p. 2249-64</w:t>
            </w:r>
          </w:p>
        </w:tc>
        <w:tc>
          <w:tcPr>
            <w:tcW w:w="2552" w:type="dxa"/>
            <w:gridSpan w:val="2"/>
          </w:tcPr>
          <w:p>
            <w:pPr>
              <w:pStyle w:val="nTable"/>
              <w:spacing w:after="40"/>
            </w:pPr>
            <w:r>
              <w:t>11 Sep 1967</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11 Sep 1967 in Volume 21 of Reprinted Acts</w:t>
            </w:r>
            <w:r>
              <w:t xml:space="preserve"> (includes amendments listed above except Rules (3rd Schedule))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1969</w:t>
            </w:r>
          </w:p>
        </w:tc>
        <w:tc>
          <w:tcPr>
            <w:tcW w:w="1134" w:type="dxa"/>
            <w:gridSpan w:val="2"/>
          </w:tcPr>
          <w:p>
            <w:pPr>
              <w:pStyle w:val="nTable"/>
              <w:spacing w:after="40"/>
            </w:pPr>
            <w:r>
              <w:t>2 of 1969</w:t>
            </w:r>
          </w:p>
        </w:tc>
        <w:tc>
          <w:tcPr>
            <w:tcW w:w="1134" w:type="dxa"/>
            <w:gridSpan w:val="2"/>
          </w:tcPr>
          <w:p>
            <w:pPr>
              <w:pStyle w:val="nTable"/>
              <w:spacing w:after="40"/>
            </w:pPr>
            <w:r>
              <w:t>21 Apr 1969</w:t>
            </w:r>
          </w:p>
        </w:tc>
        <w:tc>
          <w:tcPr>
            <w:tcW w:w="2552" w:type="dxa"/>
            <w:gridSpan w:val="2"/>
          </w:tcPr>
          <w:p>
            <w:pPr>
              <w:pStyle w:val="nTable"/>
              <w:spacing w:after="40"/>
            </w:pPr>
            <w:r>
              <w:t>21 Apr 1969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(Commissioner of State Taxation) Act 1970</w:t>
            </w:r>
            <w:r>
              <w:t xml:space="preserve"> Pt. XII</w:t>
            </w:r>
          </w:p>
        </w:tc>
        <w:tc>
          <w:tcPr>
            <w:tcW w:w="1134" w:type="dxa"/>
            <w:gridSpan w:val="2"/>
          </w:tcPr>
          <w:p>
            <w:pPr>
              <w:pStyle w:val="nTable"/>
              <w:spacing w:after="40"/>
            </w:pPr>
            <w:r>
              <w:t>21 of 1970</w:t>
            </w:r>
          </w:p>
        </w:tc>
        <w:tc>
          <w:tcPr>
            <w:tcW w:w="1134" w:type="dxa"/>
            <w:gridSpan w:val="2"/>
          </w:tcPr>
          <w:p>
            <w:pPr>
              <w:pStyle w:val="nTable"/>
              <w:spacing w:after="40"/>
            </w:pPr>
            <w:r>
              <w:t>8 May 1970</w:t>
            </w:r>
          </w:p>
        </w:tc>
        <w:tc>
          <w:tcPr>
            <w:tcW w:w="2552" w:type="dxa"/>
            <w:gridSpan w:val="2"/>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rPr>
                <w:iCs/>
              </w:rPr>
            </w:pPr>
            <w:r>
              <w:rPr>
                <w:i/>
              </w:rPr>
              <w:t>Administration Act Amendment Act 1970</w:t>
            </w:r>
            <w:r>
              <w:rPr>
                <w:iCs/>
                <w:vertAlign w:val="superscript"/>
              </w:rPr>
              <w:t> </w:t>
            </w:r>
            <w:del w:id="257" w:author="svcMRProcess" w:date="2020-09-11T15:09:00Z">
              <w:r>
                <w:rPr>
                  <w:iCs/>
                  <w:vertAlign w:val="superscript"/>
                </w:rPr>
                <w:delText>7</w:delText>
              </w:r>
            </w:del>
            <w:ins w:id="258" w:author="svcMRProcess" w:date="2020-09-11T15:09:00Z">
              <w:r>
                <w:rPr>
                  <w:iCs/>
                  <w:vertAlign w:val="superscript"/>
                </w:rPr>
                <w:t>5</w:t>
              </w:r>
            </w:ins>
          </w:p>
        </w:tc>
        <w:tc>
          <w:tcPr>
            <w:tcW w:w="1134" w:type="dxa"/>
            <w:gridSpan w:val="2"/>
          </w:tcPr>
          <w:p>
            <w:pPr>
              <w:pStyle w:val="nTable"/>
              <w:spacing w:after="40"/>
            </w:pPr>
            <w:r>
              <w:t>107 of 1970</w:t>
            </w:r>
          </w:p>
        </w:tc>
        <w:tc>
          <w:tcPr>
            <w:tcW w:w="1134" w:type="dxa"/>
            <w:gridSpan w:val="2"/>
          </w:tcPr>
          <w:p>
            <w:pPr>
              <w:pStyle w:val="nTable"/>
              <w:spacing w:after="40"/>
            </w:pPr>
            <w:r>
              <w:t>8 Dec 1970</w:t>
            </w:r>
          </w:p>
        </w:tc>
        <w:tc>
          <w:tcPr>
            <w:tcW w:w="2552" w:type="dxa"/>
            <w:gridSpan w:val="2"/>
          </w:tcPr>
          <w:p>
            <w:pPr>
              <w:pStyle w:val="nTable"/>
              <w:spacing w:after="40"/>
            </w:pPr>
            <w:r>
              <w:t>Act other than s. 3, 4 and 11: 8 Dec 1970 (see s. 2(1));</w:t>
            </w:r>
            <w:r>
              <w:br/>
              <w:t>s. 3, 4 and 11: 1 Jan 1971 (see s. 2(1))</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23 Jun 1971</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1971</w:t>
            </w:r>
          </w:p>
        </w:tc>
        <w:tc>
          <w:tcPr>
            <w:tcW w:w="1134" w:type="dxa"/>
            <w:gridSpan w:val="2"/>
          </w:tcPr>
          <w:p>
            <w:pPr>
              <w:pStyle w:val="nTable"/>
              <w:spacing w:after="40"/>
            </w:pPr>
            <w:r>
              <w:t>18 of 1971</w:t>
            </w:r>
          </w:p>
        </w:tc>
        <w:tc>
          <w:tcPr>
            <w:tcW w:w="1134" w:type="dxa"/>
            <w:gridSpan w:val="2"/>
          </w:tcPr>
          <w:p>
            <w:pPr>
              <w:pStyle w:val="nTable"/>
              <w:spacing w:after="40"/>
            </w:pPr>
            <w:r>
              <w:t>1 Dec 1971</w:t>
            </w:r>
          </w:p>
        </w:tc>
        <w:tc>
          <w:tcPr>
            <w:tcW w:w="2552" w:type="dxa"/>
            <w:gridSpan w:val="2"/>
          </w:tcPr>
          <w:p>
            <w:pPr>
              <w:pStyle w:val="nTable"/>
              <w:spacing w:after="40"/>
            </w:pPr>
            <w:r>
              <w:t xml:space="preserve">21 Jan 1972 (see s. 2 and </w:t>
            </w:r>
            <w:r>
              <w:rPr>
                <w:i/>
              </w:rPr>
              <w:t>Gazette</w:t>
            </w:r>
            <w:r>
              <w:t xml:space="preserve"> 21 Jan 1972 p. 71)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(No. 2) 1971</w:t>
            </w:r>
          </w:p>
        </w:tc>
        <w:tc>
          <w:tcPr>
            <w:tcW w:w="1134" w:type="dxa"/>
            <w:gridSpan w:val="2"/>
          </w:tcPr>
          <w:p>
            <w:pPr>
              <w:pStyle w:val="nTable"/>
              <w:spacing w:after="40"/>
            </w:pPr>
            <w:r>
              <w:t>40 of 1971</w:t>
            </w:r>
          </w:p>
        </w:tc>
        <w:tc>
          <w:tcPr>
            <w:tcW w:w="1134" w:type="dxa"/>
            <w:gridSpan w:val="2"/>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Age of Majority Act 1972</w:t>
            </w:r>
            <w:r>
              <w:t xml:space="preserve"> s. 6(2)</w:t>
            </w:r>
          </w:p>
        </w:tc>
        <w:tc>
          <w:tcPr>
            <w:tcW w:w="1134" w:type="dxa"/>
            <w:gridSpan w:val="2"/>
          </w:tcPr>
          <w:p>
            <w:pPr>
              <w:pStyle w:val="nTable"/>
              <w:spacing w:after="40"/>
            </w:pPr>
            <w:r>
              <w:t>46 of 1972</w:t>
            </w:r>
          </w:p>
        </w:tc>
        <w:tc>
          <w:tcPr>
            <w:tcW w:w="1134" w:type="dxa"/>
            <w:gridSpan w:val="2"/>
          </w:tcPr>
          <w:p>
            <w:pPr>
              <w:pStyle w:val="nTable"/>
              <w:spacing w:after="40"/>
            </w:pPr>
            <w:r>
              <w:t>18 Sep 1972</w:t>
            </w:r>
          </w:p>
        </w:tc>
        <w:tc>
          <w:tcPr>
            <w:tcW w:w="2552" w:type="dxa"/>
            <w:gridSpan w:val="2"/>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Inheritance (Family and Dependants Provision) Act 1972</w:t>
            </w:r>
            <w:r>
              <w:t xml:space="preserve"> s. 3(2)</w:t>
            </w:r>
          </w:p>
        </w:tc>
        <w:tc>
          <w:tcPr>
            <w:tcW w:w="1134" w:type="dxa"/>
            <w:gridSpan w:val="2"/>
          </w:tcPr>
          <w:p>
            <w:pPr>
              <w:pStyle w:val="nTable"/>
              <w:spacing w:after="40"/>
            </w:pPr>
            <w:r>
              <w:t>57 of 1972</w:t>
            </w:r>
          </w:p>
        </w:tc>
        <w:tc>
          <w:tcPr>
            <w:tcW w:w="1134" w:type="dxa"/>
            <w:gridSpan w:val="2"/>
          </w:tcPr>
          <w:p>
            <w:pPr>
              <w:pStyle w:val="nTable"/>
              <w:spacing w:after="40"/>
            </w:pPr>
            <w:r>
              <w:t>31 Oct 1972</w:t>
            </w:r>
          </w:p>
        </w:tc>
        <w:tc>
          <w:tcPr>
            <w:tcW w:w="2552" w:type="dxa"/>
            <w:gridSpan w:val="2"/>
          </w:tcPr>
          <w:p>
            <w:pPr>
              <w:pStyle w:val="nTable"/>
              <w:spacing w:after="40"/>
            </w:pPr>
            <w:r>
              <w:t>1 Jan 1973 (see s. 2 and </w:t>
            </w:r>
            <w:r>
              <w:rPr>
                <w:i/>
              </w:rPr>
              <w:t>Gazette</w:t>
            </w:r>
            <w:r>
              <w:t xml:space="preserve"> 17 Nov 1972 p. 4379)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2" w:type="dxa"/>
            <w:gridSpan w:val="2"/>
          </w:tcPr>
          <w:p>
            <w:pPr>
              <w:pStyle w:val="nTable"/>
              <w:spacing w:after="40"/>
            </w:pPr>
            <w:r>
              <w:t>Relevant amendments (see Second Sch.</w:t>
            </w:r>
            <w:r>
              <w:rPr>
                <w:vertAlign w:val="superscript"/>
              </w:rPr>
              <w:t> </w:t>
            </w:r>
            <w:del w:id="259" w:author="svcMRProcess" w:date="2020-09-11T15:09:00Z">
              <w:r>
                <w:rPr>
                  <w:vertAlign w:val="superscript"/>
                </w:rPr>
                <w:delText>8</w:delText>
              </w:r>
            </w:del>
            <w:ins w:id="260" w:author="svcMRProcess" w:date="2020-09-11T15:09:00Z">
              <w:r>
                <w:rPr>
                  <w:vertAlign w:val="superscript"/>
                </w:rPr>
                <w:t>6</w:t>
              </w:r>
            </w:ins>
            <w:r>
              <w:t xml:space="preserve">) took effect on 1 Jan 1974 (see s. 4(2) and </w:t>
            </w:r>
            <w:r>
              <w:rPr>
                <w:i/>
              </w:rPr>
              <w:t>Gazette</w:t>
            </w:r>
            <w:r>
              <w:t xml:space="preserve"> 2 Nov 1973 p. 4108)</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Death Duty Assessment Act 1973</w:t>
            </w:r>
            <w:r>
              <w:t xml:space="preserve"> s. 3</w:t>
            </w:r>
            <w:r>
              <w:rPr>
                <w:vertAlign w:val="superscript"/>
              </w:rPr>
              <w:t> </w:t>
            </w:r>
            <w:del w:id="261" w:author="svcMRProcess" w:date="2020-09-11T15:09:00Z">
              <w:r>
                <w:rPr>
                  <w:vertAlign w:val="superscript"/>
                </w:rPr>
                <w:delText>9</w:delText>
              </w:r>
            </w:del>
            <w:ins w:id="262" w:author="svcMRProcess" w:date="2020-09-11T15:09:00Z">
              <w:r>
                <w:rPr>
                  <w:vertAlign w:val="superscript"/>
                </w:rPr>
                <w:t>7</w:t>
              </w:r>
            </w:ins>
          </w:p>
        </w:tc>
        <w:tc>
          <w:tcPr>
            <w:tcW w:w="1134" w:type="dxa"/>
            <w:gridSpan w:val="2"/>
          </w:tcPr>
          <w:p>
            <w:pPr>
              <w:pStyle w:val="nTable"/>
              <w:keepNext/>
              <w:keepLines/>
              <w:spacing w:after="40"/>
            </w:pPr>
            <w:r>
              <w:t>80 of 1973</w:t>
            </w:r>
          </w:p>
        </w:tc>
        <w:tc>
          <w:tcPr>
            <w:tcW w:w="1134" w:type="dxa"/>
            <w:gridSpan w:val="2"/>
          </w:tcPr>
          <w:p>
            <w:pPr>
              <w:pStyle w:val="nTable"/>
              <w:spacing w:after="40"/>
            </w:pPr>
            <w:r>
              <w:t>21 Dec 1973</w:t>
            </w:r>
          </w:p>
        </w:tc>
        <w:tc>
          <w:tcPr>
            <w:tcW w:w="2552" w:type="dxa"/>
            <w:gridSpan w:val="2"/>
          </w:tcPr>
          <w:p>
            <w:pPr>
              <w:pStyle w:val="nTable"/>
              <w:spacing w:after="40"/>
            </w:pPr>
            <w:r>
              <w:t>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17 Aug 1975</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1976</w:t>
            </w:r>
          </w:p>
        </w:tc>
        <w:tc>
          <w:tcPr>
            <w:tcW w:w="1134" w:type="dxa"/>
            <w:gridSpan w:val="2"/>
          </w:tcPr>
          <w:p>
            <w:pPr>
              <w:pStyle w:val="nTable"/>
              <w:spacing w:after="40"/>
            </w:pPr>
            <w:r>
              <w:t>138 of 1976</w:t>
            </w:r>
          </w:p>
        </w:tc>
        <w:tc>
          <w:tcPr>
            <w:tcW w:w="1134" w:type="dxa"/>
            <w:gridSpan w:val="2"/>
          </w:tcPr>
          <w:p>
            <w:pPr>
              <w:pStyle w:val="nTable"/>
              <w:spacing w:after="40"/>
            </w:pPr>
            <w:r>
              <w:t>13 Dec 1976</w:t>
            </w:r>
          </w:p>
        </w:tc>
        <w:tc>
          <w:tcPr>
            <w:tcW w:w="2552" w:type="dxa"/>
            <w:gridSpan w:val="2"/>
          </w:tcPr>
          <w:p>
            <w:pPr>
              <w:pStyle w:val="nTable"/>
              <w:spacing w:after="40"/>
            </w:pPr>
            <w:r>
              <w:t>Act other than s. 3</w:t>
            </w:r>
            <w:r>
              <w:noBreakHyphen/>
              <w:t>16: 1 Mar 1977 (see s. 2(3));</w:t>
            </w:r>
            <w:r>
              <w:br/>
              <w:t xml:space="preserve">s. 3, 4 and 16: 1 Mar 1977 (see s. 2(1) and </w:t>
            </w:r>
            <w:r>
              <w:rPr>
                <w:i/>
              </w:rPr>
              <w:t>Gazette</w:t>
            </w:r>
            <w:r>
              <w:t xml:space="preserve"> 28 Jan 1977 p. 185</w:t>
            </w:r>
            <w:r>
              <w:noBreakHyphen/>
              <w:t>6);</w:t>
            </w:r>
            <w:r>
              <w:br/>
              <w:t xml:space="preserve">s. 5-15: 1 Dec 1977 (see s. 2(2) and </w:t>
            </w:r>
            <w:r>
              <w:rPr>
                <w:i/>
              </w:rPr>
              <w:t>Gazette</w:t>
            </w:r>
            <w:r>
              <w:t xml:space="preserve"> 11 Nov 1977 p. 4193)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1977</w:t>
            </w:r>
          </w:p>
        </w:tc>
        <w:tc>
          <w:tcPr>
            <w:tcW w:w="1134" w:type="dxa"/>
            <w:gridSpan w:val="2"/>
          </w:tcPr>
          <w:p>
            <w:pPr>
              <w:pStyle w:val="nTable"/>
              <w:spacing w:after="40"/>
            </w:pPr>
            <w:r>
              <w:t>37 of 1977</w:t>
            </w:r>
          </w:p>
        </w:tc>
        <w:tc>
          <w:tcPr>
            <w:tcW w:w="1134" w:type="dxa"/>
            <w:gridSpan w:val="2"/>
          </w:tcPr>
          <w:p>
            <w:pPr>
              <w:pStyle w:val="nTable"/>
              <w:spacing w:after="40"/>
            </w:pPr>
            <w:r>
              <w:t>7 Nov 1977</w:t>
            </w:r>
          </w:p>
        </w:tc>
        <w:tc>
          <w:tcPr>
            <w:tcW w:w="2552" w:type="dxa"/>
            <w:gridSpan w:val="2"/>
          </w:tcPr>
          <w:p>
            <w:pPr>
              <w:pStyle w:val="nTable"/>
              <w:spacing w:after="40"/>
            </w:pPr>
            <w:r>
              <w:t xml:space="preserve">1 Dec 1977 (see s. 2 and </w:t>
            </w:r>
            <w:r>
              <w:rPr>
                <w:i/>
              </w:rPr>
              <w:t>Gazette</w:t>
            </w:r>
            <w:r>
              <w:t xml:space="preserve"> 25 Nov 1977 p. 4345)</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(Master, Supreme Court) Act 1979</w:t>
            </w:r>
            <w:r>
              <w:t xml:space="preserve"> Pt. VIII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1979</w:t>
            </w:r>
          </w:p>
        </w:tc>
        <w:tc>
          <w:tcPr>
            <w:tcW w:w="1134" w:type="dxa"/>
            <w:gridSpan w:val="2"/>
          </w:tcPr>
          <w:p>
            <w:pPr>
              <w:pStyle w:val="nTable"/>
              <w:spacing w:after="40"/>
            </w:pPr>
            <w:r>
              <w:t>103 of 1979</w:t>
            </w:r>
          </w:p>
        </w:tc>
        <w:tc>
          <w:tcPr>
            <w:tcW w:w="1134" w:type="dxa"/>
            <w:gridSpan w:val="2"/>
          </w:tcPr>
          <w:p>
            <w:pPr>
              <w:pStyle w:val="nTable"/>
              <w:spacing w:after="40"/>
            </w:pPr>
            <w:r>
              <w:t>17 Dec 1979</w:t>
            </w:r>
          </w:p>
        </w:tc>
        <w:tc>
          <w:tcPr>
            <w:tcW w:w="2552" w:type="dxa"/>
            <w:gridSpan w:val="2"/>
          </w:tcPr>
          <w:p>
            <w:pPr>
              <w:pStyle w:val="nTable"/>
              <w:spacing w:after="40"/>
            </w:pPr>
            <w:r>
              <w:t xml:space="preserve">24 Apr 1980 (see s. 2 and </w:t>
            </w:r>
            <w:r>
              <w:rPr>
                <w:i/>
              </w:rPr>
              <w:t>Gazette</w:t>
            </w:r>
            <w:r>
              <w:t xml:space="preserve"> 24 Apr 1980 p. 1179)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1980</w:t>
            </w:r>
          </w:p>
        </w:tc>
        <w:tc>
          <w:tcPr>
            <w:tcW w:w="1134" w:type="dxa"/>
            <w:gridSpan w:val="2"/>
          </w:tcPr>
          <w:p>
            <w:pPr>
              <w:pStyle w:val="nTable"/>
              <w:spacing w:after="40"/>
            </w:pPr>
            <w:r>
              <w:t>14 of 1980</w:t>
            </w:r>
          </w:p>
        </w:tc>
        <w:tc>
          <w:tcPr>
            <w:tcW w:w="1134" w:type="dxa"/>
            <w:gridSpan w:val="2"/>
          </w:tcPr>
          <w:p>
            <w:pPr>
              <w:pStyle w:val="nTable"/>
              <w:spacing w:after="40"/>
            </w:pPr>
            <w:r>
              <w:t>15 Oct 1980</w:t>
            </w:r>
          </w:p>
        </w:tc>
        <w:tc>
          <w:tcPr>
            <w:tcW w:w="2552" w:type="dxa"/>
            <w:gridSpan w:val="2"/>
          </w:tcPr>
          <w:p>
            <w:pPr>
              <w:pStyle w:val="nTable"/>
              <w:spacing w:after="40"/>
            </w:pPr>
            <w:r>
              <w:t>12 Nov 1980 (see s. 2)</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23 Dec 1980</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1982</w:t>
            </w:r>
          </w:p>
        </w:tc>
        <w:tc>
          <w:tcPr>
            <w:tcW w:w="1134" w:type="dxa"/>
            <w:gridSpan w:val="2"/>
          </w:tcPr>
          <w:p>
            <w:pPr>
              <w:pStyle w:val="nTable"/>
              <w:spacing w:after="40"/>
            </w:pPr>
            <w:r>
              <w:t>48 of 1982</w:t>
            </w:r>
          </w:p>
        </w:tc>
        <w:tc>
          <w:tcPr>
            <w:tcW w:w="1134" w:type="dxa"/>
            <w:gridSpan w:val="2"/>
          </w:tcPr>
          <w:p>
            <w:pPr>
              <w:pStyle w:val="nTable"/>
              <w:spacing w:after="40"/>
            </w:pPr>
            <w:r>
              <w:t>6 Sep 1982</w:t>
            </w:r>
          </w:p>
        </w:tc>
        <w:tc>
          <w:tcPr>
            <w:tcW w:w="2552" w:type="dxa"/>
            <w:gridSpan w:val="2"/>
          </w:tcPr>
          <w:p>
            <w:pPr>
              <w:pStyle w:val="nTable"/>
              <w:spacing w:after="40"/>
            </w:pPr>
            <w:r>
              <w:t xml:space="preserve">1 Mar 1983 (see s. 2 and </w:t>
            </w:r>
            <w:r>
              <w:rPr>
                <w:i/>
              </w:rPr>
              <w:t>Gazette</w:t>
            </w:r>
            <w:r>
              <w:t xml:space="preserve"> 25 Feb 1983 p. 637)</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1984</w:t>
            </w:r>
          </w:p>
        </w:tc>
        <w:tc>
          <w:tcPr>
            <w:tcW w:w="1134" w:type="dxa"/>
            <w:gridSpan w:val="2"/>
          </w:tcPr>
          <w:p>
            <w:pPr>
              <w:pStyle w:val="nTable"/>
              <w:spacing w:after="40"/>
            </w:pPr>
            <w:r>
              <w:t>57 of 1984</w:t>
            </w:r>
          </w:p>
        </w:tc>
        <w:tc>
          <w:tcPr>
            <w:tcW w:w="1134" w:type="dxa"/>
            <w:gridSpan w:val="2"/>
          </w:tcPr>
          <w:p>
            <w:pPr>
              <w:pStyle w:val="nTable"/>
              <w:spacing w:after="40"/>
            </w:pPr>
            <w:r>
              <w:t>24 Oct 1984</w:t>
            </w:r>
          </w:p>
        </w:tc>
        <w:tc>
          <w:tcPr>
            <w:tcW w:w="2552" w:type="dxa"/>
            <w:gridSpan w:val="2"/>
          </w:tcPr>
          <w:p>
            <w:pPr>
              <w:pStyle w:val="nTable"/>
              <w:spacing w:after="40"/>
            </w:pPr>
            <w:r>
              <w:t>21 Nov 1984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 xml:space="preserve">Acts Amendment (Insolvent Estates) Act 1984 </w:t>
            </w:r>
            <w:r>
              <w:t>Pt. II</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2" w:type="dxa"/>
            <w:gridSpan w:val="2"/>
          </w:tcPr>
          <w:p>
            <w:pPr>
              <w:pStyle w:val="nTable"/>
              <w:spacing w:after="40"/>
            </w:pPr>
            <w:r>
              <w:t>24 Dec 1984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Artificial Conception Act 1985</w:t>
            </w:r>
            <w:r>
              <w:t xml:space="preserve"> s. 8</w:t>
            </w:r>
          </w:p>
        </w:tc>
        <w:tc>
          <w:tcPr>
            <w:tcW w:w="1134" w:type="dxa"/>
            <w:gridSpan w:val="2"/>
          </w:tcPr>
          <w:p>
            <w:pPr>
              <w:pStyle w:val="nTable"/>
              <w:spacing w:after="40"/>
            </w:pPr>
            <w:r>
              <w:t>14 of 1985</w:t>
            </w:r>
          </w:p>
        </w:tc>
        <w:tc>
          <w:tcPr>
            <w:tcW w:w="1134" w:type="dxa"/>
            <w:gridSpan w:val="2"/>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as at 17 Jun 1986</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1986</w:t>
            </w:r>
          </w:p>
        </w:tc>
        <w:tc>
          <w:tcPr>
            <w:tcW w:w="1134" w:type="dxa"/>
            <w:gridSpan w:val="2"/>
          </w:tcPr>
          <w:p>
            <w:pPr>
              <w:pStyle w:val="nTable"/>
              <w:spacing w:after="40"/>
            </w:pPr>
            <w:r>
              <w:t>21 of 1986</w:t>
            </w:r>
          </w:p>
        </w:tc>
        <w:tc>
          <w:tcPr>
            <w:tcW w:w="1134" w:type="dxa"/>
            <w:gridSpan w:val="2"/>
          </w:tcPr>
          <w:p>
            <w:pPr>
              <w:pStyle w:val="nTable"/>
              <w:spacing w:after="40"/>
            </w:pPr>
            <w:r>
              <w:t>25 Jul 1986</w:t>
            </w:r>
          </w:p>
        </w:tc>
        <w:tc>
          <w:tcPr>
            <w:tcW w:w="2552" w:type="dxa"/>
            <w:gridSpan w:val="2"/>
          </w:tcPr>
          <w:p>
            <w:pPr>
              <w:pStyle w:val="nTable"/>
              <w:spacing w:after="40"/>
            </w:pPr>
            <w:r>
              <w:t xml:space="preserve">s. 1 and 2: 25 Jul 1986; </w:t>
            </w:r>
            <w:r>
              <w:br/>
              <w:t xml:space="preserve">Act other than s. 1 and 2: 7 Nov 1986 (see s. 2 and </w:t>
            </w:r>
            <w:r>
              <w:rPr>
                <w:i/>
              </w:rPr>
              <w:t>Gazette</w:t>
            </w:r>
            <w:r>
              <w:t xml:space="preserve"> 7 Nov 1986 p. 4140)</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2"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Statutes (Repeals and Minor Amendments) Act 1997</w:t>
            </w:r>
            <w:r>
              <w:t xml:space="preserve"> s. 16</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and Repeal (Financial Sector Reform) Act 1999</w:t>
            </w:r>
            <w:r>
              <w:t xml:space="preserve"> s. 59</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as at 1 Jul 1999</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(Lesbian and Gay Law Reform) Act 2002</w:t>
            </w:r>
            <w:r>
              <w:t xml:space="preserve"> Pt. 2</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rPr>
                <w:i/>
              </w:rPr>
            </w:pPr>
            <w:r>
              <w:rPr>
                <w:i/>
              </w:rPr>
              <w:t xml:space="preserve">Family Court Amendment Act 2002 </w:t>
            </w:r>
            <w:r>
              <w:t>s. 52</w:t>
            </w:r>
          </w:p>
        </w:tc>
        <w:tc>
          <w:tcPr>
            <w:tcW w:w="1134" w:type="dxa"/>
            <w:gridSpan w:val="2"/>
          </w:tcPr>
          <w:p>
            <w:pPr>
              <w:pStyle w:val="nTable"/>
              <w:spacing w:after="40"/>
            </w:pPr>
            <w:r>
              <w:t>25 of 2002</w:t>
            </w:r>
          </w:p>
        </w:tc>
        <w:tc>
          <w:tcPr>
            <w:tcW w:w="1134" w:type="dxa"/>
            <w:gridSpan w:val="2"/>
          </w:tcPr>
          <w:p>
            <w:pPr>
              <w:pStyle w:val="nTable"/>
              <w:spacing w:after="40"/>
            </w:pPr>
            <w:r>
              <w:t>25 Sep 2002</w:t>
            </w:r>
          </w:p>
        </w:tc>
        <w:tc>
          <w:tcPr>
            <w:tcW w:w="2552" w:type="dxa"/>
            <w:gridSpan w:val="2"/>
          </w:tcPr>
          <w:p>
            <w:pPr>
              <w:pStyle w:val="nTable"/>
              <w:spacing w:after="40"/>
            </w:pPr>
            <w:r>
              <w:t xml:space="preserve">1 Dec 2002 (see s. 2 and </w:t>
            </w:r>
            <w:r>
              <w:rPr>
                <w:i/>
              </w:rPr>
              <w:t>Gazette</w:t>
            </w:r>
            <w:r>
              <w:t xml:space="preserve"> 29 Nov 2002 p. 5651)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2" w:type="dxa"/>
            <w:gridSpan w:val="2"/>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11: The </w:t>
            </w:r>
            <w:r>
              <w:rPr>
                <w:b/>
                <w:bCs/>
                <w:i/>
              </w:rPr>
              <w:t>Administration Act 1903</w:t>
            </w:r>
            <w:r>
              <w:rPr>
                <w:b/>
                <w:bCs/>
              </w:rPr>
              <w:t xml:space="preserve"> as at 14 Jul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120</w:t>
            </w:r>
            <w:r>
              <w:rPr>
                <w:iCs/>
                <w:snapToGrid w:val="0"/>
                <w:vertAlign w:val="superscript"/>
              </w:rPr>
              <w:t xml:space="preserve">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2" w:type="dxa"/>
            <w:gridSpan w:val="2"/>
          </w:tcPr>
          <w:p>
            <w:pPr>
              <w:pStyle w:val="nTable"/>
              <w:spacing w:after="40"/>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gridBefore w:val="1"/>
          <w:wBefore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6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6" w:type="dxa"/>
          <w:cantSplit/>
        </w:trPr>
        <w:tc>
          <w:tcPr>
            <w:tcW w:w="2268" w:type="dxa"/>
            <w:gridSpan w:val="2"/>
          </w:tcPr>
          <w:p>
            <w:pPr>
              <w:pStyle w:val="nTable"/>
              <w:spacing w:after="40"/>
              <w:ind w:right="113"/>
              <w:rPr>
                <w:i/>
                <w:snapToGrid w:val="0"/>
              </w:rPr>
            </w:pPr>
            <w:r>
              <w:rPr>
                <w:i/>
                <w:snapToGrid w:val="0"/>
              </w:rPr>
              <w:t>Inheritance (Family and Dependants Provision) Amendment Act 2011</w:t>
            </w:r>
            <w:r>
              <w:rPr>
                <w:snapToGrid w:val="0"/>
              </w:rPr>
              <w:t xml:space="preserve"> s. 14 </w:t>
            </w:r>
          </w:p>
        </w:tc>
        <w:tc>
          <w:tcPr>
            <w:tcW w:w="1134" w:type="dxa"/>
            <w:gridSpan w:val="2"/>
          </w:tcPr>
          <w:p>
            <w:pPr>
              <w:pStyle w:val="nTable"/>
              <w:spacing w:after="40"/>
              <w:rPr>
                <w:snapToGrid w:val="0"/>
              </w:rPr>
            </w:pPr>
            <w:r>
              <w:rPr>
                <w:snapToGrid w:val="0"/>
              </w:rPr>
              <w:t>48 of 2011</w:t>
            </w:r>
          </w:p>
        </w:tc>
        <w:tc>
          <w:tcPr>
            <w:tcW w:w="1134" w:type="dxa"/>
            <w:gridSpan w:val="2"/>
          </w:tcPr>
          <w:p>
            <w:pPr>
              <w:pStyle w:val="nTable"/>
              <w:spacing w:after="40"/>
              <w:rPr>
                <w:snapToGrid w:val="0"/>
              </w:rPr>
            </w:pPr>
            <w:r>
              <w:rPr>
                <w:snapToGrid w:val="0"/>
              </w:rPr>
              <w:t>25 Oct 2011</w:t>
            </w:r>
          </w:p>
        </w:tc>
        <w:tc>
          <w:tcPr>
            <w:tcW w:w="2554" w:type="dxa"/>
            <w:gridSpan w:val="2"/>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gridBefore w:val="1"/>
          <w:wBefore w:w="6" w:type="dxa"/>
          <w:cantSplit/>
        </w:trPr>
        <w:tc>
          <w:tcPr>
            <w:tcW w:w="7090" w:type="dxa"/>
            <w:gridSpan w:val="8"/>
            <w:shd w:val="clear" w:color="auto" w:fill="auto"/>
          </w:tcPr>
          <w:p>
            <w:pPr>
              <w:pStyle w:val="nTable"/>
              <w:spacing w:after="40"/>
              <w:rPr>
                <w:snapToGrid w:val="0"/>
              </w:rPr>
            </w:pPr>
            <w:r>
              <w:rPr>
                <w:b/>
                <w:snapToGrid w:val="0"/>
              </w:rPr>
              <w:t xml:space="preserve">Reprint 12: The </w:t>
            </w:r>
            <w:r>
              <w:rPr>
                <w:b/>
                <w:i/>
                <w:noProof/>
                <w:snapToGrid w:val="0"/>
              </w:rPr>
              <w:t>Administration Act 1903</w:t>
            </w:r>
            <w:r>
              <w:rPr>
                <w:b/>
                <w:snapToGrid w:val="0"/>
              </w:rPr>
              <w:t xml:space="preserve"> as at 15 Apr 2016</w:t>
            </w:r>
            <w:r>
              <w:rPr>
                <w:snapToGrid w:val="0"/>
              </w:rPr>
              <w:t xml:space="preserve"> (includes amendments listed above)</w:t>
            </w:r>
          </w:p>
        </w:tc>
      </w:tr>
      <w:tr>
        <w:trPr>
          <w:gridBefore w:val="1"/>
          <w:wBefore w:w="6" w:type="dxa"/>
          <w:cantSplit/>
        </w:trPr>
        <w:tc>
          <w:tcPr>
            <w:tcW w:w="2268" w:type="dxa"/>
            <w:gridSpan w:val="2"/>
            <w:tcBorders>
              <w:top w:val="nil"/>
              <w:bottom w:val="nil"/>
            </w:tcBorders>
          </w:tcPr>
          <w:p>
            <w:pPr>
              <w:pStyle w:val="nTable"/>
              <w:spacing w:after="40"/>
              <w:ind w:right="113"/>
              <w:rPr>
                <w:snapToGrid w:val="0"/>
              </w:rPr>
            </w:pPr>
            <w:r>
              <w:rPr>
                <w:i/>
                <w:snapToGrid w:val="0"/>
              </w:rPr>
              <w:t>Statutes (Minor Amendments) Act 2017</w:t>
            </w:r>
            <w:r>
              <w:rPr>
                <w:snapToGrid w:val="0"/>
              </w:rPr>
              <w:t xml:space="preserve"> s. 3</w:t>
            </w:r>
          </w:p>
        </w:tc>
        <w:tc>
          <w:tcPr>
            <w:tcW w:w="1134" w:type="dxa"/>
            <w:gridSpan w:val="2"/>
            <w:tcBorders>
              <w:top w:val="nil"/>
              <w:bottom w:val="nil"/>
            </w:tcBorders>
          </w:tcPr>
          <w:p>
            <w:pPr>
              <w:pStyle w:val="nTable"/>
              <w:spacing w:after="40"/>
              <w:rPr>
                <w:snapToGrid w:val="0"/>
              </w:rPr>
            </w:pPr>
            <w:r>
              <w:rPr>
                <w:snapToGrid w:val="0"/>
              </w:rPr>
              <w:t>6 of 2017</w:t>
            </w:r>
          </w:p>
        </w:tc>
        <w:tc>
          <w:tcPr>
            <w:tcW w:w="1134" w:type="dxa"/>
            <w:gridSpan w:val="2"/>
            <w:tcBorders>
              <w:top w:val="nil"/>
              <w:bottom w:val="nil"/>
            </w:tcBorders>
          </w:tcPr>
          <w:p>
            <w:pPr>
              <w:pStyle w:val="nTable"/>
              <w:spacing w:after="40"/>
              <w:rPr>
                <w:snapToGrid w:val="0"/>
              </w:rPr>
            </w:pPr>
            <w:r>
              <w:rPr>
                <w:snapToGrid w:val="0"/>
              </w:rPr>
              <w:t>12 Sep 2017</w:t>
            </w:r>
          </w:p>
        </w:tc>
        <w:tc>
          <w:tcPr>
            <w:tcW w:w="2554" w:type="dxa"/>
            <w:gridSpan w:val="2"/>
            <w:tcBorders>
              <w:top w:val="nil"/>
              <w:bottom w:val="nil"/>
            </w:tcBorders>
          </w:tcPr>
          <w:p>
            <w:pPr>
              <w:pStyle w:val="nTable"/>
              <w:spacing w:after="40"/>
              <w:rPr>
                <w:snapToGrid w:val="0"/>
              </w:rPr>
            </w:pPr>
            <w:r>
              <w:rPr>
                <w:snapToGrid w:val="0"/>
              </w:rPr>
              <w:t>13 Sep 2017 (see s. 2(b))</w:t>
            </w:r>
          </w:p>
        </w:tc>
      </w:tr>
    </w:tbl>
    <w:p>
      <w:pPr>
        <w:pStyle w:val="nTable"/>
        <w:spacing w:after="40"/>
        <w:ind w:right="113"/>
        <w:rPr>
          <w:del w:id="263" w:author="svcMRProcess" w:date="2020-09-11T15:09:00Z"/>
          <w:i/>
          <w:snapToGrid w:val="0"/>
        </w:rPr>
      </w:pPr>
      <w:del w:id="264" w:author="svcMRProcess" w:date="2020-09-11T15:09: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ins w:id="265" w:author="svcMRProcess" w:date="2020-09-11T15:09:00Z"/>
        </w:trPr>
        <w:tc>
          <w:tcPr>
            <w:tcW w:w="2268" w:type="dxa"/>
            <w:tcBorders>
              <w:bottom w:val="single" w:sz="4" w:space="0" w:color="auto"/>
            </w:tcBorders>
          </w:tcPr>
          <w:p>
            <w:pPr>
              <w:pStyle w:val="nTable"/>
              <w:spacing w:after="40"/>
              <w:ind w:right="113"/>
              <w:rPr>
                <w:ins w:id="266" w:author="svcMRProcess" w:date="2020-09-11T15:09:00Z"/>
                <w:snapToGrid w:val="0"/>
              </w:rPr>
            </w:pPr>
            <w:ins w:id="267" w:author="svcMRProcess" w:date="2020-09-11T15:09:00Z">
              <w:r>
                <w:rPr>
                  <w:i/>
                  <w:snapToGrid w:val="0"/>
                </w:rPr>
                <w:t>COVID-19 Response and Economic Recovery Omnibus Act 2020</w:t>
              </w:r>
              <w:r>
                <w:rPr>
                  <w:snapToGrid w:val="0"/>
                </w:rPr>
                <w:t xml:space="preserve"> s. 53</w:t>
              </w:r>
            </w:ins>
          </w:p>
        </w:tc>
        <w:tc>
          <w:tcPr>
            <w:tcW w:w="1134" w:type="dxa"/>
            <w:tcBorders>
              <w:bottom w:val="single" w:sz="4" w:space="0" w:color="auto"/>
            </w:tcBorders>
          </w:tcPr>
          <w:p>
            <w:pPr>
              <w:pStyle w:val="nTable"/>
              <w:spacing w:after="40"/>
              <w:rPr>
                <w:ins w:id="268" w:author="svcMRProcess" w:date="2020-09-11T15:09:00Z"/>
                <w:snapToGrid w:val="0"/>
              </w:rPr>
            </w:pPr>
            <w:ins w:id="269" w:author="svcMRProcess" w:date="2020-09-11T15:09:00Z">
              <w:r>
                <w:rPr>
                  <w:snapToGrid w:val="0"/>
                </w:rPr>
                <w:t>34 of 2020</w:t>
              </w:r>
            </w:ins>
          </w:p>
        </w:tc>
        <w:tc>
          <w:tcPr>
            <w:tcW w:w="1134" w:type="dxa"/>
            <w:tcBorders>
              <w:bottom w:val="single" w:sz="4" w:space="0" w:color="auto"/>
            </w:tcBorders>
          </w:tcPr>
          <w:p>
            <w:pPr>
              <w:pStyle w:val="nTable"/>
              <w:spacing w:after="40"/>
              <w:rPr>
                <w:ins w:id="270" w:author="svcMRProcess" w:date="2020-09-11T15:09:00Z"/>
                <w:snapToGrid w:val="0"/>
              </w:rPr>
            </w:pPr>
            <w:ins w:id="271" w:author="svcMRProcess" w:date="2020-09-11T15:09:00Z">
              <w:r>
                <w:rPr>
                  <w:snapToGrid w:val="0"/>
                </w:rPr>
                <w:t>11 Sep 2020</w:t>
              </w:r>
            </w:ins>
          </w:p>
        </w:tc>
        <w:tc>
          <w:tcPr>
            <w:tcW w:w="2554" w:type="dxa"/>
            <w:tcBorders>
              <w:bottom w:val="single" w:sz="4" w:space="0" w:color="auto"/>
            </w:tcBorders>
          </w:tcPr>
          <w:p>
            <w:pPr>
              <w:pStyle w:val="nTable"/>
              <w:spacing w:after="40"/>
              <w:rPr>
                <w:ins w:id="272" w:author="svcMRProcess" w:date="2020-09-11T15:09:00Z"/>
                <w:snapToGrid w:val="0"/>
              </w:rPr>
            </w:pPr>
            <w:ins w:id="273" w:author="svcMRProcess" w:date="2020-09-11T15:09:00Z">
              <w:r>
                <w:rPr>
                  <w:snapToGrid w:val="0"/>
                </w:rPr>
                <w:t>12 Sep 2020 (see s. 2(b))</w:t>
              </w:r>
            </w:ins>
          </w:p>
        </w:tc>
      </w:tr>
    </w:tbl>
    <w:p>
      <w:pPr>
        <w:pStyle w:val="nHeading3"/>
        <w:rPr>
          <w:ins w:id="274" w:author="svcMRProcess" w:date="2020-09-11T15:09:00Z"/>
        </w:rPr>
      </w:pPr>
      <w:bookmarkStart w:id="275" w:name="_Toc50716907"/>
      <w:ins w:id="276" w:author="svcMRProcess" w:date="2020-09-11T15:09:00Z">
        <w:r>
          <w:t>Other notes</w:t>
        </w:r>
        <w:bookmarkEnd w:id="275"/>
      </w:ins>
    </w:p>
    <w:p>
      <w:pPr>
        <w:pStyle w:val="nNote"/>
        <w:spacing w:before="160"/>
        <w:rPr>
          <w:snapToGrid w:val="0"/>
        </w:rPr>
      </w:pPr>
      <w:ins w:id="277" w:author="svcMRProcess" w:date="2020-09-11T15:09:00Z">
        <w:r>
          <w:rPr>
            <w:snapToGrid w:val="0"/>
            <w:vertAlign w:val="superscript"/>
          </w:rPr>
          <w:t>1</w:t>
        </w:r>
      </w:ins>
      <w:r>
        <w:rPr>
          <w:snapToGrid w:val="0"/>
        </w:rPr>
        <w:tab/>
        <w:t>Repealed by section 2 of this Act.</w:t>
      </w:r>
    </w:p>
    <w:p>
      <w:pPr>
        <w:pStyle w:val="nNote"/>
        <w:rPr>
          <w:snapToGrid w:val="0"/>
        </w:rPr>
      </w:pPr>
      <w:del w:id="278" w:author="svcMRProcess" w:date="2020-09-11T15:09:00Z">
        <w:r>
          <w:rPr>
            <w:snapToGrid w:val="0"/>
            <w:vertAlign w:val="superscript"/>
          </w:rPr>
          <w:delText>3</w:delText>
        </w:r>
      </w:del>
      <w:ins w:id="279" w:author="svcMRProcess" w:date="2020-09-11T15:09:00Z">
        <w:r>
          <w:rPr>
            <w:snapToGrid w:val="0"/>
            <w:vertAlign w:val="superscript"/>
          </w:rPr>
          <w:t>2</w:t>
        </w:r>
      </w:ins>
      <w:r>
        <w:rPr>
          <w:snapToGrid w:val="0"/>
        </w:rPr>
        <w:tab/>
        <w:t xml:space="preserve">Part IV (Curator of Intestate Estates) as originally enacted, was repealed by the </w:t>
      </w:r>
      <w:r>
        <w:rPr>
          <w:i/>
          <w:snapToGrid w:val="0"/>
        </w:rPr>
        <w:t>Curator of Intestate Estates Act 1918</w:t>
      </w:r>
      <w:r>
        <w:rPr>
          <w:snapToGrid w:val="0"/>
        </w:rPr>
        <w:t xml:space="preserve"> (No. 9 of 1918). The Curator of Intestate Estates continued under the </w:t>
      </w:r>
      <w:r>
        <w:rPr>
          <w:i/>
          <w:snapToGrid w:val="0"/>
        </w:rPr>
        <w:t xml:space="preserve">Curator of Intestate Estates Act 1918 </w:t>
      </w:r>
      <w:r>
        <w:rPr>
          <w:snapToGrid w:val="0"/>
        </w:rPr>
        <w:t xml:space="preserve">and, on 1 July 1942, became the Public Trustee (see the </w:t>
      </w:r>
      <w:r>
        <w:rPr>
          <w:i/>
          <w:snapToGrid w:val="0"/>
        </w:rPr>
        <w:t>Public Trustee Act 1941</w:t>
      </w:r>
      <w:r>
        <w:rPr>
          <w:snapToGrid w:val="0"/>
        </w:rPr>
        <w:t xml:space="preserve"> s. 3).</w:t>
      </w:r>
    </w:p>
    <w:p>
      <w:pPr>
        <w:pStyle w:val="nNote"/>
        <w:spacing w:before="60"/>
        <w:rPr>
          <w:rFonts w:eastAsiaTheme="minorHAnsi"/>
          <w:szCs w:val="24"/>
        </w:rPr>
      </w:pPr>
      <w:del w:id="280" w:author="svcMRProcess" w:date="2020-09-11T15:09:00Z">
        <w:r>
          <w:rPr>
            <w:snapToGrid w:val="0"/>
            <w:vertAlign w:val="superscript"/>
          </w:rPr>
          <w:delText>4</w:delText>
        </w:r>
      </w:del>
      <w:ins w:id="281" w:author="svcMRProcess" w:date="2020-09-11T15:09:00Z">
        <w:r>
          <w:rPr>
            <w:snapToGrid w:val="0"/>
            <w:vertAlign w:val="superscript"/>
          </w:rPr>
          <w:t>3</w:t>
        </w:r>
      </w:ins>
      <w:r>
        <w:rPr>
          <w:i/>
        </w:rPr>
        <w:tab/>
      </w:r>
      <w:r>
        <w:rPr>
          <w:rFonts w:eastAsiaTheme="minorHAnsi"/>
          <w:snapToGrid w:val="0"/>
          <w:szCs w:val="24"/>
        </w:rPr>
        <w:t xml:space="preserve">This Part was originally enacted as Part II of the </w:t>
      </w:r>
      <w:r>
        <w:rPr>
          <w:rFonts w:eastAsiaTheme="minorHAnsi"/>
          <w:i/>
          <w:snapToGrid w:val="0"/>
          <w:szCs w:val="24"/>
        </w:rPr>
        <w:t>Administration Act (Estate and Succession Duties) Amendment Act 1934</w:t>
      </w:r>
      <w:r>
        <w:rPr>
          <w:rFonts w:eastAsiaTheme="minorHAnsi"/>
          <w:snapToGrid w:val="0"/>
          <w:szCs w:val="24"/>
        </w:rPr>
        <w:t xml:space="preserve"> (No. 28 of 1934).  </w:t>
      </w:r>
      <w:r>
        <w:rPr>
          <w:rFonts w:eastAsiaTheme="minorHAnsi"/>
          <w:szCs w:val="24"/>
        </w:rPr>
        <w:t xml:space="preserve">It was inserted as Part VI in the 1934 reprint of this Act (see the </w:t>
      </w:r>
      <w:r>
        <w:rPr>
          <w:i/>
        </w:rPr>
        <w:t xml:space="preserve">Administration Act (Estate and Succession Duties) Amendment Act 1934 </w:t>
      </w:r>
      <w:r>
        <w:rPr>
          <w:rFonts w:eastAsiaTheme="minorHAnsi"/>
          <w:szCs w:val="24"/>
        </w:rPr>
        <w:t>s. 77</w:t>
      </w:r>
      <w:r>
        <w:rPr>
          <w:rFonts w:eastAsiaTheme="minorHAnsi"/>
          <w:snapToGrid w:val="0"/>
          <w:szCs w:val="24"/>
        </w:rPr>
        <w:t xml:space="preserve">) and </w:t>
      </w:r>
      <w:r>
        <w:rPr>
          <w:rFonts w:eastAsiaTheme="minorHAnsi"/>
          <w:szCs w:val="24"/>
        </w:rPr>
        <w:t>renumbered as Part V in the 1943 reprint.</w:t>
      </w:r>
    </w:p>
    <w:p>
      <w:pPr>
        <w:pStyle w:val="nNote"/>
        <w:keepNext/>
        <w:spacing w:before="60"/>
        <w:rPr>
          <w:rFonts w:eastAsiaTheme="minorHAnsi"/>
          <w:i/>
          <w:szCs w:val="24"/>
        </w:rPr>
      </w:pPr>
      <w:r>
        <w:rPr>
          <w:rFonts w:eastAsiaTheme="minorHAnsi"/>
          <w:snapToGrid w:val="0"/>
          <w:szCs w:val="24"/>
        </w:rPr>
        <w:tab/>
        <w:t xml:space="preserve">The </w:t>
      </w:r>
      <w:r>
        <w:rPr>
          <w:i/>
        </w:rPr>
        <w:t>Administration Act (Estate and Succession Duties) Amendment Act 1934</w:t>
      </w:r>
      <w:r>
        <w:t xml:space="preserve"> s. 3</w:t>
      </w:r>
      <w:r>
        <w:rPr>
          <w:rFonts w:eastAsiaTheme="minorHAnsi"/>
          <w:snapToGrid w:val="0"/>
          <w:szCs w:val="24"/>
        </w:rPr>
        <w:t xml:space="preserve"> </w:t>
      </w:r>
      <w:r>
        <w:rPr>
          <w:rFonts w:eastAsiaTheme="minorHAnsi"/>
          <w:szCs w:val="24"/>
        </w:rPr>
        <w:t>provides that —</w:t>
      </w:r>
    </w:p>
    <w:p>
      <w:pPr>
        <w:pStyle w:val="BlankOpen"/>
        <w:rPr>
          <w:snapToGrid w:val="0"/>
        </w:rPr>
      </w:pP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BlankClose"/>
        <w:rPr>
          <w:snapToGrid w:val="0"/>
        </w:rPr>
      </w:pPr>
    </w:p>
    <w:p>
      <w:pPr>
        <w:pStyle w:val="nNote"/>
        <w:rPr>
          <w:snapToGrid w:val="0"/>
        </w:rPr>
      </w:pPr>
      <w:del w:id="282" w:author="svcMRProcess" w:date="2020-09-11T15:09:00Z">
        <w:r>
          <w:rPr>
            <w:snapToGrid w:val="0"/>
            <w:vertAlign w:val="superscript"/>
          </w:rPr>
          <w:delText>5</w:delText>
        </w:r>
      </w:del>
      <w:ins w:id="283" w:author="svcMRProcess" w:date="2020-09-11T15:09:00Z">
        <w:r>
          <w:rPr>
            <w:snapToGrid w:val="0"/>
            <w:vertAlign w:val="superscript"/>
          </w:rPr>
          <w:t>4</w:t>
        </w:r>
      </w:ins>
      <w:r>
        <w:rPr>
          <w:snapToGrid w:val="0"/>
        </w:rPr>
        <w:tab/>
        <w:t xml:space="preserve">This amount is now declared to be $50 000; see proclamation in </w:t>
      </w:r>
      <w:r>
        <w:rPr>
          <w:i/>
          <w:snapToGrid w:val="0"/>
        </w:rPr>
        <w:t>Gazette</w:t>
      </w:r>
      <w:r>
        <w:rPr>
          <w:snapToGrid w:val="0"/>
        </w:rPr>
        <w:t xml:space="preserve"> 6 February 2009 p. 243.</w:t>
      </w:r>
    </w:p>
    <w:p>
      <w:pPr>
        <w:pStyle w:val="nSubsection"/>
        <w:rPr>
          <w:del w:id="284" w:author="svcMRProcess" w:date="2020-09-11T15:09:00Z"/>
          <w:snapToGrid w:val="0"/>
        </w:rPr>
      </w:pPr>
      <w:del w:id="285" w:author="svcMRProcess" w:date="2020-09-11T15:09:00Z">
        <w:r>
          <w:rPr>
            <w:snapToGrid w:val="0"/>
            <w:vertAlign w:val="superscript"/>
          </w:rPr>
          <w:delText>6</w:delText>
        </w:r>
        <w:r>
          <w:rPr>
            <w:snapToGrid w:val="0"/>
          </w:rPr>
          <w:tab/>
          <w:delText>In this compilation the numbering of Parts, sections, Divisions etc. effected in the 1934 reprint, the 1943 reprint (in Volume 2 of the Reprinted Acts of the Parliament of Western Australia) and subsequent reprints has been retained. References to the original numbering are contained in those reprints.</w:delText>
        </w:r>
      </w:del>
    </w:p>
    <w:p>
      <w:pPr>
        <w:pStyle w:val="nNote"/>
        <w:rPr>
          <w:snapToGrid w:val="0"/>
        </w:rPr>
      </w:pPr>
      <w:del w:id="286" w:author="svcMRProcess" w:date="2020-09-11T15:09:00Z">
        <w:r>
          <w:rPr>
            <w:snapToGrid w:val="0"/>
            <w:vertAlign w:val="superscript"/>
          </w:rPr>
          <w:delText>7</w:delText>
        </w:r>
      </w:del>
      <w:ins w:id="287" w:author="svcMRProcess" w:date="2020-09-11T15:09:00Z">
        <w:r>
          <w:rPr>
            <w:snapToGrid w:val="0"/>
            <w:vertAlign w:val="superscript"/>
          </w:rPr>
          <w:t>5</w:t>
        </w:r>
      </w:ins>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Note"/>
        <w:rPr>
          <w:snapToGrid w:val="0"/>
        </w:rPr>
      </w:pPr>
      <w:del w:id="288" w:author="svcMRProcess" w:date="2020-09-11T15:09:00Z">
        <w:r>
          <w:rPr>
            <w:vertAlign w:val="superscript"/>
          </w:rPr>
          <w:delText>8</w:delText>
        </w:r>
      </w:del>
      <w:ins w:id="289" w:author="svcMRProcess" w:date="2020-09-11T15:09:00Z">
        <w:r>
          <w:rPr>
            <w:vertAlign w:val="superscript"/>
          </w:rPr>
          <w:t>6</w:t>
        </w:r>
      </w:ins>
      <w:r>
        <w:tab/>
        <w:t xml:space="preserve">The </w:t>
      </w:r>
      <w:r>
        <w:rPr>
          <w:i/>
        </w:rPr>
        <w:t>Metric Conversion Act 1972</w:t>
      </w:r>
      <w:r>
        <w:t xml:space="preserve"> Second Schedule was inserted by the </w:t>
      </w:r>
      <w:r>
        <w:rPr>
          <w:i/>
        </w:rPr>
        <w:t>Metric Conversion Act Amendment Act 1973</w:t>
      </w:r>
      <w:r>
        <w:t xml:space="preserve"> s. 4.</w:t>
      </w:r>
    </w:p>
    <w:p>
      <w:pPr>
        <w:pStyle w:val="nNote"/>
        <w:rPr>
          <w:snapToGrid w:val="0"/>
        </w:rPr>
      </w:pPr>
      <w:del w:id="290" w:author="svcMRProcess" w:date="2020-09-11T15:09:00Z">
        <w:r>
          <w:rPr>
            <w:snapToGrid w:val="0"/>
            <w:vertAlign w:val="superscript"/>
          </w:rPr>
          <w:delText>9</w:delText>
        </w:r>
      </w:del>
      <w:ins w:id="291" w:author="svcMRProcess" w:date="2020-09-11T15:09:00Z">
        <w:r>
          <w:rPr>
            <w:snapToGrid w:val="0"/>
            <w:vertAlign w:val="superscript"/>
          </w:rPr>
          <w:t>7</w:t>
        </w:r>
      </w:ins>
      <w:r>
        <w:rPr>
          <w:snapToGrid w:val="0"/>
        </w:rPr>
        <w:tab/>
        <w:t xml:space="preserve">The </w:t>
      </w:r>
      <w:r>
        <w:rPr>
          <w:i/>
          <w:snapToGrid w:val="0"/>
        </w:rPr>
        <w:t>Death Duty Assessment Act 1973</w:t>
      </w:r>
      <w:r>
        <w:rPr>
          <w:snapToGrid w:val="0"/>
        </w:rPr>
        <w:t xml:space="preserve"> s. 3(2), (3), (4) and (5) are transitional provisions that are of no further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2" w:name="Compilation"/>
    <w:bookmarkEnd w:id="29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3" w:name="Coversheet"/>
    <w:bookmarkEnd w:id="2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472" w:type="dxa"/>
          <w:vAlign w:val="bottom"/>
        </w:tcPr>
        <w:p>
          <w:pPr>
            <w:pStyle w:val="Header"/>
            <w:spacing w:before="40"/>
            <w:jc w:val="right"/>
          </w:pPr>
          <w:r>
            <w:fldChar w:fldCharType="begin"/>
          </w:r>
          <w:r>
            <w:instrText>styleref CharSchText</w:instrText>
          </w:r>
          <w:r>
            <w:fldChar w:fldCharType="end"/>
          </w:r>
        </w:p>
      </w:tc>
      <w:tc>
        <w:tcPr>
          <w:tcW w:w="1791" w:type="dxa"/>
        </w:tcPr>
        <w:p>
          <w:pPr>
            <w:pStyle w:val="Header"/>
            <w:spacing w:before="40"/>
            <w:ind w:right="17"/>
            <w:jc w:val="right"/>
          </w:pPr>
          <w:r>
            <w:rPr>
              <w:b/>
            </w:rPr>
            <w:fldChar w:fldCharType="begin"/>
          </w:r>
          <w:r>
            <w:rPr>
              <w:b/>
            </w:rPr>
            <w:instrText>styleref CharSchno</w:instrText>
          </w:r>
          <w:r>
            <w:rPr>
              <w:b/>
            </w:rPr>
            <w:fldChar w:fldCharType="end"/>
          </w:r>
        </w:p>
      </w:tc>
    </w:tr>
    <w:tr>
      <w:tc>
        <w:tcPr>
          <w:tcW w:w="5472" w:type="dxa"/>
        </w:tcPr>
        <w:p>
          <w:pPr>
            <w:pStyle w:val="Header"/>
            <w:spacing w:before="40"/>
            <w:jc w:val="right"/>
          </w:pPr>
          <w:r>
            <w:fldChar w:fldCharType="begin"/>
          </w:r>
          <w:r>
            <w:instrText xml:space="preserve"> styleref CharSDivText </w:instrText>
          </w:r>
          <w:r>
            <w:fldChar w:fldCharType="end"/>
          </w:r>
        </w:p>
      </w:tc>
      <w:tc>
        <w:tcPr>
          <w:tcW w:w="17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3" w:name="Schedule"/>
    <w:bookmarkEnd w:id="2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91722"/>
    <w:docVar w:name="WAFER_20131217103833" w:val="RemoveTocBookmarks,RemoveUnusedBookmarks,RemoveLanguageTags,UsedStyles,ResetPageSize,UpdateArrangement"/>
    <w:docVar w:name="WAFER_20131217103833_GUID" w:val="cfa4c7ef-fee8-43f3-afa2-a33904d49808"/>
    <w:docVar w:name="WAFER_20150224150020" w:val="ResetPageSize,UpdateArrangement,UpdateNTable"/>
    <w:docVar w:name="WAFER_20150224150020_GUID" w:val="0c364d91-c34e-4a61-8eb8-2d077c3ea3ed"/>
    <w:docVar w:name="WAFER_20151102104300" w:val="UpdateStyles,UsedStyles"/>
    <w:docVar w:name="WAFER_20151102104300_GUID" w:val="5fe19683-e98b-47fa-9a6a-49c2e117047b"/>
    <w:docVar w:name="WAFER_20160105094042" w:val="RemoveTocBookmarks,RemoveUnusedBookmarks,RemoveLanguageTags,UsedStyles,ResetPageSize,RemoveTrackChanges,RemoveCustomizations"/>
    <w:docVar w:name="WAFER_20160105094042_GUID" w:val="2103c32e-c645-4963-817e-e86b7c9a5df7"/>
    <w:docVar w:name="WAFER_20160226100331" w:val="RemoveTocBookmarks,RemoveUnusedBookmarks,RemoveLanguageTags,UsedStyles,RemoveTrackChanges"/>
    <w:docVar w:name="WAFER_20160226100331_GUID" w:val="ec244383-0475-4df1-a92c-864f304c0c57"/>
    <w:docVar w:name="WAFER_202009110917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091722_GUID" w:val="75b8fbe4-6d0b-4cd4-bc8d-0624127d5d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8E5E-3F9A-471F-99B8-D727FDEC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15573</Words>
  <Characters>71173</Characters>
  <Application>Microsoft Office Word</Application>
  <DocSecurity>0</DocSecurity>
  <Lines>2033</Lines>
  <Paragraphs>932</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85814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12-b0-01 - 12-c0-00</dc:title>
  <dc:subject/>
  <dc:creator/>
  <cp:keywords/>
  <dc:description/>
  <cp:lastModifiedBy>svcMRProcess</cp:lastModifiedBy>
  <cp:revision>2</cp:revision>
  <cp:lastPrinted>2016-04-20T01:24:00Z</cp:lastPrinted>
  <dcterms:created xsi:type="dcterms:W3CDTF">2020-09-11T07:09:00Z</dcterms:created>
  <dcterms:modified xsi:type="dcterms:W3CDTF">2020-09-11T07:09:00Z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DocumentType">
    <vt:lpwstr>Act</vt:lpwstr>
  </property>
  <property fmtid="{D5CDD505-2E9C-101B-9397-08002B2CF9AE}" pid="4" name="OwlsUID">
    <vt:i4>5</vt:i4>
  </property>
  <property fmtid="{D5CDD505-2E9C-101B-9397-08002B2CF9AE}" pid="5" name="ReprintedAsAt">
    <vt:filetime>2016-04-14T16:00:00Z</vt:filetime>
  </property>
  <property fmtid="{D5CDD505-2E9C-101B-9397-08002B2CF9AE}" pid="6" name="ReprintNo">
    <vt:lpwstr>12</vt:lpwstr>
  </property>
  <property fmtid="{D5CDD505-2E9C-101B-9397-08002B2CF9AE}" pid="7" name="CommencementDate">
    <vt:lpwstr>20200912</vt:lpwstr>
  </property>
  <property fmtid="{D5CDD505-2E9C-101B-9397-08002B2CF9AE}" pid="8" name="FromSuffix">
    <vt:lpwstr>12-b0-01</vt:lpwstr>
  </property>
  <property fmtid="{D5CDD505-2E9C-101B-9397-08002B2CF9AE}" pid="9" name="FromAsAtDate">
    <vt:lpwstr>13 Sep 2017</vt:lpwstr>
  </property>
  <property fmtid="{D5CDD505-2E9C-101B-9397-08002B2CF9AE}" pid="10" name="ToSuffix">
    <vt:lpwstr>12-c0-00</vt:lpwstr>
  </property>
  <property fmtid="{D5CDD505-2E9C-101B-9397-08002B2CF9AE}" pid="11" name="ToAsAtDate">
    <vt:lpwstr>12 Sep 2020</vt:lpwstr>
  </property>
</Properties>
</file>