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2020</w:t>
      </w:r>
      <w:r>
        <w:fldChar w:fldCharType="end"/>
      </w:r>
      <w:r>
        <w:t xml:space="preserve">, </w:t>
      </w:r>
      <w:r>
        <w:fldChar w:fldCharType="begin"/>
      </w:r>
      <w:r>
        <w:instrText xml:space="preserve"> DocProperty FromSuffix </w:instrText>
      </w:r>
      <w:r>
        <w:fldChar w:fldCharType="separate"/>
      </w:r>
      <w:r>
        <w:t>08-l0-00</w:t>
      </w:r>
      <w:r>
        <w:fldChar w:fldCharType="end"/>
      </w:r>
      <w:r>
        <w:t>] and [</w:t>
      </w:r>
      <w:r>
        <w:fldChar w:fldCharType="begin"/>
      </w:r>
      <w:r>
        <w:instrText xml:space="preserve"> DocProperty ToAsAtDate</w:instrText>
      </w:r>
      <w:r>
        <w:fldChar w:fldCharType="separate"/>
      </w:r>
      <w:r>
        <w:t>28 Oct 2020</w:t>
      </w:r>
      <w:r>
        <w:fldChar w:fldCharType="end"/>
      </w:r>
      <w:r>
        <w:t xml:space="preserve">, </w:t>
      </w:r>
      <w:r>
        <w:fldChar w:fldCharType="begin"/>
      </w:r>
      <w:r>
        <w:instrText xml:space="preserve"> DocProperty ToSuffix</w:instrText>
      </w:r>
      <w:r>
        <w:fldChar w:fldCharType="separate"/>
      </w:r>
      <w:r>
        <w:t>08-m0-00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Real Estate and Business Agents Act 1978</w:t>
      </w:r>
    </w:p>
    <w:p>
      <w:pPr>
        <w:pStyle w:val="NameofActReg"/>
        <w:spacing w:before="360"/>
      </w:pPr>
      <w:r>
        <w:t>Real Estate and Business Agents (General) Regulations 1979</w:t>
      </w:r>
    </w:p>
    <w:p>
      <w:pPr>
        <w:pStyle w:val="Heading5"/>
        <w:spacing w:before="0"/>
        <w:rPr>
          <w:snapToGrid w:val="0"/>
        </w:rPr>
      </w:pPr>
      <w:bookmarkStart w:id="1" w:name="_Toc54595299"/>
      <w:bookmarkStart w:id="2" w:name="_Toc51842002"/>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w:t>
      </w:r>
    </w:p>
    <w:p>
      <w:pPr>
        <w:pStyle w:val="Heading5"/>
        <w:rPr>
          <w:snapToGrid w:val="0"/>
        </w:rPr>
      </w:pPr>
      <w:bookmarkStart w:id="4" w:name="_Toc54595300"/>
      <w:bookmarkStart w:id="5" w:name="_Toc51842003"/>
      <w:r>
        <w:rPr>
          <w:rStyle w:val="CharSectno"/>
        </w:rPr>
        <w:t>2</w:t>
      </w:r>
      <w:r>
        <w:rPr>
          <w:snapToGrid w:val="0"/>
        </w:rPr>
        <w:t>.</w:t>
      </w:r>
      <w:r>
        <w:rPr>
          <w:snapToGrid w:val="0"/>
        </w:rPr>
        <w:tab/>
        <w:t>Terms used</w:t>
      </w:r>
      <w:bookmarkEnd w:id="4"/>
      <w:bookmarkEnd w:id="5"/>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CPD activity</w:t>
      </w:r>
      <w:r>
        <w:t>, in relation to a calendar year, means an educational activity approved for that calendar year in accordance with regulation 4AA(1);</w:t>
      </w:r>
    </w:p>
    <w:p>
      <w:pPr>
        <w:pStyle w:val="Defstart"/>
      </w:pPr>
      <w:r>
        <w:tab/>
      </w:r>
      <w:r>
        <w:rPr>
          <w:rStyle w:val="CharDefText"/>
        </w:rPr>
        <w:t>CPD subject</w:t>
      </w:r>
      <w:r>
        <w:t xml:space="preserve"> means a subject listed in Schedule 1A;</w:t>
      </w:r>
    </w:p>
    <w:p>
      <w:pPr>
        <w:pStyle w:val="Defstart"/>
        <w:rPr>
          <w:ins w:id="6" w:author="Master Repository Process" w:date="2021-09-12T15:21:00Z"/>
        </w:rPr>
      </w:pPr>
      <w:ins w:id="7" w:author="Master Repository Process" w:date="2021-09-12T15:21:00Z">
        <w:r>
          <w:tab/>
        </w:r>
        <w:r>
          <w:rPr>
            <w:rStyle w:val="CharDefText"/>
          </w:rPr>
          <w:t>designated period</w:t>
        </w:r>
        <w:r>
          <w:t xml:space="preserve"> means the period — </w:t>
        </w:r>
      </w:ins>
    </w:p>
    <w:p>
      <w:pPr>
        <w:pStyle w:val="Defpara"/>
        <w:rPr>
          <w:ins w:id="8" w:author="Master Repository Process" w:date="2021-09-12T15:21:00Z"/>
        </w:rPr>
      </w:pPr>
      <w:ins w:id="9" w:author="Master Repository Process" w:date="2021-09-12T15:21:00Z">
        <w:r>
          <w:tab/>
          <w:t>(a)</w:t>
        </w:r>
        <w:r>
          <w:tab/>
          <w:t xml:space="preserve">beginning on the day on which the </w:t>
        </w:r>
        <w:r>
          <w:rPr>
            <w:i/>
          </w:rPr>
          <w:t>Commerce Regulations Amendment (COVID</w:t>
        </w:r>
        <w:r>
          <w:rPr>
            <w:i/>
          </w:rPr>
          <w:noBreakHyphen/>
          <w:t>19 Response) Regulations (No. 2) 2020</w:t>
        </w:r>
        <w:r>
          <w:t xml:space="preserve"> regulation 58 comes into operation; and</w:t>
        </w:r>
      </w:ins>
    </w:p>
    <w:p>
      <w:pPr>
        <w:pStyle w:val="Defpara"/>
        <w:rPr>
          <w:ins w:id="10" w:author="Master Repository Process" w:date="2021-09-12T15:21:00Z"/>
        </w:rPr>
      </w:pPr>
      <w:ins w:id="11" w:author="Master Repository Process" w:date="2021-09-12T15:21:00Z">
        <w:r>
          <w:tab/>
          <w:t>(b)</w:t>
        </w:r>
        <w:r>
          <w:tab/>
          <w:t>ending on 31 March 2021;</w:t>
        </w:r>
      </w:ins>
    </w:p>
    <w:p>
      <w:pPr>
        <w:pStyle w:val="Defstart"/>
        <w:keepNext/>
        <w:spacing w:before="90"/>
      </w:pPr>
      <w:r>
        <w:tab/>
      </w:r>
      <w:r>
        <w:rPr>
          <w:rStyle w:val="CharDefText"/>
        </w:rPr>
        <w:t>educational activity</w:t>
      </w:r>
      <w:r>
        <w:t xml:space="preserve"> means —</w:t>
      </w:r>
    </w:p>
    <w:p>
      <w:pPr>
        <w:pStyle w:val="Defpara"/>
        <w:spacing w:before="90"/>
      </w:pPr>
      <w:r>
        <w:tab/>
        <w:t>(a)</w:t>
      </w:r>
      <w:r>
        <w:tab/>
        <w:t>attendance, including by means of audiolink or videolink, at a specific training course provided by a specific body or person and successful completion of any assessment requirements for that course; or</w:t>
      </w:r>
    </w:p>
    <w:p>
      <w:pPr>
        <w:pStyle w:val="Defpara"/>
        <w:spacing w:before="90"/>
      </w:pPr>
      <w:r>
        <w:tab/>
        <w:t>(b)</w:t>
      </w:r>
      <w:r>
        <w:tab/>
        <w:t>attendance, including by means of audiolink or videolink, at a specific seminar presented by a specific body or person and successful completion of any assessment requirements for that seminar; or</w:t>
      </w:r>
    </w:p>
    <w:p>
      <w:pPr>
        <w:pStyle w:val="Defpara"/>
        <w:spacing w:before="90"/>
      </w:pPr>
      <w:r>
        <w:tab/>
        <w:t>(c)</w:t>
      </w:r>
      <w:r>
        <w:tab/>
        <w:t>viewing of a specific recording, and successful completion of any assessment requirements for that viewing; or</w:t>
      </w:r>
    </w:p>
    <w:p>
      <w:pPr>
        <w:pStyle w:val="Defpara"/>
        <w:keepLines/>
        <w:spacing w:before="90"/>
      </w:pPr>
      <w:r>
        <w:tab/>
        <w:t>(d)</w:t>
      </w:r>
      <w:r>
        <w:tab/>
        <w:t>participation in a specific course of study, or a specific component of a course of study, and successful completion of any assessment requirements for that course or component;</w:t>
      </w:r>
    </w:p>
    <w:p>
      <w:pPr>
        <w:pStyle w:val="Defstart"/>
        <w:spacing w:before="90"/>
      </w:pPr>
      <w:r>
        <w:tab/>
      </w:r>
      <w:r>
        <w:rPr>
          <w:rStyle w:val="CharDefText"/>
        </w:rPr>
        <w:t>mandatory CPD activity</w:t>
      </w:r>
      <w:r>
        <w:t>, in relation to the calendar year 2009 or any subsequent calendar year, means a CPD activity for that year which the Commissioner has specified as a mandatory CPD activity for that year in accordance with regulation 4AA(3)(b);</w:t>
      </w:r>
    </w:p>
    <w:p>
      <w:pPr>
        <w:pStyle w:val="Defstart"/>
        <w:spacing w:before="90"/>
      </w:pPr>
      <w:r>
        <w:tab/>
      </w:r>
      <w:r>
        <w:rPr>
          <w:rStyle w:val="CharDefText"/>
        </w:rPr>
        <w:t>mandatory CPD subject</w:t>
      </w:r>
      <w:r>
        <w:t>, in relation to either of the calendar years 2007 and 2008, means a CPD subject which is a mandatory subject for that calendar year under or in accordance with regulations in force with respect to that calendar year;</w:t>
      </w:r>
    </w:p>
    <w:p>
      <w:pPr>
        <w:pStyle w:val="Defstart"/>
        <w:spacing w:before="90"/>
      </w:pPr>
      <w:r>
        <w:tab/>
      </w:r>
      <w:r>
        <w:rPr>
          <w:rStyle w:val="CharDefText"/>
        </w:rPr>
        <w:t>point value</w:t>
      </w:r>
      <w:r>
        <w:t xml:space="preserve"> means —</w:t>
      </w:r>
    </w:p>
    <w:p>
      <w:pPr>
        <w:pStyle w:val="Defpara"/>
        <w:spacing w:before="90"/>
      </w:pPr>
      <w:r>
        <w:tab/>
        <w:t>(a)</w:t>
      </w:r>
      <w:r>
        <w:tab/>
        <w:t>in relation to a CPD activity approved for the calendar year 2009 or any subsequent calendar year, the point value specified under regulation 4AA(2)(a); and</w:t>
      </w:r>
    </w:p>
    <w:p>
      <w:pPr>
        <w:pStyle w:val="Defpara"/>
        <w:spacing w:before="90"/>
      </w:pPr>
      <w:r>
        <w:tab/>
        <w:t>(b)</w:t>
      </w:r>
      <w:r>
        <w:tab/>
        <w:t>in relation to a CPD activity approved for either of the calendar years 2007 or 2008, the point value specified or determined in accordance with regulations in force at the time of approval;</w:t>
      </w:r>
    </w:p>
    <w:p>
      <w:pPr>
        <w:pStyle w:val="Defstart"/>
        <w:keepNex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tab/>
      </w:r>
      <w:r>
        <w:rPr>
          <w:rStyle w:val="CharDefText"/>
        </w:rPr>
        <w:t>regulated person</w:t>
      </w:r>
      <w:r>
        <w:t xml:space="preserve"> means a licensee to whom regulation 4AB applies or a sales representative to whom regulation 4AC applies;</w:t>
      </w:r>
    </w:p>
    <w:p>
      <w:pPr>
        <w:pStyle w:val="Defstart"/>
      </w:pPr>
      <w:r>
        <w:tab/>
      </w:r>
      <w:r>
        <w:rPr>
          <w:rStyle w:val="CharDefText"/>
        </w:rPr>
        <w:t>relevant day</w:t>
      </w:r>
      <w:r>
        <w:t>, for a calendar year, means —</w:t>
      </w:r>
    </w:p>
    <w:p>
      <w:pPr>
        <w:pStyle w:val="Defpara"/>
      </w:pPr>
      <w:r>
        <w:tab/>
        <w:t>(a)</w:t>
      </w:r>
      <w:r>
        <w:tab/>
        <w:t xml:space="preserve">for the calendar year 2009, the day which is 14 days after the day on which regulation 5 of the </w:t>
      </w:r>
      <w:r>
        <w:rPr>
          <w:i/>
          <w:iCs/>
        </w:rPr>
        <w:t>Real Estate and Business Agents (General) Amendment Regulations 2009</w:t>
      </w:r>
      <w:r>
        <w:t xml:space="preserve"> comes into operation; and</w:t>
      </w:r>
    </w:p>
    <w:p>
      <w:pPr>
        <w:pStyle w:val="Defpara"/>
      </w:pPr>
      <w:r>
        <w:tab/>
        <w:t>(b)</w:t>
      </w:r>
      <w:r>
        <w:tab/>
        <w:t>for the calendar year 2010 and each subsequent calendar year, 1 January in that calendar year;</w:t>
      </w:r>
    </w:p>
    <w:p>
      <w:pPr>
        <w:pStyle w:val="Defstart"/>
      </w:pPr>
      <w:r>
        <w:tab/>
      </w:r>
      <w:r>
        <w:rPr>
          <w:rStyle w:val="CharDefText"/>
        </w:rPr>
        <w:t>working day</w:t>
      </w:r>
      <w:r>
        <w:t xml:space="preserve"> means a day that is not a Saturday, Sunday, public holiday or public service holiday.</w:t>
      </w:r>
    </w:p>
    <w:p>
      <w:pPr>
        <w:pStyle w:val="Footnotesection"/>
      </w:pPr>
      <w:r>
        <w:tab/>
        <w:t>[Regulation 2 inserted: Gazette 25 Jun 1996 p. 2918; amended: Gazette 7 Feb 2003 p. 385; 28 Dec 2007 p. 6403</w:t>
      </w:r>
      <w:r>
        <w:noBreakHyphen/>
        <w:t>4; 17 Apr 2009 p. 1319</w:t>
      </w:r>
      <w:r>
        <w:noBreakHyphen/>
        <w:t>21; 30 Jun 2011 p. 2671; 24 Dec 2019 p. 4417-18</w:t>
      </w:r>
      <w:ins w:id="12" w:author="Master Repository Process" w:date="2021-09-12T15:21:00Z">
        <w:r>
          <w:t>; SL 2020/196 r. 56</w:t>
        </w:r>
      </w:ins>
      <w:r>
        <w:t>.]</w:t>
      </w:r>
    </w:p>
    <w:p>
      <w:pPr>
        <w:pStyle w:val="Ednotesection"/>
      </w:pPr>
      <w:r>
        <w:t>[</w:t>
      </w:r>
      <w:r>
        <w:rPr>
          <w:b/>
        </w:rPr>
        <w:t>3.</w:t>
      </w:r>
      <w:r>
        <w:tab/>
        <w:t>Deleted: Gazette 30 Jun 2011 p. 2669.]</w:t>
      </w:r>
    </w:p>
    <w:p>
      <w:pPr>
        <w:pStyle w:val="Heading5"/>
      </w:pPr>
      <w:bookmarkStart w:id="13" w:name="_Toc54595301"/>
      <w:bookmarkStart w:id="14" w:name="_Toc51842004"/>
      <w:r>
        <w:rPr>
          <w:rStyle w:val="CharSectno"/>
        </w:rPr>
        <w:t>3A</w:t>
      </w:r>
      <w:r>
        <w:t>.</w:t>
      </w:r>
      <w:r>
        <w:tab/>
        <w:t>Prescribed duty (Act s. 4(4)(d))</w:t>
      </w:r>
      <w:bookmarkEnd w:id="13"/>
      <w:bookmarkEnd w:id="14"/>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Gazette 24 Jul 2007 p. 3660.]</w:t>
      </w:r>
    </w:p>
    <w:p>
      <w:pPr>
        <w:pStyle w:val="Heading5"/>
      </w:pPr>
      <w:bookmarkStart w:id="15" w:name="_Toc54595302"/>
      <w:bookmarkStart w:id="16" w:name="_Toc51842005"/>
      <w:r>
        <w:rPr>
          <w:rStyle w:val="CharSectno"/>
        </w:rPr>
        <w:t>4</w:t>
      </w:r>
      <w:r>
        <w:t>.</w:t>
      </w:r>
      <w:r>
        <w:tab/>
        <w:t>Fees (Sch. 1)</w:t>
      </w:r>
      <w:bookmarkEnd w:id="15"/>
      <w:bookmarkEnd w:id="16"/>
    </w:p>
    <w:p>
      <w:pPr>
        <w:pStyle w:val="Subsection"/>
        <w:rPr>
          <w:snapToGrid w:val="0"/>
        </w:rPr>
      </w:pPr>
      <w:r>
        <w:rPr>
          <w:snapToGrid w:val="0"/>
        </w:rPr>
        <w:tab/>
        <w:t>(1)</w:t>
      </w:r>
      <w:r>
        <w:rPr>
          <w:snapToGrid w:val="0"/>
        </w:rPr>
        <w:tab/>
        <w:t>The fees set out in Schedule 1 shall be payable in respect of the matters prescribed in that Schedule.</w:t>
      </w:r>
    </w:p>
    <w:p>
      <w:pPr>
        <w:pStyle w:val="Subsection"/>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[Regulation 4 amended: Gazette 2 Jul 1982 p. 2334; 25 Jun 1996 p. 2924.]</w:t>
      </w:r>
    </w:p>
    <w:p>
      <w:pPr>
        <w:pStyle w:val="Heading5"/>
        <w:rPr>
          <w:snapToGrid w:val="0"/>
        </w:rPr>
      </w:pPr>
      <w:bookmarkStart w:id="17" w:name="_Toc54595303"/>
      <w:bookmarkStart w:id="18" w:name="_Toc51842006"/>
      <w:r>
        <w:rPr>
          <w:rStyle w:val="CharSectno"/>
        </w:rPr>
        <w:t>4A</w:t>
      </w:r>
      <w:r>
        <w:rPr>
          <w:snapToGrid w:val="0"/>
        </w:rPr>
        <w:t>.</w:t>
      </w:r>
      <w:r>
        <w:rPr>
          <w:snapToGrid w:val="0"/>
        </w:rPr>
        <w:tab/>
        <w:t xml:space="preserve">Holding </w:t>
      </w:r>
      <w:r>
        <w:t>fee</w:t>
      </w:r>
      <w:bookmarkEnd w:id="17"/>
      <w:bookmarkEnd w:id="18"/>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Schedule 1 item 12 and referred to in section 30(2a)(b) of the Act.</w:t>
      </w:r>
    </w:p>
    <w:p>
      <w:pPr>
        <w:pStyle w:val="Subsection"/>
        <w:keepNext/>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25 Jun 1996 p. 2924; amended: Gazette 17 Jun 2008 p. 2558; 30 Jun 2011 p. 2671; 18 Jun 2019 p. 2110.]</w:t>
      </w:r>
    </w:p>
    <w:p>
      <w:pPr>
        <w:pStyle w:val="Heading5"/>
        <w:rPr>
          <w:ins w:id="19" w:author="Master Repository Process" w:date="2021-09-12T15:21:00Z"/>
        </w:rPr>
      </w:pPr>
      <w:bookmarkStart w:id="20" w:name="_Toc54595304"/>
      <w:ins w:id="21" w:author="Master Repository Process" w:date="2021-09-12T15:21:00Z">
        <w:r>
          <w:rPr>
            <w:rStyle w:val="CharSectno"/>
          </w:rPr>
          <w:t>4AAA</w:t>
        </w:r>
        <w:r>
          <w:t>.</w:t>
        </w:r>
        <w:r>
          <w:tab/>
          <w:t>Refund of fees in response to COVID</w:t>
        </w:r>
        <w:r>
          <w:noBreakHyphen/>
          <w:t>19 pandemic</w:t>
        </w:r>
        <w:bookmarkEnd w:id="20"/>
      </w:ins>
    </w:p>
    <w:p>
      <w:pPr>
        <w:pStyle w:val="Subsection"/>
        <w:rPr>
          <w:ins w:id="22" w:author="Master Repository Process" w:date="2021-09-12T15:21:00Z"/>
        </w:rPr>
      </w:pPr>
      <w:ins w:id="23" w:author="Master Repository Process" w:date="2021-09-12T15:21:00Z">
        <w:r>
          <w:tab/>
          <w:t>(1)</w:t>
        </w:r>
        <w:r>
          <w:tab/>
          <w:t xml:space="preserve">In this regulation — </w:t>
        </w:r>
      </w:ins>
    </w:p>
    <w:p>
      <w:pPr>
        <w:pStyle w:val="Defstart"/>
        <w:rPr>
          <w:ins w:id="24" w:author="Master Repository Process" w:date="2021-09-12T15:21:00Z"/>
        </w:rPr>
      </w:pPr>
      <w:ins w:id="25" w:author="Master Repository Process" w:date="2021-09-12T15:21:00Z">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58 comes into operation;</w:t>
        </w:r>
      </w:ins>
    </w:p>
    <w:p>
      <w:pPr>
        <w:pStyle w:val="Defstart"/>
        <w:rPr>
          <w:ins w:id="26" w:author="Master Repository Process" w:date="2021-09-12T15:21:00Z"/>
        </w:rPr>
      </w:pPr>
      <w:ins w:id="27" w:author="Master Repository Process" w:date="2021-09-12T15:21:00Z">
        <w:r>
          <w:tab/>
        </w:r>
        <w:r>
          <w:rPr>
            <w:rStyle w:val="CharDefText"/>
          </w:rPr>
          <w:t>designated fee</w:t>
        </w:r>
        <w:r>
          <w:t xml:space="preserve"> means a fee set out in Schedule 1 as in force on 1 April 2020;</w:t>
        </w:r>
      </w:ins>
    </w:p>
    <w:p>
      <w:pPr>
        <w:pStyle w:val="Defstart"/>
        <w:rPr>
          <w:ins w:id="28" w:author="Master Repository Process" w:date="2021-09-12T15:21:00Z"/>
        </w:rPr>
      </w:pPr>
      <w:ins w:id="29" w:author="Master Repository Process" w:date="2021-09-12T15:21:00Z">
        <w:r>
          <w:tab/>
        </w:r>
        <w:r>
          <w:rPr>
            <w:rStyle w:val="CharDefText"/>
          </w:rPr>
          <w:t>reduced fee</w:t>
        </w:r>
        <w:r>
          <w:t xml:space="preserve"> means a fee set out in Column 2 of Schedule 1.</w:t>
        </w:r>
      </w:ins>
    </w:p>
    <w:p>
      <w:pPr>
        <w:pStyle w:val="Subsection"/>
        <w:rPr>
          <w:ins w:id="30" w:author="Master Repository Process" w:date="2021-09-12T15:21:00Z"/>
        </w:rPr>
      </w:pPr>
      <w:ins w:id="31" w:author="Master Repository Process" w:date="2021-09-12T15:21:00Z">
        <w:r>
          <w:tab/>
          <w:t>(2)</w:t>
        </w:r>
        <w:r>
          <w:tab/>
          <w:t xml:space="preserve">This regulation applies if — </w:t>
        </w:r>
      </w:ins>
    </w:p>
    <w:p>
      <w:pPr>
        <w:pStyle w:val="Indenta"/>
        <w:rPr>
          <w:ins w:id="32" w:author="Master Repository Process" w:date="2021-09-12T15:21:00Z"/>
        </w:rPr>
      </w:pPr>
      <w:ins w:id="33" w:author="Master Repository Process" w:date="2021-09-12T15:21:00Z">
        <w:r>
          <w:tab/>
          <w:t>(a)</w:t>
        </w:r>
        <w:r>
          <w:tab/>
          <w:t>a person paid a designated fee during the period beginning on 1 April 2020 and ending on the day before commencement day; and</w:t>
        </w:r>
      </w:ins>
    </w:p>
    <w:p>
      <w:pPr>
        <w:pStyle w:val="Indenta"/>
        <w:rPr>
          <w:ins w:id="34" w:author="Master Repository Process" w:date="2021-09-12T15:21:00Z"/>
        </w:rPr>
      </w:pPr>
      <w:ins w:id="35" w:author="Master Repository Process" w:date="2021-09-12T15:21:00Z">
        <w:r>
          <w:tab/>
          <w:t>(b)</w:t>
        </w:r>
        <w:r>
          <w:tab/>
          <w:t>the designated fee is greater than the corresponding reduced fee.</w:t>
        </w:r>
      </w:ins>
    </w:p>
    <w:p>
      <w:pPr>
        <w:pStyle w:val="Subsection"/>
        <w:rPr>
          <w:ins w:id="36" w:author="Master Repository Process" w:date="2021-09-12T15:21:00Z"/>
        </w:rPr>
      </w:pPr>
      <w:ins w:id="37" w:author="Master Repository Process" w:date="2021-09-12T15:21:00Z">
        <w:r>
          <w:tab/>
          <w:t>(3)</w:t>
        </w:r>
        <w:r>
          <w:tab/>
          <w:t>The Commissioner must refund to the person an amount equal to the difference between the designated fee and the corresponding reduced fee.</w:t>
        </w:r>
      </w:ins>
    </w:p>
    <w:p>
      <w:pPr>
        <w:pStyle w:val="Subsection"/>
        <w:rPr>
          <w:ins w:id="38" w:author="Master Repository Process" w:date="2021-09-12T15:21:00Z"/>
        </w:rPr>
      </w:pPr>
      <w:ins w:id="39" w:author="Master Repository Process" w:date="2021-09-12T15:21:00Z">
        <w:r>
          <w:tab/>
          <w:t>(4)</w:t>
        </w:r>
        <w:r>
          <w:tab/>
          <w:t>However, subregulation (3) does not require the Commissioner to refund an amount in respect of a fee or a part of a fee that has been refunded under regulation 4A(3).</w:t>
        </w:r>
      </w:ins>
    </w:p>
    <w:p>
      <w:pPr>
        <w:pStyle w:val="Footnotesection"/>
        <w:rPr>
          <w:ins w:id="40" w:author="Master Repository Process" w:date="2021-09-12T15:21:00Z"/>
        </w:rPr>
      </w:pPr>
      <w:ins w:id="41" w:author="Master Repository Process" w:date="2021-09-12T15:21:00Z">
        <w:r>
          <w:tab/>
          <w:t>[Regulation 4AAA inserted: SL 2020/196 r. 57.]</w:t>
        </w:r>
      </w:ins>
    </w:p>
    <w:p>
      <w:pPr>
        <w:pStyle w:val="Heading5"/>
      </w:pPr>
      <w:bookmarkStart w:id="42" w:name="_Toc54595305"/>
      <w:bookmarkStart w:id="43" w:name="_Toc51842007"/>
      <w:r>
        <w:rPr>
          <w:rStyle w:val="CharSectno"/>
        </w:rPr>
        <w:t>4AA</w:t>
      </w:r>
      <w:r>
        <w:t>.</w:t>
      </w:r>
      <w:r>
        <w:tab/>
        <w:t>CPD activities</w:t>
      </w:r>
      <w:bookmarkEnd w:id="42"/>
      <w:bookmarkEnd w:id="43"/>
    </w:p>
    <w:p>
      <w:pPr>
        <w:pStyle w:val="Subsection"/>
      </w:pPr>
      <w:r>
        <w:tab/>
        <w:t>(1)</w:t>
      </w:r>
      <w:r>
        <w:tab/>
        <w:t>For each calendar year the Commissioner is to approve educational activities in accordance with this regulation.</w:t>
      </w:r>
    </w:p>
    <w:p>
      <w:pPr>
        <w:pStyle w:val="Subsection"/>
      </w:pPr>
      <w:r>
        <w:tab/>
        <w:t>(2)</w:t>
      </w:r>
      <w:r>
        <w:tab/>
        <w:t>In approving an educational activity under subregulation (1) —</w:t>
      </w:r>
    </w:p>
    <w:p>
      <w:pPr>
        <w:pStyle w:val="Indenta"/>
      </w:pPr>
      <w:r>
        <w:tab/>
        <w:t>(a)</w:t>
      </w:r>
      <w:r>
        <w:tab/>
        <w:t>the Commissioner is to specify a point value for the educational activity, and may specify different point values in relation to different regulated persons or classes of regulated persons; and</w:t>
      </w:r>
    </w:p>
    <w:p>
      <w:pPr>
        <w:pStyle w:val="Indenta"/>
      </w:pPr>
      <w:r>
        <w:tab/>
        <w:t>(b)</w:t>
      </w:r>
      <w:r>
        <w:tab/>
        <w:t>the Commissioner is to specify the CPD subject or CPD subjects in relation to which the educational activity is approved; and</w:t>
      </w:r>
    </w:p>
    <w:p>
      <w:pPr>
        <w:pStyle w:val="Indenta"/>
      </w:pPr>
      <w:r>
        <w:tab/>
        <w:t>(c)</w:t>
      </w:r>
      <w:r>
        <w:tab/>
        <w:t>the Commissioner may approve the educational activity in relation only to specified regulated persons or a specified class of regulated persons.</w:t>
      </w:r>
    </w:p>
    <w:p>
      <w:pPr>
        <w:pStyle w:val="Subsection"/>
        <w:keepNext/>
      </w:pPr>
      <w:r>
        <w:tab/>
        <w:t>(3)</w:t>
      </w:r>
      <w:r>
        <w:tab/>
        <w:t>Before the relevant day for each calendar year, in relation to each regulated person —</w:t>
      </w:r>
    </w:p>
    <w:p>
      <w:pPr>
        <w:pStyle w:val="Indenta"/>
      </w:pPr>
      <w:r>
        <w:tab/>
        <w:t>(a)</w:t>
      </w:r>
      <w:r>
        <w:tab/>
        <w:t>the Commissioner is to approve educational activities for that calendar year under subregulation (1) which have an aggregate point value of at least 10; and</w:t>
      </w:r>
    </w:p>
    <w:p>
      <w:pPr>
        <w:pStyle w:val="Indenta"/>
      </w:pPr>
      <w:r>
        <w:tab/>
        <w:t>(b)</w:t>
      </w:r>
      <w:r>
        <w:tab/>
        <w:t>the Commissioner may specify one or more CPD activities for that calendar year as mandatory CPD activities for that calendar year.</w:t>
      </w:r>
    </w:p>
    <w:p>
      <w:pPr>
        <w:pStyle w:val="Subsection"/>
      </w:pPr>
      <w:r>
        <w:tab/>
        <w:t>(4)</w:t>
      </w:r>
      <w:r>
        <w:tab/>
        <w:t>At any time after the relevant day for each calendar year the Commissioner may approve further educational activities for that calendar year under subregulation (1).</w:t>
      </w:r>
    </w:p>
    <w:p>
      <w:pPr>
        <w:pStyle w:val="Subsection"/>
      </w:pPr>
      <w:r>
        <w:tab/>
        <w:t>(5)</w:t>
      </w:r>
      <w:r>
        <w:tab/>
        <w:t>Throughout each calendar year the Commissioner is to maintain on the website maintained by the Commissioner an up</w:t>
      </w:r>
      <w:r>
        <w:noBreakHyphen/>
        <w:t>to</w:t>
      </w:r>
      <w:r>
        <w:noBreakHyphen/>
        <w:t>date notice setting out —</w:t>
      </w:r>
    </w:p>
    <w:p>
      <w:pPr>
        <w:pStyle w:val="Indenta"/>
      </w:pPr>
      <w:r>
        <w:tab/>
        <w:t>(a)</w:t>
      </w:r>
      <w:r>
        <w:tab/>
        <w:t>sufficient details to identify each CPD activity for that calendar year for each regulated person; and</w:t>
      </w:r>
    </w:p>
    <w:p>
      <w:pPr>
        <w:pStyle w:val="Indenta"/>
      </w:pPr>
      <w:r>
        <w:tab/>
        <w:t>(b)</w:t>
      </w:r>
      <w:r>
        <w:tab/>
        <w:t>in relation to each CPD activity —</w:t>
      </w:r>
    </w:p>
    <w:p>
      <w:pPr>
        <w:pStyle w:val="Indenti"/>
      </w:pPr>
      <w:r>
        <w:tab/>
        <w:t>(i)</w:t>
      </w:r>
      <w:r>
        <w:tab/>
        <w:t>the CPD subject to which it relates; and</w:t>
      </w:r>
    </w:p>
    <w:p>
      <w:pPr>
        <w:pStyle w:val="Indenti"/>
      </w:pPr>
      <w:r>
        <w:tab/>
        <w:t>(ii)</w:t>
      </w:r>
      <w:r>
        <w:tab/>
        <w:t>its point value;</w:t>
      </w:r>
    </w:p>
    <w:p>
      <w:pPr>
        <w:pStyle w:val="Indenta"/>
      </w:pPr>
      <w:r>
        <w:tab/>
      </w:r>
      <w:r>
        <w:tab/>
        <w:t>and</w:t>
      </w:r>
    </w:p>
    <w:p>
      <w:pPr>
        <w:pStyle w:val="Indenta"/>
      </w:pPr>
      <w:r>
        <w:tab/>
        <w:t>(c)</w:t>
      </w:r>
      <w:r>
        <w:tab/>
        <w:t>if the Commissioner has specified mandatory CPD activities for that year in accordance with subregulation (3)(b), sufficient details to identify the mandatory CPD activities for each regulated person.</w:t>
      </w:r>
    </w:p>
    <w:p>
      <w:pPr>
        <w:pStyle w:val="Footnotesection"/>
      </w:pPr>
      <w:r>
        <w:tab/>
        <w:t>[Regulation 4AA inserted: Gazette 17 Apr 2009 p. 1321</w:t>
      </w:r>
      <w:r>
        <w:noBreakHyphen/>
        <w:t>2; amended: Gazette 30 Jun 2011 p. 2671.]</w:t>
      </w:r>
    </w:p>
    <w:p>
      <w:pPr>
        <w:pStyle w:val="Heading5"/>
      </w:pPr>
      <w:bookmarkStart w:id="44" w:name="_Toc54595306"/>
      <w:bookmarkStart w:id="45" w:name="_Toc51842008"/>
      <w:r>
        <w:rPr>
          <w:rStyle w:val="CharSectno"/>
        </w:rPr>
        <w:t>4AB</w:t>
      </w:r>
      <w:r>
        <w:t>.</w:t>
      </w:r>
      <w:r>
        <w:tab/>
        <w:t>Prescribed educational requirement for licensees who are individuals (Act s. 40B)</w:t>
      </w:r>
      <w:bookmarkEnd w:id="44"/>
      <w:bookmarkEnd w:id="45"/>
    </w:p>
    <w:p>
      <w:pPr>
        <w:pStyle w:val="Subsection"/>
        <w:keepNext/>
      </w:pPr>
      <w:r>
        <w:tab/>
        <w:t>(1)</w:t>
      </w:r>
      <w:r>
        <w:tab/>
        <w:t xml:space="preserve">For the purposes of section 40B of the Act, the prescribed educational requirement for a licensee who is an individual is that the licensee undertake CPD activities in each calendar year that — </w:t>
      </w:r>
    </w:p>
    <w:p>
      <w:pPr>
        <w:pStyle w:val="Indenta"/>
      </w:pPr>
      <w:r>
        <w:tab/>
        <w:t>(a)</w:t>
      </w:r>
      <w:r>
        <w:tab/>
        <w:t>when the points specified for each activity under regulation 4AA(2)(a) are added together, have a total value of 10 points; and</w:t>
      </w:r>
    </w:p>
    <w:p>
      <w:pPr>
        <w:pStyle w:val="Indenta"/>
      </w:pPr>
      <w:r>
        <w:tab/>
        <w:t>(b)</w:t>
      </w:r>
      <w:r>
        <w:tab/>
        <w:t>include any mandatory CPD activities in relation to that licensee for that calendar year.</w:t>
      </w:r>
    </w:p>
    <w:p>
      <w:pPr>
        <w:pStyle w:val="Subsection"/>
      </w:pPr>
      <w:r>
        <w:tab/>
        <w:t>(2)</w:t>
      </w:r>
      <w:r>
        <w:tab/>
        <w:t>However, a licensee is not required to comply with subregulation (1) in the calendar year in which the licensee’s licence and triennial certificate are first issued.</w:t>
      </w:r>
    </w:p>
    <w:p>
      <w:pPr>
        <w:pStyle w:val="Footnotesection"/>
      </w:pPr>
      <w:r>
        <w:tab/>
        <w:t>[Regulation 4AB inserted: Gazette 24 Dec 2019 p. 4418.]</w:t>
      </w:r>
    </w:p>
    <w:p>
      <w:pPr>
        <w:pStyle w:val="Heading5"/>
      </w:pPr>
      <w:bookmarkStart w:id="46" w:name="_Toc54595307"/>
      <w:bookmarkStart w:id="47" w:name="_Toc51842009"/>
      <w:r>
        <w:rPr>
          <w:rStyle w:val="CharSectno"/>
        </w:rPr>
        <w:t>4AC</w:t>
      </w:r>
      <w:r>
        <w:t>.</w:t>
      </w:r>
      <w:r>
        <w:tab/>
        <w:t>Prescribed educational requirement for sales representatives (Act s. 50C)</w:t>
      </w:r>
      <w:bookmarkEnd w:id="46"/>
      <w:bookmarkEnd w:id="47"/>
    </w:p>
    <w:p>
      <w:pPr>
        <w:pStyle w:val="Subsection"/>
      </w:pPr>
      <w:r>
        <w:tab/>
        <w:t>(1)</w:t>
      </w:r>
      <w:r>
        <w:tab/>
        <w:t xml:space="preserve">For the purposes of section 50C of the Act, the prescribed educational requirement for a sales representative is that the representative undertake CPD activities in each calendar year that — </w:t>
      </w:r>
    </w:p>
    <w:p>
      <w:pPr>
        <w:pStyle w:val="Indenta"/>
      </w:pPr>
      <w:r>
        <w:tab/>
        <w:t>(a)</w:t>
      </w:r>
      <w:r>
        <w:tab/>
        <w:t>when the points specified for each activity under regulation 4AA(2)(a) are added together, have a total value of 10 points; and</w:t>
      </w:r>
    </w:p>
    <w:p>
      <w:pPr>
        <w:pStyle w:val="Indenta"/>
      </w:pPr>
      <w:r>
        <w:tab/>
        <w:t>(b)</w:t>
      </w:r>
      <w:r>
        <w:tab/>
        <w:t>include any mandatory CPD activities in relation to that sales representative for that calendar year.</w:t>
      </w:r>
    </w:p>
    <w:p>
      <w:pPr>
        <w:pStyle w:val="Subsection"/>
      </w:pPr>
      <w:r>
        <w:tab/>
        <w:t>(2)</w:t>
      </w:r>
      <w:r>
        <w:tab/>
        <w:t>However, a sales representative is not required to comply with subregulation (1) in the calendar year in which the representative’s certificate of registration is first issued.</w:t>
      </w:r>
    </w:p>
    <w:p>
      <w:pPr>
        <w:pStyle w:val="Footnotesection"/>
      </w:pPr>
      <w:r>
        <w:tab/>
        <w:t>[Regulation 4AC inserted: Gazette 24 Dec 2019 p. 4418.]</w:t>
      </w:r>
    </w:p>
    <w:p>
      <w:pPr>
        <w:pStyle w:val="Heading5"/>
        <w:spacing w:before="260"/>
      </w:pPr>
      <w:bookmarkStart w:id="48" w:name="_Toc54595308"/>
      <w:bookmarkStart w:id="49" w:name="_Toc51842010"/>
      <w:r>
        <w:rPr>
          <w:rStyle w:val="CharSectno"/>
        </w:rPr>
        <w:t>4B</w:t>
      </w:r>
      <w:r>
        <w:t>.</w:t>
      </w:r>
      <w:r>
        <w:tab/>
        <w:t>Prescribed periods (Act s. 48(1), (2) and 49(2))</w:t>
      </w:r>
      <w:bookmarkEnd w:id="48"/>
      <w:bookmarkEnd w:id="49"/>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[Regulation 4B inserted: Gazette 25 Jun 1996 p. 2924.]</w:t>
      </w:r>
    </w:p>
    <w:p>
      <w:pPr>
        <w:pStyle w:val="Ednotesection"/>
      </w:pPr>
      <w:r>
        <w:t>[</w:t>
      </w:r>
      <w:r>
        <w:rPr>
          <w:b/>
        </w:rPr>
        <w:t>5.</w:t>
      </w:r>
      <w:r>
        <w:tab/>
        <w:t>Deleted: Gazette 18 Nov 2014 p. 4324.]</w:t>
      </w:r>
    </w:p>
    <w:p>
      <w:pPr>
        <w:pStyle w:val="Heading5"/>
      </w:pPr>
      <w:bookmarkStart w:id="50" w:name="_Toc54595309"/>
      <w:bookmarkStart w:id="51" w:name="_Toc51842011"/>
      <w:r>
        <w:rPr>
          <w:rStyle w:val="CharSectno"/>
        </w:rPr>
        <w:t>6</w:t>
      </w:r>
      <w:r>
        <w:t>.</w:t>
      </w:r>
      <w:r>
        <w:tab/>
        <w:t>Prescribed examinations (Act Sch. 1 cl. 1(a))</w:t>
      </w:r>
      <w:bookmarkEnd w:id="50"/>
      <w:bookmarkEnd w:id="51"/>
    </w:p>
    <w:p>
      <w:pPr>
        <w:pStyle w:val="Subsection"/>
      </w:pPr>
      <w:r>
        <w:tab/>
        <w:t>(1)</w:t>
      </w:r>
      <w:r>
        <w:tab/>
        <w:t xml:space="preserve">The prescribed examinations for the purposes of Schedule 1 clause 1(a) to the Act are — </w:t>
      </w:r>
    </w:p>
    <w:p>
      <w:pPr>
        <w:pStyle w:val="Indenta"/>
      </w:pPr>
      <w:r>
        <w:tab/>
        <w:t>(a)</w:t>
      </w:r>
      <w:r>
        <w:tab/>
        <w:t xml:space="preserve">the examinations required by the Curtin University of Technology to be passed for the conferral of any of the following degrees — </w:t>
      </w:r>
    </w:p>
    <w:p>
      <w:pPr>
        <w:pStyle w:val="Indenti"/>
      </w:pPr>
      <w:r>
        <w:tab/>
        <w:t>(i)</w:t>
      </w:r>
      <w:r>
        <w:tab/>
        <w:t>Bachelor of Commerce (Property and Marketing);</w:t>
      </w:r>
    </w:p>
    <w:p>
      <w:pPr>
        <w:pStyle w:val="Indenti"/>
      </w:pPr>
      <w:r>
        <w:tab/>
        <w:t>(ii)</w:t>
      </w:r>
      <w:r>
        <w:tab/>
        <w:t>Bachelor of Commerce (Property);</w:t>
      </w:r>
    </w:p>
    <w:p>
      <w:pPr>
        <w:pStyle w:val="Indenti"/>
      </w:pPr>
      <w:r>
        <w:tab/>
        <w:t>(iii)</w:t>
      </w:r>
      <w:r>
        <w:tab/>
        <w:t>Bachelor of Commerce (Property and Finance);</w:t>
      </w:r>
    </w:p>
    <w:p>
      <w:pPr>
        <w:pStyle w:val="Indenti"/>
      </w:pPr>
      <w:r>
        <w:tab/>
        <w:t>(iv)</w:t>
      </w:r>
      <w:r>
        <w:tab/>
        <w:t>Bachelor of Commerce (Property Development and Valuation);</w:t>
      </w:r>
    </w:p>
    <w:p>
      <w:pPr>
        <w:pStyle w:val="Indenti"/>
      </w:pPr>
      <w:r>
        <w:tab/>
        <w:t>(v)</w:t>
      </w:r>
      <w:r>
        <w:tab/>
        <w:t>Bachelor of Commerce (Property Valuation);</w:t>
      </w:r>
    </w:p>
    <w:p>
      <w:pPr>
        <w:pStyle w:val="Indenti"/>
      </w:pPr>
      <w:r>
        <w:tab/>
        <w:t>(vi)</w:t>
      </w:r>
      <w:r>
        <w:tab/>
        <w:t>Master of Property;</w:t>
      </w:r>
    </w:p>
    <w:p>
      <w:pPr>
        <w:pStyle w:val="Indenti"/>
      </w:pPr>
      <w:r>
        <w:tab/>
        <w:t>(vii)</w:t>
      </w:r>
      <w:r>
        <w:tab/>
        <w:t>Graduate Diploma in Property;</w:t>
      </w:r>
    </w:p>
    <w:p>
      <w:pPr>
        <w:pStyle w:val="Indenta"/>
      </w:pPr>
      <w:r>
        <w:tab/>
      </w:r>
      <w:r>
        <w:tab/>
        <w:t>or</w:t>
      </w:r>
    </w:p>
    <w:p>
      <w:pPr>
        <w:pStyle w:val="Indenta"/>
      </w:pPr>
      <w:r>
        <w:tab/>
        <w:t>(b)</w:t>
      </w:r>
      <w:r>
        <w:tab/>
        <w:t>the examinations required by a registered training provider to be passed for the conferral of a Diploma of Property Services (Agency Management) CPP50307.</w:t>
      </w:r>
    </w:p>
    <w:p>
      <w:pPr>
        <w:pStyle w:val="Subsection"/>
      </w:pPr>
      <w:r>
        <w:tab/>
        <w:t>(2)</w:t>
      </w:r>
      <w:r>
        <w:tab/>
        <w:t xml:space="preserve">In respect of a person who was a licensee and ceased to be licensed due to section 30(2a) of the Act the prescribed examinations for the purposes of clause 1(a) of Schedule 1 to the Act also include the examinations which were prescribed under regulation 6 of these regulations immediately before the commencement of the </w:t>
      </w:r>
      <w:r>
        <w:rPr>
          <w:i/>
        </w:rPr>
        <w:t>Real Estate and Business Agents (General) Amendment Regulations 2003</w:t>
      </w:r>
      <w:r>
        <w:t>.</w:t>
      </w:r>
    </w:p>
    <w:p>
      <w:pPr>
        <w:pStyle w:val="Subsection"/>
      </w:pPr>
      <w:r>
        <w:tab/>
        <w:t>(3)</w:t>
      </w:r>
      <w:r>
        <w:tab/>
        <w:t xml:space="preserve">In respect of a person who applies for a licence on or before 31 December 2018, the prescribed examinations for the purposes of Schedule 1 clause 1(a) to the Act also include the examinations required by a registered training provider to be passed for the conferral of a Diploma of Property (Real Estate), together with the examinations conducted by a registered training provider in all of the following courses — </w:t>
      </w:r>
    </w:p>
    <w:p>
      <w:pPr>
        <w:pStyle w:val="Indenta"/>
      </w:pPr>
      <w:r>
        <w:tab/>
        <w:t>(a)</w:t>
      </w:r>
      <w:r>
        <w:tab/>
        <w:t xml:space="preserve">Unit 15826 — Rural Sales; </w:t>
      </w:r>
    </w:p>
    <w:p>
      <w:pPr>
        <w:pStyle w:val="Indenta"/>
      </w:pPr>
      <w:r>
        <w:tab/>
        <w:t>(b)</w:t>
      </w:r>
      <w:r>
        <w:tab/>
        <w:t xml:space="preserve">Unit 15825 — Selling Businesses; </w:t>
      </w:r>
    </w:p>
    <w:p>
      <w:pPr>
        <w:pStyle w:val="Indenta"/>
      </w:pPr>
      <w:r>
        <w:tab/>
        <w:t>(c)</w:t>
      </w:r>
      <w:r>
        <w:tab/>
        <w:t>Unit 15892 — Real Estate Law.</w:t>
      </w:r>
    </w:p>
    <w:p>
      <w:pPr>
        <w:pStyle w:val="Subsection"/>
      </w:pPr>
      <w:r>
        <w:tab/>
        <w:t>(4)</w:t>
      </w:r>
      <w:r>
        <w:tab/>
        <w:t>For the purposes of this regulation, a reference to the examinations required to be passed for the conferral of a particular qualification is a reference to the examinations that are or were required to be passed for the conferral of that qualification at any time when that qualification is or was conferred.</w:t>
      </w:r>
    </w:p>
    <w:p>
      <w:pPr>
        <w:pStyle w:val="Footnotesection"/>
      </w:pPr>
      <w:r>
        <w:tab/>
        <w:t>[Regulation 6 inserted: Gazette 7 Feb 2003 p. 385; amended: Gazette 13 Jan 2004 p. 145; 8 May 2009 p. 1491</w:t>
      </w:r>
      <w:r>
        <w:noBreakHyphen/>
        <w:t>2; 18 Nov 2014 p. 4325; 15 May 2015 p. 1717</w:t>
      </w:r>
      <w:r>
        <w:noBreakHyphen/>
        <w:t>18.]</w:t>
      </w:r>
    </w:p>
    <w:p>
      <w:pPr>
        <w:pStyle w:val="Heading5"/>
      </w:pPr>
      <w:bookmarkStart w:id="52" w:name="_Toc54595310"/>
      <w:bookmarkStart w:id="53" w:name="_Toc51842012"/>
      <w:r>
        <w:rPr>
          <w:rStyle w:val="CharSectno"/>
        </w:rPr>
        <w:t>6A</w:t>
      </w:r>
      <w:r>
        <w:t>.</w:t>
      </w:r>
      <w:r>
        <w:tab/>
        <w:t>Prescribed qualifications for sales representatives (Act s. 47(2))</w:t>
      </w:r>
      <w:bookmarkEnd w:id="52"/>
      <w:bookmarkEnd w:id="53"/>
    </w:p>
    <w:p>
      <w:pPr>
        <w:pStyle w:val="Subsection"/>
      </w:pPr>
      <w:r>
        <w:tab/>
        <w:t>(1)</w:t>
      </w:r>
      <w:r>
        <w:tab/>
        <w:t>The prescribed qualifications for the purposes of section 47(2) of the Act are the successful completion of —</w:t>
      </w:r>
    </w:p>
    <w:p>
      <w:pPr>
        <w:pStyle w:val="Indenta"/>
      </w:pPr>
      <w:r>
        <w:tab/>
        <w:t>(a)</w:t>
      </w:r>
      <w:r>
        <w:tab/>
        <w:t>the TAFE Sales Representatives Registration Course provided by a registered training provider; or</w:t>
      </w:r>
    </w:p>
    <w:p>
      <w:pPr>
        <w:pStyle w:val="Indenta"/>
        <w:spacing w:before="60"/>
      </w:pPr>
      <w:r>
        <w:tab/>
        <w:t>(b)</w:t>
      </w:r>
      <w:r>
        <w:tab/>
        <w:t>the REIWA Sales Representatives Registration Course provided by the Real Estate Institute of Western Australia Incorporated; or</w:t>
      </w:r>
    </w:p>
    <w:p>
      <w:pPr>
        <w:pStyle w:val="Indenta"/>
        <w:keepNext/>
      </w:pPr>
      <w:r>
        <w:tab/>
        <w:t>(c)</w:t>
      </w:r>
      <w:r>
        <w:tab/>
        <w:t>both —</w:t>
      </w:r>
    </w:p>
    <w:p>
      <w:pPr>
        <w:pStyle w:val="Indenti"/>
      </w:pPr>
      <w:r>
        <w:tab/>
        <w:t>(i)</w:t>
      </w:r>
      <w:r>
        <w:tab/>
        <w:t>Real Estate Business 305; and</w:t>
      </w:r>
    </w:p>
    <w:p>
      <w:pPr>
        <w:pStyle w:val="Indenti"/>
        <w:keepNext/>
      </w:pPr>
      <w:r>
        <w:tab/>
        <w:t>(ii)</w:t>
      </w:r>
      <w:r>
        <w:tab/>
        <w:t>Property Management 330,</w:t>
      </w:r>
    </w:p>
    <w:p>
      <w:pPr>
        <w:pStyle w:val="Indenta"/>
      </w:pPr>
      <w:r>
        <w:tab/>
      </w:r>
      <w:r>
        <w:tab/>
        <w:t>provided by the Curtin University of Technology; or</w:t>
      </w:r>
    </w:p>
    <w:p>
      <w:pPr>
        <w:pStyle w:val="Indenta"/>
      </w:pPr>
      <w:r>
        <w:tab/>
        <w:t>(d)</w:t>
      </w:r>
      <w:r>
        <w:tab/>
        <w:t>each of the following modules from the CPP07 Property Services Training Package —</w:t>
      </w:r>
    </w:p>
    <w:p>
      <w:pPr>
        <w:pStyle w:val="Indenti"/>
      </w:pPr>
      <w:r>
        <w:tab/>
        <w:t>(i)</w:t>
      </w:r>
      <w:r>
        <w:tab/>
        <w:t>CPPDSM4003A — Appraise property;</w:t>
      </w:r>
    </w:p>
    <w:p>
      <w:pPr>
        <w:pStyle w:val="Indenti"/>
      </w:pPr>
      <w:r>
        <w:tab/>
        <w:t>(ii)</w:t>
      </w:r>
      <w:r>
        <w:tab/>
        <w:t>CPPDSM4007A — Identify legal and ethical requirements of property management to complete agency work;</w:t>
      </w:r>
    </w:p>
    <w:p>
      <w:pPr>
        <w:pStyle w:val="Indenti"/>
      </w:pPr>
      <w:r>
        <w:tab/>
        <w:t>(iii)</w:t>
      </w:r>
      <w:r>
        <w:tab/>
        <w:t>CPPDSM4008A — Identify legal and ethical requirements of property sales to complete agency work;</w:t>
      </w:r>
    </w:p>
    <w:p>
      <w:pPr>
        <w:pStyle w:val="Indenti"/>
      </w:pPr>
      <w:r>
        <w:tab/>
        <w:t>(iv)</w:t>
      </w:r>
      <w:r>
        <w:tab/>
        <w:t>CPPDSM4012A — List property for sale;</w:t>
      </w:r>
    </w:p>
    <w:p>
      <w:pPr>
        <w:pStyle w:val="Indenti"/>
      </w:pPr>
      <w:r>
        <w:tab/>
        <w:t>(v)</w:t>
      </w:r>
      <w:r>
        <w:tab/>
        <w:t>CPPDSM4014A — Market property for sale;</w:t>
      </w:r>
    </w:p>
    <w:p>
      <w:pPr>
        <w:pStyle w:val="Indenti"/>
      </w:pPr>
      <w:r>
        <w:tab/>
        <w:t>(vi)</w:t>
      </w:r>
      <w:r>
        <w:tab/>
        <w:t>CPPDSM4022A — Sell and finalise the sale of property by private treaty;</w:t>
      </w:r>
    </w:p>
    <w:p>
      <w:pPr>
        <w:pStyle w:val="Indenti"/>
      </w:pPr>
      <w:r>
        <w:tab/>
        <w:t>(vii)</w:t>
      </w:r>
      <w:r>
        <w:tab/>
        <w:t>CPPDSM4080A — Work in the real estate industry,</w:t>
      </w:r>
    </w:p>
    <w:p>
      <w:pPr>
        <w:pStyle w:val="Indenta"/>
      </w:pPr>
      <w:r>
        <w:tab/>
      </w:r>
      <w:r>
        <w:tab/>
        <w:t>provided by a registered training provider; or</w:t>
      </w:r>
    </w:p>
    <w:p>
      <w:pPr>
        <w:pStyle w:val="Indenta"/>
      </w:pPr>
      <w:r>
        <w:tab/>
        <w:t>(e)</w:t>
      </w:r>
      <w:r>
        <w:tab/>
        <w:t>in the case of an application for registration as a sales representative with a condition restricting the registrant to property management transactions only — each of the following modules from the CPP07 Property Services Training Package —</w:t>
      </w:r>
    </w:p>
    <w:p>
      <w:pPr>
        <w:pStyle w:val="Indenti"/>
      </w:pPr>
      <w:r>
        <w:tab/>
        <w:t>(i)</w:t>
      </w:r>
      <w:r>
        <w:tab/>
        <w:t>CPPDSM4007A — Identify legal and ethical requirements of property management to complete agency work;</w:t>
      </w:r>
    </w:p>
    <w:p>
      <w:pPr>
        <w:pStyle w:val="Indenti"/>
      </w:pPr>
      <w:r>
        <w:tab/>
        <w:t>(ii)</w:t>
      </w:r>
      <w:r>
        <w:tab/>
        <w:t>CPPDSM4010A — Lease property;</w:t>
      </w:r>
    </w:p>
    <w:p>
      <w:pPr>
        <w:pStyle w:val="Indenti"/>
      </w:pPr>
      <w:r>
        <w:tab/>
        <w:t>(iii)</w:t>
      </w:r>
      <w:r>
        <w:tab/>
        <w:t>CPPDSM4011A — List property for lease;</w:t>
      </w:r>
    </w:p>
    <w:p>
      <w:pPr>
        <w:pStyle w:val="Indenti"/>
        <w:keepNext/>
      </w:pPr>
      <w:r>
        <w:tab/>
        <w:t>(iv)</w:t>
      </w:r>
      <w:r>
        <w:tab/>
        <w:t>CPPDSM4013A — Market property for lease;</w:t>
      </w:r>
    </w:p>
    <w:p>
      <w:pPr>
        <w:pStyle w:val="Indenti"/>
      </w:pPr>
      <w:r>
        <w:tab/>
        <w:t>(v)</w:t>
      </w:r>
      <w:r>
        <w:tab/>
        <w:t>CPPDSM4016A — Monitor and manage lease/tenancy agreements;</w:t>
      </w:r>
    </w:p>
    <w:p>
      <w:pPr>
        <w:pStyle w:val="Indenti"/>
      </w:pPr>
      <w:r>
        <w:tab/>
        <w:t>(vi)</w:t>
      </w:r>
      <w:r>
        <w:tab/>
        <w:t>CPPDSM4080A — Work in the real estate industry,</w:t>
      </w:r>
    </w:p>
    <w:p>
      <w:pPr>
        <w:pStyle w:val="Indenta"/>
      </w:pPr>
      <w:r>
        <w:tab/>
      </w:r>
      <w:r>
        <w:tab/>
        <w:t>provided by a registered training provider.</w:t>
      </w:r>
    </w:p>
    <w:p>
      <w:pPr>
        <w:pStyle w:val="Subsection"/>
        <w:keepNext/>
        <w:spacing w:before="180"/>
      </w:pPr>
      <w:r>
        <w:tab/>
        <w:t>(2)</w:t>
      </w:r>
      <w:r>
        <w:tab/>
        <w:t>In this regulation —</w:t>
      </w:r>
    </w:p>
    <w:p>
      <w:pPr>
        <w:pStyle w:val="Defstart"/>
      </w:pPr>
      <w:r>
        <w:rPr>
          <w:b/>
        </w:rPr>
        <w:tab/>
      </w:r>
      <w:r>
        <w:rPr>
          <w:rStyle w:val="CharDefText"/>
        </w:rPr>
        <w:t>CPP07 Property Services Training Package</w:t>
      </w:r>
      <w:r>
        <w:t xml:space="preserve"> means the CPP07 Property Services Training Package published by the National Training Information Service.</w:t>
      </w:r>
    </w:p>
    <w:p>
      <w:pPr>
        <w:pStyle w:val="Footnotesection"/>
      </w:pPr>
      <w:r>
        <w:tab/>
        <w:t>[Regulation 6A inserted: Gazette 7 Feb 2003 p. 386; amended: Gazette 24 Jun 2008 p. 2886</w:t>
      </w:r>
      <w:r>
        <w:noBreakHyphen/>
        <w:t>7.]</w:t>
      </w:r>
    </w:p>
    <w:p>
      <w:pPr>
        <w:pStyle w:val="Heading5"/>
      </w:pPr>
      <w:bookmarkStart w:id="54" w:name="_Toc54595311"/>
      <w:bookmarkStart w:id="55" w:name="_Toc51842013"/>
      <w:r>
        <w:rPr>
          <w:rStyle w:val="CharSectno"/>
        </w:rPr>
        <w:t>6B</w:t>
      </w:r>
      <w:r>
        <w:t>.</w:t>
      </w:r>
      <w:r>
        <w:tab/>
        <w:t>Certificate of registration, grant of (Act s. 47)</w:t>
      </w:r>
      <w:bookmarkEnd w:id="54"/>
      <w:bookmarkEnd w:id="55"/>
    </w:p>
    <w:p>
      <w:pPr>
        <w:pStyle w:val="Subsection"/>
        <w:spacing w:before="180"/>
        <w:rPr>
          <w:snapToGrid w:val="0"/>
        </w:rPr>
      </w:pPr>
      <w:r>
        <w:rPr>
          <w:snapToGrid w:val="0"/>
        </w:rPr>
        <w:tab/>
      </w:r>
      <w:r>
        <w:rPr>
          <w:snapToGrid w:val="0"/>
        </w:rPr>
        <w:tab/>
        <w:t xml:space="preserve">The </w:t>
      </w:r>
      <w:r>
        <w:t>Commissioner</w:t>
      </w:r>
      <w:r>
        <w:rPr>
          <w:snapToGrid w:val="0"/>
        </w:rPr>
        <w:t xml:space="preserve"> may grant a certificate of registration under section 47 of the Act to an applicant —</w:t>
      </w:r>
    </w:p>
    <w:p>
      <w:pPr>
        <w:pStyle w:val="Indenta"/>
      </w:pPr>
      <w:r>
        <w:tab/>
        <w:t>(a)</w:t>
      </w:r>
      <w:r>
        <w:tab/>
        <w:t>who applies within one year of successfully completing a qualification prescribed in regulation 6A; or</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keepNext/>
        <w:rPr>
          <w:snapToGrid w:val="0"/>
        </w:rPr>
      </w:pPr>
      <w:r>
        <w:rPr>
          <w:snapToGrid w:val="0"/>
        </w:rPr>
        <w:tab/>
        <w:t>(c)</w:t>
      </w:r>
      <w:r>
        <w:rPr>
          <w:snapToGrid w:val="0"/>
        </w:rPr>
        <w:tab/>
        <w:t xml:space="preserve">who complies with </w:t>
      </w:r>
      <w:r>
        <w:t>regulation 6; or</w:t>
      </w:r>
    </w:p>
    <w:p>
      <w:pPr>
        <w:pStyle w:val="Indenta"/>
      </w:pPr>
      <w:r>
        <w:tab/>
        <w:t>(d)</w:t>
      </w:r>
      <w:r>
        <w:tab/>
        <w:t>who has held a triennial certificate during the 3 years immediately preceding the making of the application.</w:t>
      </w:r>
    </w:p>
    <w:p>
      <w:pPr>
        <w:pStyle w:val="Footnotesection"/>
      </w:pPr>
      <w:r>
        <w:tab/>
        <w:t>[Regulation 6B inserted: Gazette 8 May 1987 p. 2103; amended: Gazette 30 Oct 1987 p. 4047; 12 Aug 1988 p. 2770; 7 Feb 2003 p. 386</w:t>
      </w:r>
      <w:r>
        <w:noBreakHyphen/>
        <w:t>7; 30 Dec 2004 p. 6924; 17 Nov 2006 p. 4760; 30 Jun 2011 p. 2671; 30 Jun 2017 p. 3553.]</w:t>
      </w:r>
    </w:p>
    <w:p>
      <w:pPr>
        <w:pStyle w:val="Heading5"/>
        <w:rPr>
          <w:snapToGrid w:val="0"/>
        </w:rPr>
      </w:pPr>
      <w:bookmarkStart w:id="56" w:name="_Toc54595312"/>
      <w:bookmarkStart w:id="57" w:name="_Toc51842014"/>
      <w:r>
        <w:rPr>
          <w:rStyle w:val="CharSectno"/>
        </w:rPr>
        <w:t>6BA</w:t>
      </w:r>
      <w:r>
        <w:rPr>
          <w:snapToGrid w:val="0"/>
        </w:rPr>
        <w:t>.</w:t>
      </w:r>
      <w:r>
        <w:rPr>
          <w:snapToGrid w:val="0"/>
        </w:rPr>
        <w:tab/>
        <w:t>Appointment to act as agent, content of</w:t>
      </w:r>
      <w:bookmarkEnd w:id="56"/>
      <w:bookmarkEnd w:id="57"/>
    </w:p>
    <w:p>
      <w:pPr>
        <w:pStyle w:val="Subsection"/>
        <w:keepNext/>
        <w:tabs>
          <w:tab w:val="left" w:pos="1680"/>
        </w:tabs>
        <w:spacing w:before="180"/>
        <w:rPr>
          <w:snapToGrid w:val="0"/>
        </w:rPr>
      </w:pPr>
      <w:r>
        <w:rPr>
          <w:snapToGrid w:val="0"/>
        </w:rPr>
        <w:tab/>
        <w:t>(1)</w:t>
      </w:r>
      <w:r>
        <w:rPr>
          <w:snapToGrid w:val="0"/>
        </w:rPr>
        <w:tab/>
        <w:t>If an amount is not fixed under section 61(1) of the Act, an appointment to act as an agent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 and</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keepLines/>
        <w:rPr>
          <w:snapToGrid w:val="0"/>
        </w:rPr>
      </w:pPr>
      <w:r>
        <w:rPr>
          <w:snapToGrid w:val="0"/>
        </w:rPr>
        <w:tab/>
        <w:t>(3)</w:t>
      </w:r>
      <w:r>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t>Commissioner</w:t>
      </w:r>
      <w:r>
        <w:rPr>
          <w:snapToGrid w:val="0"/>
        </w:rPr>
        <w:t xml:space="preserve"> in relation to disputes as to the commission, reward or other valuable consideration to be received by the agent.</w:t>
      </w:r>
    </w:p>
    <w:p>
      <w:pPr>
        <w:pStyle w:val="Footnotesection"/>
      </w:pPr>
      <w:r>
        <w:tab/>
        <w:t>[Regulation 6BA inserted: Gazette 16 Oct 1998 p. 5734</w:t>
      </w:r>
      <w:r>
        <w:noBreakHyphen/>
        <w:t>5; amended: Gazette 30 Jun 2011 p. 2671.]</w:t>
      </w:r>
    </w:p>
    <w:p>
      <w:pPr>
        <w:pStyle w:val="Heading5"/>
      </w:pPr>
      <w:bookmarkStart w:id="58" w:name="_Toc54595313"/>
      <w:bookmarkStart w:id="59" w:name="_Toc51842015"/>
      <w:r>
        <w:rPr>
          <w:rStyle w:val="CharSectno"/>
        </w:rPr>
        <w:t>6BB</w:t>
      </w:r>
      <w:r>
        <w:t>.</w:t>
      </w:r>
      <w:r>
        <w:tab/>
        <w:t>Prescribed transaction</w:t>
      </w:r>
      <w:bookmarkEnd w:id="58"/>
      <w:bookmarkEnd w:id="59"/>
    </w:p>
    <w:p>
      <w:pPr>
        <w:pStyle w:val="Subsection"/>
      </w:pPr>
      <w:r>
        <w:tab/>
      </w:r>
      <w:r>
        <w:tab/>
        <w:t xml:space="preserve">For the purposes of the definition of </w:t>
      </w:r>
      <w:r>
        <w:rPr>
          <w:b/>
          <w:i/>
        </w:rPr>
        <w:t>prescribed transaction</w:t>
      </w:r>
      <w:r>
        <w:t xml:space="preserve"> in section 61(4a) of the Act, the sale of a lot under a future lot contract (within the meaning of the </w:t>
      </w:r>
      <w:r>
        <w:rPr>
          <w:i/>
        </w:rPr>
        <w:t>Sale of Land Act 1970</w:t>
      </w:r>
      <w:r>
        <w:t xml:space="preserve"> section 11) is a prescribed transaction.</w:t>
      </w:r>
    </w:p>
    <w:p>
      <w:pPr>
        <w:pStyle w:val="Footnotesection"/>
      </w:pPr>
      <w:r>
        <w:tab/>
        <w:t>[Regulation 6BB inserted: Gazette 30 Jun 2017 p. 3553</w:t>
      </w:r>
      <w:r>
        <w:noBreakHyphen/>
        <w:t>4.]</w:t>
      </w:r>
    </w:p>
    <w:p>
      <w:pPr>
        <w:pStyle w:val="Heading5"/>
      </w:pPr>
      <w:bookmarkStart w:id="60" w:name="_Toc54595314"/>
      <w:bookmarkStart w:id="61" w:name="_Toc51842016"/>
      <w:r>
        <w:rPr>
          <w:rStyle w:val="CharSectno"/>
        </w:rPr>
        <w:t>6C</w:t>
      </w:r>
      <w:r>
        <w:t>.</w:t>
      </w:r>
      <w:r>
        <w:tab/>
        <w:t>Authorised financial institution (Act s. 67), classes of body prescribed</w:t>
      </w:r>
      <w:bookmarkEnd w:id="60"/>
      <w:bookmarkEnd w:id="61"/>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6C inserted: Gazette 25 Jun 1996 p. 2918.]</w:t>
      </w:r>
    </w:p>
    <w:p>
      <w:pPr>
        <w:pStyle w:val="Heading5"/>
      </w:pPr>
      <w:bookmarkStart w:id="62" w:name="_Toc54595315"/>
      <w:bookmarkStart w:id="63" w:name="_Toc51842017"/>
      <w:r>
        <w:rPr>
          <w:rStyle w:val="CharSectno"/>
        </w:rPr>
        <w:t>6D</w:t>
      </w:r>
      <w:r>
        <w:t>.</w:t>
      </w:r>
      <w:r>
        <w:tab/>
        <w:t>Trust accounts, designation of (Act s. 68(1))</w:t>
      </w:r>
      <w:bookmarkEnd w:id="62"/>
      <w:bookmarkEnd w:id="63"/>
    </w:p>
    <w:p>
      <w:pPr>
        <w:pStyle w:val="Subsection"/>
        <w:spacing w:before="180"/>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spacing w:before="180"/>
        <w:rPr>
          <w:snapToGrid w:val="0"/>
        </w:rPr>
      </w:pPr>
      <w:r>
        <w:rPr>
          <w:snapToGrid w:val="0"/>
        </w:rPr>
        <w:tab/>
        <w:t>(2)</w:t>
      </w:r>
      <w:r>
        <w:rPr>
          <w:snapToGrid w:val="0"/>
        </w:rPr>
        <w:tab/>
        <w:t>The designation of a trust account, other than a separate account, is to include —</w:t>
      </w:r>
    </w:p>
    <w:p>
      <w:pPr>
        <w:pStyle w:val="Indenta"/>
      </w:pPr>
      <w:r>
        <w:tab/>
        <w:t>(a)</w:t>
      </w:r>
      <w:r>
        <w:tab/>
        <w:t>the description “REBA Trust Account”;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letters “TC” followed by the triennial certificate number recorded in the register.</w:t>
      </w:r>
    </w:p>
    <w:p>
      <w:pPr>
        <w:pStyle w:val="Subsection"/>
        <w:spacing w:before="180"/>
        <w:rPr>
          <w:snapToGrid w:val="0"/>
        </w:rPr>
      </w:pPr>
      <w:r>
        <w:rPr>
          <w:snapToGrid w:val="0"/>
        </w:rPr>
        <w:tab/>
        <w:t>(3)</w:t>
      </w:r>
      <w:r>
        <w:rPr>
          <w:snapToGrid w:val="0"/>
        </w:rPr>
        <w:tab/>
        <w:t>The designation of a separate account is to include —</w:t>
      </w:r>
    </w:p>
    <w:p>
      <w:pPr>
        <w:pStyle w:val="Indenta"/>
        <w:spacing w:before="100"/>
        <w:rPr>
          <w:snapToGrid w:val="0"/>
        </w:rPr>
      </w:pPr>
      <w:r>
        <w:rPr>
          <w:snapToGrid w:val="0"/>
        </w:rPr>
        <w:tab/>
        <w:t>(a)</w:t>
      </w:r>
      <w:r>
        <w:rPr>
          <w:snapToGrid w:val="0"/>
        </w:rPr>
        <w:tab/>
        <w:t>the description “REBA Trust Account — IB”;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words “in trust for” followed by the name of the person who requested the separate account; and</w:t>
      </w:r>
    </w:p>
    <w:p>
      <w:pPr>
        <w:pStyle w:val="Indenta"/>
        <w:spacing w:before="100"/>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Gazette 25 Jun 1996 p. 2918</w:t>
      </w:r>
      <w:r>
        <w:noBreakHyphen/>
        <w:t>19; amended: Gazette 30 Jun 2017 p. 3554.]</w:t>
      </w:r>
    </w:p>
    <w:p>
      <w:pPr>
        <w:pStyle w:val="Heading5"/>
      </w:pPr>
      <w:bookmarkStart w:id="64" w:name="_Toc54595316"/>
      <w:bookmarkStart w:id="65" w:name="_Toc51842018"/>
      <w:r>
        <w:rPr>
          <w:rStyle w:val="CharSectno"/>
        </w:rPr>
        <w:t>6E</w:t>
      </w:r>
      <w:r>
        <w:t>.</w:t>
      </w:r>
      <w:r>
        <w:tab/>
        <w:t>Separate trust accounts, requests for, requirements prescribed (Act s. 68A(4))</w:t>
      </w:r>
      <w:bookmarkEnd w:id="64"/>
      <w:bookmarkEnd w:id="65"/>
    </w:p>
    <w:p>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rPr>
          <w:snapToGrid w:val="0"/>
        </w:rPr>
      </w:pPr>
      <w:r>
        <w:rPr>
          <w:snapToGrid w:val="0"/>
        </w:rPr>
        <w:tab/>
        <w:t>(2)</w:t>
      </w:r>
      <w:r>
        <w:rPr>
          <w:snapToGrid w:val="0"/>
        </w:rPr>
        <w:tab/>
        <w:t>In subregulation (1)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[Regulation 6E inserted: Gazette 25 Jun 1996 p. 2919.]</w:t>
      </w:r>
    </w:p>
    <w:p>
      <w:pPr>
        <w:pStyle w:val="Heading5"/>
        <w:spacing w:before="260"/>
      </w:pPr>
      <w:bookmarkStart w:id="66" w:name="_Toc54595317"/>
      <w:bookmarkStart w:id="67" w:name="_Toc51842019"/>
      <w:r>
        <w:rPr>
          <w:rStyle w:val="CharSectno"/>
        </w:rPr>
        <w:t>6F</w:t>
      </w:r>
      <w:r>
        <w:t>.</w:t>
      </w:r>
      <w:r>
        <w:tab/>
        <w:t>Trust accounts, interest on (Act s. 68B(1))</w:t>
      </w:r>
      <w:bookmarkEnd w:id="66"/>
      <w:bookmarkEnd w:id="67"/>
    </w:p>
    <w:p>
      <w:pPr>
        <w:pStyle w:val="Subsection"/>
        <w:rPr>
          <w:snapToGrid w:val="0"/>
        </w:rPr>
      </w:pPr>
      <w:r>
        <w:rPr>
          <w:snapToGrid w:val="0"/>
        </w:rPr>
        <w:tab/>
        <w:t>(1)</w:t>
      </w:r>
      <w:r>
        <w:rPr>
          <w:snapToGrid w:val="0"/>
        </w:rPr>
        <w:tab/>
        <w:t>For the purposes of section 68B(1)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Note for this subregulation:</w:t>
      </w:r>
    </w:p>
    <w:p>
      <w:pPr>
        <w:pStyle w:val="PermNoteText"/>
        <w:rPr>
          <w:rFonts w:cs="Arial"/>
        </w:rPr>
      </w:pPr>
      <w:r>
        <w:rPr>
          <w:rFonts w:cs="Arial"/>
        </w:rPr>
        <w:tab/>
      </w:r>
      <w:r>
        <w:rPr>
          <w:rFonts w:cs="Arial"/>
        </w:rPr>
        <w:tab/>
        <w:t>For example, the relevant bank accepted bills rate for May is the 30 day bank accepted bills rate for March.</w:t>
      </w:r>
    </w:p>
    <w:p>
      <w:pPr>
        <w:pStyle w:val="Footnotesection"/>
      </w:pPr>
      <w:r>
        <w:tab/>
        <w:t>[Regulation 6F inserted: Gazette 25 Jun 1996 p. 2919.]</w:t>
      </w:r>
    </w:p>
    <w:p>
      <w:pPr>
        <w:pStyle w:val="Heading5"/>
        <w:spacing w:before="260"/>
      </w:pPr>
      <w:bookmarkStart w:id="68" w:name="_Toc54595318"/>
      <w:bookmarkStart w:id="69" w:name="_Toc51842020"/>
      <w:r>
        <w:rPr>
          <w:rStyle w:val="CharSectno"/>
        </w:rPr>
        <w:t>6G</w:t>
      </w:r>
      <w:r>
        <w:t>.</w:t>
      </w:r>
      <w:r>
        <w:tab/>
        <w:t>Receipts by agents, information in (Act s. 69(1)(a))</w:t>
      </w:r>
      <w:bookmarkEnd w:id="68"/>
      <w:bookmarkEnd w:id="69"/>
    </w:p>
    <w:p>
      <w:pPr>
        <w:pStyle w:val="Subsection"/>
      </w:pPr>
      <w:r>
        <w:tab/>
      </w:r>
      <w:r>
        <w:tab/>
        <w:t>A receipt given under section 69(1)(a) of the Act shall contain the following information —</w:t>
      </w:r>
    </w:p>
    <w:p>
      <w:pPr>
        <w:pStyle w:val="Indenta"/>
      </w:pPr>
      <w:r>
        <w:tab/>
        <w:t>(aa)</w:t>
      </w:r>
      <w:r>
        <w:tab/>
        <w:t>the heading “Trust Account Receipt”; and</w:t>
      </w:r>
    </w:p>
    <w:p>
      <w:pPr>
        <w:pStyle w:val="Indenta"/>
      </w:pPr>
      <w:r>
        <w:tab/>
        <w:t>(a)</w:t>
      </w:r>
      <w:r>
        <w:tab/>
        <w:t>the name of the holder of the triennial certificate, and any business name of that holder, recorded in the register; and</w:t>
      </w:r>
    </w:p>
    <w:p>
      <w:pPr>
        <w:pStyle w:val="Indenta"/>
      </w:pPr>
      <w:r>
        <w:tab/>
        <w:t>(b)</w:t>
      </w:r>
      <w:r>
        <w:tab/>
        <w:t>a number or letter, or a combination of both, in consecutive order that allows the receipt to be uniquely identified; and</w:t>
      </w:r>
    </w:p>
    <w:p>
      <w:pPr>
        <w:pStyle w:val="Indenta"/>
      </w:pPr>
      <w:r>
        <w:tab/>
        <w:t>(c)</w:t>
      </w:r>
      <w:r>
        <w:tab/>
        <w:t>the date on which the money is received; and</w:t>
      </w:r>
    </w:p>
    <w:p>
      <w:pPr>
        <w:pStyle w:val="Indenta"/>
      </w:pPr>
      <w:r>
        <w:tab/>
        <w:t>(d)</w:t>
      </w:r>
      <w:r>
        <w:tab/>
        <w:t>the name of the person paying the money; and</w:t>
      </w:r>
    </w:p>
    <w:p>
      <w:pPr>
        <w:pStyle w:val="Indenta"/>
      </w:pPr>
      <w:r>
        <w:tab/>
        <w:t>(e)</w:t>
      </w:r>
      <w:r>
        <w:tab/>
        <w:t>the amount of money received; and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6G inserted: Gazette 25 Jun 1996 p. 2919; amended: Gazette 17 Nov 2006 p. 4760.]</w:t>
      </w:r>
    </w:p>
    <w:p>
      <w:pPr>
        <w:pStyle w:val="Heading5"/>
        <w:rPr>
          <w:snapToGrid w:val="0"/>
        </w:rPr>
      </w:pPr>
      <w:bookmarkStart w:id="70" w:name="_Toc54595319"/>
      <w:bookmarkStart w:id="71" w:name="_Toc51842021"/>
      <w:r>
        <w:rPr>
          <w:rStyle w:val="CharSectno"/>
        </w:rPr>
        <w:t>6H</w:t>
      </w:r>
      <w:r>
        <w:rPr>
          <w:snapToGrid w:val="0"/>
        </w:rPr>
        <w:t>.</w:t>
      </w:r>
      <w:r>
        <w:rPr>
          <w:snapToGrid w:val="0"/>
        </w:rPr>
        <w:tab/>
        <w:t>Record keeping requirements</w:t>
      </w:r>
      <w:bookmarkEnd w:id="70"/>
      <w:bookmarkEnd w:id="71"/>
    </w:p>
    <w:p>
      <w:pPr>
        <w:pStyle w:val="Subsection"/>
        <w:rPr>
          <w:snapToGrid w:val="0"/>
        </w:rPr>
      </w:pPr>
      <w:r>
        <w:rPr>
          <w:snapToGrid w:val="0"/>
        </w:rPr>
        <w:tab/>
        <w:t>(1)</w:t>
      </w:r>
      <w:r>
        <w:rPr>
          <w:snapToGrid w:val="0"/>
        </w:rPr>
        <w:tab/>
        <w:t>A record shall be —</w:t>
      </w:r>
    </w:p>
    <w:p>
      <w:pPr>
        <w:pStyle w:val="Indenta"/>
        <w:rPr>
          <w:snapToGrid w:val="0"/>
        </w:rPr>
      </w:pPr>
      <w:r>
        <w:rPr>
          <w:snapToGrid w:val="0"/>
        </w:rPr>
        <w:tab/>
        <w:t>(a)</w:t>
      </w:r>
      <w:r>
        <w:rPr>
          <w:snapToGrid w:val="0"/>
        </w:rPr>
        <w:tab/>
        <w:t>kept in written form; and</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Gazette 25 Jun 1996 p. 2919</w:t>
      </w:r>
      <w:r>
        <w:noBreakHyphen/>
        <w:t>20.]</w:t>
      </w:r>
    </w:p>
    <w:p>
      <w:pPr>
        <w:pStyle w:val="Heading5"/>
        <w:rPr>
          <w:snapToGrid w:val="0"/>
        </w:rPr>
      </w:pPr>
      <w:bookmarkStart w:id="72" w:name="_Toc54595320"/>
      <w:bookmarkStart w:id="73" w:name="_Toc51842022"/>
      <w:r>
        <w:rPr>
          <w:rStyle w:val="CharSectno"/>
        </w:rPr>
        <w:t>7</w:t>
      </w:r>
      <w:r>
        <w:rPr>
          <w:snapToGrid w:val="0"/>
        </w:rPr>
        <w:t>.</w:t>
      </w:r>
      <w:r>
        <w:rPr>
          <w:snapToGrid w:val="0"/>
        </w:rPr>
        <w:tab/>
        <w:t>Registers (Act s. 133(2))</w:t>
      </w:r>
      <w:bookmarkEnd w:id="72"/>
      <w:bookmarkEnd w:id="73"/>
    </w:p>
    <w:p>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Fidelity Account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spacing w:before="100"/>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100"/>
        <w:rPr>
          <w:snapToGrid w:val="0"/>
        </w:rPr>
      </w:pPr>
      <w:r>
        <w:rPr>
          <w:snapToGrid w:val="0"/>
        </w:rPr>
        <w:tab/>
        <w:t>(vii)</w:t>
      </w:r>
      <w:r>
        <w:rPr>
          <w:snapToGrid w:val="0"/>
        </w:rPr>
        <w:tab/>
        <w:t>the licence number, and the date on which the licence held by the holder of the certificate was granted;</w:t>
      </w:r>
    </w:p>
    <w:p>
      <w:pPr>
        <w:pStyle w:val="Indenti"/>
        <w:spacing w:before="100"/>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(ix)</w:t>
      </w:r>
      <w:r>
        <w:rPr>
          <w:snapToGrid w:val="0"/>
        </w:rPr>
        <w:tab/>
        <w:t>the name and address of the auditor appointed by the holder;</w:t>
      </w:r>
    </w:p>
    <w:p>
      <w:pPr>
        <w:pStyle w:val="Indenti"/>
        <w:spacing w:before="100"/>
        <w:rPr>
          <w:snapToGrid w:val="0"/>
        </w:rPr>
      </w:pPr>
      <w:r>
        <w:rPr>
          <w:snapToGrid w:val="0"/>
        </w:rPr>
        <w:tab/>
        <w:t>(x)</w:t>
      </w:r>
      <w:r>
        <w:rPr>
          <w:snapToGrid w:val="0"/>
        </w:rPr>
        <w:tab/>
        <w:t>the amount of any payment made under section 113 of the Act by the holder;</w:t>
      </w:r>
    </w:p>
    <w:p>
      <w:pPr>
        <w:pStyle w:val="Indenta"/>
        <w:spacing w:before="100"/>
        <w:rPr>
          <w:snapToGrid w:val="0"/>
        </w:rPr>
      </w:pPr>
      <w:r>
        <w:rPr>
          <w:snapToGrid w:val="0"/>
        </w:rPr>
        <w:tab/>
        <w:t>(c)</w:t>
      </w:r>
      <w:r>
        <w:rPr>
          <w:snapToGrid w:val="0"/>
        </w:rPr>
        <w:tab/>
        <w:t>in the register of holders of current certificates of registration are, in respect of each holder —</w:t>
      </w:r>
    </w:p>
    <w:p>
      <w:pPr>
        <w:pStyle w:val="Indenti"/>
        <w:spacing w:before="100"/>
        <w:rPr>
          <w:snapToGrid w:val="0"/>
        </w:rPr>
      </w:pPr>
      <w:r>
        <w:rPr>
          <w:snapToGrid w:val="0"/>
        </w:rPr>
        <w:tab/>
        <w:t>(i)</w:t>
      </w:r>
      <w:r>
        <w:rPr>
          <w:snapToGrid w:val="0"/>
        </w:rPr>
        <w:tab/>
        <w:t>the name and address of the holder;</w:t>
      </w:r>
    </w:p>
    <w:p>
      <w:pPr>
        <w:pStyle w:val="Indenti"/>
        <w:spacing w:before="100"/>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(iii)</w:t>
      </w:r>
      <w:r>
        <w:rPr>
          <w:snapToGrid w:val="0"/>
        </w:rPr>
        <w:tab/>
        <w:t>any special condition to which the certificate held by the holder is subject;</w:t>
      </w:r>
    </w:p>
    <w:p>
      <w:pPr>
        <w:pStyle w:val="Indenti"/>
        <w:spacing w:before="100"/>
        <w:rPr>
          <w:snapToGrid w:val="0"/>
        </w:rPr>
      </w:pPr>
      <w:r>
        <w:rPr>
          <w:snapToGrid w:val="0"/>
        </w:rPr>
        <w:tab/>
        <w:t>(iv)</w:t>
      </w:r>
      <w:r>
        <w:rPr>
          <w:snapToGrid w:val="0"/>
        </w:rPr>
        <w:tab/>
        <w:t>the amount of any payment made under section 113 of the Act by the holder;</w:t>
      </w:r>
    </w:p>
    <w:p>
      <w:pPr>
        <w:pStyle w:val="Indenti"/>
        <w:spacing w:before="100"/>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spacing w:before="100"/>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spacing w:before="100"/>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Gazette 7 Feb 2003 p. 387; 23 Dec 2008 p. 5467; 10 Nov 2009 p. 4495; 30 Jun 2011 p. 2671.]</w:t>
      </w:r>
    </w:p>
    <w:p>
      <w:pPr>
        <w:pStyle w:val="Heading5"/>
      </w:pPr>
      <w:bookmarkStart w:id="74" w:name="_Toc54595321"/>
      <w:bookmarkStart w:id="75" w:name="_Toc51842023"/>
      <w:r>
        <w:rPr>
          <w:rStyle w:val="CharSectno"/>
        </w:rPr>
        <w:t>7AA</w:t>
      </w:r>
      <w:r>
        <w:t>.</w:t>
      </w:r>
      <w:r>
        <w:tab/>
        <w:t>Lending institution (Act s. 131A), classes of body prescribed</w:t>
      </w:r>
      <w:bookmarkEnd w:id="74"/>
      <w:bookmarkEnd w:id="75"/>
    </w:p>
    <w:p>
      <w:pPr>
        <w:pStyle w:val="Subsection"/>
        <w:rPr>
          <w:snapToGrid w:val="0"/>
        </w:rPr>
      </w:pPr>
      <w:r>
        <w:rPr>
          <w:snapToGrid w:val="0"/>
        </w:rPr>
        <w:tab/>
      </w:r>
      <w:r>
        <w:rPr>
          <w:snapToGrid w:val="0"/>
        </w:rPr>
        <w:tab/>
        <w:t xml:space="preserve">For the purposes of the definition of </w:t>
      </w:r>
      <w:r>
        <w:rPr>
          <w:b/>
          <w:i/>
        </w:rPr>
        <w:t>lending institution</w:t>
      </w:r>
      <w:r>
        <w:rPr>
          <w:snapToGrid w:val="0"/>
        </w:rPr>
        <w:t xml:space="preserve"> in section 131A of the Act, the class consisting of bodies, other than </w:t>
      </w:r>
      <w:r>
        <w:t xml:space="preserve">a body referred to in paragraph (a) </w:t>
      </w:r>
      <w:r>
        <w:rPr>
          <w:snapToGrid w:val="0"/>
        </w:rPr>
        <w:t>of that definition, that provide loans to persons in order to assist those persons to purchase a dwelling is prescribed.</w:t>
      </w:r>
    </w:p>
    <w:p>
      <w:pPr>
        <w:pStyle w:val="Footnotesection"/>
      </w:pPr>
      <w:r>
        <w:tab/>
        <w:t>[Regulation 7AA inserted: Gazette 25 Jun 1996 p. 2920; amended: Gazette 18 Nov 2014 p. 4325.]</w:t>
      </w:r>
    </w:p>
    <w:p>
      <w:pPr>
        <w:pStyle w:val="Ednotesection"/>
      </w:pPr>
      <w:r>
        <w:t>[</w:t>
      </w:r>
      <w:r>
        <w:rPr>
          <w:b/>
        </w:rPr>
        <w:t>7A.</w:t>
      </w:r>
      <w:r>
        <w:tab/>
        <w:t>Deleted: Gazette 24 Dec 2019 p. 4418.]</w:t>
      </w:r>
    </w:p>
    <w:p>
      <w:pPr>
        <w:pStyle w:val="Heading5"/>
        <w:rPr>
          <w:snapToGrid w:val="0"/>
        </w:rPr>
      </w:pPr>
      <w:bookmarkStart w:id="76" w:name="_Toc54595322"/>
      <w:bookmarkStart w:id="77" w:name="_Toc51842024"/>
      <w:r>
        <w:rPr>
          <w:rStyle w:val="CharSectno"/>
        </w:rPr>
        <w:t>7B</w:t>
      </w:r>
      <w:r>
        <w:rPr>
          <w:snapToGrid w:val="0"/>
        </w:rPr>
        <w:t>.</w:t>
      </w:r>
      <w:r>
        <w:rPr>
          <w:snapToGrid w:val="0"/>
        </w:rPr>
        <w:tab/>
        <w:t>Maximum amount prescribed (Act s. 131M(3))</w:t>
      </w:r>
      <w:bookmarkEnd w:id="76"/>
      <w:bookmarkEnd w:id="77"/>
    </w:p>
    <w:p>
      <w:pPr>
        <w:pStyle w:val="Subsection"/>
        <w:rPr>
          <w:snapToGrid w:val="0"/>
        </w:rPr>
      </w:pPr>
      <w:r>
        <w:rPr>
          <w:snapToGrid w:val="0"/>
        </w:rPr>
        <w:tab/>
      </w:r>
      <w:r>
        <w:rPr>
          <w:snapToGrid w:val="0"/>
        </w:rPr>
        <w:tab/>
        <w:t>For the purposes of section 131M(3) the prescribed maximum amount is $2 000.</w:t>
      </w:r>
    </w:p>
    <w:p>
      <w:pPr>
        <w:pStyle w:val="Footnotesection"/>
      </w:pPr>
      <w:r>
        <w:tab/>
        <w:t>[Regulation 7B inserted: Gazette 30 Sep 1994 p. 4969.]</w:t>
      </w:r>
    </w:p>
    <w:p>
      <w:pPr>
        <w:pStyle w:val="Heading5"/>
        <w:rPr>
          <w:snapToGrid w:val="0"/>
        </w:rPr>
      </w:pPr>
      <w:bookmarkStart w:id="78" w:name="_Toc54595323"/>
      <w:bookmarkStart w:id="79" w:name="_Toc51842025"/>
      <w:r>
        <w:rPr>
          <w:rStyle w:val="CharSectno"/>
        </w:rPr>
        <w:t>8</w:t>
      </w:r>
      <w:r>
        <w:rPr>
          <w:snapToGrid w:val="0"/>
        </w:rPr>
        <w:t>.</w:t>
      </w:r>
      <w:r>
        <w:rPr>
          <w:snapToGrid w:val="0"/>
        </w:rPr>
        <w:tab/>
        <w:t>Changes in particulars, licensees to notify Commissioner of</w:t>
      </w:r>
      <w:bookmarkEnd w:id="78"/>
      <w:bookmarkEnd w:id="79"/>
    </w:p>
    <w:p>
      <w:pPr>
        <w:pStyle w:val="Subsection"/>
        <w:rPr>
          <w:snapToGrid w:val="0"/>
        </w:rPr>
      </w:pPr>
      <w:r>
        <w:rPr>
          <w:snapToGrid w:val="0"/>
        </w:rPr>
        <w:tab/>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of the body corporate;</w:t>
      </w:r>
    </w:p>
    <w:p>
      <w:pPr>
        <w:pStyle w:val="Indenta"/>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spacing w:before="140"/>
        <w:rPr>
          <w:snapToGrid w:val="0"/>
        </w:rPr>
      </w:pPr>
      <w:r>
        <w:rPr>
          <w:snapToGrid w:val="0"/>
        </w:rPr>
        <w:tab/>
      </w:r>
      <w:r>
        <w:rPr>
          <w:snapToGrid w:val="0"/>
        </w:rPr>
        <w:tab/>
        <w:t>within one month of the change.</w:t>
      </w:r>
    </w:p>
    <w:p>
      <w:pPr>
        <w:pStyle w:val="Penstart"/>
        <w:keepNext/>
        <w:rPr>
          <w:snapToGrid w:val="0"/>
        </w:rPr>
      </w:pPr>
      <w:r>
        <w:rPr>
          <w:snapToGrid w:val="0"/>
        </w:rPr>
        <w:tab/>
        <w:t>Penalty: $100.</w:t>
      </w:r>
    </w:p>
    <w:p>
      <w:pPr>
        <w:pStyle w:val="Footnotesection"/>
      </w:pPr>
      <w:r>
        <w:tab/>
        <w:t>[Regulation 8 amended: Gazette 30 Jun 2011 p. 2672.]</w:t>
      </w:r>
    </w:p>
    <w:p>
      <w:pPr>
        <w:pStyle w:val="Heading5"/>
        <w:rPr>
          <w:snapToGrid w:val="0"/>
        </w:rPr>
      </w:pPr>
      <w:bookmarkStart w:id="80" w:name="_Toc54595324"/>
      <w:bookmarkStart w:id="81" w:name="_Toc51842026"/>
      <w:r>
        <w:rPr>
          <w:rStyle w:val="CharSectno"/>
        </w:rPr>
        <w:t>9</w:t>
      </w:r>
      <w:r>
        <w:rPr>
          <w:snapToGrid w:val="0"/>
        </w:rPr>
        <w:t>.</w:t>
      </w:r>
      <w:r>
        <w:rPr>
          <w:snapToGrid w:val="0"/>
        </w:rPr>
        <w:tab/>
        <w:t xml:space="preserve">Fees and costs, </w:t>
      </w:r>
      <w:r>
        <w:t>recovery</w:t>
      </w:r>
      <w:r>
        <w:rPr>
          <w:snapToGrid w:val="0"/>
        </w:rPr>
        <w:t xml:space="preserve"> of</w:t>
      </w:r>
      <w:bookmarkEnd w:id="80"/>
      <w:bookmarkEnd w:id="81"/>
    </w:p>
    <w:p>
      <w:pPr>
        <w:pStyle w:val="Subsection"/>
        <w:keepNext/>
        <w:rPr>
          <w:snapToGrid w:val="0"/>
        </w:rPr>
      </w:pPr>
      <w:r>
        <w:rPr>
          <w:snapToGrid w:val="0"/>
        </w:rPr>
        <w:tab/>
        <w:t>(1)</w:t>
      </w:r>
      <w:r>
        <w:rPr>
          <w:snapToGrid w:val="0"/>
        </w:rPr>
        <w:tab/>
        <w:t>The amount of —</w:t>
      </w:r>
    </w:p>
    <w:p>
      <w:pPr>
        <w:pStyle w:val="Indenta"/>
        <w:rPr>
          <w:snapToGrid w:val="0"/>
        </w:rPr>
      </w:pPr>
      <w:r>
        <w:rPr>
          <w:snapToGrid w:val="0"/>
        </w:rPr>
        <w:tab/>
        <w:t>(a)</w:t>
      </w:r>
      <w:r>
        <w:rPr>
          <w:snapToGrid w:val="0"/>
        </w:rPr>
        <w:tab/>
        <w:t>any fees prescribed by these regulations;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40"/>
        <w:rPr>
          <w:snapToGrid w:val="0"/>
        </w:rPr>
      </w:pPr>
      <w:r>
        <w:rPr>
          <w:snapToGrid w:val="0"/>
        </w:rPr>
        <w:tab/>
      </w:r>
      <w:r>
        <w:rPr>
          <w:snapToGrid w:val="0"/>
        </w:rPr>
        <w:tab/>
        <w:t xml:space="preserve">may be sued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pPr>
      <w:r>
        <w:tab/>
        <w:t>[Regulation 9 amended: Gazette 30 Dec 2004 p. 6924; 30 Jun 2011 p. 2672.]</w:t>
      </w:r>
    </w:p>
    <w:p>
      <w:pPr>
        <w:pStyle w:val="Heading5"/>
        <w:rPr>
          <w:snapToGrid w:val="0"/>
        </w:rPr>
      </w:pPr>
      <w:bookmarkStart w:id="82" w:name="_Toc54595325"/>
      <w:bookmarkStart w:id="83" w:name="_Toc51842027"/>
      <w:r>
        <w:rPr>
          <w:rStyle w:val="CharSectno"/>
        </w:rPr>
        <w:t>10</w:t>
      </w:r>
      <w:r>
        <w:rPr>
          <w:snapToGrid w:val="0"/>
        </w:rPr>
        <w:t>.</w:t>
      </w:r>
      <w:r>
        <w:rPr>
          <w:snapToGrid w:val="0"/>
        </w:rPr>
        <w:tab/>
      </w:r>
      <w:r>
        <w:t>Unsuccessful</w:t>
      </w:r>
      <w:r>
        <w:rPr>
          <w:snapToGrid w:val="0"/>
        </w:rPr>
        <w:t xml:space="preserve"> applicant for licence etc., refund to (Act s. 113)</w:t>
      </w:r>
      <w:bookmarkEnd w:id="82"/>
      <w:bookmarkEnd w:id="83"/>
    </w:p>
    <w:p>
      <w:pPr>
        <w:pStyle w:val="Subsection"/>
        <w:spacing w:before="120"/>
        <w:rPr>
          <w:snapToGrid w:val="0"/>
        </w:rPr>
      </w:pPr>
      <w:r>
        <w:rPr>
          <w:snapToGrid w:val="0"/>
        </w:rPr>
        <w:tab/>
      </w:r>
      <w:r>
        <w:rPr>
          <w:snapToGrid w:val="0"/>
        </w:rPr>
        <w:tab/>
        <w:t xml:space="preserve">An amount paid to the </w:t>
      </w:r>
      <w:r>
        <w:t>chief executive officer</w:t>
      </w:r>
      <w:r>
        <w:rPr>
          <w:snapToGrid w:val="0"/>
        </w:rPr>
        <w:t xml:space="preserve">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pPr>
        <w:pStyle w:val="Footnotesection"/>
      </w:pPr>
      <w:r>
        <w:tab/>
        <w:t>[Regulation 10 amended: Gazette 10 Nov 2009 p. 4495; 30 Jun 2011 p. 2672.]</w:t>
      </w:r>
    </w:p>
    <w:p>
      <w:pPr>
        <w:pStyle w:val="Heading5"/>
        <w:rPr>
          <w:snapToGrid w:val="0"/>
        </w:rPr>
      </w:pPr>
      <w:bookmarkStart w:id="84" w:name="_Toc54595326"/>
      <w:bookmarkStart w:id="85" w:name="_Toc51842028"/>
      <w:r>
        <w:rPr>
          <w:rStyle w:val="CharSectno"/>
        </w:rPr>
        <w:t>11</w:t>
      </w:r>
      <w:r>
        <w:rPr>
          <w:snapToGrid w:val="0"/>
        </w:rPr>
        <w:t>.</w:t>
      </w:r>
      <w:r>
        <w:rPr>
          <w:snapToGrid w:val="0"/>
        </w:rPr>
        <w:tab/>
      </w:r>
      <w:r>
        <w:t>Real Estate and Business Agents</w:t>
      </w:r>
      <w:r>
        <w:rPr>
          <w:snapToGrid w:val="0"/>
        </w:rPr>
        <w:t xml:space="preserve"> Interest Account, application of (Act s. 127)</w:t>
      </w:r>
      <w:bookmarkEnd w:id="84"/>
      <w:bookmarkEnd w:id="85"/>
    </w:p>
    <w:p>
      <w:pPr>
        <w:pStyle w:val="Subsection"/>
        <w:keepNext/>
        <w:keepLines/>
        <w:rPr>
          <w:snapToGrid w:val="0"/>
        </w:rPr>
      </w:pPr>
      <w:r>
        <w:rPr>
          <w:snapToGrid w:val="0"/>
        </w:rPr>
        <w:tab/>
      </w:r>
      <w:r>
        <w:rPr>
          <w:snapToGrid w:val="0"/>
        </w:rPr>
        <w:tab/>
        <w:t>For the purposes of section 127 of the Act —</w:t>
      </w:r>
    </w:p>
    <w:p>
      <w:pPr>
        <w:pStyle w:val="Indenta"/>
        <w:keepNext/>
        <w:keepLines/>
        <w:rPr>
          <w:snapToGrid w:val="0"/>
        </w:rPr>
      </w:pPr>
      <w:r>
        <w:rPr>
          <w:snapToGrid w:val="0"/>
        </w:rPr>
        <w:tab/>
        <w:t>(a)</w:t>
      </w:r>
      <w:r>
        <w:rPr>
          <w:snapToGrid w:val="0"/>
        </w:rPr>
        <w:tab/>
        <w:t xml:space="preserve">moneys standing to the credit of the </w:t>
      </w:r>
      <w:r>
        <w:t>Real Estate and Business Agents</w:t>
      </w:r>
      <w:r>
        <w:rPr>
          <w:snapToGrid w:val="0"/>
        </w:rPr>
        <w:t xml:space="preserve"> Interest Account are to be applied monthly before the end of each month; and</w:t>
      </w:r>
    </w:p>
    <w:p>
      <w:pPr>
        <w:pStyle w:val="Indenta"/>
        <w:keepNext/>
        <w:keepLines/>
        <w:rPr>
          <w:snapToGrid w:val="0"/>
        </w:rPr>
      </w:pPr>
      <w:r>
        <w:rPr>
          <w:snapToGrid w:val="0"/>
        </w:rPr>
        <w:tab/>
        <w:t>(b)</w:t>
      </w:r>
      <w:r>
        <w:rPr>
          <w:snapToGrid w:val="0"/>
        </w:rPr>
        <w:tab/>
        <w:t>the following proportions are prescribed —</w:t>
      </w:r>
    </w:p>
    <w:p>
      <w:pPr>
        <w:pStyle w:val="Indenti"/>
        <w:keepNext/>
        <w:keepLines/>
        <w:rPr>
          <w:snapToGrid w:val="0"/>
        </w:rPr>
      </w:pPr>
      <w:r>
        <w:rPr>
          <w:snapToGrid w:val="0"/>
        </w:rPr>
        <w:tab/>
        <w:t>(i)</w:t>
      </w:r>
      <w:r>
        <w:rPr>
          <w:snapToGrid w:val="0"/>
        </w:rPr>
        <w:tab/>
        <w:t>4.5% to the Fidelity Account; and</w:t>
      </w:r>
    </w:p>
    <w:p>
      <w:pPr>
        <w:pStyle w:val="Indenti"/>
        <w:keepNext/>
        <w:keepLines/>
        <w:rPr>
          <w:snapToGrid w:val="0"/>
        </w:rPr>
      </w:pPr>
      <w:r>
        <w:rPr>
          <w:snapToGrid w:val="0"/>
        </w:rPr>
        <w:tab/>
        <w:t>(ii)</w:t>
      </w:r>
      <w:r>
        <w:rPr>
          <w:snapToGrid w:val="0"/>
        </w:rPr>
        <w:tab/>
        <w:t>57% to the General Purpose Account; and</w:t>
      </w:r>
    </w:p>
    <w:p>
      <w:pPr>
        <w:pStyle w:val="Indenti"/>
        <w:keepNext/>
        <w:keepLines/>
        <w:rPr>
          <w:snapToGrid w:val="0"/>
        </w:rPr>
      </w:pPr>
      <w:r>
        <w:rPr>
          <w:snapToGrid w:val="0"/>
        </w:rPr>
        <w:tab/>
        <w:t>(iii)</w:t>
      </w:r>
      <w:r>
        <w:rPr>
          <w:snapToGrid w:val="0"/>
        </w:rPr>
        <w:tab/>
        <w:t>38.5% to the Assistance Account.</w:t>
      </w:r>
    </w:p>
    <w:p>
      <w:pPr>
        <w:pStyle w:val="Footnotesection"/>
        <w:keepNext/>
      </w:pPr>
      <w:r>
        <w:tab/>
        <w:t>[Regulation 11 inserted: Gazette 25 Jun 1996 p. 2920; amended: Gazette 6 Nov 2001 p. 5837; 10 Nov 2009 p. 4495</w:t>
      </w:r>
      <w:r>
        <w:noBreakHyphen/>
        <w:t>6; 30 Jun 2011 p. 2672.]</w:t>
      </w:r>
    </w:p>
    <w:p>
      <w:pPr>
        <w:pStyle w:val="Ednotesection"/>
      </w:pPr>
      <w:r>
        <w:t>[</w:t>
      </w:r>
      <w:r>
        <w:rPr>
          <w:b/>
        </w:rPr>
        <w:t>11A, 11AA and 11B.</w:t>
      </w:r>
      <w:r>
        <w:tab/>
        <w:t>Deleted: Gazette 25 Jun 1996 p. 2920.]</w:t>
      </w:r>
    </w:p>
    <w:p>
      <w:pPr>
        <w:pStyle w:val="Heading5"/>
        <w:rPr>
          <w:snapToGrid w:val="0"/>
        </w:rPr>
      </w:pPr>
      <w:bookmarkStart w:id="86" w:name="_Toc54595327"/>
      <w:bookmarkStart w:id="87" w:name="_Toc51842029"/>
      <w:r>
        <w:rPr>
          <w:rStyle w:val="CharSectno"/>
        </w:rPr>
        <w:t>12</w:t>
      </w:r>
      <w:r>
        <w:rPr>
          <w:snapToGrid w:val="0"/>
        </w:rPr>
        <w:t>.</w:t>
      </w:r>
      <w:r>
        <w:rPr>
          <w:snapToGrid w:val="0"/>
        </w:rPr>
        <w:tab/>
        <w:t>Fidelity Guarantee Account, claims against</w:t>
      </w:r>
      <w:bookmarkEnd w:id="86"/>
      <w:bookmarkEnd w:id="87"/>
    </w:p>
    <w:p>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pPr>
        <w:pStyle w:val="Footnotesection"/>
      </w:pPr>
      <w:r>
        <w:tab/>
        <w:t>[Regulation 12 amended: Gazette 10 Nov 2009 p. 4495</w:t>
      </w:r>
      <w:r>
        <w:noBreakHyphen/>
        <w:t>6.]</w:t>
      </w:r>
    </w:p>
    <w:p>
      <w:pPr>
        <w:pStyle w:val="Heading5"/>
        <w:rPr>
          <w:snapToGrid w:val="0"/>
        </w:rPr>
      </w:pPr>
      <w:bookmarkStart w:id="88" w:name="_Toc54595328"/>
      <w:bookmarkStart w:id="89" w:name="_Toc51842030"/>
      <w:r>
        <w:rPr>
          <w:rStyle w:val="CharSectno"/>
        </w:rPr>
        <w:t>13</w:t>
      </w:r>
      <w:r>
        <w:rPr>
          <w:snapToGrid w:val="0"/>
        </w:rPr>
        <w:t>.</w:t>
      </w:r>
      <w:r>
        <w:rPr>
          <w:snapToGrid w:val="0"/>
        </w:rPr>
        <w:tab/>
        <w:t>Codes of conduct prescribed to be published (Act s. 101)</w:t>
      </w:r>
      <w:bookmarkEnd w:id="88"/>
      <w:bookmarkEnd w:id="89"/>
    </w:p>
    <w:p>
      <w:pPr>
        <w:pStyle w:val="Subsection"/>
        <w:rPr>
          <w:snapToGrid w:val="0"/>
        </w:rPr>
      </w:pPr>
      <w:r>
        <w:rPr>
          <w:snapToGrid w:val="0"/>
        </w:rPr>
        <w:tab/>
      </w:r>
      <w:r>
        <w:rPr>
          <w:snapToGrid w:val="0"/>
        </w:rPr>
        <w:tab/>
        <w:t xml:space="preserve">Any code of conduct that the </w:t>
      </w:r>
      <w:r>
        <w:t>Commissioner</w:t>
      </w:r>
      <w:r>
        <w:rPr>
          <w:snapToGrid w:val="0"/>
        </w:rPr>
        <w:t xml:space="preserve"> may from time to time prescribe pursuant to section 101 of the Act shall be published in the </w:t>
      </w:r>
      <w:r>
        <w:rPr>
          <w:i/>
          <w:snapToGrid w:val="0"/>
        </w:rPr>
        <w:t>Government Gazette</w:t>
      </w:r>
      <w:r>
        <w:rPr>
          <w:snapToGrid w:val="0"/>
        </w:rPr>
        <w:t>.</w:t>
      </w:r>
    </w:p>
    <w:p>
      <w:pPr>
        <w:pStyle w:val="Footnotesection"/>
      </w:pPr>
      <w:r>
        <w:tab/>
        <w:t>[Regulation 13 amended: Gazette 30 Jun 2011 p. 2672.]</w:t>
      </w:r>
    </w:p>
    <w:p>
      <w:pPr>
        <w:pStyle w:val="Heading5"/>
      </w:pPr>
      <w:bookmarkStart w:id="90" w:name="_Toc54595329"/>
      <w:bookmarkStart w:id="91" w:name="_Toc51842031"/>
      <w:r>
        <w:rPr>
          <w:rStyle w:val="CharSectno"/>
        </w:rPr>
        <w:t>14</w:t>
      </w:r>
      <w:r>
        <w:t>.</w:t>
      </w:r>
      <w:r>
        <w:tab/>
        <w:t>Infringement notices</w:t>
      </w:r>
      <w:bookmarkEnd w:id="90"/>
      <w:bookmarkEnd w:id="91"/>
    </w:p>
    <w:p>
      <w:pPr>
        <w:pStyle w:val="Subsection"/>
      </w:pPr>
      <w:r>
        <w:tab/>
        <w:t>(1)</w:t>
      </w:r>
      <w:r>
        <w:tab/>
        <w:t xml:space="preserve">The offences specified in Schedule 3 are offences for which an infringement notice may be issued under Part 2 of the </w:t>
      </w:r>
      <w:r>
        <w:rPr>
          <w:i/>
          <w:iCs/>
        </w:rPr>
        <w:t>Criminal Procedure Act 2004</w:t>
      </w:r>
      <w:r>
        <w:t>.</w:t>
      </w:r>
    </w:p>
    <w:p>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iCs/>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14 inserted: Gazette 28 Aug 2009 p. 3348; amended: Gazette 30 Jun 2011 p. 2672.]</w:t>
      </w:r>
    </w:p>
    <w:p>
      <w:pPr>
        <w:pStyle w:val="Heading5"/>
      </w:pPr>
      <w:bookmarkStart w:id="92" w:name="_Toc54595330"/>
      <w:bookmarkStart w:id="93" w:name="_Toc51842032"/>
      <w:r>
        <w:rPr>
          <w:rStyle w:val="CharSectno"/>
        </w:rPr>
        <w:t>15</w:t>
      </w:r>
      <w:r>
        <w:t>.</w:t>
      </w:r>
      <w:r>
        <w:tab/>
        <w:t>Forms (Sch. 2)</w:t>
      </w:r>
      <w:bookmarkEnd w:id="92"/>
      <w:bookmarkEnd w:id="93"/>
    </w:p>
    <w:p>
      <w:pPr>
        <w:pStyle w:val="Subsection"/>
      </w:pPr>
      <w:r>
        <w:tab/>
      </w:r>
      <w:r>
        <w:tab/>
        <w:t>The forms set out in Schedule 2 are prescribed in relation to the matters specified in those forms.</w:t>
      </w:r>
    </w:p>
    <w:p>
      <w:pPr>
        <w:pStyle w:val="Footnotesection"/>
      </w:pPr>
      <w:r>
        <w:tab/>
        <w:t>[Regulation 15 inserted: Gazette 28 Aug 2009 p. 3348.]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94" w:name="_Toc54271712"/>
      <w:bookmarkStart w:id="95" w:name="_Toc54595331"/>
      <w:bookmarkStart w:id="96" w:name="_Toc51676881"/>
      <w:bookmarkStart w:id="97" w:name="_Toc51677121"/>
      <w:bookmarkStart w:id="98" w:name="_Toc51842033"/>
      <w:bookmarkStart w:id="99" w:name="_Toc54250738"/>
      <w:r>
        <w:rPr>
          <w:rStyle w:val="CharSchNo"/>
        </w:rPr>
        <w:t>Schedule 1 </w:t>
      </w:r>
      <w:r>
        <w:t>— </w:t>
      </w:r>
      <w:r>
        <w:rPr>
          <w:rStyle w:val="CharSchText"/>
        </w:rPr>
        <w:t>Fees</w:t>
      </w:r>
      <w:bookmarkEnd w:id="94"/>
      <w:bookmarkEnd w:id="95"/>
      <w:bookmarkEnd w:id="96"/>
      <w:bookmarkEnd w:id="97"/>
      <w:bookmarkEnd w:id="98"/>
    </w:p>
    <w:p>
      <w:pPr>
        <w:pStyle w:val="yShoulderClause"/>
      </w:pPr>
      <w:r>
        <w:t>[r.</w:t>
      </w:r>
      <w:del w:id="100" w:author="Master Repository Process" w:date="2021-09-12T15:21:00Z">
        <w:r>
          <w:delText xml:space="preserve"> </w:delText>
        </w:r>
      </w:del>
      <w:ins w:id="101" w:author="Master Repository Process" w:date="2021-09-12T15:21:00Z">
        <w:r>
          <w:t> </w:t>
        </w:r>
      </w:ins>
      <w:r>
        <w:t>4</w:t>
      </w:r>
      <w:ins w:id="102" w:author="Master Repository Process" w:date="2021-09-12T15:21:00Z">
        <w:r>
          <w:t>, 4A</w:t>
        </w:r>
      </w:ins>
      <w:r>
        <w:t xml:space="preserve"> and</w:t>
      </w:r>
      <w:del w:id="103" w:author="Master Repository Process" w:date="2021-09-12T15:21:00Z">
        <w:r>
          <w:delText xml:space="preserve"> 4A</w:delText>
        </w:r>
      </w:del>
      <w:ins w:id="104" w:author="Master Repository Process" w:date="2021-09-12T15:21:00Z">
        <w:r>
          <w:t> 4AAA</w:t>
        </w:r>
      </w:ins>
      <w:r>
        <w:t>]</w:t>
      </w:r>
    </w:p>
    <w:p>
      <w:pPr>
        <w:pStyle w:val="yFootnoteheading"/>
      </w:pPr>
      <w:r>
        <w:tab/>
        <w:t xml:space="preserve">[Heading inserted: </w:t>
      </w:r>
      <w:del w:id="105" w:author="Master Repository Process" w:date="2021-09-12T15:21:00Z">
        <w:r>
          <w:delText>Gazette 18 Jun 2019 p. 2110</w:delText>
        </w:r>
      </w:del>
      <w:ins w:id="106" w:author="Master Repository Process" w:date="2021-09-12T15:21:00Z">
        <w:r>
          <w:t>SL 2020/196 r. 58</w:t>
        </w:r>
      </w:ins>
      <w:r>
        <w:t>.]</w:t>
      </w:r>
    </w:p>
    <w:tbl>
      <w:tblPr>
        <w:tblW w:w="6946" w:type="dxa"/>
        <w:tblInd w:w="250" w:type="dxa"/>
        <w:tblLayout w:type="fixed"/>
        <w:tblLook w:val="0000" w:firstRow="0" w:lastRow="0" w:firstColumn="0" w:lastColumn="0" w:noHBand="0" w:noVBand="0"/>
      </w:tblPr>
      <w:tblGrid>
        <w:gridCol w:w="709"/>
        <w:gridCol w:w="3260"/>
        <w:gridCol w:w="1488"/>
        <w:gridCol w:w="1489"/>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3260" w:type="dxa"/>
            <w:tcBorders>
              <w:top w:val="single" w:sz="4" w:space="0" w:color="auto"/>
              <w:bottom w:val="single" w:sz="4" w:space="0" w:color="auto"/>
            </w:tcBorders>
            <w:noWrap/>
          </w:tcPr>
          <w:p>
            <w:pPr>
              <w:pStyle w:val="yTableNAm"/>
              <w:jc w:val="center"/>
              <w:rPr>
                <w:ins w:id="107" w:author="Master Repository Process" w:date="2021-09-12T15:21:00Z"/>
                <w:b/>
                <w:bCs/>
              </w:rPr>
            </w:pPr>
            <w:del w:id="108" w:author="Master Repository Process" w:date="2021-09-12T15:21:00Z">
              <w:r>
                <w:rPr>
                  <w:b/>
                </w:rPr>
                <w:delText>Type</w:delText>
              </w:r>
            </w:del>
            <w:ins w:id="109" w:author="Master Repository Process" w:date="2021-09-12T15:21:00Z">
              <w:r>
                <w:rPr>
                  <w:b/>
                  <w:bCs/>
                </w:rPr>
                <w:t>Column 1</w:t>
              </w:r>
            </w:ins>
          </w:p>
          <w:p>
            <w:pPr>
              <w:pStyle w:val="yTableNAm"/>
              <w:jc w:val="center"/>
              <w:rPr>
                <w:b/>
                <w:bCs/>
              </w:rPr>
            </w:pPr>
            <w:ins w:id="110" w:author="Master Repository Process" w:date="2021-09-12T15:21:00Z">
              <w:r>
                <w:rPr>
                  <w:b/>
                  <w:bCs/>
                </w:rPr>
                <w:t>Description</w:t>
              </w:r>
            </w:ins>
            <w:r>
              <w:rPr>
                <w:b/>
                <w:bCs/>
              </w:rPr>
              <w:t xml:space="preserve"> of fee</w:t>
            </w:r>
          </w:p>
        </w:tc>
        <w:tc>
          <w:tcPr>
            <w:tcW w:w="1488" w:type="dxa"/>
            <w:tcBorders>
              <w:top w:val="single" w:sz="4" w:space="0" w:color="auto"/>
              <w:bottom w:val="single" w:sz="4" w:space="0" w:color="auto"/>
            </w:tcBorders>
            <w:noWrap/>
          </w:tcPr>
          <w:p>
            <w:pPr>
              <w:pStyle w:val="yTableNAm"/>
              <w:jc w:val="center"/>
              <w:rPr>
                <w:ins w:id="111" w:author="Master Repository Process" w:date="2021-09-12T15:21:00Z"/>
                <w:b/>
              </w:rPr>
            </w:pPr>
            <w:del w:id="112" w:author="Master Repository Process" w:date="2021-09-12T15:21:00Z">
              <w:r>
                <w:rPr>
                  <w:b/>
                </w:rPr>
                <w:delText>Fee</w:delText>
              </w:r>
            </w:del>
            <w:ins w:id="113" w:author="Master Repository Process" w:date="2021-09-12T15:21:00Z">
              <w:r>
                <w:rPr>
                  <w:b/>
                </w:rPr>
                <w:t>Column 2</w:t>
              </w:r>
            </w:ins>
          </w:p>
          <w:p>
            <w:pPr>
              <w:pStyle w:val="yTableNAm"/>
              <w:jc w:val="center"/>
            </w:pPr>
            <w:ins w:id="114" w:author="Master Repository Process" w:date="2021-09-12T15:21:00Z">
              <w:r>
                <w:rPr>
                  <w:b/>
                </w:rPr>
                <w:t>Fee during designated period</w:t>
              </w:r>
              <w:r>
                <w:rPr>
                  <w:b/>
                </w:rPr>
                <w:br/>
                <w:t>$</w:t>
              </w:r>
            </w:ins>
          </w:p>
        </w:tc>
        <w:tc>
          <w:tcPr>
            <w:tcW w:w="1489" w:type="dxa"/>
            <w:tcBorders>
              <w:top w:val="single" w:sz="4" w:space="0" w:color="auto"/>
              <w:bottom w:val="single" w:sz="4" w:space="0" w:color="auto"/>
            </w:tcBorders>
            <w:noWrap/>
            <w:cellIns w:id="115" w:author="Master Repository Process" w:date="2021-09-12T15:21:00Z"/>
          </w:tcPr>
          <w:p>
            <w:pPr>
              <w:pStyle w:val="yTableNAm"/>
              <w:jc w:val="center"/>
              <w:rPr>
                <w:ins w:id="116" w:author="Master Repository Process" w:date="2021-09-12T15:21:00Z"/>
                <w:b/>
              </w:rPr>
            </w:pPr>
            <w:ins w:id="117" w:author="Master Repository Process" w:date="2021-09-12T15:21:00Z">
              <w:r>
                <w:rPr>
                  <w:b/>
                </w:rPr>
                <w:t>Column 3</w:t>
              </w:r>
            </w:ins>
          </w:p>
          <w:p>
            <w:pPr>
              <w:pStyle w:val="yTableNAm"/>
              <w:jc w:val="center"/>
            </w:pPr>
            <w:ins w:id="118" w:author="Master Repository Process" w:date="2021-09-12T15:21:00Z">
              <w:r>
                <w:rPr>
                  <w:b/>
                </w:rPr>
                <w:t>Fee after designated period</w:t>
              </w:r>
              <w:r>
                <w:rPr>
                  <w:b/>
                </w:rPr>
                <w:br/>
                <w:t>$</w:t>
              </w:r>
            </w:ins>
          </w:p>
        </w:tc>
      </w:tr>
      <w:tr>
        <w:trPr>
          <w:cantSplit/>
        </w:trPr>
        <w:tc>
          <w:tcPr>
            <w:tcW w:w="709" w:type="dxa"/>
            <w:noWrap/>
          </w:tcPr>
          <w:p>
            <w:pPr>
              <w:pStyle w:val="yTableNAm"/>
            </w:pPr>
            <w:r>
              <w:t>1.</w:t>
            </w:r>
          </w:p>
        </w:tc>
        <w:tc>
          <w:tcPr>
            <w:tcW w:w="3260" w:type="dxa"/>
            <w:noWrap/>
          </w:tcPr>
          <w:p>
            <w:pPr>
              <w:pStyle w:val="yTableNAm"/>
            </w:pPr>
            <w:r>
              <w:t>Application for licence</w:t>
            </w:r>
          </w:p>
        </w:tc>
        <w:tc>
          <w:tcPr>
            <w:tcW w:w="1488" w:type="dxa"/>
            <w:noWrap/>
            <w:vAlign w:val="bottom"/>
            <w:cellIns w:id="119" w:author="Master Repository Process" w:date="2021-09-12T15:21:00Z"/>
          </w:tcPr>
          <w:p>
            <w:pPr>
              <w:pStyle w:val="yTableNAm"/>
              <w:jc w:val="right"/>
            </w:pPr>
            <w:ins w:id="120" w:author="Master Repository Process" w:date="2021-09-12T15:21:00Z">
              <w:r>
                <w:t>54.00</w:t>
              </w:r>
            </w:ins>
          </w:p>
        </w:tc>
        <w:tc>
          <w:tcPr>
            <w:tcW w:w="1489" w:type="dxa"/>
            <w:noWrap/>
            <w:vAlign w:val="bottom"/>
          </w:tcPr>
          <w:p>
            <w:pPr>
              <w:pStyle w:val="yTableNAm"/>
              <w:jc w:val="right"/>
            </w:pPr>
            <w:del w:id="121" w:author="Master Repository Process" w:date="2021-09-12T15:21:00Z">
              <w:r>
                <w:rPr>
                  <w:szCs w:val="22"/>
                </w:rPr>
                <w:delText>$</w:delText>
              </w:r>
            </w:del>
            <w:r>
              <w:t>81.00</w:t>
            </w:r>
          </w:p>
        </w:tc>
      </w:tr>
      <w:tr>
        <w:trPr>
          <w:cantSplit/>
        </w:trPr>
        <w:tc>
          <w:tcPr>
            <w:tcW w:w="709" w:type="dxa"/>
            <w:noWrap/>
          </w:tcPr>
          <w:p>
            <w:pPr>
              <w:pStyle w:val="yTableNAm"/>
            </w:pPr>
            <w:r>
              <w:t>2.</w:t>
            </w:r>
          </w:p>
        </w:tc>
        <w:tc>
          <w:tcPr>
            <w:tcW w:w="3260" w:type="dxa"/>
            <w:noWrap/>
          </w:tcPr>
          <w:p>
            <w:pPr>
              <w:pStyle w:val="yTableNAm"/>
            </w:pPr>
            <w:r>
              <w:t>Grant of licence</w:t>
            </w:r>
            <w:ins w:id="122" w:author="Master Repository Process" w:date="2021-09-12T15:21:00Z">
              <w:r>
                <w:t xml:space="preserve"> to individual</w:t>
              </w:r>
            </w:ins>
          </w:p>
        </w:tc>
        <w:tc>
          <w:tcPr>
            <w:tcW w:w="1488" w:type="dxa"/>
            <w:noWrap/>
            <w:vAlign w:val="bottom"/>
            <w:cellIns w:id="123" w:author="Master Repository Process" w:date="2021-09-12T15:21:00Z"/>
          </w:tcPr>
          <w:p>
            <w:pPr>
              <w:pStyle w:val="yTableNAm"/>
              <w:jc w:val="right"/>
            </w:pPr>
            <w:ins w:id="124" w:author="Master Repository Process" w:date="2021-09-12T15:21:00Z">
              <w:r>
                <w:t>573.00</w:t>
              </w:r>
            </w:ins>
          </w:p>
        </w:tc>
        <w:tc>
          <w:tcPr>
            <w:tcW w:w="1489" w:type="dxa"/>
            <w:noWrap/>
            <w:vAlign w:val="bottom"/>
          </w:tcPr>
          <w:p>
            <w:pPr>
              <w:pStyle w:val="yTableNAm"/>
              <w:jc w:val="right"/>
            </w:pPr>
            <w:del w:id="125" w:author="Master Repository Process" w:date="2021-09-12T15:21:00Z">
              <w:r>
                <w:rPr>
                  <w:szCs w:val="22"/>
                </w:rPr>
                <w:delText>$</w:delText>
              </w:r>
            </w:del>
            <w:r>
              <w:t>860.00</w:t>
            </w:r>
          </w:p>
        </w:tc>
      </w:tr>
      <w:tr>
        <w:trPr>
          <w:cantSplit/>
        </w:trPr>
        <w:tc>
          <w:tcPr>
            <w:tcW w:w="709" w:type="dxa"/>
            <w:noWrap/>
          </w:tcPr>
          <w:p>
            <w:pPr>
              <w:pStyle w:val="yTableNAm"/>
            </w:pPr>
            <w:r>
              <w:t>3.</w:t>
            </w:r>
          </w:p>
        </w:tc>
        <w:tc>
          <w:tcPr>
            <w:tcW w:w="3260" w:type="dxa"/>
            <w:noWrap/>
          </w:tcPr>
          <w:p>
            <w:pPr>
              <w:pStyle w:val="yTableNAm"/>
            </w:pPr>
            <w:r>
              <w:t>Grant of licence to firm</w:t>
            </w:r>
          </w:p>
        </w:tc>
        <w:tc>
          <w:tcPr>
            <w:tcW w:w="1488" w:type="dxa"/>
            <w:noWrap/>
            <w:vAlign w:val="bottom"/>
            <w:cellIns w:id="126" w:author="Master Repository Process" w:date="2021-09-12T15:21:00Z"/>
          </w:tcPr>
          <w:p>
            <w:pPr>
              <w:pStyle w:val="yTableNAm"/>
              <w:jc w:val="right"/>
            </w:pPr>
            <w:ins w:id="127" w:author="Master Repository Process" w:date="2021-09-12T15:21:00Z">
              <w:r>
                <w:t>750.00</w:t>
              </w:r>
            </w:ins>
          </w:p>
        </w:tc>
        <w:tc>
          <w:tcPr>
            <w:tcW w:w="1489" w:type="dxa"/>
            <w:noWrap/>
            <w:vAlign w:val="bottom"/>
          </w:tcPr>
          <w:p>
            <w:pPr>
              <w:pStyle w:val="yTableNAm"/>
              <w:jc w:val="right"/>
            </w:pPr>
            <w:del w:id="128" w:author="Master Repository Process" w:date="2021-09-12T15:21:00Z">
              <w:r>
                <w:rPr>
                  <w:szCs w:val="22"/>
                </w:rPr>
                <w:delText>$</w:delText>
              </w:r>
            </w:del>
            <w:r>
              <w:t>1 125.00</w:t>
            </w:r>
          </w:p>
        </w:tc>
      </w:tr>
      <w:tr>
        <w:trPr>
          <w:cantSplit/>
        </w:trPr>
        <w:tc>
          <w:tcPr>
            <w:tcW w:w="709" w:type="dxa"/>
            <w:noWrap/>
          </w:tcPr>
          <w:p>
            <w:pPr>
              <w:pStyle w:val="yTableNAm"/>
            </w:pPr>
            <w:r>
              <w:t>4.</w:t>
            </w:r>
          </w:p>
        </w:tc>
        <w:tc>
          <w:tcPr>
            <w:tcW w:w="3260" w:type="dxa"/>
            <w:noWrap/>
          </w:tcPr>
          <w:p>
            <w:pPr>
              <w:pStyle w:val="yTableNAm"/>
            </w:pPr>
            <w:r>
              <w:t>Grant of licence to body corporate</w:t>
            </w:r>
          </w:p>
        </w:tc>
        <w:tc>
          <w:tcPr>
            <w:tcW w:w="1488" w:type="dxa"/>
            <w:noWrap/>
            <w:vAlign w:val="bottom"/>
            <w:cellIns w:id="129" w:author="Master Repository Process" w:date="2021-09-12T15:21:00Z"/>
          </w:tcPr>
          <w:p>
            <w:pPr>
              <w:pStyle w:val="yTableNAm"/>
              <w:jc w:val="right"/>
            </w:pPr>
            <w:ins w:id="130" w:author="Master Repository Process" w:date="2021-09-12T15:21:00Z">
              <w:r>
                <w:t>750.00</w:t>
              </w:r>
            </w:ins>
          </w:p>
        </w:tc>
        <w:tc>
          <w:tcPr>
            <w:tcW w:w="1489" w:type="dxa"/>
            <w:noWrap/>
            <w:vAlign w:val="bottom"/>
          </w:tcPr>
          <w:p>
            <w:pPr>
              <w:pStyle w:val="yTableNAm"/>
              <w:jc w:val="right"/>
            </w:pPr>
            <w:del w:id="131" w:author="Master Repository Process" w:date="2021-09-12T15:21:00Z">
              <w:r>
                <w:rPr>
                  <w:szCs w:val="22"/>
                </w:rPr>
                <w:delText>$</w:delText>
              </w:r>
            </w:del>
            <w:r>
              <w:t>1 125.00</w:t>
            </w:r>
          </w:p>
        </w:tc>
      </w:tr>
      <w:tr>
        <w:trPr>
          <w:cantSplit/>
        </w:trPr>
        <w:tc>
          <w:tcPr>
            <w:tcW w:w="709" w:type="dxa"/>
            <w:noWrap/>
          </w:tcPr>
          <w:p>
            <w:pPr>
              <w:pStyle w:val="yTableNAm"/>
            </w:pPr>
            <w:r>
              <w:t>5.</w:t>
            </w:r>
          </w:p>
        </w:tc>
        <w:tc>
          <w:tcPr>
            <w:tcW w:w="3260" w:type="dxa"/>
            <w:noWrap/>
          </w:tcPr>
          <w:p>
            <w:pPr>
              <w:pStyle w:val="yTableNAm"/>
            </w:pPr>
            <w:r>
              <w:t>Renewal of triennial certificate</w:t>
            </w:r>
          </w:p>
        </w:tc>
        <w:tc>
          <w:tcPr>
            <w:tcW w:w="1488" w:type="dxa"/>
            <w:noWrap/>
            <w:vAlign w:val="bottom"/>
            <w:cellIns w:id="132" w:author="Master Repository Process" w:date="2021-09-12T15:21:00Z"/>
          </w:tcPr>
          <w:p>
            <w:pPr>
              <w:pStyle w:val="yTableNAm"/>
              <w:jc w:val="right"/>
            </w:pPr>
            <w:ins w:id="133" w:author="Master Repository Process" w:date="2021-09-12T15:21:00Z">
              <w:r>
                <w:t>474.00</w:t>
              </w:r>
            </w:ins>
          </w:p>
        </w:tc>
        <w:tc>
          <w:tcPr>
            <w:tcW w:w="1489" w:type="dxa"/>
            <w:noWrap/>
            <w:vAlign w:val="bottom"/>
          </w:tcPr>
          <w:p>
            <w:pPr>
              <w:pStyle w:val="yTableNAm"/>
              <w:jc w:val="right"/>
            </w:pPr>
            <w:del w:id="134" w:author="Master Repository Process" w:date="2021-09-12T15:21:00Z">
              <w:r>
                <w:rPr>
                  <w:szCs w:val="22"/>
                </w:rPr>
                <w:delText>$</w:delText>
              </w:r>
            </w:del>
            <w:r>
              <w:t>711.00</w:t>
            </w:r>
          </w:p>
        </w:tc>
      </w:tr>
      <w:tr>
        <w:trPr>
          <w:cantSplit/>
        </w:trPr>
        <w:tc>
          <w:tcPr>
            <w:tcW w:w="709" w:type="dxa"/>
            <w:noWrap/>
          </w:tcPr>
          <w:p>
            <w:pPr>
              <w:pStyle w:val="yTableNAm"/>
            </w:pPr>
            <w:r>
              <w:t>6.</w:t>
            </w:r>
          </w:p>
        </w:tc>
        <w:tc>
          <w:tcPr>
            <w:tcW w:w="3260" w:type="dxa"/>
            <w:noWrap/>
          </w:tcPr>
          <w:p>
            <w:pPr>
              <w:pStyle w:val="yTableNAm"/>
            </w:pPr>
            <w:r>
              <w:t>Grant of certificate of registration</w:t>
            </w:r>
          </w:p>
        </w:tc>
        <w:tc>
          <w:tcPr>
            <w:tcW w:w="1488" w:type="dxa"/>
            <w:noWrap/>
            <w:vAlign w:val="bottom"/>
            <w:cellIns w:id="135" w:author="Master Repository Process" w:date="2021-09-12T15:21:00Z"/>
          </w:tcPr>
          <w:p>
            <w:pPr>
              <w:pStyle w:val="yTableNAm"/>
              <w:jc w:val="right"/>
            </w:pPr>
            <w:ins w:id="136" w:author="Master Repository Process" w:date="2021-09-12T15:21:00Z">
              <w:r>
                <w:t>145.00</w:t>
              </w:r>
            </w:ins>
          </w:p>
        </w:tc>
        <w:tc>
          <w:tcPr>
            <w:tcW w:w="1489" w:type="dxa"/>
            <w:noWrap/>
            <w:vAlign w:val="bottom"/>
          </w:tcPr>
          <w:p>
            <w:pPr>
              <w:pStyle w:val="yTableNAm"/>
              <w:jc w:val="right"/>
            </w:pPr>
            <w:del w:id="137" w:author="Master Repository Process" w:date="2021-09-12T15:21:00Z">
              <w:r>
                <w:rPr>
                  <w:szCs w:val="22"/>
                </w:rPr>
                <w:delText>$</w:delText>
              </w:r>
            </w:del>
            <w:r>
              <w:t>218.00</w:t>
            </w:r>
          </w:p>
        </w:tc>
      </w:tr>
      <w:tr>
        <w:trPr>
          <w:cantSplit/>
        </w:trPr>
        <w:tc>
          <w:tcPr>
            <w:tcW w:w="709" w:type="dxa"/>
            <w:noWrap/>
          </w:tcPr>
          <w:p>
            <w:pPr>
              <w:pStyle w:val="yTableNAm"/>
            </w:pPr>
            <w:r>
              <w:t>7.</w:t>
            </w:r>
          </w:p>
        </w:tc>
        <w:tc>
          <w:tcPr>
            <w:tcW w:w="3260" w:type="dxa"/>
            <w:noWrap/>
          </w:tcPr>
          <w:p>
            <w:pPr>
              <w:pStyle w:val="yTableNAm"/>
            </w:pPr>
            <w:r>
              <w:t>Renewal of certificate of registration</w:t>
            </w:r>
          </w:p>
        </w:tc>
        <w:tc>
          <w:tcPr>
            <w:tcW w:w="1488" w:type="dxa"/>
            <w:noWrap/>
            <w:vAlign w:val="bottom"/>
            <w:cellIns w:id="138" w:author="Master Repository Process" w:date="2021-09-12T15:21:00Z"/>
          </w:tcPr>
          <w:p>
            <w:pPr>
              <w:pStyle w:val="yTableNAm"/>
              <w:jc w:val="right"/>
            </w:pPr>
            <w:ins w:id="139" w:author="Master Repository Process" w:date="2021-09-12T15:21:00Z">
              <w:r>
                <w:t>120.00</w:t>
              </w:r>
            </w:ins>
          </w:p>
        </w:tc>
        <w:tc>
          <w:tcPr>
            <w:tcW w:w="1489" w:type="dxa"/>
            <w:noWrap/>
            <w:vAlign w:val="bottom"/>
          </w:tcPr>
          <w:p>
            <w:pPr>
              <w:pStyle w:val="yTableNAm"/>
              <w:jc w:val="right"/>
            </w:pPr>
            <w:del w:id="140" w:author="Master Repository Process" w:date="2021-09-12T15:21:00Z">
              <w:r>
                <w:rPr>
                  <w:szCs w:val="22"/>
                </w:rPr>
                <w:delText>$</w:delText>
              </w:r>
            </w:del>
            <w:r>
              <w:t>180.00</w:t>
            </w:r>
          </w:p>
        </w:tc>
      </w:tr>
      <w:tr>
        <w:trPr>
          <w:cantSplit/>
        </w:trPr>
        <w:tc>
          <w:tcPr>
            <w:tcW w:w="709" w:type="dxa"/>
            <w:noWrap/>
          </w:tcPr>
          <w:p>
            <w:pPr>
              <w:pStyle w:val="yTableNAm"/>
            </w:pPr>
            <w:r>
              <w:t>8.</w:t>
            </w:r>
          </w:p>
        </w:tc>
        <w:tc>
          <w:tcPr>
            <w:tcW w:w="3260" w:type="dxa"/>
            <w:noWrap/>
          </w:tcPr>
          <w:p>
            <w:pPr>
              <w:pStyle w:val="yTableNAm"/>
            </w:pPr>
            <w:r>
              <w:t>Inspection of a register</w:t>
            </w:r>
          </w:p>
        </w:tc>
        <w:tc>
          <w:tcPr>
            <w:tcW w:w="1488" w:type="dxa"/>
            <w:noWrap/>
            <w:vAlign w:val="bottom"/>
            <w:cellIns w:id="141" w:author="Master Repository Process" w:date="2021-09-12T15:21:00Z"/>
          </w:tcPr>
          <w:p>
            <w:pPr>
              <w:pStyle w:val="yTableNAm"/>
              <w:jc w:val="right"/>
            </w:pPr>
            <w:ins w:id="142" w:author="Master Repository Process" w:date="2021-09-12T15:21:00Z">
              <w:r>
                <w:t>–</w:t>
              </w:r>
            </w:ins>
          </w:p>
        </w:tc>
        <w:tc>
          <w:tcPr>
            <w:tcW w:w="1489" w:type="dxa"/>
            <w:noWrap/>
            <w:vAlign w:val="bottom"/>
          </w:tcPr>
          <w:p>
            <w:pPr>
              <w:pStyle w:val="yTableNAm"/>
              <w:jc w:val="right"/>
            </w:pPr>
            <w:del w:id="143" w:author="Master Repository Process" w:date="2021-09-12T15:21:00Z">
              <w:r>
                <w:rPr>
                  <w:szCs w:val="22"/>
                </w:rPr>
                <w:delText>$</w:delText>
              </w:r>
            </w:del>
            <w:r>
              <w:t>11.80</w:t>
            </w:r>
          </w:p>
        </w:tc>
      </w:tr>
      <w:tr>
        <w:trPr>
          <w:cantSplit/>
        </w:trPr>
        <w:tc>
          <w:tcPr>
            <w:tcW w:w="709" w:type="dxa"/>
            <w:noWrap/>
          </w:tcPr>
          <w:p>
            <w:pPr>
              <w:pStyle w:val="yTableNAm"/>
            </w:pPr>
            <w:r>
              <w:t>9.</w:t>
            </w:r>
          </w:p>
        </w:tc>
        <w:tc>
          <w:tcPr>
            <w:tcW w:w="3260" w:type="dxa"/>
            <w:noWrap/>
          </w:tcPr>
          <w:p>
            <w:pPr>
              <w:pStyle w:val="yTableNAm"/>
            </w:pPr>
            <w:r>
              <w:t>Issue of duplicate licence, duplicate certificate of registration or duplicate triennial certificate</w:t>
            </w:r>
          </w:p>
        </w:tc>
        <w:tc>
          <w:tcPr>
            <w:tcW w:w="1488" w:type="dxa"/>
            <w:noWrap/>
            <w:vAlign w:val="bottom"/>
            <w:cellIns w:id="144" w:author="Master Repository Process" w:date="2021-09-12T15:21:00Z"/>
          </w:tcPr>
          <w:p>
            <w:pPr>
              <w:pStyle w:val="yTableNAm"/>
              <w:jc w:val="right"/>
            </w:pPr>
            <w:ins w:id="145" w:author="Master Repository Process" w:date="2021-09-12T15:21:00Z">
              <w:r>
                <w:t>–</w:t>
              </w:r>
            </w:ins>
          </w:p>
        </w:tc>
        <w:tc>
          <w:tcPr>
            <w:tcW w:w="1489" w:type="dxa"/>
            <w:noWrap/>
            <w:vAlign w:val="bottom"/>
          </w:tcPr>
          <w:p>
            <w:pPr>
              <w:pStyle w:val="yTableNAm"/>
              <w:jc w:val="right"/>
            </w:pPr>
            <w:del w:id="146" w:author="Master Repository Process" w:date="2021-09-12T15:21:00Z">
              <w:r>
                <w:rPr>
                  <w:szCs w:val="22"/>
                </w:rPr>
                <w:delText>$</w:delText>
              </w:r>
            </w:del>
            <w:r>
              <w:t>29.50</w:t>
            </w:r>
          </w:p>
        </w:tc>
      </w:tr>
      <w:tr>
        <w:trPr>
          <w:cantSplit/>
        </w:trPr>
        <w:tc>
          <w:tcPr>
            <w:tcW w:w="709" w:type="dxa"/>
            <w:noWrap/>
          </w:tcPr>
          <w:p>
            <w:pPr>
              <w:pStyle w:val="yTableNAm"/>
            </w:pPr>
            <w:r>
              <w:t>10.</w:t>
            </w:r>
          </w:p>
        </w:tc>
        <w:tc>
          <w:tcPr>
            <w:tcW w:w="3260" w:type="dxa"/>
            <w:noWrap/>
          </w:tcPr>
          <w:p>
            <w:pPr>
              <w:pStyle w:val="yTableNAm"/>
              <w:rPr>
                <w:del w:id="147" w:author="Master Repository Process" w:date="2021-09-12T15:21:00Z"/>
                <w:szCs w:val="22"/>
              </w:rPr>
            </w:pPr>
            <w:r>
              <w:t>Copy (certified or uncertified) or an extract of an individual registration —</w:t>
            </w:r>
          </w:p>
          <w:p>
            <w:pPr>
              <w:pStyle w:val="yTableNAm"/>
              <w:tabs>
                <w:tab w:val="right" w:leader="dot" w:pos="4536"/>
              </w:tabs>
              <w:rPr>
                <w:del w:id="148" w:author="Master Repository Process" w:date="2021-09-12T15:21:00Z"/>
                <w:szCs w:val="22"/>
              </w:rPr>
            </w:pPr>
            <w:del w:id="149" w:author="Master Repository Process" w:date="2021-09-12T15:21:00Z">
              <w:r>
                <w:rPr>
                  <w:szCs w:val="22"/>
                </w:rPr>
                <w:delText>first page</w:delText>
              </w:r>
            </w:del>
          </w:p>
          <w:p>
            <w:pPr>
              <w:pStyle w:val="yTableNAm"/>
            </w:pPr>
            <w:del w:id="150" w:author="Master Repository Process" w:date="2021-09-12T15:21:00Z">
              <w:r>
                <w:rPr>
                  <w:szCs w:val="22"/>
                </w:rPr>
                <w:delText>each subsequent page</w:delText>
              </w:r>
            </w:del>
          </w:p>
        </w:tc>
        <w:tc>
          <w:tcPr>
            <w:tcW w:w="1488" w:type="dxa"/>
            <w:noWrap/>
            <w:vAlign w:val="bottom"/>
          </w:tcPr>
          <w:p>
            <w:pPr>
              <w:pStyle w:val="yTableNAm"/>
              <w:tabs>
                <w:tab w:val="left" w:pos="1103"/>
              </w:tabs>
              <w:jc w:val="right"/>
              <w:rPr>
                <w:del w:id="151" w:author="Master Repository Process" w:date="2021-09-12T15:21:00Z"/>
                <w:szCs w:val="22"/>
              </w:rPr>
            </w:pPr>
            <w:del w:id="152" w:author="Master Repository Process" w:date="2021-09-12T15:21:00Z">
              <w:r>
                <w:rPr>
                  <w:szCs w:val="22"/>
                </w:rPr>
                <w:delText>$12.20</w:delText>
              </w:r>
            </w:del>
          </w:p>
          <w:p>
            <w:pPr>
              <w:pStyle w:val="yTableNAm"/>
              <w:jc w:val="right"/>
            </w:pPr>
            <w:del w:id="153" w:author="Master Repository Process" w:date="2021-09-12T15:21:00Z">
              <w:r>
                <w:rPr>
                  <w:szCs w:val="22"/>
                </w:rPr>
                <w:delText>$2.30</w:delText>
              </w:r>
            </w:del>
          </w:p>
        </w:tc>
        <w:tc>
          <w:tcPr>
            <w:tcW w:w="1489" w:type="dxa"/>
            <w:noWrap/>
            <w:vAlign w:val="bottom"/>
            <w:cellIns w:id="154" w:author="Master Repository Process" w:date="2021-09-12T15:21:00Z"/>
          </w:tcPr>
          <w:p>
            <w:pPr>
              <w:pStyle w:val="yTableNAm"/>
              <w:jc w:val="right"/>
            </w:pPr>
          </w:p>
        </w:tc>
      </w:tr>
      <w:tr>
        <w:trPr>
          <w:cantSplit/>
          <w:ins w:id="155" w:author="Master Repository Process" w:date="2021-09-12T15:21:00Z"/>
        </w:trPr>
        <w:tc>
          <w:tcPr>
            <w:tcW w:w="709" w:type="dxa"/>
            <w:noWrap/>
          </w:tcPr>
          <w:p>
            <w:pPr>
              <w:pStyle w:val="yTableNAm"/>
              <w:rPr>
                <w:ins w:id="156" w:author="Master Repository Process" w:date="2021-09-12T15:21:00Z"/>
              </w:rPr>
            </w:pPr>
          </w:p>
        </w:tc>
        <w:tc>
          <w:tcPr>
            <w:tcW w:w="3260" w:type="dxa"/>
            <w:noWrap/>
          </w:tcPr>
          <w:p>
            <w:pPr>
              <w:pStyle w:val="yTableNAm"/>
              <w:rPr>
                <w:ins w:id="157" w:author="Master Repository Process" w:date="2021-09-12T15:21:00Z"/>
              </w:rPr>
            </w:pPr>
            <w:ins w:id="158" w:author="Master Repository Process" w:date="2021-09-12T15:21:00Z">
              <w:r>
                <w:t>(a)</w:t>
              </w:r>
              <w:r>
                <w:tab/>
                <w:t>first page</w:t>
              </w:r>
            </w:ins>
          </w:p>
        </w:tc>
        <w:tc>
          <w:tcPr>
            <w:tcW w:w="1488" w:type="dxa"/>
            <w:noWrap/>
            <w:vAlign w:val="bottom"/>
          </w:tcPr>
          <w:p>
            <w:pPr>
              <w:pStyle w:val="yTableNAm"/>
              <w:jc w:val="right"/>
              <w:rPr>
                <w:ins w:id="159" w:author="Master Repository Process" w:date="2021-09-12T15:21:00Z"/>
              </w:rPr>
            </w:pPr>
            <w:ins w:id="160" w:author="Master Repository Process" w:date="2021-09-12T15:21:00Z">
              <w:r>
                <w:t>–</w:t>
              </w:r>
            </w:ins>
          </w:p>
        </w:tc>
        <w:tc>
          <w:tcPr>
            <w:tcW w:w="1489" w:type="dxa"/>
            <w:noWrap/>
            <w:vAlign w:val="bottom"/>
          </w:tcPr>
          <w:p>
            <w:pPr>
              <w:pStyle w:val="yTableNAm"/>
              <w:jc w:val="right"/>
              <w:rPr>
                <w:ins w:id="161" w:author="Master Repository Process" w:date="2021-09-12T15:21:00Z"/>
              </w:rPr>
            </w:pPr>
            <w:ins w:id="162" w:author="Master Repository Process" w:date="2021-09-12T15:21:00Z">
              <w:r>
                <w:t>12.20</w:t>
              </w:r>
            </w:ins>
          </w:p>
        </w:tc>
      </w:tr>
      <w:tr>
        <w:trPr>
          <w:cantSplit/>
          <w:ins w:id="163" w:author="Master Repository Process" w:date="2021-09-12T15:21:00Z"/>
        </w:trPr>
        <w:tc>
          <w:tcPr>
            <w:tcW w:w="709" w:type="dxa"/>
            <w:noWrap/>
          </w:tcPr>
          <w:p>
            <w:pPr>
              <w:pStyle w:val="yTableNAm"/>
              <w:rPr>
                <w:ins w:id="164" w:author="Master Repository Process" w:date="2021-09-12T15:21:00Z"/>
              </w:rPr>
            </w:pPr>
          </w:p>
        </w:tc>
        <w:tc>
          <w:tcPr>
            <w:tcW w:w="3260" w:type="dxa"/>
            <w:noWrap/>
          </w:tcPr>
          <w:p>
            <w:pPr>
              <w:pStyle w:val="yTableNAm"/>
              <w:rPr>
                <w:ins w:id="165" w:author="Master Repository Process" w:date="2021-09-12T15:21:00Z"/>
              </w:rPr>
            </w:pPr>
            <w:ins w:id="166" w:author="Master Repository Process" w:date="2021-09-12T15:21:00Z">
              <w:r>
                <w:t>(b)</w:t>
              </w:r>
              <w:r>
                <w:tab/>
                <w:t>each subsequent page</w:t>
              </w:r>
            </w:ins>
          </w:p>
        </w:tc>
        <w:tc>
          <w:tcPr>
            <w:tcW w:w="1488" w:type="dxa"/>
            <w:noWrap/>
            <w:vAlign w:val="bottom"/>
          </w:tcPr>
          <w:p>
            <w:pPr>
              <w:pStyle w:val="yTableNAm"/>
              <w:jc w:val="right"/>
              <w:rPr>
                <w:ins w:id="167" w:author="Master Repository Process" w:date="2021-09-12T15:21:00Z"/>
              </w:rPr>
            </w:pPr>
            <w:ins w:id="168" w:author="Master Repository Process" w:date="2021-09-12T15:21:00Z">
              <w:r>
                <w:t>–</w:t>
              </w:r>
            </w:ins>
          </w:p>
        </w:tc>
        <w:tc>
          <w:tcPr>
            <w:tcW w:w="1489" w:type="dxa"/>
            <w:noWrap/>
            <w:vAlign w:val="bottom"/>
          </w:tcPr>
          <w:p>
            <w:pPr>
              <w:pStyle w:val="yTableNAm"/>
              <w:jc w:val="right"/>
              <w:rPr>
                <w:ins w:id="169" w:author="Master Repository Process" w:date="2021-09-12T15:21:00Z"/>
              </w:rPr>
            </w:pPr>
            <w:ins w:id="170" w:author="Master Repository Process" w:date="2021-09-12T15:21:00Z">
              <w:r>
                <w:t>2.30</w:t>
              </w:r>
            </w:ins>
          </w:p>
        </w:tc>
      </w:tr>
      <w:tr>
        <w:trPr>
          <w:cantSplit/>
        </w:trPr>
        <w:tc>
          <w:tcPr>
            <w:tcW w:w="709" w:type="dxa"/>
            <w:noWrap/>
          </w:tcPr>
          <w:p>
            <w:pPr>
              <w:pStyle w:val="yTableNAm"/>
            </w:pPr>
            <w:r>
              <w:t>11.</w:t>
            </w:r>
          </w:p>
        </w:tc>
        <w:tc>
          <w:tcPr>
            <w:tcW w:w="3260" w:type="dxa"/>
            <w:noWrap/>
          </w:tcPr>
          <w:p>
            <w:pPr>
              <w:pStyle w:val="yTableNAm"/>
            </w:pPr>
            <w:r>
              <w:t>Copy (certified or uncertified) or an extract of all</w:t>
            </w:r>
            <w:del w:id="171" w:author="Master Repository Process" w:date="2021-09-12T15:21:00Z">
              <w:r>
                <w:rPr>
                  <w:szCs w:val="22"/>
                </w:rPr>
                <w:delText> </w:delText>
              </w:r>
            </w:del>
            <w:ins w:id="172" w:author="Master Repository Process" w:date="2021-09-12T15:21:00Z">
              <w:r>
                <w:t xml:space="preserve"> </w:t>
              </w:r>
            </w:ins>
            <w:r>
              <w:t>registrations in a register</w:t>
            </w:r>
          </w:p>
        </w:tc>
        <w:tc>
          <w:tcPr>
            <w:tcW w:w="1488" w:type="dxa"/>
            <w:noWrap/>
            <w:vAlign w:val="bottom"/>
            <w:cellIns w:id="173" w:author="Master Repository Process" w:date="2021-09-12T15:21:00Z"/>
          </w:tcPr>
          <w:p>
            <w:pPr>
              <w:pStyle w:val="yTableNAm"/>
              <w:jc w:val="right"/>
            </w:pPr>
            <w:ins w:id="174" w:author="Master Repository Process" w:date="2021-09-12T15:21:00Z">
              <w:r>
                <w:t>–</w:t>
              </w:r>
            </w:ins>
          </w:p>
        </w:tc>
        <w:tc>
          <w:tcPr>
            <w:tcW w:w="1489" w:type="dxa"/>
            <w:noWrap/>
            <w:vAlign w:val="bottom"/>
          </w:tcPr>
          <w:p>
            <w:pPr>
              <w:pStyle w:val="yTableNAm"/>
              <w:jc w:val="right"/>
            </w:pPr>
            <w:del w:id="175" w:author="Master Repository Process" w:date="2021-09-12T15:21:00Z">
              <w:r>
                <w:rPr>
                  <w:szCs w:val="22"/>
                </w:rPr>
                <w:delText>$</w:delText>
              </w:r>
            </w:del>
            <w:r>
              <w:t>121.00</w:t>
            </w:r>
          </w:p>
        </w:tc>
      </w:tr>
      <w:tr>
        <w:trPr>
          <w:cantSplit/>
        </w:trPr>
        <w:tc>
          <w:tcPr>
            <w:tcW w:w="709" w:type="dxa"/>
            <w:tcBorders>
              <w:bottom w:val="single" w:sz="4" w:space="0" w:color="auto"/>
            </w:tcBorders>
            <w:noWrap/>
          </w:tcPr>
          <w:p>
            <w:pPr>
              <w:pStyle w:val="yTableNAm"/>
              <w:keepNext/>
              <w:spacing w:after="120"/>
            </w:pPr>
            <w:r>
              <w:t>12.</w:t>
            </w:r>
          </w:p>
        </w:tc>
        <w:tc>
          <w:tcPr>
            <w:tcW w:w="3260" w:type="dxa"/>
            <w:tcBorders>
              <w:bottom w:val="single" w:sz="4" w:space="0" w:color="auto"/>
            </w:tcBorders>
            <w:noWrap/>
          </w:tcPr>
          <w:p>
            <w:pPr>
              <w:pStyle w:val="yTableNAm"/>
              <w:keepNext/>
              <w:spacing w:after="120"/>
            </w:pPr>
            <w:del w:id="176" w:author="Master Repository Process" w:date="2021-09-12T15:21:00Z">
              <w:r>
                <w:rPr>
                  <w:szCs w:val="22"/>
                </w:rPr>
                <w:delText>For</w:delText>
              </w:r>
            </w:del>
            <w:ins w:id="177" w:author="Master Repository Process" w:date="2021-09-12T15:21:00Z">
              <w:r>
                <w:t>Fee for</w:t>
              </w:r>
            </w:ins>
            <w:r>
              <w:t xml:space="preserve"> the purposes of section 30(2a) </w:t>
            </w:r>
            <w:ins w:id="178" w:author="Master Repository Process" w:date="2021-09-12T15:21:00Z">
              <w:r>
                <w:t xml:space="preserve">of the Act </w:t>
              </w:r>
            </w:ins>
            <w:r>
              <w:t>(the holding</w:t>
            </w:r>
            <w:del w:id="179" w:author="Master Repository Process" w:date="2021-09-12T15:21:00Z">
              <w:r>
                <w:rPr>
                  <w:szCs w:val="22"/>
                </w:rPr>
                <w:delText> </w:delText>
              </w:r>
            </w:del>
            <w:ins w:id="180" w:author="Master Repository Process" w:date="2021-09-12T15:21:00Z">
              <w:r>
                <w:t xml:space="preserve"> </w:t>
              </w:r>
            </w:ins>
            <w:r>
              <w:t>fee)</w:t>
            </w:r>
          </w:p>
        </w:tc>
        <w:tc>
          <w:tcPr>
            <w:tcW w:w="1488" w:type="dxa"/>
            <w:tcBorders>
              <w:bottom w:val="single" w:sz="4" w:space="0" w:color="auto"/>
            </w:tcBorders>
            <w:noWrap/>
            <w:vAlign w:val="bottom"/>
            <w:cellIns w:id="181" w:author="Master Repository Process" w:date="2021-09-12T15:21:00Z"/>
          </w:tcPr>
          <w:p>
            <w:pPr>
              <w:pStyle w:val="yTableNAm"/>
              <w:keepNext/>
              <w:spacing w:after="120"/>
              <w:jc w:val="right"/>
            </w:pPr>
            <w:ins w:id="182" w:author="Master Repository Process" w:date="2021-09-12T15:21:00Z">
              <w:r>
                <w:t>172.00</w:t>
              </w:r>
            </w:ins>
          </w:p>
        </w:tc>
        <w:tc>
          <w:tcPr>
            <w:tcW w:w="1489" w:type="dxa"/>
            <w:tcBorders>
              <w:bottom w:val="single" w:sz="4" w:space="0" w:color="auto"/>
            </w:tcBorders>
            <w:noWrap/>
            <w:vAlign w:val="bottom"/>
          </w:tcPr>
          <w:p>
            <w:pPr>
              <w:pStyle w:val="yTableNAm"/>
              <w:keepNext/>
              <w:spacing w:after="120"/>
              <w:jc w:val="right"/>
            </w:pPr>
            <w:del w:id="183" w:author="Master Repository Process" w:date="2021-09-12T15:21:00Z">
              <w:r>
                <w:rPr>
                  <w:szCs w:val="22"/>
                </w:rPr>
                <w:delText>$</w:delText>
              </w:r>
            </w:del>
            <w:r>
              <w:t>258.00</w:t>
            </w:r>
          </w:p>
        </w:tc>
      </w:tr>
    </w:tbl>
    <w:p>
      <w:pPr>
        <w:pStyle w:val="Footnotesection"/>
      </w:pPr>
      <w:r>
        <w:tab/>
        <w:t xml:space="preserve">[Schedule 1 inserted: </w:t>
      </w:r>
      <w:del w:id="184" w:author="Master Repository Process" w:date="2021-09-12T15:21:00Z">
        <w:r>
          <w:delText>Gazette 18 Jun 2019 p. 2110-11</w:delText>
        </w:r>
      </w:del>
      <w:ins w:id="185" w:author="Master Repository Process" w:date="2021-09-12T15:21:00Z">
        <w:r>
          <w:t>SL 2020/196 r. 58</w:t>
        </w:r>
      </w:ins>
      <w:r>
        <w:t>.]</w:t>
      </w:r>
    </w:p>
    <w:bookmarkEnd w:id="99"/>
    <w:p>
      <w:pPr>
        <w:pStyle w:val="yScheduleHeading"/>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187" w:name="_Toc54250739"/>
      <w:bookmarkStart w:id="188" w:name="_Toc54271713"/>
      <w:bookmarkStart w:id="189" w:name="_Toc54595332"/>
      <w:bookmarkStart w:id="190" w:name="_Toc51676882"/>
      <w:bookmarkStart w:id="191" w:name="_Toc51677122"/>
      <w:bookmarkStart w:id="192" w:name="_Toc51842034"/>
      <w:r>
        <w:rPr>
          <w:rStyle w:val="CharSchNo"/>
        </w:rPr>
        <w:t>Schedule 1A</w:t>
      </w:r>
      <w:r>
        <w:rPr>
          <w:rStyle w:val="CharSDivNo"/>
        </w:rPr>
        <w:t> </w:t>
      </w:r>
      <w:r>
        <w:t>—</w:t>
      </w:r>
      <w:r>
        <w:rPr>
          <w:rStyle w:val="CharSDivText"/>
        </w:rPr>
        <w:t> </w:t>
      </w:r>
      <w:r>
        <w:rPr>
          <w:rStyle w:val="CharSchText"/>
        </w:rPr>
        <w:t>Professional development subjects</w:t>
      </w:r>
      <w:bookmarkEnd w:id="187"/>
      <w:bookmarkEnd w:id="188"/>
      <w:bookmarkEnd w:id="189"/>
      <w:bookmarkEnd w:id="190"/>
      <w:bookmarkEnd w:id="191"/>
      <w:bookmarkEnd w:id="192"/>
    </w:p>
    <w:p>
      <w:pPr>
        <w:pStyle w:val="yShoulderClause"/>
      </w:pPr>
      <w:r>
        <w:t>[r. 4AB]</w:t>
      </w:r>
    </w:p>
    <w:p>
      <w:pPr>
        <w:pStyle w:val="yFootnoteheading"/>
      </w:pPr>
      <w:r>
        <w:tab/>
        <w:t>[Heading inserted: Gazette 28 Dec 2007 p. 6407.]</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Legislation regulating the carrying on of business as an agent in Western Australia</w:t>
      </w:r>
    </w:p>
    <w:p>
      <w:pPr>
        <w:pStyle w:val="yNumberedItem"/>
      </w:pPr>
      <w:r>
        <w:t>13.</w:t>
      </w:r>
      <w:r>
        <w:tab/>
        <w:t>Property management</w:t>
      </w:r>
    </w:p>
    <w:p>
      <w:pPr>
        <w:pStyle w:val="yNumberedItem"/>
      </w:pPr>
      <w:r>
        <w:t>14.</w:t>
      </w:r>
      <w:r>
        <w:tab/>
        <w:t>Sale and lease of commercial property</w:t>
      </w:r>
    </w:p>
    <w:p>
      <w:pPr>
        <w:pStyle w:val="yNumberedItem"/>
      </w:pPr>
      <w:r>
        <w:t>15.</w:t>
      </w:r>
      <w:r>
        <w:tab/>
        <w:t>Sale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Gazette 28 Dec 2007 p. 6407.]</w:t>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yScheduleHeading"/>
      </w:pPr>
      <w:bookmarkStart w:id="193" w:name="_Toc54250740"/>
      <w:bookmarkStart w:id="194" w:name="_Toc54271714"/>
      <w:bookmarkStart w:id="195" w:name="_Toc54595333"/>
      <w:bookmarkStart w:id="196" w:name="_Toc51676883"/>
      <w:bookmarkStart w:id="197" w:name="_Toc51677123"/>
      <w:bookmarkStart w:id="198" w:name="_Toc51842035"/>
      <w:r>
        <w:rPr>
          <w:rStyle w:val="CharSchNo"/>
        </w:rPr>
        <w:t>Schedule 2</w:t>
      </w:r>
      <w:r>
        <w:rPr>
          <w:rStyle w:val="CharSDivNo"/>
        </w:rPr>
        <w:t> </w:t>
      </w:r>
      <w:r>
        <w:t>—</w:t>
      </w:r>
      <w:r>
        <w:rPr>
          <w:rStyle w:val="CharSDivText"/>
        </w:rPr>
        <w:t> </w:t>
      </w:r>
      <w:r>
        <w:rPr>
          <w:rStyle w:val="CharSchText"/>
        </w:rPr>
        <w:t>Forms</w:t>
      </w:r>
      <w:bookmarkEnd w:id="193"/>
      <w:bookmarkEnd w:id="194"/>
      <w:bookmarkEnd w:id="195"/>
      <w:bookmarkEnd w:id="196"/>
      <w:bookmarkEnd w:id="197"/>
      <w:bookmarkEnd w:id="198"/>
    </w:p>
    <w:p>
      <w:pPr>
        <w:pStyle w:val="yShoulderClause"/>
        <w:spacing w:before="80"/>
        <w:rPr>
          <w:snapToGrid w:val="0"/>
        </w:rPr>
      </w:pPr>
      <w:r>
        <w:rPr>
          <w:snapToGrid w:val="0"/>
        </w:rPr>
        <w:t>[r. 15]</w:t>
      </w:r>
    </w:p>
    <w:p>
      <w:pPr>
        <w:pStyle w:val="yFootnoteheading"/>
        <w:spacing w:before="80"/>
        <w:rPr>
          <w:snapToGrid w:val="0"/>
        </w:rPr>
      </w:pPr>
      <w:r>
        <w:rPr>
          <w:snapToGrid w:val="0"/>
        </w:rPr>
        <w:tab/>
        <w:t>[Heading inserted: Gazette 28 Aug 2009 p. 3349.]</w:t>
      </w:r>
    </w:p>
    <w:p>
      <w:pPr>
        <w:pStyle w:val="yEdnoteschedule"/>
      </w:pPr>
      <w:r>
        <w:t>[Form 1 deleted: Gazette 24 Dec 2019 p. 4419.]</w:t>
      </w:r>
    </w:p>
    <w:p>
      <w:pPr>
        <w:pStyle w:val="yMiscellaneousHeading"/>
        <w:keepNext w:val="0"/>
        <w:spacing w:after="80"/>
        <w:rPr>
          <w:b/>
          <w:bCs/>
          <w:snapToGrid w:val="0"/>
        </w:rPr>
      </w:pPr>
      <w:r>
        <w:rPr>
          <w:rStyle w:val="CharSClsNo"/>
          <w:b/>
          <w:bCs/>
        </w:rPr>
        <w:t>Form 2</w:t>
      </w:r>
      <w:r>
        <w:rPr>
          <w:b/>
          <w:bCs/>
          <w:snapToGrid w:val="0"/>
        </w:rPr>
        <w:t>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b/>
              </w:rPr>
              <w:br w:type="page"/>
            </w:r>
            <w:r>
              <w:rPr>
                <w:i/>
                <w:iCs/>
              </w:rPr>
              <w:t>Real Estate and Business Agents Act 1978</w:t>
            </w:r>
          </w:p>
          <w:p>
            <w:pPr>
              <w:pStyle w:val="yTableNAm"/>
              <w:rPr>
                <w:b/>
                <w:sz w:val="28"/>
              </w:rPr>
            </w:pPr>
            <w:r>
              <w:rPr>
                <w:b/>
                <w:sz w:val="28"/>
              </w:rPr>
              <w:t>Infringement notice</w:t>
            </w:r>
          </w:p>
        </w:tc>
        <w:tc>
          <w:tcPr>
            <w:tcW w:w="2106" w:type="dxa"/>
            <w:tcBorders>
              <w:bottom w:val="single" w:sz="4" w:space="0" w:color="auto"/>
            </w:tcBorders>
          </w:tcPr>
          <w:p>
            <w:pPr>
              <w:pStyle w:val="yTableNAm"/>
            </w:pPr>
            <w:r>
              <w:t xml:space="preserve">Infringement </w:t>
            </w:r>
            <w:r>
              <w:br/>
              <w:t>notice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ind w:right="-108"/>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Height w:val="150"/>
        </w:trPr>
        <w:tc>
          <w:tcPr>
            <w:tcW w:w="1539" w:type="dxa"/>
          </w:tcPr>
          <w:p>
            <w:pPr>
              <w:pStyle w:val="yTableNAm"/>
              <w:rPr>
                <w:b/>
              </w:rPr>
            </w:pPr>
            <w:r>
              <w:rPr>
                <w:b/>
              </w:rPr>
              <w:t>Alleged offence</w:t>
            </w:r>
          </w:p>
        </w:tc>
        <w:tc>
          <w:tcPr>
            <w:tcW w:w="5529" w:type="dxa"/>
            <w:gridSpan w:val="2"/>
          </w:tcPr>
          <w:p>
            <w:pPr>
              <w:pStyle w:val="yTableNAm"/>
              <w:ind w:right="-108"/>
            </w:pPr>
            <w:r>
              <w:t>Description of offence_______________________________</w:t>
            </w:r>
          </w:p>
        </w:tc>
      </w:tr>
      <w:tr>
        <w:trPr>
          <w:cantSplit/>
        </w:trPr>
        <w:tc>
          <w:tcPr>
            <w:tcW w:w="1539" w:type="dxa"/>
            <w:vMerge w:val="restart"/>
          </w:tcPr>
          <w:p>
            <w:pPr>
              <w:pStyle w:val="yTableNAm"/>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trPr>
          <w:cantSplit/>
        </w:trPr>
        <w:tc>
          <w:tcPr>
            <w:tcW w:w="1539" w:type="dxa"/>
            <w:vMerge/>
          </w:tcPr>
          <w:p>
            <w:pPr>
              <w:pStyle w:val="yTableNAm"/>
              <w:rPr>
                <w:b/>
              </w:rPr>
            </w:pPr>
          </w:p>
        </w:tc>
        <w:tc>
          <w:tcPr>
            <w:tcW w:w="5529" w:type="dxa"/>
            <w:gridSpan w:val="2"/>
          </w:tcPr>
          <w:p>
            <w:pPr>
              <w:pStyle w:val="yTableNAm"/>
            </w:pPr>
            <w:r>
              <w:t>Modified penalty  $</w:t>
            </w:r>
          </w:p>
        </w:tc>
      </w:tr>
      <w:tr>
        <w:trPr>
          <w:cantSplit/>
        </w:trPr>
        <w:tc>
          <w:tcPr>
            <w:tcW w:w="1539" w:type="dxa"/>
            <w:vMerge w:val="restart"/>
          </w:tcPr>
          <w:p>
            <w:pPr>
              <w:pStyle w:val="yTableNAm"/>
              <w:ind w:right="120"/>
              <w:rPr>
                <w:b/>
              </w:rPr>
            </w:pPr>
            <w:r>
              <w:rPr>
                <w:b/>
              </w:rPr>
              <w:t>Officer issuing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Borders>
              <w:bottom w:val="single" w:sz="4" w:space="0" w:color="auto"/>
            </w:tcBorders>
          </w:tcPr>
          <w:p>
            <w:pPr>
              <w:pStyle w:val="yTableNAm"/>
              <w:rPr>
                <w:b/>
              </w:rPr>
            </w:pPr>
            <w:r>
              <w:rPr>
                <w:b/>
              </w:rPr>
              <w:t xml:space="preserve">Date </w:t>
            </w:r>
          </w:p>
        </w:tc>
        <w:tc>
          <w:tcPr>
            <w:tcW w:w="5529" w:type="dxa"/>
            <w:gridSpan w:val="2"/>
            <w:tcBorders>
              <w:bottom w:val="single" w:sz="4" w:space="0" w:color="auto"/>
            </w:tcBorders>
          </w:tcPr>
          <w:p>
            <w:pPr>
              <w:pStyle w:val="yTableNAm"/>
              <w:tabs>
                <w:tab w:val="clear" w:pos="567"/>
                <w:tab w:val="left" w:pos="1773"/>
                <w:tab w:val="left" w:pos="2400"/>
              </w:tabs>
            </w:pPr>
            <w:r>
              <w:t xml:space="preserve">Date of notice </w:t>
            </w:r>
            <w:r>
              <w:tab/>
              <w:t>/</w:t>
            </w:r>
            <w:r>
              <w:tab/>
              <w:t>/20</w:t>
            </w:r>
          </w:p>
        </w:tc>
      </w:tr>
      <w:tr>
        <w:tc>
          <w:tcPr>
            <w:tcW w:w="1539" w:type="dxa"/>
            <w:tcBorders>
              <w:bottom w:val="single" w:sz="4" w:space="0" w:color="auto"/>
            </w:tcBorders>
          </w:tcPr>
          <w:p>
            <w:pPr>
              <w:pStyle w:val="yTableNAm"/>
              <w:rPr>
                <w:b/>
              </w:rPr>
            </w:pPr>
            <w:r>
              <w:rPr>
                <w:b/>
              </w:rPr>
              <w:t>Notice to alleged offender</w:t>
            </w:r>
          </w:p>
        </w:tc>
        <w:tc>
          <w:tcPr>
            <w:tcW w:w="5529" w:type="dxa"/>
            <w:gridSpan w:val="2"/>
            <w:tcBorders>
              <w:bottom w:val="single" w:sz="4" w:space="0" w:color="auto"/>
            </w:tcBorders>
          </w:tcPr>
          <w:p>
            <w:pPr>
              <w:pStyle w:val="yTableNAm"/>
            </w:pPr>
            <w:r>
              <w:t>It is alleged that you have committed the above offence.</w:t>
            </w:r>
          </w:p>
          <w:p>
            <w:pPr>
              <w:pStyle w:val="yTableNAm"/>
            </w:pPr>
            <w:r>
              <w:t xml:space="preserve">If you do not want to be prosecuted in court for the offence, pay the modified penalty within 28 days after the date of this notice.  </w:t>
            </w:r>
          </w:p>
        </w:tc>
      </w:tr>
      <w:tr>
        <w:trPr>
          <w:cantSplit/>
        </w:trPr>
        <w:tc>
          <w:tcPr>
            <w:tcW w:w="1539" w:type="dxa"/>
            <w:tcBorders>
              <w:top w:val="single" w:sz="4" w:space="0" w:color="auto"/>
              <w:bottom w:val="single" w:sz="4" w:space="0" w:color="auto"/>
            </w:tcBorders>
          </w:tcPr>
          <w:p>
            <w:pPr>
              <w:pStyle w:val="yTableNAm"/>
              <w:rPr>
                <w:b/>
              </w:rPr>
            </w:pPr>
          </w:p>
        </w:tc>
        <w:tc>
          <w:tcPr>
            <w:tcW w:w="5529" w:type="dxa"/>
            <w:gridSpan w:val="2"/>
            <w:tcBorders>
              <w:top w:val="single" w:sz="4" w:space="0" w:color="auto"/>
              <w:bottom w:val="single" w:sz="4" w:space="0" w:color="auto"/>
            </w:tcBorders>
          </w:tcPr>
          <w:p>
            <w:pPr>
              <w:pStyle w:val="yTableNAm"/>
              <w:rPr>
                <w:b/>
              </w:rPr>
            </w:pPr>
            <w:r>
              <w:rPr>
                <w:b/>
              </w:rPr>
              <w:t>How to pay</w:t>
            </w:r>
          </w:p>
          <w:p>
            <w:pPr>
              <w:pStyle w:val="yTableNAm"/>
            </w:pPr>
            <w:r>
              <w:rPr>
                <w:b/>
              </w:rPr>
              <w:t>By post:</w:t>
            </w:r>
            <w:r>
              <w:t xml:space="preserve"> Send a cheque or money order (payable to ‘Approved Officer — </w:t>
            </w:r>
            <w:r>
              <w:rPr>
                <w:i/>
                <w:iCs/>
              </w:rPr>
              <w:t>Real Estate and Business Agents Act 1978</w:t>
            </w:r>
            <w:r>
              <w:t>’) to the following address:</w:t>
            </w:r>
          </w:p>
          <w:p>
            <w:pPr>
              <w:pStyle w:val="yTableNAm"/>
            </w:pPr>
            <w:r>
              <w:t>Approved Officer</w:t>
            </w:r>
          </w:p>
          <w:p>
            <w:pPr>
              <w:pStyle w:val="yTableNAm"/>
            </w:pPr>
            <w:r>
              <w:rPr>
                <w:szCs w:val="22"/>
              </w:rPr>
              <w:t>Department of Commerce — Consumer Protection</w:t>
            </w:r>
          </w:p>
          <w:p>
            <w:pPr>
              <w:pStyle w:val="yTableNAm"/>
            </w:pPr>
            <w:r>
              <w:t>[</w:t>
            </w:r>
            <w:r>
              <w:rPr>
                <w:i/>
                <w:iCs/>
              </w:rPr>
              <w:t>Address</w:t>
            </w:r>
            <w:r>
              <w:t>]</w:t>
            </w:r>
          </w:p>
          <w:p>
            <w:pPr>
              <w:pStyle w:val="yTableNAm"/>
            </w:pPr>
            <w:r>
              <w:rPr>
                <w:b/>
              </w:rPr>
              <w:t>In person:</w:t>
            </w:r>
            <w:r>
              <w:t xml:space="preserve"> Pay the cashier at:</w:t>
            </w:r>
          </w:p>
          <w:p>
            <w:pPr>
              <w:pStyle w:val="yTableNAm"/>
            </w:pPr>
            <w:r>
              <w:rPr>
                <w:szCs w:val="22"/>
              </w:rPr>
              <w:t>Department of Commerce — Consumer Protection</w:t>
            </w:r>
          </w:p>
          <w:p>
            <w:pPr>
              <w:pStyle w:val="yTableNAm"/>
            </w:pPr>
            <w:r>
              <w:t>[</w:t>
            </w:r>
            <w:r>
              <w:rPr>
                <w:i/>
                <w:iCs/>
              </w:rPr>
              <w:t>Address</w:t>
            </w:r>
            <w:r>
              <w:t>]</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pPr>
            <w:r>
              <w:rPr>
                <w:b/>
              </w:rPr>
              <w:t>If you need more time</w:t>
            </w:r>
            <w:r>
              <w:t xml:space="preserve"> to pay the modified penalty, you can apply for an extension of time by writing to the Approved Officer at the above postal address.</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pPr>
        <w:pStyle w:val="yFootnotesection"/>
      </w:pPr>
      <w:r>
        <w:tab/>
        <w:t>[Form 2 inserted: Gazette 28 Aug 2009 p. 3349</w:t>
      </w:r>
      <w:r>
        <w:noBreakHyphen/>
        <w:t>50; amended: Gazette 30 Jun 2011 p. 2670; 20 Aug 2013 p. 3839; SL 2020/163 r. 46.]</w:t>
      </w:r>
    </w:p>
    <w:p>
      <w:pPr>
        <w:pStyle w:val="yMiscellaneousHeading"/>
        <w:keepNext w:val="0"/>
        <w:pageBreakBefore/>
        <w:spacing w:after="60"/>
        <w:rPr>
          <w:b/>
          <w:bCs/>
          <w:snapToGrid w:val="0"/>
        </w:rPr>
      </w:pPr>
      <w:r>
        <w:rPr>
          <w:rStyle w:val="CharSClsNo"/>
          <w:b/>
          <w:bCs/>
        </w:rPr>
        <w:t>Form 3</w:t>
      </w:r>
      <w:r>
        <w:rPr>
          <w:b/>
          <w:bCs/>
          <w:snapToGrid w:val="0"/>
        </w:rPr>
        <w:t>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i/>
                <w:iCs/>
              </w:rPr>
              <w:t>Real Estate and Business Agents Act 1978</w:t>
            </w:r>
          </w:p>
          <w:p>
            <w:pPr>
              <w:pStyle w:val="yTableNAm"/>
              <w:rPr>
                <w:b/>
                <w:sz w:val="28"/>
              </w:rPr>
            </w:pPr>
            <w:r>
              <w:rPr>
                <w:b/>
                <w:sz w:val="28"/>
              </w:rPr>
              <w:t>Withdrawal of infringement notice</w:t>
            </w:r>
          </w:p>
        </w:tc>
        <w:tc>
          <w:tcPr>
            <w:tcW w:w="2106" w:type="dxa"/>
            <w:tcBorders>
              <w:bottom w:val="single" w:sz="4" w:space="0" w:color="auto"/>
            </w:tcBorders>
          </w:tcPr>
          <w:p>
            <w:pPr>
              <w:pStyle w:val="yTableNAm"/>
            </w:pPr>
            <w:r>
              <w:t>Withdrawal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tabs>
                <w:tab w:val="left" w:pos="3436"/>
              </w:tabs>
              <w:ind w:right="-165"/>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Pr>
        <w:tc>
          <w:tcPr>
            <w:tcW w:w="1539" w:type="dxa"/>
            <w:vMerge w:val="restart"/>
            <w:tcMar>
              <w:right w:w="57" w:type="dxa"/>
            </w:tcMar>
          </w:tcPr>
          <w:p>
            <w:pPr>
              <w:pStyle w:val="yTableNAm"/>
              <w:rPr>
                <w:b/>
              </w:rPr>
            </w:pPr>
            <w:r>
              <w:rPr>
                <w:b/>
              </w:rPr>
              <w:t>Infringement notice</w:t>
            </w:r>
          </w:p>
        </w:tc>
        <w:tc>
          <w:tcPr>
            <w:tcW w:w="5529" w:type="dxa"/>
            <w:gridSpan w:val="2"/>
          </w:tcPr>
          <w:p>
            <w:pPr>
              <w:pStyle w:val="yTableNAm"/>
            </w:pPr>
            <w:r>
              <w:t>Infringement notice no.</w:t>
            </w:r>
          </w:p>
        </w:tc>
      </w:tr>
      <w:tr>
        <w:trPr>
          <w:cantSplit/>
        </w:trPr>
        <w:tc>
          <w:tcPr>
            <w:tcW w:w="1539" w:type="dxa"/>
            <w:vMerge/>
          </w:tcPr>
          <w:p>
            <w:pPr>
              <w:pStyle w:val="yTableNAm"/>
            </w:pPr>
          </w:p>
        </w:tc>
        <w:tc>
          <w:tcPr>
            <w:tcW w:w="5529" w:type="dxa"/>
            <w:gridSpan w:val="2"/>
          </w:tcPr>
          <w:p>
            <w:pPr>
              <w:pStyle w:val="yTableNAm"/>
              <w:tabs>
                <w:tab w:val="clear" w:pos="567"/>
                <w:tab w:val="left" w:pos="1717"/>
              </w:tabs>
            </w:pPr>
            <w:r>
              <w:t xml:space="preserve">Date of issue  </w:t>
            </w:r>
            <w:r>
              <w:tab/>
              <w:t>/</w:t>
            </w:r>
            <w:r>
              <w:tab/>
              <w:t>/20</w:t>
            </w:r>
          </w:p>
        </w:tc>
      </w:tr>
      <w:tr>
        <w:trPr>
          <w:cantSplit/>
        </w:trPr>
        <w:tc>
          <w:tcPr>
            <w:tcW w:w="1539" w:type="dxa"/>
          </w:tcPr>
          <w:p>
            <w:pPr>
              <w:pStyle w:val="yTableNAm"/>
            </w:pPr>
            <w:r>
              <w:rPr>
                <w:b/>
              </w:rPr>
              <w:t>Alleged offence</w:t>
            </w:r>
          </w:p>
        </w:tc>
        <w:tc>
          <w:tcPr>
            <w:tcW w:w="5529" w:type="dxa"/>
            <w:gridSpan w:val="2"/>
          </w:tcPr>
          <w:p>
            <w:pPr>
              <w:pStyle w:val="yTableNAm"/>
              <w:ind w:right="-108"/>
            </w:pPr>
            <w:r>
              <w:t>Description of offence _______________________________</w:t>
            </w:r>
          </w:p>
          <w:p>
            <w:pPr>
              <w:pStyle w:val="yTableNAm"/>
            </w:pPr>
          </w:p>
        </w:tc>
      </w:tr>
      <w:tr>
        <w:trPr>
          <w:cantSplit/>
        </w:trPr>
        <w:tc>
          <w:tcPr>
            <w:tcW w:w="1539" w:type="dxa"/>
            <w:vMerge w:val="restart"/>
          </w:tcPr>
          <w:p>
            <w:pPr>
              <w:pStyle w:val="yTableNAm"/>
              <w:rPr>
                <w:b/>
              </w:rPr>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trPr>
          <w:cantSplit/>
        </w:trPr>
        <w:tc>
          <w:tcPr>
            <w:tcW w:w="1539" w:type="dxa"/>
            <w:vMerge w:val="restart"/>
          </w:tcPr>
          <w:p>
            <w:pPr>
              <w:pStyle w:val="yTableNAm"/>
              <w:rPr>
                <w:b/>
              </w:rPr>
            </w:pPr>
            <w:r>
              <w:rPr>
                <w:b/>
              </w:rPr>
              <w:t>Officer withdrawing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Pr>
          <w:p>
            <w:pPr>
              <w:pStyle w:val="yTableNAm"/>
              <w:rPr>
                <w:b/>
              </w:rPr>
            </w:pPr>
            <w:r>
              <w:rPr>
                <w:b/>
              </w:rPr>
              <w:t>Date</w:t>
            </w:r>
          </w:p>
        </w:tc>
        <w:tc>
          <w:tcPr>
            <w:tcW w:w="5529" w:type="dxa"/>
            <w:gridSpan w:val="2"/>
            <w:tcBorders>
              <w:bottom w:val="single" w:sz="4" w:space="0" w:color="auto"/>
            </w:tcBorders>
          </w:tcPr>
          <w:p>
            <w:pPr>
              <w:pStyle w:val="yTableNAm"/>
              <w:tabs>
                <w:tab w:val="clear" w:pos="567"/>
                <w:tab w:val="left" w:pos="2287"/>
              </w:tabs>
            </w:pPr>
            <w:r>
              <w:t xml:space="preserve">Date of withdrawal </w:t>
            </w:r>
            <w:r>
              <w:tab/>
              <w:t>/</w:t>
            </w:r>
            <w:r>
              <w:tab/>
              <w:t>/20</w:t>
            </w:r>
          </w:p>
        </w:tc>
      </w:tr>
      <w:tr>
        <w:trPr>
          <w:cantSplit/>
        </w:trPr>
        <w:tc>
          <w:tcPr>
            <w:tcW w:w="1539" w:type="dxa"/>
          </w:tcPr>
          <w:p>
            <w:pPr>
              <w:pStyle w:val="yTableNAm"/>
              <w:rPr>
                <w:b/>
                <w:spacing w:val="-2"/>
              </w:rPr>
            </w:pPr>
            <w:r>
              <w:rPr>
                <w:b/>
                <w:spacing w:val="-2"/>
              </w:rPr>
              <w:t>Withdrawal of infringement notice</w:t>
            </w:r>
          </w:p>
          <w:p>
            <w:pPr>
              <w:pStyle w:val="yTableNAm"/>
              <w:rPr>
                <w:sz w:val="16"/>
              </w:rPr>
            </w:pPr>
          </w:p>
          <w:p>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9" w:type="dxa"/>
            <w:gridSpan w:val="2"/>
          </w:tcPr>
          <w:p>
            <w:pPr>
              <w:pStyle w:val="yTableNAm"/>
            </w:pPr>
            <w:r>
              <w:t>The above infringement notice issued against you has been withdrawn.</w:t>
            </w:r>
          </w:p>
          <w:p>
            <w:pPr>
              <w:pStyle w:val="yTableNAm"/>
            </w:pPr>
            <w:r>
              <w:t>If you have already paid the modified penalty for the alleged offence you are entitled to a refund.</w:t>
            </w:r>
          </w:p>
          <w:p>
            <w:pPr>
              <w:pStyle w:val="yTableNAm"/>
              <w:tabs>
                <w:tab w:val="clear" w:pos="567"/>
                <w:tab w:val="left" w:pos="226"/>
              </w:tabs>
            </w:pPr>
            <w:r>
              <w:t>*</w:t>
            </w:r>
            <w:r>
              <w:tab/>
              <w:t>Your refund is enclosed.</w:t>
            </w:r>
          </w:p>
          <w:p>
            <w:pPr>
              <w:pStyle w:val="yTableNAm"/>
              <w:rPr>
                <w:i/>
                <w:iCs/>
              </w:rPr>
            </w:pPr>
            <w:r>
              <w:rPr>
                <w:i/>
                <w:iCs/>
              </w:rPr>
              <w:t>or</w:t>
            </w:r>
          </w:p>
          <w:p>
            <w:pPr>
              <w:pStyle w:val="yTableNAm"/>
              <w:tabs>
                <w:tab w:val="clear" w:pos="567"/>
                <w:tab w:val="left" w:pos="226"/>
              </w:tabs>
              <w:ind w:left="226" w:hanging="226"/>
            </w:pPr>
            <w:r>
              <w:t>*</w:t>
            </w:r>
            <w:r>
              <w:tab/>
              <w:t>If you have paid the modified penalty but a refund is not enclosed, to claim your refund sign this notice and post it to:</w:t>
            </w:r>
          </w:p>
          <w:p>
            <w:pPr>
              <w:pStyle w:val="yTableNAm"/>
              <w:ind w:left="226"/>
            </w:pPr>
            <w:r>
              <w:t xml:space="preserve">Approved Officer — </w:t>
            </w:r>
            <w:r>
              <w:rPr>
                <w:i/>
                <w:iCs/>
              </w:rPr>
              <w:t>Real Estate and Business Agents Act 1978</w:t>
            </w:r>
          </w:p>
          <w:p>
            <w:pPr>
              <w:pStyle w:val="yTableNAm"/>
              <w:ind w:left="226"/>
            </w:pPr>
            <w:r>
              <w:rPr>
                <w:szCs w:val="22"/>
              </w:rPr>
              <w:t>Department of Commerce — Consumer Protection</w:t>
            </w:r>
          </w:p>
          <w:p>
            <w:pPr>
              <w:pStyle w:val="yTableNAm"/>
              <w:ind w:left="226"/>
            </w:pPr>
            <w:r>
              <w:t>[</w:t>
            </w:r>
            <w:r>
              <w:rPr>
                <w:i/>
                <w:iCs/>
              </w:rPr>
              <w:t>Address</w:t>
            </w:r>
            <w:r>
              <w:t>]</w:t>
            </w:r>
          </w:p>
          <w:p>
            <w:pPr>
              <w:pStyle w:val="yTableNAm"/>
              <w:ind w:left="226"/>
            </w:pPr>
          </w:p>
          <w:p>
            <w:pPr>
              <w:pStyle w:val="yTableNAm"/>
              <w:tabs>
                <w:tab w:val="left" w:pos="2636"/>
              </w:tabs>
            </w:pPr>
            <w:r>
              <w:t>Signature</w:t>
            </w:r>
            <w:r>
              <w:tab/>
            </w:r>
            <w:r>
              <w:tab/>
              <w:t>/</w:t>
            </w:r>
            <w:r>
              <w:tab/>
              <w:t>/20</w:t>
            </w:r>
          </w:p>
          <w:p>
            <w:pPr>
              <w:pStyle w:val="yTableNAm"/>
              <w:tabs>
                <w:tab w:val="left" w:pos="2636"/>
              </w:tabs>
            </w:pPr>
          </w:p>
        </w:tc>
      </w:tr>
    </w:tbl>
    <w:p>
      <w:pPr>
        <w:pStyle w:val="yFootnotesection"/>
      </w:pPr>
      <w:r>
        <w:tab/>
        <w:t>[Form 3 inserted: Gazette 28 Aug 2009 p. 3350</w:t>
      </w:r>
      <w:r>
        <w:noBreakHyphen/>
        <w:t>1; amended: Gazette 30 Jun 2011 p. 2670.]</w:t>
      </w:r>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199" w:name="_Toc54250741"/>
      <w:bookmarkStart w:id="200" w:name="_Toc54271715"/>
      <w:bookmarkStart w:id="201" w:name="_Toc54595334"/>
      <w:bookmarkStart w:id="202" w:name="_Toc51676884"/>
      <w:bookmarkStart w:id="203" w:name="_Toc51677124"/>
      <w:bookmarkStart w:id="204" w:name="_Toc51842036"/>
      <w:r>
        <w:rPr>
          <w:rStyle w:val="CharSchNo"/>
        </w:rPr>
        <w:t>Schedule 3</w:t>
      </w:r>
      <w:r>
        <w:rPr>
          <w:rStyle w:val="CharSDivNo"/>
        </w:rPr>
        <w:t> </w:t>
      </w:r>
      <w:r>
        <w:t>—</w:t>
      </w:r>
      <w:r>
        <w:rPr>
          <w:rStyle w:val="CharSDivText"/>
        </w:rPr>
        <w:t> </w:t>
      </w:r>
      <w:r>
        <w:rPr>
          <w:rStyle w:val="CharSchText"/>
        </w:rPr>
        <w:t>Prescribed offences and modified penalties</w:t>
      </w:r>
      <w:bookmarkEnd w:id="199"/>
      <w:bookmarkEnd w:id="200"/>
      <w:bookmarkEnd w:id="201"/>
      <w:bookmarkEnd w:id="202"/>
      <w:bookmarkEnd w:id="203"/>
      <w:bookmarkEnd w:id="204"/>
    </w:p>
    <w:p>
      <w:pPr>
        <w:pStyle w:val="yShoulderClause"/>
      </w:pPr>
      <w:r>
        <w:t>[r. 14]</w:t>
      </w:r>
    </w:p>
    <w:p>
      <w:pPr>
        <w:pStyle w:val="yFootnoteheading"/>
        <w:spacing w:after="120"/>
      </w:pPr>
      <w:r>
        <w:rPr>
          <w:snapToGrid w:val="0"/>
        </w:rPr>
        <w:tab/>
        <w:t>[Heading inserted: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trPr>
          <w:cantSplit/>
          <w:tblHeader/>
        </w:trPr>
        <w:tc>
          <w:tcPr>
            <w:tcW w:w="6000" w:type="dxa"/>
            <w:gridSpan w:val="2"/>
          </w:tcPr>
          <w:p>
            <w:pPr>
              <w:pStyle w:val="yTableNAm"/>
              <w:rPr>
                <w:b/>
                <w:bCs/>
              </w:rPr>
            </w:pPr>
            <w:r>
              <w:rPr>
                <w:b/>
                <w:bCs/>
              </w:rPr>
              <w:t xml:space="preserve">Offences under </w:t>
            </w:r>
            <w:r>
              <w:rPr>
                <w:b/>
                <w:bCs/>
                <w:i/>
                <w:iCs/>
              </w:rPr>
              <w:t>Real Estate and Business Agents Act 1978</w:t>
            </w:r>
          </w:p>
        </w:tc>
        <w:tc>
          <w:tcPr>
            <w:tcW w:w="1080" w:type="dxa"/>
          </w:tcPr>
          <w:p>
            <w:pPr>
              <w:pStyle w:val="yTableNAm"/>
              <w:rPr>
                <w:b/>
                <w:bCs/>
              </w:rPr>
            </w:pPr>
            <w:r>
              <w:rPr>
                <w:b/>
                <w:bCs/>
              </w:rPr>
              <w:t>Modified penalty</w:t>
            </w:r>
          </w:p>
        </w:tc>
      </w:tr>
      <w:tr>
        <w:tc>
          <w:tcPr>
            <w:tcW w:w="1320" w:type="dxa"/>
          </w:tcPr>
          <w:p>
            <w:pPr>
              <w:pStyle w:val="yTableNAm"/>
            </w:pPr>
            <w:r>
              <w:t>s. 35</w:t>
            </w:r>
          </w:p>
        </w:tc>
        <w:tc>
          <w:tcPr>
            <w:tcW w:w="4680" w:type="dxa"/>
          </w:tcPr>
          <w:p>
            <w:pPr>
              <w:pStyle w:val="yTableNAm"/>
            </w:pPr>
            <w:r>
              <w:t xml:space="preserve">Failing to notify </w:t>
            </w:r>
            <w:r>
              <w:rPr>
                <w:szCs w:val="22"/>
              </w:rPr>
              <w:t>Commissioner</w:t>
            </w:r>
            <w:r>
              <w:t xml:space="preserve"> of ceasing or commencing business</w:t>
            </w:r>
          </w:p>
        </w:tc>
        <w:tc>
          <w:tcPr>
            <w:tcW w:w="1080" w:type="dxa"/>
          </w:tcPr>
          <w:p>
            <w:pPr>
              <w:pStyle w:val="yTableNAm"/>
            </w:pPr>
            <w:r>
              <w:br/>
              <w:t>$400</w:t>
            </w:r>
          </w:p>
        </w:tc>
      </w:tr>
      <w:tr>
        <w:tc>
          <w:tcPr>
            <w:tcW w:w="1320" w:type="dxa"/>
          </w:tcPr>
          <w:p>
            <w:pPr>
              <w:pStyle w:val="yTableNAm"/>
            </w:pPr>
            <w:r>
              <w:t>s. 36(1)</w:t>
            </w:r>
          </w:p>
        </w:tc>
        <w:tc>
          <w:tcPr>
            <w:tcW w:w="4680" w:type="dxa"/>
          </w:tcPr>
          <w:p>
            <w:pPr>
              <w:pStyle w:val="yTableNAm"/>
            </w:pPr>
            <w:r>
              <w:t>Failing to have registered office in the State</w:t>
            </w:r>
          </w:p>
        </w:tc>
        <w:tc>
          <w:tcPr>
            <w:tcW w:w="1080" w:type="dxa"/>
          </w:tcPr>
          <w:p>
            <w:pPr>
              <w:pStyle w:val="yTableNAm"/>
            </w:pPr>
            <w:r>
              <w:t>$200</w:t>
            </w:r>
          </w:p>
        </w:tc>
      </w:tr>
      <w:tr>
        <w:tc>
          <w:tcPr>
            <w:tcW w:w="1320" w:type="dxa"/>
          </w:tcPr>
          <w:p>
            <w:pPr>
              <w:pStyle w:val="yTableNAm"/>
            </w:pPr>
            <w:r>
              <w:t>s. 37(1)</w:t>
            </w:r>
          </w:p>
        </w:tc>
        <w:tc>
          <w:tcPr>
            <w:tcW w:w="4680" w:type="dxa"/>
          </w:tcPr>
          <w:p>
            <w:pPr>
              <w:pStyle w:val="yTableNAm"/>
            </w:pPr>
            <w:r>
              <w:t>Failing to register a branch office</w:t>
            </w:r>
          </w:p>
        </w:tc>
        <w:tc>
          <w:tcPr>
            <w:tcW w:w="1080" w:type="dxa"/>
          </w:tcPr>
          <w:p>
            <w:pPr>
              <w:pStyle w:val="yTableNAm"/>
            </w:pPr>
            <w:r>
              <w:t>$200</w:t>
            </w:r>
          </w:p>
        </w:tc>
      </w:tr>
      <w:tr>
        <w:tc>
          <w:tcPr>
            <w:tcW w:w="1320" w:type="dxa"/>
          </w:tcPr>
          <w:p>
            <w:pPr>
              <w:pStyle w:val="yTableNAm"/>
            </w:pPr>
            <w:r>
              <w:t>s. 37(2)</w:t>
            </w:r>
          </w:p>
        </w:tc>
        <w:tc>
          <w:tcPr>
            <w:tcW w:w="4680" w:type="dxa"/>
          </w:tcPr>
          <w:p>
            <w:pPr>
              <w:pStyle w:val="yTableNAm"/>
            </w:pPr>
            <w:r>
              <w:t>Failing to have qualified manager at branch office</w:t>
            </w:r>
          </w:p>
        </w:tc>
        <w:tc>
          <w:tcPr>
            <w:tcW w:w="1080" w:type="dxa"/>
          </w:tcPr>
          <w:p>
            <w:pPr>
              <w:pStyle w:val="yTableNAm"/>
            </w:pPr>
            <w:r>
              <w:t>$200</w:t>
            </w:r>
          </w:p>
        </w:tc>
      </w:tr>
      <w:tr>
        <w:tc>
          <w:tcPr>
            <w:tcW w:w="1320" w:type="dxa"/>
          </w:tcPr>
          <w:p>
            <w:pPr>
              <w:pStyle w:val="yTableNAm"/>
            </w:pPr>
            <w:r>
              <w:t>s. 37(3)</w:t>
            </w:r>
          </w:p>
        </w:tc>
        <w:tc>
          <w:tcPr>
            <w:tcW w:w="4680" w:type="dxa"/>
          </w:tcPr>
          <w:p>
            <w:pPr>
              <w:pStyle w:val="yTableNAm"/>
            </w:pPr>
            <w:r>
              <w:t>Branch manager acting for more than one licensee or as an agent on own account</w:t>
            </w:r>
          </w:p>
        </w:tc>
        <w:tc>
          <w:tcPr>
            <w:tcW w:w="1080" w:type="dxa"/>
          </w:tcPr>
          <w:p>
            <w:pPr>
              <w:pStyle w:val="yTableNAm"/>
            </w:pPr>
            <w:r>
              <w:br/>
              <w:t>$400</w:t>
            </w:r>
          </w:p>
        </w:tc>
      </w:tr>
      <w:tr>
        <w:tc>
          <w:tcPr>
            <w:tcW w:w="1320" w:type="dxa"/>
          </w:tcPr>
          <w:p>
            <w:pPr>
              <w:pStyle w:val="yTableNAm"/>
            </w:pPr>
            <w:r>
              <w:t>s. 40(1)(a)</w:t>
            </w:r>
          </w:p>
        </w:tc>
        <w:tc>
          <w:tcPr>
            <w:tcW w:w="4680" w:type="dxa"/>
          </w:tcPr>
          <w:p>
            <w:pPr>
              <w:pStyle w:val="yTableNAm"/>
            </w:pPr>
            <w:r>
              <w:t>Carrying on business under a name not endorsed on triennial certificate</w:t>
            </w:r>
          </w:p>
        </w:tc>
        <w:tc>
          <w:tcPr>
            <w:tcW w:w="1080" w:type="dxa"/>
          </w:tcPr>
          <w:p>
            <w:pPr>
              <w:pStyle w:val="yTableNAm"/>
            </w:pPr>
            <w:r>
              <w:br/>
              <w:t>$200</w:t>
            </w:r>
          </w:p>
        </w:tc>
      </w:tr>
      <w:tr>
        <w:tc>
          <w:tcPr>
            <w:tcW w:w="1320" w:type="dxa"/>
          </w:tcPr>
          <w:p>
            <w:pPr>
              <w:pStyle w:val="yTableNAm"/>
            </w:pPr>
            <w:r>
              <w:t>s. 40(1)(b)</w:t>
            </w:r>
          </w:p>
        </w:tc>
        <w:tc>
          <w:tcPr>
            <w:tcW w:w="4680" w:type="dxa"/>
          </w:tcPr>
          <w:p>
            <w:pPr>
              <w:pStyle w:val="yTableNAm"/>
            </w:pPr>
            <w:r>
              <w:t>Failing to include surname and initials of licensee on all business correspondence</w:t>
            </w:r>
          </w:p>
        </w:tc>
        <w:tc>
          <w:tcPr>
            <w:tcW w:w="1080" w:type="dxa"/>
          </w:tcPr>
          <w:p>
            <w:pPr>
              <w:pStyle w:val="yTableNAm"/>
            </w:pPr>
            <w:r>
              <w:br/>
              <w:t>$200</w:t>
            </w:r>
          </w:p>
        </w:tc>
      </w:tr>
      <w:tr>
        <w:tc>
          <w:tcPr>
            <w:tcW w:w="1320" w:type="dxa"/>
          </w:tcPr>
          <w:p>
            <w:pPr>
              <w:pStyle w:val="yTableNAm"/>
            </w:pPr>
            <w:r>
              <w:t>s. 40(3)</w:t>
            </w:r>
          </w:p>
        </w:tc>
        <w:tc>
          <w:tcPr>
            <w:tcW w:w="4680" w:type="dxa"/>
          </w:tcPr>
          <w:p>
            <w:pPr>
              <w:pStyle w:val="yTableNAm"/>
            </w:pPr>
            <w:r>
              <w:t xml:space="preserve">Failing to notify </w:t>
            </w:r>
            <w:r>
              <w:rPr>
                <w:szCs w:val="22"/>
              </w:rPr>
              <w:t>Commissioner</w:t>
            </w:r>
            <w:r>
              <w:t xml:space="preserve"> of alteration of business name</w:t>
            </w:r>
          </w:p>
        </w:tc>
        <w:tc>
          <w:tcPr>
            <w:tcW w:w="1080" w:type="dxa"/>
          </w:tcPr>
          <w:p>
            <w:pPr>
              <w:pStyle w:val="yTableNAm"/>
            </w:pPr>
            <w:r>
              <w:br/>
              <w:t>$200</w:t>
            </w:r>
          </w:p>
        </w:tc>
      </w:tr>
      <w:tr>
        <w:tc>
          <w:tcPr>
            <w:tcW w:w="1320" w:type="dxa"/>
          </w:tcPr>
          <w:p>
            <w:pPr>
              <w:pStyle w:val="yTableNAm"/>
            </w:pPr>
            <w:r>
              <w:t>s. 41(1)(a)</w:t>
            </w:r>
          </w:p>
        </w:tc>
        <w:tc>
          <w:tcPr>
            <w:tcW w:w="4680" w:type="dxa"/>
          </w:tcPr>
          <w:p>
            <w:pPr>
              <w:pStyle w:val="yTableNAm"/>
            </w:pPr>
            <w:r>
              <w:t>Failing to display official details at registered office</w:t>
            </w:r>
          </w:p>
        </w:tc>
        <w:tc>
          <w:tcPr>
            <w:tcW w:w="1080" w:type="dxa"/>
          </w:tcPr>
          <w:p>
            <w:pPr>
              <w:pStyle w:val="yTableNAm"/>
            </w:pPr>
            <w:r>
              <w:br/>
              <w:t>$400</w:t>
            </w:r>
          </w:p>
        </w:tc>
      </w:tr>
      <w:tr>
        <w:tc>
          <w:tcPr>
            <w:tcW w:w="1320" w:type="dxa"/>
          </w:tcPr>
          <w:p>
            <w:pPr>
              <w:pStyle w:val="yTableNAm"/>
            </w:pPr>
            <w:r>
              <w:t>s. 41(1)(b)</w:t>
            </w:r>
          </w:p>
        </w:tc>
        <w:tc>
          <w:tcPr>
            <w:tcW w:w="4680" w:type="dxa"/>
          </w:tcPr>
          <w:p>
            <w:pPr>
              <w:pStyle w:val="yTableNAm"/>
            </w:pPr>
            <w:r>
              <w:t>Failing to display official details at branch office</w:t>
            </w:r>
          </w:p>
        </w:tc>
        <w:tc>
          <w:tcPr>
            <w:tcW w:w="1080" w:type="dxa"/>
          </w:tcPr>
          <w:p>
            <w:pPr>
              <w:pStyle w:val="yTableNAm"/>
            </w:pPr>
            <w:r>
              <w:t>$400</w:t>
            </w:r>
          </w:p>
        </w:tc>
      </w:tr>
      <w:tr>
        <w:trPr>
          <w:cantSplit/>
        </w:trPr>
        <w:tc>
          <w:tcPr>
            <w:tcW w:w="1320" w:type="dxa"/>
          </w:tcPr>
          <w:p>
            <w:pPr>
              <w:pStyle w:val="yTableNAm"/>
            </w:pPr>
            <w:r>
              <w:t>s. 41(2)(a)</w:t>
            </w:r>
          </w:p>
        </w:tc>
        <w:tc>
          <w:tcPr>
            <w:tcW w:w="4680" w:type="dxa"/>
          </w:tcPr>
          <w:p>
            <w:pPr>
              <w:pStyle w:val="yTableNAm"/>
            </w:pPr>
            <w:r>
              <w:t>Failing to display official details on all correspondence and documents from registered office</w:t>
            </w:r>
          </w:p>
        </w:tc>
        <w:tc>
          <w:tcPr>
            <w:tcW w:w="1080" w:type="dxa"/>
          </w:tcPr>
          <w:p>
            <w:pPr>
              <w:pStyle w:val="yTableNAm"/>
            </w:pPr>
            <w:r>
              <w:br/>
            </w:r>
            <w:r>
              <w:br/>
              <w:t>$400</w:t>
            </w:r>
          </w:p>
        </w:tc>
      </w:tr>
      <w:tr>
        <w:trPr>
          <w:cantSplit/>
        </w:trPr>
        <w:tc>
          <w:tcPr>
            <w:tcW w:w="1320" w:type="dxa"/>
          </w:tcPr>
          <w:p>
            <w:pPr>
              <w:pStyle w:val="yTableNAm"/>
            </w:pPr>
            <w:r>
              <w:t>s. 41(2)(b)</w:t>
            </w:r>
          </w:p>
        </w:tc>
        <w:tc>
          <w:tcPr>
            <w:tcW w:w="4680" w:type="dxa"/>
          </w:tcPr>
          <w:p>
            <w:pPr>
              <w:pStyle w:val="yTableNAm"/>
            </w:pPr>
            <w:r>
              <w:t>Failing to display official details on all correspondence and documents from branch office</w:t>
            </w:r>
          </w:p>
        </w:tc>
        <w:tc>
          <w:tcPr>
            <w:tcW w:w="1080" w:type="dxa"/>
          </w:tcPr>
          <w:p>
            <w:pPr>
              <w:pStyle w:val="yTableNAm"/>
            </w:pPr>
            <w:r>
              <w:br/>
            </w:r>
            <w:r>
              <w:br/>
              <w:t>$400</w:t>
            </w:r>
          </w:p>
        </w:tc>
      </w:tr>
      <w:tr>
        <w:tc>
          <w:tcPr>
            <w:tcW w:w="1320" w:type="dxa"/>
          </w:tcPr>
          <w:p>
            <w:pPr>
              <w:pStyle w:val="yTableNAm"/>
            </w:pPr>
            <w:r>
              <w:t>s. 51(1)</w:t>
            </w:r>
          </w:p>
        </w:tc>
        <w:tc>
          <w:tcPr>
            <w:tcW w:w="4680" w:type="dxa"/>
          </w:tcPr>
          <w:p>
            <w:pPr>
              <w:pStyle w:val="yTableNAm"/>
            </w:pPr>
            <w:r>
              <w:t xml:space="preserve">Failing to notify </w:t>
            </w:r>
            <w:r>
              <w:rPr>
                <w:szCs w:val="22"/>
              </w:rPr>
              <w:t>Commissioner</w:t>
            </w:r>
            <w:r>
              <w:t xml:space="preserve"> of commencing or ceasing employment, or to act, as a sales representative</w:t>
            </w:r>
          </w:p>
        </w:tc>
        <w:tc>
          <w:tcPr>
            <w:tcW w:w="1080" w:type="dxa"/>
          </w:tcPr>
          <w:p>
            <w:pPr>
              <w:pStyle w:val="yTableNAm"/>
            </w:pPr>
            <w:r>
              <w:br/>
            </w:r>
            <w:r>
              <w:br/>
              <w:t>$400</w:t>
            </w:r>
          </w:p>
        </w:tc>
      </w:tr>
      <w:tr>
        <w:tc>
          <w:tcPr>
            <w:tcW w:w="1320" w:type="dxa"/>
          </w:tcPr>
          <w:p>
            <w:pPr>
              <w:pStyle w:val="yTableNAm"/>
            </w:pPr>
            <w:r>
              <w:t>s. 70(1)</w:t>
            </w:r>
          </w:p>
        </w:tc>
        <w:tc>
          <w:tcPr>
            <w:tcW w:w="4680" w:type="dxa"/>
          </w:tcPr>
          <w:p>
            <w:pPr>
              <w:pStyle w:val="yTableNAm"/>
            </w:pPr>
            <w:r>
              <w:t>Failing to cause audit of trust account</w:t>
            </w:r>
          </w:p>
        </w:tc>
        <w:tc>
          <w:tcPr>
            <w:tcW w:w="1080" w:type="dxa"/>
          </w:tcPr>
          <w:p>
            <w:pPr>
              <w:pStyle w:val="yTableNAm"/>
            </w:pPr>
            <w:r>
              <w:t>$600</w:t>
            </w:r>
          </w:p>
        </w:tc>
      </w:tr>
      <w:tr>
        <w:tc>
          <w:tcPr>
            <w:tcW w:w="1320" w:type="dxa"/>
          </w:tcPr>
          <w:p>
            <w:pPr>
              <w:pStyle w:val="yTableNAm"/>
            </w:pPr>
            <w:r>
              <w:t>s. 70(3)</w:t>
            </w:r>
          </w:p>
        </w:tc>
        <w:tc>
          <w:tcPr>
            <w:tcW w:w="4680" w:type="dxa"/>
          </w:tcPr>
          <w:p>
            <w:pPr>
              <w:pStyle w:val="yTableNAm"/>
            </w:pPr>
            <w:r>
              <w:t>Failing to deliver audit report to the</w:t>
            </w:r>
            <w:r>
              <w:rPr>
                <w:szCs w:val="22"/>
              </w:rPr>
              <w:t xml:space="preserve"> Commissioner</w:t>
            </w:r>
          </w:p>
        </w:tc>
        <w:tc>
          <w:tcPr>
            <w:tcW w:w="1080" w:type="dxa"/>
          </w:tcPr>
          <w:p>
            <w:pPr>
              <w:pStyle w:val="yTableNAm"/>
            </w:pPr>
            <w:r>
              <w:br/>
              <w:t>$600</w:t>
            </w:r>
          </w:p>
        </w:tc>
      </w:tr>
      <w:tr>
        <w:tc>
          <w:tcPr>
            <w:tcW w:w="1320" w:type="dxa"/>
          </w:tcPr>
          <w:p>
            <w:pPr>
              <w:pStyle w:val="yTableNAm"/>
            </w:pPr>
            <w:r>
              <w:t>s. 70(8)</w:t>
            </w:r>
          </w:p>
        </w:tc>
        <w:tc>
          <w:tcPr>
            <w:tcW w:w="4680" w:type="dxa"/>
          </w:tcPr>
          <w:p>
            <w:pPr>
              <w:pStyle w:val="yTableNAm"/>
            </w:pPr>
            <w:r>
              <w:t>Failing to deliver a termination audit report</w:t>
            </w:r>
          </w:p>
        </w:tc>
        <w:tc>
          <w:tcPr>
            <w:tcW w:w="1080" w:type="dxa"/>
          </w:tcPr>
          <w:p>
            <w:pPr>
              <w:pStyle w:val="yTableNAm"/>
            </w:pPr>
            <w:r>
              <w:t>$600</w:t>
            </w:r>
          </w:p>
        </w:tc>
      </w:tr>
      <w:tr>
        <w:tc>
          <w:tcPr>
            <w:tcW w:w="1320" w:type="dxa"/>
          </w:tcPr>
          <w:p>
            <w:pPr>
              <w:pStyle w:val="yTableNAm"/>
            </w:pPr>
            <w:r>
              <w:t>s. 86</w:t>
            </w:r>
          </w:p>
        </w:tc>
        <w:tc>
          <w:tcPr>
            <w:tcW w:w="4680" w:type="dxa"/>
          </w:tcPr>
          <w:p>
            <w:pPr>
              <w:pStyle w:val="yTableNAm"/>
            </w:pPr>
            <w:r>
              <w:t>Failing to lodge a statutory declaration in relation to the audit of trust accounts</w:t>
            </w:r>
          </w:p>
        </w:tc>
        <w:tc>
          <w:tcPr>
            <w:tcW w:w="1080" w:type="dxa"/>
          </w:tcPr>
          <w:p>
            <w:pPr>
              <w:pStyle w:val="yTableNAm"/>
            </w:pPr>
            <w:r>
              <w:br/>
              <w:t>$200</w:t>
            </w:r>
          </w:p>
        </w:tc>
      </w:tr>
      <w:tr>
        <w:trPr>
          <w:cantSplit/>
          <w:tblHeader/>
        </w:trPr>
        <w:tc>
          <w:tcPr>
            <w:tcW w:w="6000" w:type="dxa"/>
            <w:gridSpan w:val="2"/>
          </w:tcPr>
          <w:p>
            <w:pPr>
              <w:pStyle w:val="yTableNAm"/>
              <w:rPr>
                <w:b/>
                <w:bCs/>
              </w:rPr>
            </w:pPr>
            <w:r>
              <w:rPr>
                <w:b/>
                <w:bCs/>
              </w:rPr>
              <w:t xml:space="preserve">Offence under </w:t>
            </w:r>
            <w:r>
              <w:rPr>
                <w:b/>
                <w:bCs/>
                <w:i/>
                <w:iCs/>
              </w:rPr>
              <w:t>Real Estate and Business Agents (General) Regulations 1979</w:t>
            </w:r>
          </w:p>
        </w:tc>
        <w:tc>
          <w:tcPr>
            <w:tcW w:w="1080" w:type="dxa"/>
          </w:tcPr>
          <w:p>
            <w:pPr>
              <w:pStyle w:val="yTableNAm"/>
              <w:rPr>
                <w:b/>
                <w:bCs/>
              </w:rPr>
            </w:pPr>
            <w:r>
              <w:rPr>
                <w:b/>
                <w:bCs/>
              </w:rPr>
              <w:t xml:space="preserve">Modified penalty </w:t>
            </w:r>
          </w:p>
        </w:tc>
      </w:tr>
      <w:tr>
        <w:tc>
          <w:tcPr>
            <w:tcW w:w="1320" w:type="dxa"/>
          </w:tcPr>
          <w:p>
            <w:pPr>
              <w:pStyle w:val="yTableNAm"/>
            </w:pPr>
            <w:r>
              <w:t>r. 8</w:t>
            </w:r>
          </w:p>
        </w:tc>
        <w:tc>
          <w:tcPr>
            <w:tcW w:w="4680" w:type="dxa"/>
          </w:tcPr>
          <w:p>
            <w:pPr>
              <w:pStyle w:val="yTableNAm"/>
            </w:pPr>
            <w:r>
              <w:t xml:space="preserve">Failing to notify </w:t>
            </w:r>
            <w:r>
              <w:rPr>
                <w:szCs w:val="22"/>
              </w:rPr>
              <w:t>Commissioner</w:t>
            </w:r>
            <w:r>
              <w:t xml:space="preserve"> of change in particulars</w:t>
            </w:r>
          </w:p>
        </w:tc>
        <w:tc>
          <w:tcPr>
            <w:tcW w:w="1080" w:type="dxa"/>
          </w:tcPr>
          <w:p>
            <w:pPr>
              <w:pStyle w:val="yTableNAm"/>
            </w:pPr>
            <w:r>
              <w:br/>
              <w:t>$20</w:t>
            </w:r>
          </w:p>
        </w:tc>
      </w:tr>
    </w:tbl>
    <w:p>
      <w:pPr>
        <w:pStyle w:val="yFootnotesection"/>
      </w:pPr>
      <w:r>
        <w:tab/>
        <w:t>[Schedule 3 inserted: Gazette 28 Aug 2009 p. 3351</w:t>
      </w:r>
      <w:r>
        <w:noBreakHyphen/>
        <w:t>2; amended: Gazette 30 Jun 2011 p. 2670; 23 Oct 2012 p. 5055.]</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pPr>
      <w:bookmarkStart w:id="205" w:name="_Toc54250742"/>
      <w:bookmarkStart w:id="206" w:name="_Toc54271716"/>
      <w:bookmarkStart w:id="207" w:name="_Toc54595335"/>
      <w:bookmarkStart w:id="208" w:name="_Toc51676885"/>
      <w:bookmarkStart w:id="209" w:name="_Toc51677125"/>
      <w:bookmarkStart w:id="210" w:name="_Toc51842037"/>
      <w:r>
        <w:t>Notes</w:t>
      </w:r>
      <w:bookmarkEnd w:id="205"/>
      <w:bookmarkEnd w:id="206"/>
      <w:bookmarkEnd w:id="207"/>
      <w:bookmarkEnd w:id="208"/>
      <w:bookmarkEnd w:id="209"/>
      <w:bookmarkEnd w:id="210"/>
    </w:p>
    <w:p>
      <w:pPr>
        <w:pStyle w:val="nStatement"/>
      </w:pPr>
      <w:r>
        <w:t xml:space="preserve">This is a compilation of the </w:t>
      </w:r>
      <w:r>
        <w:rPr>
          <w:i/>
          <w:noProof/>
        </w:rPr>
        <w:t>Real Estate and Business Agents (General) Regulations 1979</w:t>
      </w:r>
      <w:r>
        <w:t xml:space="preserve"> and includes amendments made by other written laws. For provisions that have come into operation, and for information about any reprints, see the compilation table.</w:t>
      </w:r>
    </w:p>
    <w:p>
      <w:pPr>
        <w:pStyle w:val="nHeading3"/>
      </w:pPr>
      <w:bookmarkStart w:id="211" w:name="_Toc54595336"/>
      <w:bookmarkStart w:id="212" w:name="_Toc51842038"/>
      <w:r>
        <w:t>Compilation table</w:t>
      </w:r>
      <w:bookmarkEnd w:id="211"/>
      <w:bookmarkEnd w:id="212"/>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Real Estate and Business Agents (General) Regulations 1979</w:t>
            </w:r>
          </w:p>
        </w:tc>
        <w:tc>
          <w:tcPr>
            <w:tcW w:w="1276" w:type="dxa"/>
            <w:tcBorders>
              <w:top w:val="single" w:sz="8" w:space="0" w:color="auto"/>
            </w:tcBorders>
          </w:tcPr>
          <w:p>
            <w:pPr>
              <w:pStyle w:val="nTable"/>
              <w:spacing w:after="40"/>
            </w:pPr>
            <w:r>
              <w:t>31 Aug 1979 p. 2616</w:t>
            </w:r>
            <w:r>
              <w:noBreakHyphen/>
              <w:t>18</w:t>
            </w:r>
          </w:p>
        </w:tc>
        <w:tc>
          <w:tcPr>
            <w:tcW w:w="2693" w:type="dxa"/>
            <w:tcBorders>
              <w:top w:val="single" w:sz="8" w:space="0" w:color="auto"/>
            </w:tcBorders>
          </w:tcPr>
          <w:p>
            <w:pPr>
              <w:pStyle w:val="nTable"/>
              <w:spacing w:after="40"/>
            </w:pPr>
            <w:r>
              <w:t>1 Sep 1979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1980</w:t>
            </w:r>
          </w:p>
        </w:tc>
        <w:tc>
          <w:tcPr>
            <w:tcW w:w="1276" w:type="dxa"/>
          </w:tcPr>
          <w:p>
            <w:pPr>
              <w:pStyle w:val="nTable"/>
              <w:spacing w:after="40"/>
            </w:pPr>
            <w:r>
              <w:t>26 Sep 1980 p. 3312</w:t>
            </w:r>
          </w:p>
        </w:tc>
        <w:tc>
          <w:tcPr>
            <w:tcW w:w="2693" w:type="dxa"/>
          </w:tcPr>
          <w:p>
            <w:pPr>
              <w:pStyle w:val="nTable"/>
              <w:spacing w:after="40"/>
            </w:pPr>
            <w:r>
              <w:t>26 Sep 1980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1981</w:t>
            </w:r>
          </w:p>
        </w:tc>
        <w:tc>
          <w:tcPr>
            <w:tcW w:w="1276" w:type="dxa"/>
          </w:tcPr>
          <w:p>
            <w:pPr>
              <w:pStyle w:val="nTable"/>
              <w:spacing w:after="40"/>
            </w:pPr>
            <w:r>
              <w:t>26 Jun 1981 p. 2293</w:t>
            </w:r>
          </w:p>
        </w:tc>
        <w:tc>
          <w:tcPr>
            <w:tcW w:w="2693" w:type="dxa"/>
          </w:tcPr>
          <w:p>
            <w:pPr>
              <w:pStyle w:val="nTable"/>
              <w:spacing w:after="40"/>
            </w:pPr>
            <w:r>
              <w:t>26 Jun 1981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1981</w:t>
            </w:r>
          </w:p>
        </w:tc>
        <w:tc>
          <w:tcPr>
            <w:tcW w:w="1276" w:type="dxa"/>
          </w:tcPr>
          <w:p>
            <w:pPr>
              <w:pStyle w:val="nTable"/>
              <w:spacing w:after="40"/>
            </w:pPr>
            <w:r>
              <w:t>6 Nov 1981 p. 4526</w:t>
            </w:r>
          </w:p>
        </w:tc>
        <w:tc>
          <w:tcPr>
            <w:tcW w:w="2693" w:type="dxa"/>
          </w:tcPr>
          <w:p>
            <w:pPr>
              <w:pStyle w:val="nTable"/>
              <w:spacing w:after="40"/>
            </w:pPr>
            <w:r>
              <w:t>1 Dec 1981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1982</w:t>
            </w:r>
          </w:p>
        </w:tc>
        <w:tc>
          <w:tcPr>
            <w:tcW w:w="1276" w:type="dxa"/>
          </w:tcPr>
          <w:p>
            <w:pPr>
              <w:pStyle w:val="nTable"/>
              <w:spacing w:after="40"/>
            </w:pPr>
            <w:r>
              <w:t>2 Jul 1982 p. 2334</w:t>
            </w:r>
            <w:r>
              <w:noBreakHyphen/>
              <w:t>6</w:t>
            </w:r>
          </w:p>
        </w:tc>
        <w:tc>
          <w:tcPr>
            <w:tcW w:w="2693" w:type="dxa"/>
          </w:tcPr>
          <w:p>
            <w:pPr>
              <w:pStyle w:val="nTable"/>
              <w:spacing w:after="40"/>
            </w:pPr>
            <w:r>
              <w:t>2 Jul 1982 </w:t>
            </w:r>
            <w:r>
              <w:rPr>
                <w:vertAlign w:val="superscript"/>
              </w:rPr>
              <w:t>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i/>
              </w:rPr>
              <w:t xml:space="preserve"> </w:t>
            </w:r>
            <w:r>
              <w:t>in</w:t>
            </w:r>
            <w:r>
              <w:rPr>
                <w:i/>
              </w:rPr>
              <w:t xml:space="preserve"> Gazette </w:t>
            </w:r>
            <w:r>
              <w:t>26 Nov 1982 p. 4667</w:t>
            </w:r>
            <w:r>
              <w:noBreakHyphen/>
              <w:t>74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1983</w:t>
            </w:r>
          </w:p>
        </w:tc>
        <w:tc>
          <w:tcPr>
            <w:tcW w:w="1276" w:type="dxa"/>
          </w:tcPr>
          <w:p>
            <w:pPr>
              <w:pStyle w:val="nTable"/>
              <w:spacing w:after="40"/>
            </w:pPr>
            <w:r>
              <w:t>21 Oct 1983 p. 4298</w:t>
            </w:r>
          </w:p>
        </w:tc>
        <w:tc>
          <w:tcPr>
            <w:tcW w:w="2693" w:type="dxa"/>
          </w:tcPr>
          <w:p>
            <w:pPr>
              <w:pStyle w:val="nTable"/>
              <w:spacing w:after="40"/>
            </w:pPr>
            <w:r>
              <w:t>1 Jan 1984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1983</w:t>
            </w:r>
          </w:p>
        </w:tc>
        <w:tc>
          <w:tcPr>
            <w:tcW w:w="1276" w:type="dxa"/>
          </w:tcPr>
          <w:p>
            <w:pPr>
              <w:pStyle w:val="nTable"/>
              <w:spacing w:after="40"/>
            </w:pPr>
            <w:r>
              <w:t>30 Dec 1983 p. 5121</w:t>
            </w:r>
            <w:r>
              <w:noBreakHyphen/>
              <w:t>2</w:t>
            </w:r>
          </w:p>
        </w:tc>
        <w:tc>
          <w:tcPr>
            <w:tcW w:w="2693" w:type="dxa"/>
          </w:tcPr>
          <w:p>
            <w:pPr>
              <w:pStyle w:val="nTable"/>
              <w:spacing w:after="40"/>
            </w:pPr>
            <w:r>
              <w:t>30 Dec 1983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Real Estate and Business Agents (General) Amendment Regulations 1984</w:t>
            </w:r>
            <w:r>
              <w:t> </w:t>
            </w:r>
            <w:r>
              <w:rPr>
                <w:iCs/>
                <w:vertAlign w:val="superscript"/>
              </w:rPr>
              <w:t>2</w:t>
            </w:r>
          </w:p>
        </w:tc>
        <w:tc>
          <w:tcPr>
            <w:tcW w:w="1276" w:type="dxa"/>
          </w:tcPr>
          <w:p>
            <w:pPr>
              <w:pStyle w:val="nTable"/>
              <w:spacing w:after="40"/>
            </w:pPr>
            <w:r>
              <w:t>21 Dec 1984 p. 4191</w:t>
            </w:r>
          </w:p>
        </w:tc>
        <w:tc>
          <w:tcPr>
            <w:tcW w:w="2693" w:type="dxa"/>
          </w:tcPr>
          <w:p>
            <w:pPr>
              <w:pStyle w:val="nTable"/>
              <w:spacing w:after="40"/>
            </w:pPr>
            <w:r>
              <w:t>21 Dec 1984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1985</w:t>
            </w:r>
          </w:p>
        </w:tc>
        <w:tc>
          <w:tcPr>
            <w:tcW w:w="1276" w:type="dxa"/>
          </w:tcPr>
          <w:p>
            <w:pPr>
              <w:pStyle w:val="nTable"/>
              <w:spacing w:after="40"/>
            </w:pPr>
            <w:r>
              <w:t>21 Jun 1985 p. 2262</w:t>
            </w:r>
          </w:p>
        </w:tc>
        <w:tc>
          <w:tcPr>
            <w:tcW w:w="2693" w:type="dxa"/>
          </w:tcPr>
          <w:p>
            <w:pPr>
              <w:pStyle w:val="nTable"/>
              <w:spacing w:after="40"/>
            </w:pPr>
            <w:r>
              <w:t>21 Jun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1986</w:t>
            </w:r>
          </w:p>
        </w:tc>
        <w:tc>
          <w:tcPr>
            <w:tcW w:w="1276" w:type="dxa"/>
          </w:tcPr>
          <w:p>
            <w:pPr>
              <w:pStyle w:val="nTable"/>
              <w:spacing w:after="40"/>
            </w:pPr>
            <w:r>
              <w:t>28 Feb 1986 p. 668</w:t>
            </w:r>
          </w:p>
        </w:tc>
        <w:tc>
          <w:tcPr>
            <w:tcW w:w="2693" w:type="dxa"/>
          </w:tcPr>
          <w:p>
            <w:pPr>
              <w:pStyle w:val="nTable"/>
              <w:spacing w:after="40"/>
            </w:pPr>
            <w:r>
              <w:t>28 Feb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1986</w:t>
            </w:r>
          </w:p>
        </w:tc>
        <w:tc>
          <w:tcPr>
            <w:tcW w:w="1276" w:type="dxa"/>
          </w:tcPr>
          <w:p>
            <w:pPr>
              <w:pStyle w:val="nTable"/>
              <w:spacing w:after="40"/>
            </w:pPr>
            <w:r>
              <w:t>13 Jun 1986 p. 1997</w:t>
            </w:r>
            <w:r>
              <w:noBreakHyphen/>
              <w:t>8</w:t>
            </w:r>
          </w:p>
        </w:tc>
        <w:tc>
          <w:tcPr>
            <w:tcW w:w="2693" w:type="dxa"/>
          </w:tcPr>
          <w:p>
            <w:pPr>
              <w:pStyle w:val="nTable"/>
              <w:spacing w:after="40"/>
            </w:pPr>
            <w:r>
              <w:t>1 Jul 1986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1986</w:t>
            </w:r>
          </w:p>
        </w:tc>
        <w:tc>
          <w:tcPr>
            <w:tcW w:w="1276" w:type="dxa"/>
          </w:tcPr>
          <w:p>
            <w:pPr>
              <w:pStyle w:val="nTable"/>
              <w:spacing w:after="40"/>
            </w:pPr>
            <w:r>
              <w:t>8 Aug 1986 p. 2870</w:t>
            </w:r>
            <w:r>
              <w:noBreakHyphen/>
              <w:t>1</w:t>
            </w:r>
          </w:p>
        </w:tc>
        <w:tc>
          <w:tcPr>
            <w:tcW w:w="2693" w:type="dxa"/>
          </w:tcPr>
          <w:p>
            <w:pPr>
              <w:pStyle w:val="nTable"/>
              <w:spacing w:after="40"/>
            </w:pPr>
            <w:r>
              <w:t>1 Feb 1987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1986</w:t>
            </w:r>
          </w:p>
        </w:tc>
        <w:tc>
          <w:tcPr>
            <w:tcW w:w="1276" w:type="dxa"/>
          </w:tcPr>
          <w:p>
            <w:pPr>
              <w:pStyle w:val="nTable"/>
              <w:spacing w:after="40"/>
            </w:pPr>
            <w:r>
              <w:t>24 Dec 1986 p. 4998</w:t>
            </w:r>
          </w:p>
        </w:tc>
        <w:tc>
          <w:tcPr>
            <w:tcW w:w="2693" w:type="dxa"/>
          </w:tcPr>
          <w:p>
            <w:pPr>
              <w:pStyle w:val="nTable"/>
              <w:spacing w:after="40"/>
            </w:pPr>
            <w:r>
              <w:t>24 Dec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1987</w:t>
            </w:r>
          </w:p>
        </w:tc>
        <w:tc>
          <w:tcPr>
            <w:tcW w:w="1276" w:type="dxa"/>
          </w:tcPr>
          <w:p>
            <w:pPr>
              <w:pStyle w:val="nTable"/>
              <w:spacing w:after="40"/>
            </w:pPr>
            <w:r>
              <w:t>8 May 1987 p. 2103</w:t>
            </w:r>
          </w:p>
        </w:tc>
        <w:tc>
          <w:tcPr>
            <w:tcW w:w="2693" w:type="dxa"/>
          </w:tcPr>
          <w:p>
            <w:pPr>
              <w:pStyle w:val="nTable"/>
              <w:spacing w:after="40"/>
            </w:pPr>
            <w:r>
              <w:t>8 May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1987</w:t>
            </w:r>
          </w:p>
        </w:tc>
        <w:tc>
          <w:tcPr>
            <w:tcW w:w="1276" w:type="dxa"/>
          </w:tcPr>
          <w:p>
            <w:pPr>
              <w:pStyle w:val="nTable"/>
              <w:spacing w:after="40"/>
            </w:pPr>
            <w:r>
              <w:t>4 Sep 1987 p. 3519</w:t>
            </w:r>
          </w:p>
        </w:tc>
        <w:tc>
          <w:tcPr>
            <w:tcW w:w="2693" w:type="dxa"/>
          </w:tcPr>
          <w:p>
            <w:pPr>
              <w:pStyle w:val="nTable"/>
              <w:spacing w:after="40"/>
            </w:pPr>
            <w:r>
              <w:t>4 Sep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1987</w:t>
            </w:r>
          </w:p>
        </w:tc>
        <w:tc>
          <w:tcPr>
            <w:tcW w:w="1276" w:type="dxa"/>
          </w:tcPr>
          <w:p>
            <w:pPr>
              <w:pStyle w:val="nTable"/>
              <w:spacing w:after="40"/>
            </w:pPr>
            <w:r>
              <w:t>30 Oct 1987 p. 4047</w:t>
            </w:r>
          </w:p>
        </w:tc>
        <w:tc>
          <w:tcPr>
            <w:tcW w:w="2693" w:type="dxa"/>
          </w:tcPr>
          <w:p>
            <w:pPr>
              <w:pStyle w:val="nTable"/>
              <w:spacing w:after="40"/>
            </w:pPr>
            <w:r>
              <w:t>30 Oct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1987</w:t>
            </w:r>
          </w:p>
        </w:tc>
        <w:tc>
          <w:tcPr>
            <w:tcW w:w="1276" w:type="dxa"/>
          </w:tcPr>
          <w:p>
            <w:pPr>
              <w:pStyle w:val="nTable"/>
              <w:spacing w:after="40"/>
            </w:pPr>
            <w:r>
              <w:t>18 Dec 1987 p. 4516</w:t>
            </w:r>
          </w:p>
        </w:tc>
        <w:tc>
          <w:tcPr>
            <w:tcW w:w="2693" w:type="dxa"/>
          </w:tcPr>
          <w:p>
            <w:pPr>
              <w:pStyle w:val="nTable"/>
              <w:spacing w:after="40"/>
            </w:pPr>
            <w:r>
              <w:t>18 Dec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1988</w:t>
            </w:r>
          </w:p>
        </w:tc>
        <w:tc>
          <w:tcPr>
            <w:tcW w:w="1276" w:type="dxa"/>
          </w:tcPr>
          <w:p>
            <w:pPr>
              <w:pStyle w:val="nTable"/>
              <w:spacing w:after="40"/>
            </w:pPr>
            <w:r>
              <w:t>12 Aug 1988 p. 2770</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1988</w:t>
            </w:r>
          </w:p>
        </w:tc>
        <w:tc>
          <w:tcPr>
            <w:tcW w:w="1276" w:type="dxa"/>
          </w:tcPr>
          <w:p>
            <w:pPr>
              <w:pStyle w:val="nTable"/>
              <w:spacing w:after="40"/>
            </w:pPr>
            <w:r>
              <w:t>2 Sep 1988 p. 3466</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1989</w:t>
            </w:r>
          </w:p>
        </w:tc>
        <w:tc>
          <w:tcPr>
            <w:tcW w:w="1276" w:type="dxa"/>
          </w:tcPr>
          <w:p>
            <w:pPr>
              <w:pStyle w:val="nTable"/>
              <w:spacing w:after="40"/>
            </w:pPr>
            <w:r>
              <w:t>20 Jan 1989 p. 132</w:t>
            </w:r>
          </w:p>
        </w:tc>
        <w:tc>
          <w:tcPr>
            <w:tcW w:w="2693" w:type="dxa"/>
          </w:tcPr>
          <w:p>
            <w:pPr>
              <w:pStyle w:val="nTable"/>
              <w:spacing w:after="40"/>
            </w:pPr>
            <w:r>
              <w:t>20 Jan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1989</w:t>
            </w:r>
          </w:p>
        </w:tc>
        <w:tc>
          <w:tcPr>
            <w:tcW w:w="1276" w:type="dxa"/>
          </w:tcPr>
          <w:p>
            <w:pPr>
              <w:pStyle w:val="nTable"/>
              <w:spacing w:after="40"/>
            </w:pPr>
            <w:r>
              <w:t>3 Feb 1989 p. 360</w:t>
            </w:r>
          </w:p>
        </w:tc>
        <w:tc>
          <w:tcPr>
            <w:tcW w:w="2693" w:type="dxa"/>
          </w:tcPr>
          <w:p>
            <w:pPr>
              <w:pStyle w:val="nTable"/>
              <w:spacing w:after="40"/>
            </w:pPr>
            <w:r>
              <w:t>3 Feb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1989</w:t>
            </w:r>
          </w:p>
        </w:tc>
        <w:tc>
          <w:tcPr>
            <w:tcW w:w="1276" w:type="dxa"/>
          </w:tcPr>
          <w:p>
            <w:pPr>
              <w:pStyle w:val="nTable"/>
              <w:spacing w:after="40"/>
            </w:pPr>
            <w:r>
              <w:t>30 Jun 1989 p. 1979</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1990</w:t>
            </w:r>
          </w:p>
        </w:tc>
        <w:tc>
          <w:tcPr>
            <w:tcW w:w="1276" w:type="dxa"/>
          </w:tcPr>
          <w:p>
            <w:pPr>
              <w:pStyle w:val="nTable"/>
              <w:spacing w:after="40"/>
            </w:pPr>
            <w:r>
              <w:t>15 Jun 1990 p. 2723 (erratum 22 Jun 1990 p. 3034)</w:t>
            </w:r>
          </w:p>
        </w:tc>
        <w:tc>
          <w:tcPr>
            <w:tcW w:w="2693" w:type="dxa"/>
          </w:tcPr>
          <w:p>
            <w:pPr>
              <w:pStyle w:val="nTable"/>
              <w:spacing w:after="40"/>
            </w:pPr>
            <w:r>
              <w:t>15 Jun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1990</w:t>
            </w:r>
          </w:p>
        </w:tc>
        <w:tc>
          <w:tcPr>
            <w:tcW w:w="1276" w:type="dxa"/>
          </w:tcPr>
          <w:p>
            <w:pPr>
              <w:pStyle w:val="nTable"/>
              <w:spacing w:after="40"/>
            </w:pPr>
            <w:r>
              <w:t>20 Jul 1990 p. 3461</w:t>
            </w:r>
          </w:p>
        </w:tc>
        <w:tc>
          <w:tcPr>
            <w:tcW w:w="2693" w:type="dxa"/>
          </w:tcPr>
          <w:p>
            <w:pPr>
              <w:pStyle w:val="nTable"/>
              <w:spacing w:after="40"/>
            </w:pPr>
            <w:r>
              <w:t>20 Jul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1990</w:t>
            </w:r>
          </w:p>
        </w:tc>
        <w:tc>
          <w:tcPr>
            <w:tcW w:w="1276" w:type="dxa"/>
          </w:tcPr>
          <w:p>
            <w:pPr>
              <w:pStyle w:val="nTable"/>
              <w:spacing w:after="40"/>
            </w:pPr>
            <w:r>
              <w:t>1 Aug 1990 p. 3652</w:t>
            </w:r>
            <w:r>
              <w:noBreakHyphen/>
              <w:t>3</w:t>
            </w:r>
          </w:p>
        </w:tc>
        <w:tc>
          <w:tcPr>
            <w:tcW w:w="2693" w:type="dxa"/>
          </w:tcPr>
          <w:p>
            <w:pPr>
              <w:pStyle w:val="nTable"/>
              <w:spacing w:after="40"/>
            </w:pPr>
            <w:r>
              <w:t>1 Aug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4) 1990</w:t>
            </w:r>
          </w:p>
        </w:tc>
        <w:tc>
          <w:tcPr>
            <w:tcW w:w="1276" w:type="dxa"/>
          </w:tcPr>
          <w:p>
            <w:pPr>
              <w:pStyle w:val="nTable"/>
              <w:spacing w:after="40"/>
            </w:pPr>
            <w:r>
              <w:t>26 Oct 1990 p. 5370</w:t>
            </w:r>
          </w:p>
        </w:tc>
        <w:tc>
          <w:tcPr>
            <w:tcW w:w="2693" w:type="dxa"/>
          </w:tcPr>
          <w:p>
            <w:pPr>
              <w:pStyle w:val="nTable"/>
              <w:spacing w:after="40"/>
            </w:pPr>
            <w:r>
              <w:t>26 Oct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1991</w:t>
            </w:r>
          </w:p>
        </w:tc>
        <w:tc>
          <w:tcPr>
            <w:tcW w:w="1276" w:type="dxa"/>
          </w:tcPr>
          <w:p>
            <w:pPr>
              <w:pStyle w:val="nTable"/>
              <w:spacing w:after="40"/>
            </w:pPr>
            <w:r>
              <w:t>28 Jun 1991 p. 3119</w:t>
            </w:r>
          </w:p>
        </w:tc>
        <w:tc>
          <w:tcPr>
            <w:tcW w:w="2693" w:type="dxa"/>
          </w:tcPr>
          <w:p>
            <w:pPr>
              <w:pStyle w:val="nTable"/>
              <w:spacing w:after="40"/>
            </w:pPr>
            <w:r>
              <w:t>28 Jun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1991</w:t>
            </w:r>
          </w:p>
        </w:tc>
        <w:tc>
          <w:tcPr>
            <w:tcW w:w="1276" w:type="dxa"/>
          </w:tcPr>
          <w:p>
            <w:pPr>
              <w:pStyle w:val="nTable"/>
              <w:spacing w:after="40"/>
            </w:pPr>
            <w:r>
              <w:t>13 Dec 1991 p. 6160</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1992</w:t>
            </w:r>
          </w:p>
        </w:tc>
        <w:tc>
          <w:tcPr>
            <w:tcW w:w="1276" w:type="dxa"/>
          </w:tcPr>
          <w:p>
            <w:pPr>
              <w:pStyle w:val="nTable"/>
              <w:spacing w:after="40"/>
            </w:pPr>
            <w:r>
              <w:t>14 Aug 1992 p. 4011</w:t>
            </w:r>
            <w:r>
              <w:noBreakHyphen/>
              <w:t>12</w:t>
            </w:r>
          </w:p>
        </w:tc>
        <w:tc>
          <w:tcPr>
            <w:tcW w:w="2693" w:type="dxa"/>
          </w:tcPr>
          <w:p>
            <w:pPr>
              <w:pStyle w:val="nTable"/>
              <w:spacing w:after="40"/>
            </w:pPr>
            <w:r>
              <w:t>14 Aug 1992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1 Oct 1992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1993</w:t>
            </w:r>
          </w:p>
        </w:tc>
        <w:tc>
          <w:tcPr>
            <w:tcW w:w="1276" w:type="dxa"/>
          </w:tcPr>
          <w:p>
            <w:pPr>
              <w:pStyle w:val="nTable"/>
              <w:spacing w:after="40"/>
            </w:pPr>
            <w:r>
              <w:t>30 Nov 1993 p. 6411</w:t>
            </w:r>
            <w:r>
              <w:noBreakHyphen/>
              <w:t>12</w:t>
            </w:r>
          </w:p>
        </w:tc>
        <w:tc>
          <w:tcPr>
            <w:tcW w:w="2693" w:type="dxa"/>
          </w:tcPr>
          <w:p>
            <w:pPr>
              <w:pStyle w:val="nTable"/>
              <w:spacing w:after="40"/>
            </w:pPr>
            <w:r>
              <w:t>30 Nov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1994</w:t>
            </w:r>
          </w:p>
        </w:tc>
        <w:tc>
          <w:tcPr>
            <w:tcW w:w="1276" w:type="dxa"/>
          </w:tcPr>
          <w:p>
            <w:pPr>
              <w:pStyle w:val="nTable"/>
              <w:spacing w:after="40"/>
            </w:pPr>
            <w:r>
              <w:t>30 Sep 1994 p. 4969</w:t>
            </w:r>
            <w:r>
              <w:noBreakHyphen/>
              <w:t>72</w:t>
            </w:r>
          </w:p>
        </w:tc>
        <w:tc>
          <w:tcPr>
            <w:tcW w:w="2693" w:type="dxa"/>
          </w:tcPr>
          <w:p>
            <w:pPr>
              <w:pStyle w:val="nTable"/>
              <w:spacing w:after="40"/>
            </w:pPr>
            <w:r>
              <w:t>6 Oct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1994</w:t>
            </w:r>
          </w:p>
        </w:tc>
        <w:tc>
          <w:tcPr>
            <w:tcW w:w="1276" w:type="dxa"/>
          </w:tcPr>
          <w:p>
            <w:pPr>
              <w:pStyle w:val="nTable"/>
              <w:spacing w:after="40"/>
            </w:pPr>
            <w:r>
              <w:t>9 Dec 1994 p. 6661</w:t>
            </w:r>
            <w:r>
              <w:noBreakHyphen/>
              <w:t>2</w:t>
            </w:r>
          </w:p>
        </w:tc>
        <w:tc>
          <w:tcPr>
            <w:tcW w:w="2693" w:type="dxa"/>
          </w:tcPr>
          <w:p>
            <w:pPr>
              <w:pStyle w:val="nTable"/>
              <w:spacing w:after="40"/>
            </w:pPr>
            <w:r>
              <w:t>9 Dec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1996</w:t>
            </w:r>
          </w:p>
        </w:tc>
        <w:tc>
          <w:tcPr>
            <w:tcW w:w="1276" w:type="dxa"/>
          </w:tcPr>
          <w:p>
            <w:pPr>
              <w:pStyle w:val="nTable"/>
              <w:spacing w:after="40"/>
            </w:pPr>
            <w:r>
              <w:t>7 Jun 1996 p. 2392</w:t>
            </w:r>
          </w:p>
        </w:tc>
        <w:tc>
          <w:tcPr>
            <w:tcW w:w="2693" w:type="dxa"/>
          </w:tcPr>
          <w:p>
            <w:pPr>
              <w:pStyle w:val="nTable"/>
              <w:spacing w:after="40"/>
            </w:pPr>
            <w:r>
              <w:t>7 Jun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3) 1996</w:t>
            </w:r>
          </w:p>
        </w:tc>
        <w:tc>
          <w:tcPr>
            <w:tcW w:w="1276" w:type="dxa"/>
          </w:tcPr>
          <w:p>
            <w:pPr>
              <w:pStyle w:val="nTable"/>
              <w:spacing w:after="40"/>
            </w:pPr>
            <w:r>
              <w:t>25 Jun 1996 p. 2917</w:t>
            </w:r>
            <w:r>
              <w:noBreakHyphen/>
              <w:t>22</w:t>
            </w:r>
          </w:p>
        </w:tc>
        <w:tc>
          <w:tcPr>
            <w:tcW w:w="2693" w:type="dxa"/>
          </w:tcPr>
          <w:p>
            <w:pPr>
              <w:pStyle w:val="nTable"/>
              <w:spacing w:after="40"/>
            </w:pPr>
            <w:r>
              <w:t xml:space="preserve">1 Jul 1996 (see r. 2 and </w:t>
            </w:r>
            <w:r>
              <w:rPr>
                <w:i/>
              </w:rPr>
              <w:t>Gazette</w:t>
            </w:r>
            <w:r>
              <w:t xml:space="preserve"> 25 Jun 1996 p. 2902)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(No. 2) 1996</w:t>
            </w:r>
          </w:p>
        </w:tc>
        <w:tc>
          <w:tcPr>
            <w:tcW w:w="1276" w:type="dxa"/>
          </w:tcPr>
          <w:p>
            <w:pPr>
              <w:pStyle w:val="nTable"/>
              <w:spacing w:after="40"/>
            </w:pPr>
            <w:r>
              <w:t>25 Jun 1996 p. 2923</w:t>
            </w:r>
            <w:r>
              <w:noBreakHyphen/>
              <w:t>5</w:t>
            </w:r>
          </w:p>
        </w:tc>
        <w:tc>
          <w:tcPr>
            <w:tcW w:w="2693" w:type="dxa"/>
          </w:tcPr>
          <w:p>
            <w:pPr>
              <w:pStyle w:val="nTable"/>
              <w:spacing w:after="40"/>
            </w:pPr>
            <w:r>
              <w:t xml:space="preserve">1 Jul 1996 (see r. 2 and </w:t>
            </w:r>
            <w:r>
              <w:rPr>
                <w:i/>
              </w:rPr>
              <w:t>Gazette</w:t>
            </w:r>
            <w:r>
              <w:t xml:space="preserve"> 1 Jul 1996 p. 3179)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1997</w:t>
            </w:r>
          </w:p>
        </w:tc>
        <w:tc>
          <w:tcPr>
            <w:tcW w:w="1276" w:type="dxa"/>
          </w:tcPr>
          <w:p>
            <w:pPr>
              <w:pStyle w:val="nTable"/>
              <w:spacing w:after="40"/>
            </w:pPr>
            <w:r>
              <w:t>27 Jun 1997 p. 3099</w:t>
            </w:r>
            <w:r>
              <w:noBreakHyphen/>
              <w:t>101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28 Nov 1997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1998</w:t>
            </w:r>
          </w:p>
        </w:tc>
        <w:tc>
          <w:tcPr>
            <w:tcW w:w="1276" w:type="dxa"/>
          </w:tcPr>
          <w:p>
            <w:pPr>
              <w:pStyle w:val="nTable"/>
              <w:spacing w:after="40"/>
            </w:pPr>
            <w:r>
              <w:t>16 Oct 1998 p. 5733</w:t>
            </w:r>
            <w:r>
              <w:noBreakHyphen/>
              <w:t>5</w:t>
            </w:r>
          </w:p>
        </w:tc>
        <w:tc>
          <w:tcPr>
            <w:tcW w:w="2693" w:type="dxa"/>
          </w:tcPr>
          <w:p>
            <w:pPr>
              <w:pStyle w:val="nTable"/>
              <w:spacing w:after="40"/>
            </w:pPr>
            <w:r>
              <w:t xml:space="preserve">1 Nov 1998 (see r. 2 and </w:t>
            </w:r>
            <w:r>
              <w:rPr>
                <w:i/>
              </w:rPr>
              <w:t>Gazette</w:t>
            </w:r>
            <w:r>
              <w:t xml:space="preserve"> 16 Oct 1998 p. 5729)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1999</w:t>
            </w:r>
          </w:p>
        </w:tc>
        <w:tc>
          <w:tcPr>
            <w:tcW w:w="1276" w:type="dxa"/>
          </w:tcPr>
          <w:p>
            <w:pPr>
              <w:pStyle w:val="nTable"/>
              <w:spacing w:after="40"/>
            </w:pPr>
            <w:r>
              <w:t>8 Oct 1999 p. 4782</w:t>
            </w:r>
            <w:r>
              <w:noBreakHyphen/>
              <w:t>3</w:t>
            </w:r>
          </w:p>
        </w:tc>
        <w:tc>
          <w:tcPr>
            <w:tcW w:w="2693" w:type="dxa"/>
          </w:tcPr>
          <w:p>
            <w:pPr>
              <w:pStyle w:val="nTable"/>
              <w:spacing w:after="40"/>
            </w:pPr>
            <w:r>
              <w:t>8 Oct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2000</w:t>
            </w:r>
          </w:p>
        </w:tc>
        <w:tc>
          <w:tcPr>
            <w:tcW w:w="1276" w:type="dxa"/>
          </w:tcPr>
          <w:p>
            <w:pPr>
              <w:pStyle w:val="nTable"/>
              <w:spacing w:after="40"/>
            </w:pPr>
            <w:r>
              <w:t>18 Feb 2000 p. 913</w:t>
            </w:r>
            <w:r>
              <w:noBreakHyphen/>
              <w:t>14</w:t>
            </w:r>
          </w:p>
        </w:tc>
        <w:tc>
          <w:tcPr>
            <w:tcW w:w="2693" w:type="dxa"/>
          </w:tcPr>
          <w:p>
            <w:pPr>
              <w:pStyle w:val="nTable"/>
              <w:spacing w:after="40"/>
            </w:pPr>
            <w:r>
              <w:t>18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2001</w:t>
            </w:r>
          </w:p>
        </w:tc>
        <w:tc>
          <w:tcPr>
            <w:tcW w:w="1276" w:type="dxa"/>
          </w:tcPr>
          <w:p>
            <w:pPr>
              <w:pStyle w:val="nTable"/>
              <w:spacing w:after="40"/>
            </w:pPr>
            <w:r>
              <w:t>6 Nov 2001 p. 5837</w:t>
            </w:r>
          </w:p>
        </w:tc>
        <w:tc>
          <w:tcPr>
            <w:tcW w:w="2693" w:type="dxa"/>
          </w:tcPr>
          <w:p>
            <w:pPr>
              <w:pStyle w:val="nTable"/>
              <w:spacing w:after="40"/>
            </w:pPr>
            <w:r>
              <w:t>6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2002</w:t>
            </w:r>
          </w:p>
        </w:tc>
        <w:tc>
          <w:tcPr>
            <w:tcW w:w="1276" w:type="dxa"/>
          </w:tcPr>
          <w:p>
            <w:pPr>
              <w:pStyle w:val="nTable"/>
              <w:spacing w:after="40"/>
            </w:pPr>
            <w:r>
              <w:t>8 Feb 2002 p. 599</w:t>
            </w:r>
            <w:r>
              <w:noBreakHyphen/>
              <w:t>602</w:t>
            </w:r>
          </w:p>
        </w:tc>
        <w:tc>
          <w:tcPr>
            <w:tcW w:w="2693" w:type="dxa"/>
          </w:tcPr>
          <w:p>
            <w:pPr>
              <w:pStyle w:val="nTable"/>
              <w:spacing w:after="40"/>
            </w:pPr>
            <w:r>
              <w:t>8 Feb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8 Mar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vertAlign w:val="superscript"/>
              </w:rPr>
            </w:pPr>
            <w:r>
              <w:rPr>
                <w:i/>
              </w:rPr>
              <w:t>Real Estate and Business Agents (General) Amendment Regulations 2003</w:t>
            </w:r>
            <w:r>
              <w:t> </w:t>
            </w:r>
            <w:r>
              <w:rPr>
                <w:vertAlign w:val="superscript"/>
              </w:rPr>
              <w:t>3</w:t>
            </w:r>
          </w:p>
        </w:tc>
        <w:tc>
          <w:tcPr>
            <w:tcW w:w="1276" w:type="dxa"/>
          </w:tcPr>
          <w:p>
            <w:pPr>
              <w:pStyle w:val="nTable"/>
              <w:spacing w:after="40"/>
            </w:pPr>
            <w:r>
              <w:t>7 Feb 2003 p. 384</w:t>
            </w:r>
            <w:r>
              <w:noBreakHyphen/>
              <w:t>7 (as amended 13 Jan 2004 p. 145</w:t>
            </w:r>
            <w:r>
              <w:noBreakHyphen/>
              <w:t>6)</w:t>
            </w:r>
          </w:p>
        </w:tc>
        <w:tc>
          <w:tcPr>
            <w:tcW w:w="2693" w:type="dxa"/>
          </w:tcPr>
          <w:p>
            <w:pPr>
              <w:pStyle w:val="nTable"/>
              <w:spacing w:after="40"/>
            </w:pPr>
            <w:r>
              <w:t>7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Real Estate and Business Agents (General) Amendment Regulations 2004</w:t>
            </w:r>
          </w:p>
        </w:tc>
        <w:tc>
          <w:tcPr>
            <w:tcW w:w="1276" w:type="dxa"/>
          </w:tcPr>
          <w:p>
            <w:pPr>
              <w:pStyle w:val="nTable"/>
              <w:spacing w:after="40"/>
            </w:pPr>
            <w:r>
              <w:t>13 Jan 2004 p. 145</w:t>
            </w:r>
            <w:r>
              <w:noBreakHyphen/>
              <w:t>6</w:t>
            </w:r>
          </w:p>
        </w:tc>
        <w:tc>
          <w:tcPr>
            <w:tcW w:w="2693" w:type="dxa"/>
          </w:tcPr>
          <w:p>
            <w:pPr>
              <w:pStyle w:val="nTable"/>
              <w:spacing w:after="40"/>
            </w:pPr>
            <w:r>
              <w:t>13 Jan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2004</w:t>
            </w:r>
          </w:p>
        </w:tc>
        <w:tc>
          <w:tcPr>
            <w:tcW w:w="1276" w:type="dxa"/>
          </w:tcPr>
          <w:p>
            <w:pPr>
              <w:pStyle w:val="nTable"/>
              <w:spacing w:after="40"/>
            </w:pPr>
            <w:r>
              <w:t>30 Dec 2004 p. 6924</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2006</w:t>
            </w:r>
          </w:p>
        </w:tc>
        <w:tc>
          <w:tcPr>
            <w:tcW w:w="1276" w:type="dxa"/>
          </w:tcPr>
          <w:p>
            <w:pPr>
              <w:pStyle w:val="nTable"/>
              <w:spacing w:after="40"/>
            </w:pPr>
            <w:r>
              <w:t>27 Jun 2006 p. 2269</w:t>
            </w:r>
            <w:r>
              <w:noBreakHyphen/>
              <w:t>70</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2006</w:t>
            </w:r>
          </w:p>
        </w:tc>
        <w:tc>
          <w:tcPr>
            <w:tcW w:w="1276" w:type="dxa"/>
          </w:tcPr>
          <w:p>
            <w:pPr>
              <w:pStyle w:val="nTable"/>
              <w:spacing w:after="40"/>
            </w:pPr>
            <w:r>
              <w:t>17 Nov 2006 p. 4759</w:t>
            </w:r>
            <w:r>
              <w:noBreakHyphen/>
              <w:t>60</w:t>
            </w:r>
          </w:p>
        </w:tc>
        <w:tc>
          <w:tcPr>
            <w:tcW w:w="2693" w:type="dxa"/>
          </w:tcPr>
          <w:p>
            <w:pPr>
              <w:pStyle w:val="nTable"/>
              <w:spacing w:after="40"/>
            </w:pPr>
            <w:r>
              <w:t>17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2007</w:t>
            </w:r>
          </w:p>
        </w:tc>
        <w:tc>
          <w:tcPr>
            <w:tcW w:w="1276" w:type="dxa"/>
          </w:tcPr>
          <w:p>
            <w:pPr>
              <w:pStyle w:val="nTable"/>
              <w:spacing w:after="40"/>
            </w:pPr>
            <w:r>
              <w:t>6 Feb 2007 p. 307</w:t>
            </w:r>
            <w:r>
              <w:noBreakHyphen/>
              <w:t>10</w:t>
            </w:r>
          </w:p>
        </w:tc>
        <w:tc>
          <w:tcPr>
            <w:tcW w:w="2693" w:type="dxa"/>
          </w:tcPr>
          <w:p>
            <w:pPr>
              <w:pStyle w:val="nTable"/>
              <w:spacing w:after="40"/>
            </w:pPr>
            <w:r>
              <w:t>6 Feb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2007</w:t>
            </w:r>
          </w:p>
        </w:tc>
        <w:tc>
          <w:tcPr>
            <w:tcW w:w="1276" w:type="dxa"/>
          </w:tcPr>
          <w:p>
            <w:pPr>
              <w:pStyle w:val="nTable"/>
              <w:spacing w:after="40"/>
            </w:pPr>
            <w:r>
              <w:t>9 Mar 2007 p. 847</w:t>
            </w:r>
            <w:r>
              <w:noBreakHyphen/>
              <w:t>8</w:t>
            </w:r>
          </w:p>
        </w:tc>
        <w:tc>
          <w:tcPr>
            <w:tcW w:w="2693" w:type="dxa"/>
          </w:tcPr>
          <w:p>
            <w:pPr>
              <w:pStyle w:val="nTable"/>
              <w:spacing w:after="40"/>
            </w:pPr>
            <w:r>
              <w:t>9 Mar 2007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5: The </w:t>
            </w:r>
            <w:r>
              <w:rPr>
                <w:b/>
                <w:bCs/>
                <w:i/>
              </w:rPr>
              <w:t>Real Estate and Business Agents (General) Regulations 1979</w:t>
            </w:r>
            <w:r>
              <w:rPr>
                <w:b/>
                <w:bCs/>
              </w:rPr>
              <w:t xml:space="preserve"> as at 8 Jun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4) 2007</w:t>
            </w:r>
          </w:p>
        </w:tc>
        <w:tc>
          <w:tcPr>
            <w:tcW w:w="1276" w:type="dxa"/>
          </w:tcPr>
          <w:p>
            <w:pPr>
              <w:pStyle w:val="nTable"/>
              <w:spacing w:after="40"/>
            </w:pPr>
            <w:r>
              <w:t>24 Jul 2007 p. 3659</w:t>
            </w:r>
            <w:r>
              <w:noBreakHyphen/>
              <w:t>60</w:t>
            </w:r>
          </w:p>
        </w:tc>
        <w:tc>
          <w:tcPr>
            <w:tcW w:w="2693" w:type="dxa"/>
          </w:tcPr>
          <w:p>
            <w:pPr>
              <w:pStyle w:val="nTable"/>
              <w:spacing w:after="40"/>
            </w:pPr>
            <w:r>
              <w:rPr>
                <w:snapToGrid w:val="0"/>
              </w:rPr>
              <w:t>r. 1 and 2: 24 Jul 2007 (see r. 2(a));</w:t>
            </w:r>
            <w:r>
              <w:rPr>
                <w:snapToGrid w:val="0"/>
              </w:rPr>
              <w:br/>
              <w:t xml:space="preserve">Regulations other than r. 1 and 2: 25 Jul 2007 (see r. 2(b) and </w:t>
            </w:r>
            <w:r>
              <w:rPr>
                <w:i/>
                <w:iCs/>
                <w:snapToGrid w:val="0"/>
              </w:rPr>
              <w:t>Gazette</w:t>
            </w:r>
            <w:r>
              <w:rPr>
                <w:snapToGrid w:val="0"/>
              </w:rPr>
              <w:t xml:space="preserve"> 24 Jul 2007 p. 3657)</w:t>
            </w:r>
            <w: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5) 2007</w:t>
            </w:r>
          </w:p>
        </w:tc>
        <w:tc>
          <w:tcPr>
            <w:tcW w:w="1276" w:type="dxa"/>
          </w:tcPr>
          <w:p>
            <w:pPr>
              <w:pStyle w:val="nTable"/>
              <w:spacing w:after="40"/>
            </w:pPr>
            <w:r>
              <w:t>28 Dec 2007 p. 6403</w:t>
            </w:r>
            <w:r>
              <w:noBreakHyphen/>
              <w:t>7</w:t>
            </w:r>
          </w:p>
        </w:tc>
        <w:tc>
          <w:tcPr>
            <w:tcW w:w="2693" w:type="dxa"/>
          </w:tcPr>
          <w:p>
            <w:pPr>
              <w:pStyle w:val="nTable"/>
              <w:spacing w:after="40"/>
            </w:pPr>
            <w:r>
              <w:t>r. 1 and 2: 28 Dec 2007 (see r. 2(a));</w:t>
            </w:r>
          </w:p>
          <w:p>
            <w:pPr>
              <w:pStyle w:val="nTable"/>
              <w:spacing w:after="40"/>
              <w:rPr>
                <w:snapToGrid w:val="0"/>
              </w:rPr>
            </w:pPr>
            <w:r>
              <w:t>Regulations other than r. 1 and 2: 29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2008</w:t>
            </w:r>
          </w:p>
        </w:tc>
        <w:tc>
          <w:tcPr>
            <w:tcW w:w="1276" w:type="dxa"/>
          </w:tcPr>
          <w:p>
            <w:pPr>
              <w:pStyle w:val="nTable"/>
              <w:spacing w:after="40"/>
            </w:pPr>
            <w:r>
              <w:t>17 Jun 2008 p. 2557</w:t>
            </w:r>
            <w:r>
              <w:noBreakHyphen/>
              <w:t>8</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2008</w:t>
            </w:r>
          </w:p>
        </w:tc>
        <w:tc>
          <w:tcPr>
            <w:tcW w:w="1276" w:type="dxa"/>
          </w:tcPr>
          <w:p>
            <w:pPr>
              <w:pStyle w:val="nTable"/>
              <w:spacing w:after="40"/>
            </w:pPr>
            <w:r>
              <w:t>24 Jun 2008 p. 2886</w:t>
            </w:r>
            <w:r>
              <w:noBreakHyphen/>
              <w:t>7</w:t>
            </w:r>
          </w:p>
        </w:tc>
        <w:tc>
          <w:tcPr>
            <w:tcW w:w="2693" w:type="dxa"/>
          </w:tcPr>
          <w:p>
            <w:pPr>
              <w:pStyle w:val="nTable"/>
              <w:spacing w:after="40"/>
            </w:pPr>
            <w:r>
              <w:t>r. 1 and 2: 24 Jun 2008 (see r. 2(a));</w:t>
            </w:r>
            <w:r>
              <w:br/>
              <w:t>Regulations other than r. 1 and 2: 25 Jun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3) 2008</w:t>
            </w:r>
          </w:p>
        </w:tc>
        <w:tc>
          <w:tcPr>
            <w:tcW w:w="1276" w:type="dxa"/>
          </w:tcPr>
          <w:p>
            <w:pPr>
              <w:pStyle w:val="nTable"/>
              <w:spacing w:after="40"/>
            </w:pPr>
            <w:r>
              <w:t>23 Dec 2008 p. 5465</w:t>
            </w:r>
            <w:r>
              <w:noBreakHyphen/>
              <w:t>7</w:t>
            </w:r>
          </w:p>
        </w:tc>
        <w:tc>
          <w:tcPr>
            <w:tcW w:w="2693" w:type="dxa"/>
          </w:tcPr>
          <w:p>
            <w:pPr>
              <w:pStyle w:val="nTable"/>
              <w:spacing w:after="40"/>
            </w:pPr>
            <w:r>
              <w:t>r. 1 and 2: 23 Dec 2008 (see r. 2(a));</w:t>
            </w:r>
            <w:r>
              <w:br/>
              <w:t>Regulations other than r. 1 and 2: 24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2009</w:t>
            </w:r>
          </w:p>
        </w:tc>
        <w:tc>
          <w:tcPr>
            <w:tcW w:w="1276" w:type="dxa"/>
          </w:tcPr>
          <w:p>
            <w:pPr>
              <w:pStyle w:val="nTable"/>
              <w:spacing w:after="40"/>
            </w:pPr>
            <w:r>
              <w:t>17 Apr 2009 p. 1319</w:t>
            </w:r>
            <w:r>
              <w:noBreakHyphen/>
              <w:t>23</w:t>
            </w:r>
          </w:p>
        </w:tc>
        <w:tc>
          <w:tcPr>
            <w:tcW w:w="2693" w:type="dxa"/>
          </w:tcPr>
          <w:p>
            <w:pPr>
              <w:pStyle w:val="nTable"/>
              <w:spacing w:after="40"/>
            </w:pPr>
            <w:r>
              <w:t>r. 1 and 2: 17 Apr 2009 (see r. 2(a));</w:t>
            </w:r>
            <w:r>
              <w:br/>
              <w:t>Regulations other than r. 1 and 2: 18 Apr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2009</w:t>
            </w:r>
          </w:p>
        </w:tc>
        <w:tc>
          <w:tcPr>
            <w:tcW w:w="1276" w:type="dxa"/>
          </w:tcPr>
          <w:p>
            <w:pPr>
              <w:pStyle w:val="nTable"/>
              <w:spacing w:after="40"/>
            </w:pPr>
            <w:r>
              <w:t>8 May 2009 p. 1491</w:t>
            </w:r>
            <w:r>
              <w:noBreakHyphen/>
              <w:t>2</w:t>
            </w:r>
          </w:p>
        </w:tc>
        <w:tc>
          <w:tcPr>
            <w:tcW w:w="2693" w:type="dxa"/>
          </w:tcPr>
          <w:p>
            <w:pPr>
              <w:pStyle w:val="nTable"/>
              <w:spacing w:after="40"/>
            </w:pPr>
            <w:r>
              <w:t>r. 1 and 2: 8 May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4) 2009</w:t>
            </w:r>
          </w:p>
        </w:tc>
        <w:tc>
          <w:tcPr>
            <w:tcW w:w="1276" w:type="dxa"/>
          </w:tcPr>
          <w:p>
            <w:pPr>
              <w:pStyle w:val="nTable"/>
              <w:spacing w:after="40"/>
            </w:pPr>
            <w:r>
              <w:t>23 Jun 2009 p. 2453</w:t>
            </w:r>
            <w:r>
              <w:noBreakHyphen/>
              <w:t>4</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3) 2009</w:t>
            </w:r>
          </w:p>
        </w:tc>
        <w:tc>
          <w:tcPr>
            <w:tcW w:w="1276" w:type="dxa"/>
          </w:tcPr>
          <w:p>
            <w:pPr>
              <w:pStyle w:val="nTable"/>
              <w:spacing w:after="40"/>
            </w:pPr>
            <w:r>
              <w:t>28 Aug 2009 p. 3347</w:t>
            </w:r>
            <w:r>
              <w:noBreakHyphen/>
              <w:t>52</w:t>
            </w:r>
          </w:p>
        </w:tc>
        <w:tc>
          <w:tcPr>
            <w:tcW w:w="2693" w:type="dxa"/>
          </w:tcPr>
          <w:p>
            <w:pPr>
              <w:pStyle w:val="nTable"/>
              <w:spacing w:after="40"/>
              <w:rPr>
                <w:snapToGrid w:val="0"/>
              </w:rPr>
            </w:pPr>
            <w:r>
              <w:rPr>
                <w:snapToGrid w:val="0"/>
              </w:rPr>
              <w:t>r. 1 and 2: 28 Aug 2009 (see r. 2(a));</w:t>
            </w:r>
            <w:r>
              <w:rPr>
                <w:snapToGrid w:val="0"/>
              </w:rPr>
              <w:br/>
              <w:t>Regulations other than r. 1 and 2: 29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5) 2009</w:t>
            </w:r>
          </w:p>
        </w:tc>
        <w:tc>
          <w:tcPr>
            <w:tcW w:w="1276" w:type="dxa"/>
          </w:tcPr>
          <w:p>
            <w:pPr>
              <w:pStyle w:val="nTable"/>
              <w:spacing w:after="40"/>
            </w:pPr>
            <w:r>
              <w:t>10 Nov 2009 p. 4495</w:t>
            </w:r>
            <w:r>
              <w:noBreakHyphen/>
              <w:t>6</w:t>
            </w:r>
          </w:p>
        </w:tc>
        <w:tc>
          <w:tcPr>
            <w:tcW w:w="2693" w:type="dxa"/>
          </w:tcPr>
          <w:p>
            <w:pPr>
              <w:pStyle w:val="nTable"/>
              <w:spacing w:after="40"/>
              <w:rPr>
                <w:snapToGrid w:val="0"/>
              </w:rPr>
            </w:pPr>
            <w:r>
              <w:rPr>
                <w:snapToGrid w:val="0"/>
              </w:rPr>
              <w:t>r. 1 and 2: 10 Nov 2009 (see r. 2(a));</w:t>
            </w:r>
            <w:r>
              <w:rPr>
                <w:snapToGrid w:val="0"/>
              </w:rPr>
              <w:br/>
              <w:t>Regulations other than r. 1 and 2: 11 Nov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6: The </w:t>
            </w:r>
            <w:r>
              <w:rPr>
                <w:b/>
                <w:bCs/>
                <w:i/>
              </w:rPr>
              <w:t>Real Estate and Business Agents (General) Regulations 1979</w:t>
            </w:r>
            <w:r>
              <w:rPr>
                <w:b/>
                <w:bCs/>
              </w:rPr>
              <w:t xml:space="preserve"> as at 11 Dec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2010</w:t>
            </w:r>
          </w:p>
        </w:tc>
        <w:tc>
          <w:tcPr>
            <w:tcW w:w="1276" w:type="dxa"/>
          </w:tcPr>
          <w:p>
            <w:pPr>
              <w:pStyle w:val="nTable"/>
              <w:spacing w:after="40"/>
            </w:pPr>
            <w:r>
              <w:t>28 May 2010 p. 2297-8</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(No. 2) 2010</w:t>
            </w:r>
          </w:p>
        </w:tc>
        <w:tc>
          <w:tcPr>
            <w:tcW w:w="1276" w:type="dxa"/>
          </w:tcPr>
          <w:p>
            <w:pPr>
              <w:pStyle w:val="nTable"/>
              <w:spacing w:after="40"/>
            </w:pPr>
            <w:r>
              <w:t>25 Jun 2010 p. 2851</w:t>
            </w:r>
            <w:r>
              <w:noBreakHyphen/>
              <w:t>2</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Real Estate and Business Agents (General) Amendment Regulations 2011</w:t>
            </w:r>
          </w:p>
        </w:tc>
        <w:tc>
          <w:tcPr>
            <w:tcW w:w="1276" w:type="dxa"/>
          </w:tcPr>
          <w:p>
            <w:pPr>
              <w:pStyle w:val="nTable"/>
              <w:spacing w:after="40"/>
            </w:pPr>
            <w:r>
              <w:t>22 Jun 2011 p. 2367-8</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2011</w:t>
            </w:r>
          </w:p>
        </w:tc>
        <w:tc>
          <w:tcPr>
            <w:tcW w:w="1276" w:type="dxa"/>
            <w:shd w:val="clear" w:color="auto" w:fill="auto"/>
          </w:tcPr>
          <w:p>
            <w:pPr>
              <w:pStyle w:val="nTable"/>
              <w:spacing w:after="40"/>
            </w:pPr>
            <w:r>
              <w:t>30 Jun 2011 p. 2669-72</w:t>
            </w:r>
          </w:p>
        </w:tc>
        <w:tc>
          <w:tcPr>
            <w:tcW w:w="2693" w:type="dxa"/>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bCs/>
              </w:rPr>
              <w:t xml:space="preserve">Reprint 7: The </w:t>
            </w:r>
            <w:r>
              <w:rPr>
                <w:b/>
                <w:bCs/>
                <w:i/>
              </w:rPr>
              <w:t>Real Estate and Business Agents (General) Regulations 1979</w:t>
            </w:r>
            <w:r>
              <w:rPr>
                <w:b/>
                <w:bCs/>
              </w:rPr>
              <w:t xml:space="preserve"> as at 3 Feb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2012</w:t>
            </w:r>
          </w:p>
        </w:tc>
        <w:tc>
          <w:tcPr>
            <w:tcW w:w="1276" w:type="dxa"/>
            <w:shd w:val="clear" w:color="auto" w:fill="auto"/>
          </w:tcPr>
          <w:p>
            <w:pPr>
              <w:pStyle w:val="nTable"/>
              <w:spacing w:after="40"/>
            </w:pPr>
            <w:r>
              <w:t>15 Jun 2012 p. 2599-600</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2012</w:t>
            </w:r>
          </w:p>
        </w:tc>
        <w:tc>
          <w:tcPr>
            <w:tcW w:w="1276" w:type="dxa"/>
            <w:shd w:val="clear" w:color="auto" w:fill="auto"/>
          </w:tcPr>
          <w:p>
            <w:pPr>
              <w:pStyle w:val="nTable"/>
              <w:spacing w:after="40"/>
            </w:pPr>
            <w:r>
              <w:t>23 Oct 2012 p. 5049</w:t>
            </w:r>
            <w:r>
              <w:noBreakHyphen/>
              <w:t>55</w:t>
            </w:r>
          </w:p>
        </w:tc>
        <w:tc>
          <w:tcPr>
            <w:tcW w:w="2693" w:type="dxa"/>
            <w:shd w:val="clear" w:color="auto" w:fill="auto"/>
          </w:tcPr>
          <w:p>
            <w:pPr>
              <w:pStyle w:val="nTable"/>
              <w:spacing w:after="40"/>
              <w:rPr>
                <w:snapToGrid w:val="0"/>
              </w:rPr>
            </w:pPr>
            <w:r>
              <w:rPr>
                <w:snapToGrid w:val="0"/>
              </w:rPr>
              <w:t>r. 1 and 2: 23 Oct 2012 (see r. 2(a));</w:t>
            </w:r>
            <w:r>
              <w:rPr>
                <w:snapToGrid w:val="0"/>
              </w:rPr>
              <w:br/>
              <w:t>Regulations other than r. 1 and 2: 24 Oct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2013</w:t>
            </w:r>
          </w:p>
        </w:tc>
        <w:tc>
          <w:tcPr>
            <w:tcW w:w="1276" w:type="dxa"/>
            <w:shd w:val="clear" w:color="auto" w:fill="auto"/>
          </w:tcPr>
          <w:p>
            <w:pPr>
              <w:pStyle w:val="nTable"/>
              <w:spacing w:after="40"/>
            </w:pPr>
            <w:r>
              <w:t>27 Jun 2013 p. 2691-2</w:t>
            </w:r>
          </w:p>
        </w:tc>
        <w:tc>
          <w:tcPr>
            <w:tcW w:w="2693" w:type="dxa"/>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2013</w:t>
            </w:r>
          </w:p>
        </w:tc>
        <w:tc>
          <w:tcPr>
            <w:tcW w:w="1276" w:type="dxa"/>
            <w:shd w:val="clear" w:color="auto" w:fill="auto"/>
          </w:tcPr>
          <w:p>
            <w:pPr>
              <w:pStyle w:val="nTable"/>
              <w:spacing w:after="40"/>
            </w:pPr>
            <w:r>
              <w:t>20 Aug 2013 p. 3839</w:t>
            </w:r>
          </w:p>
        </w:tc>
        <w:tc>
          <w:tcPr>
            <w:tcW w:w="2693" w:type="dxa"/>
            <w:shd w:val="clear" w:color="auto" w:fill="auto"/>
          </w:tcPr>
          <w:p>
            <w:pPr>
              <w:pStyle w:val="nTable"/>
              <w:spacing w:after="40"/>
              <w:rPr>
                <w:b/>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2014</w:t>
            </w:r>
          </w:p>
        </w:tc>
        <w:tc>
          <w:tcPr>
            <w:tcW w:w="1276" w:type="dxa"/>
            <w:shd w:val="clear" w:color="auto" w:fill="auto"/>
          </w:tcPr>
          <w:p>
            <w:pPr>
              <w:pStyle w:val="nTable"/>
              <w:spacing w:after="40"/>
            </w:pPr>
            <w:r>
              <w:t>17 Jun 2014 p. 1977</w:t>
            </w:r>
            <w:r>
              <w:noBreakHyphen/>
              <w:t>8</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8: The </w:t>
            </w:r>
            <w:r>
              <w:rPr>
                <w:b/>
                <w:bCs/>
                <w:i/>
              </w:rPr>
              <w:t>Real Estate and Business Agents (General) Regulations 1979</w:t>
            </w:r>
            <w:r>
              <w:rPr>
                <w:b/>
                <w:bCs/>
              </w:rPr>
              <w:t xml:space="preserve"> as at 19 Sep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2014</w:t>
            </w:r>
          </w:p>
        </w:tc>
        <w:tc>
          <w:tcPr>
            <w:tcW w:w="1276" w:type="dxa"/>
            <w:shd w:val="clear" w:color="auto" w:fill="auto"/>
          </w:tcPr>
          <w:p>
            <w:pPr>
              <w:pStyle w:val="nTable"/>
              <w:spacing w:after="40"/>
            </w:pPr>
            <w:r>
              <w:t>18 Nov 2014 p. 4324-5</w:t>
            </w:r>
          </w:p>
        </w:tc>
        <w:tc>
          <w:tcPr>
            <w:tcW w:w="2693" w:type="dxa"/>
            <w:shd w:val="clear" w:color="auto" w:fill="auto"/>
          </w:tcPr>
          <w:p>
            <w:pPr>
              <w:pStyle w:val="nTable"/>
              <w:spacing w:after="40"/>
              <w:rPr>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Real Estate and Business Agents (General) Amendment Regulations 2015</w:t>
            </w:r>
          </w:p>
        </w:tc>
        <w:tc>
          <w:tcPr>
            <w:tcW w:w="1276" w:type="dxa"/>
            <w:shd w:val="clear" w:color="auto" w:fill="auto"/>
          </w:tcPr>
          <w:p>
            <w:pPr>
              <w:pStyle w:val="nTable"/>
              <w:spacing w:after="40"/>
            </w:pPr>
            <w:r>
              <w:t>15 May 2015 p. 1717</w:t>
            </w:r>
            <w:r>
              <w:noBreakHyphen/>
              <w:t>18</w:t>
            </w:r>
          </w:p>
        </w:tc>
        <w:tc>
          <w:tcPr>
            <w:tcW w:w="2693" w:type="dxa"/>
            <w:shd w:val="clear" w:color="auto" w:fill="auto"/>
          </w:tcPr>
          <w:p>
            <w:pPr>
              <w:pStyle w:val="nTable"/>
              <w:spacing w:after="40"/>
              <w:rPr>
                <w:bCs/>
                <w:snapToGrid w:val="0"/>
                <w:spacing w:val="-2"/>
              </w:rPr>
            </w:pPr>
            <w:r>
              <w:rPr>
                <w:bCs/>
                <w:snapToGrid w:val="0"/>
                <w:spacing w:val="-2"/>
              </w:rPr>
              <w:t>r. 1 and 2: 15 May 2015 (see r. 2(a));</w:t>
            </w:r>
            <w:r>
              <w:rPr>
                <w:bCs/>
                <w:snapToGrid w:val="0"/>
                <w:spacing w:val="-2"/>
              </w:rPr>
              <w:br/>
              <w:t>Regulations other than r. 1 and 2: 16 May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Real Estate and Business Agents (General) Amendment Regulations (No. 2) 2015</w:t>
            </w:r>
          </w:p>
        </w:tc>
        <w:tc>
          <w:tcPr>
            <w:tcW w:w="1276" w:type="dxa"/>
            <w:shd w:val="clear" w:color="auto" w:fill="auto"/>
          </w:tcPr>
          <w:p>
            <w:pPr>
              <w:pStyle w:val="nTable"/>
              <w:spacing w:after="40"/>
            </w:pPr>
            <w:r>
              <w:t>23 Jun 2015 p. 2184</w:t>
            </w:r>
            <w:r>
              <w:noBreakHyphen/>
              <w:t>5</w:t>
            </w:r>
          </w:p>
        </w:tc>
        <w:tc>
          <w:tcPr>
            <w:tcW w:w="2693"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16</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18</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Real Estate and Business Agents (General) Amendment Regulations 2017</w:t>
            </w:r>
          </w:p>
        </w:tc>
        <w:tc>
          <w:tcPr>
            <w:tcW w:w="1276" w:type="dxa"/>
            <w:tcBorders>
              <w:top w:val="nil"/>
              <w:bottom w:val="nil"/>
            </w:tcBorders>
          </w:tcPr>
          <w:p>
            <w:pPr>
              <w:pStyle w:val="nTable"/>
              <w:spacing w:after="40"/>
            </w:pPr>
            <w:r>
              <w:t>30 Jun 2017 p. 3553</w:t>
            </w:r>
            <w:r>
              <w:noBreakHyphen/>
              <w:t>4</w:t>
            </w:r>
          </w:p>
        </w:tc>
        <w:tc>
          <w:tcPr>
            <w:tcW w:w="2693" w:type="dxa"/>
            <w:tcBorders>
              <w:top w:val="nil"/>
              <w:bottom w:val="nil"/>
            </w:tcBorders>
          </w:tcPr>
          <w:p>
            <w:pPr>
              <w:pStyle w:val="nTable"/>
              <w:spacing w:after="40"/>
            </w:pPr>
            <w:r>
              <w:rPr>
                <w:bCs/>
                <w:snapToGrid w:val="0"/>
                <w:spacing w:val="-2"/>
              </w:rPr>
              <w:t xml:space="preserve">r. 1 and 2: </w:t>
            </w:r>
            <w:r>
              <w:t>30 Jun 2017</w:t>
            </w:r>
            <w:r>
              <w:rPr>
                <w:bCs/>
                <w:snapToGrid w:val="0"/>
                <w:spacing w:val="-2"/>
              </w:rPr>
              <w:t xml:space="preserve"> (see r. 2(a));</w:t>
            </w:r>
            <w:r>
              <w:rPr>
                <w:bCs/>
                <w:snapToGrid w:val="0"/>
                <w:spacing w:val="-2"/>
              </w:rPr>
              <w:br/>
              <w:t>Regulations other than r. 1 and 2: 1 Jul 2017 (see r. 2(b))</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18</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t xml:space="preserve">Commerce Regulations Amendment (Fees and Charges) Regulations 2019 </w:t>
            </w:r>
            <w:r>
              <w:t>Pt. 16</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9" w:type="dxa"/>
            <w:tcBorders>
              <w:top w:val="nil"/>
              <w:bottom w:val="nil"/>
            </w:tcBorders>
          </w:tcPr>
          <w:p>
            <w:pPr>
              <w:pStyle w:val="nTable"/>
              <w:spacing w:after="40"/>
            </w:pPr>
            <w:r>
              <w:rPr>
                <w:i/>
              </w:rPr>
              <w:t>Consumer Protection Regulations Amendment Regulations 2019</w:t>
            </w:r>
            <w:r>
              <w:t xml:space="preserve"> Pt. 4</w:t>
            </w:r>
          </w:p>
        </w:tc>
        <w:tc>
          <w:tcPr>
            <w:tcW w:w="1276" w:type="dxa"/>
            <w:tcBorders>
              <w:top w:val="nil"/>
              <w:bottom w:val="nil"/>
            </w:tcBorders>
          </w:tcPr>
          <w:p>
            <w:pPr>
              <w:pStyle w:val="nTable"/>
              <w:spacing w:after="40"/>
            </w:pPr>
            <w:r>
              <w:t>24 Dec 2019 p. 4416</w:t>
            </w:r>
            <w:r>
              <w:noBreakHyphen/>
              <w:t>20</w:t>
            </w:r>
          </w:p>
        </w:tc>
        <w:tc>
          <w:tcPr>
            <w:tcW w:w="2693" w:type="dxa"/>
            <w:tcBorders>
              <w:top w:val="nil"/>
              <w:bottom w:val="nil"/>
            </w:tcBorders>
          </w:tcPr>
          <w:p>
            <w:pPr>
              <w:pStyle w:val="nTable"/>
              <w:spacing w:after="40"/>
            </w:pPr>
            <w:r>
              <w:t xml:space="preserve">1 Jan 2020 (see r. 2(b) and </w:t>
            </w:r>
            <w:r>
              <w:rPr>
                <w:i/>
              </w:rPr>
              <w:t>Gazette</w:t>
            </w:r>
            <w:r>
              <w:t> 24 Dec 2019 p. 4415)</w:t>
            </w:r>
          </w:p>
        </w:tc>
      </w:tr>
      <w:tr>
        <w:trPr>
          <w:cantSplit/>
        </w:trPr>
        <w:tc>
          <w:tcPr>
            <w:tcW w:w="3119" w:type="dxa"/>
            <w:tcBorders>
              <w:top w:val="nil"/>
              <w:bottom w:val="nil"/>
            </w:tcBorders>
          </w:tcPr>
          <w:p>
            <w:pPr>
              <w:pStyle w:val="nTable"/>
              <w:spacing w:after="40"/>
              <w:rPr>
                <w:i/>
              </w:rPr>
            </w:pPr>
            <w:r>
              <w:rPr>
                <w:i/>
              </w:rPr>
              <w:t>Commerce Regulations Amendment (Infringement Notices) Regulations 2020</w:t>
            </w:r>
            <w:r>
              <w:t xml:space="preserve"> Pt. 23</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r>
        <w:trPr>
          <w:cantSplit/>
          <w:ins w:id="213" w:author="Master Repository Process" w:date="2021-09-12T15:21:00Z"/>
        </w:trPr>
        <w:tc>
          <w:tcPr>
            <w:tcW w:w="3119" w:type="dxa"/>
            <w:tcBorders>
              <w:top w:val="nil"/>
              <w:bottom w:val="single" w:sz="4" w:space="0" w:color="auto"/>
            </w:tcBorders>
          </w:tcPr>
          <w:p>
            <w:pPr>
              <w:pStyle w:val="nTable"/>
              <w:spacing w:after="40"/>
              <w:rPr>
                <w:ins w:id="214" w:author="Master Repository Process" w:date="2021-09-12T15:21:00Z"/>
                <w:i/>
              </w:rPr>
            </w:pPr>
            <w:ins w:id="215" w:author="Master Repository Process" w:date="2021-09-12T15:21:00Z">
              <w:r>
                <w:rPr>
                  <w:i/>
                </w:rPr>
                <w:t>Commerce Regulations Amendment (COVID</w:t>
              </w:r>
              <w:r>
                <w:rPr>
                  <w:i/>
                </w:rPr>
                <w:noBreakHyphen/>
                <w:t xml:space="preserve">19 Response) Regulations (No. 2) 2020 </w:t>
              </w:r>
              <w:r>
                <w:t>Pt. 16</w:t>
              </w:r>
            </w:ins>
          </w:p>
        </w:tc>
        <w:tc>
          <w:tcPr>
            <w:tcW w:w="1276" w:type="dxa"/>
            <w:tcBorders>
              <w:top w:val="nil"/>
              <w:bottom w:val="single" w:sz="4" w:space="0" w:color="auto"/>
            </w:tcBorders>
          </w:tcPr>
          <w:p>
            <w:pPr>
              <w:pStyle w:val="nTable"/>
              <w:spacing w:after="40"/>
              <w:rPr>
                <w:ins w:id="216" w:author="Master Repository Process" w:date="2021-09-12T15:21:00Z"/>
              </w:rPr>
            </w:pPr>
            <w:ins w:id="217" w:author="Master Repository Process" w:date="2021-09-12T15:21:00Z">
              <w:r>
                <w:t>SL 2020/196 27 Oct 2020</w:t>
              </w:r>
            </w:ins>
          </w:p>
        </w:tc>
        <w:tc>
          <w:tcPr>
            <w:tcW w:w="2693" w:type="dxa"/>
            <w:tcBorders>
              <w:top w:val="nil"/>
              <w:bottom w:val="single" w:sz="4" w:space="0" w:color="auto"/>
            </w:tcBorders>
          </w:tcPr>
          <w:p>
            <w:pPr>
              <w:pStyle w:val="nTable"/>
              <w:spacing w:after="40"/>
              <w:rPr>
                <w:ins w:id="218" w:author="Master Repository Process" w:date="2021-09-12T15:21:00Z"/>
              </w:rPr>
            </w:pPr>
            <w:ins w:id="219" w:author="Master Repository Process" w:date="2021-09-12T15:21:00Z">
              <w:r>
                <w:t>28 Oct 2020 (see r. 2(b))</w:t>
              </w:r>
            </w:ins>
          </w:p>
        </w:tc>
      </w:tr>
    </w:tbl>
    <w:p>
      <w:pPr>
        <w:pStyle w:val="nHeading3"/>
      </w:pPr>
      <w:bookmarkStart w:id="220" w:name="_Toc54595337"/>
      <w:bookmarkStart w:id="221" w:name="_Toc51842039"/>
      <w:r>
        <w:t>Other notes</w:t>
      </w:r>
      <w:bookmarkEnd w:id="220"/>
      <w:bookmarkEnd w:id="221"/>
    </w:p>
    <w:p>
      <w:pPr>
        <w:pStyle w:val="nNote"/>
        <w:spacing w:before="120"/>
      </w:pPr>
      <w:r>
        <w:rPr>
          <w:vertAlign w:val="superscript"/>
        </w:rPr>
        <w:t>1</w:t>
      </w:r>
      <w:r>
        <w:tab/>
        <w:t>The commencement date in r. 2 was of no effect as it was before the date of gazettal.</w:t>
      </w:r>
    </w:p>
    <w:p>
      <w:pPr>
        <w:pStyle w:val="nNote"/>
        <w:keepLines/>
        <w:spacing w:before="120"/>
      </w:pPr>
      <w:r>
        <w:rPr>
          <w:vertAlign w:val="superscript"/>
        </w:rPr>
        <w:t>2</w:t>
      </w:r>
      <w:r>
        <w:tab/>
        <w:t xml:space="preserve">The </w:t>
      </w:r>
      <w:r>
        <w:rPr>
          <w:i/>
        </w:rPr>
        <w:t>Miscellaneous Regulations (Validation) Act 1985</w:t>
      </w:r>
      <w:r>
        <w:t xml:space="preserve"> applied to these regulations.  It deemed the regulations not to have ceased to have effect as a result of the failure to comply with section 42(1) of the </w:t>
      </w:r>
      <w:r>
        <w:rPr>
          <w:i/>
        </w:rPr>
        <w:t>Interpretation Act 1984</w:t>
      </w:r>
      <w:r>
        <w:t>, subject to their being laid before the Legislative Assembly.</w:t>
      </w:r>
    </w:p>
    <w:p>
      <w:pPr>
        <w:pStyle w:val="nNote"/>
        <w:spacing w:before="120"/>
      </w:pPr>
      <w:r>
        <w:rPr>
          <w:snapToGrid w:val="0"/>
          <w:vertAlign w:val="superscript"/>
        </w:rPr>
        <w:t>3</w:t>
      </w:r>
      <w:r>
        <w:rPr>
          <w:snapToGrid w:val="0"/>
        </w:rPr>
        <w:tab/>
        <w:t xml:space="preserve">The </w:t>
      </w:r>
      <w:r>
        <w:rPr>
          <w:i/>
        </w:rPr>
        <w:t xml:space="preserve">Real Estate and Business Agents (General) Amendment Regulations 2003 </w:t>
      </w:r>
      <w:r>
        <w:t xml:space="preserve">r. 4(2) (as amended in </w:t>
      </w:r>
      <w:r>
        <w:rPr>
          <w:i/>
          <w:iCs/>
        </w:rPr>
        <w:t xml:space="preserve">Gazette </w:t>
      </w:r>
      <w:r>
        <w:t>13 Jan 2004 p. 146) and r. 5(2) are transitional provisions that are of no further effect.</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jc w:val="center"/>
        <w:rPr>
          <w:rFonts w:ascii="Arial" w:hAnsi="Arial" w:cs="Arial"/>
          <w:sz w:val="12"/>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1A</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Professional development subjects</w:t>
          </w:r>
          <w:r>
            <w:fldChar w:fldCharType="end"/>
          </w:r>
          <w:r>
            <w:t xml:space="preserve"> </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Professional development subjects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r>
            <w:t xml:space="preserve"> </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2" w:name="Compilation"/>
    <w:bookmarkEnd w:id="222"/>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3" w:name="Coversheet"/>
    <w:bookmarkEnd w:id="22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6" w:name="Schedule"/>
    <w:bookmarkEnd w:id="18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870D1F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022091626"/>
    <w:docVar w:name="WAFER_20140128103500" w:val="RemoveTocBookmarks,RemoveUnusedBookmarks,RemoveLanguageTags,UsedStyles,ResetPageSize,UpdateArrangement"/>
    <w:docVar w:name="WAFER_20140128103500_GUID" w:val="0d6643f5-90f0-405a-a688-25443c3db465"/>
    <w:docVar w:name="WAFER_20140128112216" w:val="RemoveTocBookmarks,RunningHeaders"/>
    <w:docVar w:name="WAFER_20140128112216_GUID" w:val="8c5b0ec2-6d55-43d2-96ba-3c1f925ead5b"/>
    <w:docVar w:name="WAFER_20140225111726" w:val="RemoveTocBookmarks,RemoveUnusedBookmarks,RemoveLanguageTags,UsedStyles,ResetPageSize,RemoveCustomizations,UpdateArrangement"/>
    <w:docVar w:name="WAFER_20140225111726_GUID" w:val="d3c9e333-ecfa-41c0-b6e1-9d5f409a68f6"/>
    <w:docVar w:name="WAFER_20140915082831" w:val="RemoveTocBookmarks,RemoveUnusedBookmarks,RemoveLanguageTags,UsedStyles,RemoveTrackChanges"/>
    <w:docVar w:name="WAFER_20140915082831_GUID" w:val="73734e40-0ef7-458e-9314-be01cf6fc557"/>
    <w:docVar w:name="WAFER_20140915082842" w:val="RemoveTocBookmarks,RemoveLanguageTags,RemoveTrackChanges,RunningHeaders"/>
    <w:docVar w:name="WAFER_20140915082842_GUID" w:val="533b7ef7-c373-4471-86e4-bf5df33e977d"/>
    <w:docVar w:name="WAFER_20141006104600" w:val="RemoveTocBookmarks,RemoveLanguageTags,RemoveTrackChanges,RunningHeaders"/>
    <w:docVar w:name="WAFER_20141006104600_GUID" w:val="3cb6c62e-cb52-4129-b5d9-6fb61c59a5bb"/>
    <w:docVar w:name="WAFER_20141118101424" w:val="RemoveTocBookmarks,RemoveUnusedBookmarks,RemoveLanguageTags,UsedStyles,ResetPageSize,UpdateArrangement"/>
    <w:docVar w:name="WAFER_20141118101424_GUID" w:val="504274f0-c0ef-4fbb-ad1b-ca09b4b3b23b"/>
    <w:docVar w:name="WAFER_20150514135140" w:val="ResetPageSize,UpdateArrangement,UpdateNTable"/>
    <w:docVar w:name="WAFER_20150514135140_GUID" w:val="0f67db6b-b558-4802-8dad-2e8a98a1f8e0"/>
    <w:docVar w:name="WAFER_20151127093742" w:val="UpdateStyles"/>
    <w:docVar w:name="WAFER_20151127093742_GUID" w:val="90269372-0836-4d28-98b1-a2a7b0bb7886"/>
    <w:docVar w:name="WAFER_20151127094050" w:val="UsedStyles"/>
    <w:docVar w:name="WAFER_20151127094050_GUID" w:val="45f7a797-4b2b-49dc-8522-c91c0855c108"/>
    <w:docVar w:name="WAFER_20160630115403" w:val="RemoveTocBookmarks,RemoveUnusedBookmarks,RemoveLanguageTags,UsedStyles,ResetPageSize"/>
    <w:docVar w:name="WAFER_20160630115403_GUID" w:val="393ae0c7-f509-4ab6-90e8-e56bf58de595"/>
    <w:docVar w:name="WAFER_20190618102722" w:val="RemoveTocBookmarks,RemoveUnusedBookmarks,RemoveLanguageTags,ResetPageSize,RunningHeaders,UpdateStyles,UsedStyles"/>
    <w:docVar w:name="WAFER_20190618102722_GUID" w:val="646a756e-d8bb-4968-9fc0-5fb560a99519"/>
    <w:docVar w:name="WAFER_20190619150744" w:val="RemoveTocBookmarks,RemoveUnusedBookmarks,RemoveLanguageTags,ResetPageSize,RunningHeaders,UpdateStyles,UsedStyles"/>
    <w:docVar w:name="WAFER_20190619150744_GUID" w:val="b58f1481-e187-44a9-ab87-c2c251478291"/>
    <w:docVar w:name="WAFER_20191220085956" w:val="RemoveTocBookmarks,RemoveUnusedBookmarks,RemoveLanguageTags,ResetPageSize,RunningHeaders,UpdateStyles,UsedStyles"/>
    <w:docVar w:name="WAFER_20191220085956_GUID" w:val="294b151f-a438-4857-9f11-e24f984ca0e8"/>
    <w:docVar w:name="WAFER_2020021110130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1305_GUID" w:val="9832441a-3f58-4aa3-9f87-4a49cfe52bb4"/>
    <w:docVar w:name="WAFER_20200922141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1952_GUID" w:val="ff91bde9-c898-4f9d-8f13-c04e15e0f832"/>
    <w:docVar w:name="WAFER_202010220916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2091626_GUID" w:val="a3fe8a98-827c-474d-8645-aa5b6d4600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C8D4923-3FEF-434A-B4AB-25FE881B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85371">
      <w:bodyDiv w:val="1"/>
      <w:marLeft w:val="0"/>
      <w:marRight w:val="0"/>
      <w:marTop w:val="0"/>
      <w:marBottom w:val="0"/>
      <w:divBdr>
        <w:top w:val="none" w:sz="0" w:space="0" w:color="auto"/>
        <w:left w:val="none" w:sz="0" w:space="0" w:color="auto"/>
        <w:bottom w:val="none" w:sz="0" w:space="0" w:color="auto"/>
        <w:right w:val="none" w:sz="0" w:space="0" w:color="auto"/>
      </w:divBdr>
    </w:div>
    <w:div w:id="773749497">
      <w:bodyDiv w:val="1"/>
      <w:marLeft w:val="0"/>
      <w:marRight w:val="0"/>
      <w:marTop w:val="0"/>
      <w:marBottom w:val="0"/>
      <w:divBdr>
        <w:top w:val="none" w:sz="0" w:space="0" w:color="auto"/>
        <w:left w:val="none" w:sz="0" w:space="0" w:color="auto"/>
        <w:bottom w:val="none" w:sz="0" w:space="0" w:color="auto"/>
        <w:right w:val="none" w:sz="0" w:space="0" w:color="auto"/>
      </w:divBdr>
    </w:div>
    <w:div w:id="1291324987">
      <w:bodyDiv w:val="1"/>
      <w:marLeft w:val="0"/>
      <w:marRight w:val="0"/>
      <w:marTop w:val="0"/>
      <w:marBottom w:val="0"/>
      <w:divBdr>
        <w:top w:val="none" w:sz="0" w:space="0" w:color="auto"/>
        <w:left w:val="none" w:sz="0" w:space="0" w:color="auto"/>
        <w:bottom w:val="none" w:sz="0" w:space="0" w:color="auto"/>
        <w:right w:val="none" w:sz="0" w:space="0" w:color="auto"/>
      </w:divBdr>
    </w:div>
    <w:div w:id="1347900033">
      <w:bodyDiv w:val="1"/>
      <w:marLeft w:val="0"/>
      <w:marRight w:val="0"/>
      <w:marTop w:val="0"/>
      <w:marBottom w:val="0"/>
      <w:divBdr>
        <w:top w:val="none" w:sz="0" w:space="0" w:color="auto"/>
        <w:left w:val="none" w:sz="0" w:space="0" w:color="auto"/>
        <w:bottom w:val="none" w:sz="0" w:space="0" w:color="auto"/>
        <w:right w:val="none" w:sz="0" w:space="0" w:color="auto"/>
      </w:divBdr>
    </w:div>
    <w:div w:id="20029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D9B9F-69E6-4F5F-9C15-049421A7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8647</Words>
  <Characters>42030</Characters>
  <Application>Microsoft Office Word</Application>
  <DocSecurity>0</DocSecurity>
  <Lines>1616</Lines>
  <Paragraphs>938</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
  <LinksUpToDate>false</LinksUpToDate>
  <CharactersWithSpaces>49739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08-l0-00 - 08-m0-00</dc:title>
  <dc:subject/>
  <dc:creator/>
  <cp:keywords/>
  <dc:description/>
  <cp:lastModifiedBy>Master Repository Process</cp:lastModifiedBy>
  <cp:revision>2</cp:revision>
  <cp:lastPrinted>2014-10-02T03:16:00Z</cp:lastPrinted>
  <dcterms:created xsi:type="dcterms:W3CDTF">2021-09-12T07:21:00Z</dcterms:created>
  <dcterms:modified xsi:type="dcterms:W3CDTF">2021-09-12T07:21:00Z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DocumentType">
    <vt:lpwstr>Reg</vt:lpwstr>
  </property>
  <property fmtid="{D5CDD505-2E9C-101B-9397-08002B2CF9AE}" pid="4" name="OwlsUID">
    <vt:i4>4732</vt:i4>
  </property>
  <property fmtid="{D5CDD505-2E9C-101B-9397-08002B2CF9AE}" pid="5" name="ReprintNo">
    <vt:lpwstr>8</vt:lpwstr>
  </property>
  <property fmtid="{D5CDD505-2E9C-101B-9397-08002B2CF9AE}" pid="6" name="ReprintedAsAt">
    <vt:filetime>2014-09-18T16:00:00Z</vt:filetime>
  </property>
  <property fmtid="{D5CDD505-2E9C-101B-9397-08002B2CF9AE}" pid="7" name="CommencementDate">
    <vt:lpwstr>20201028</vt:lpwstr>
  </property>
  <property fmtid="{D5CDD505-2E9C-101B-9397-08002B2CF9AE}" pid="8" name="FromSuffix">
    <vt:lpwstr>08-l0-00</vt:lpwstr>
  </property>
  <property fmtid="{D5CDD505-2E9C-101B-9397-08002B2CF9AE}" pid="9" name="FromAsAtDate">
    <vt:lpwstr>29 Sep 2020</vt:lpwstr>
  </property>
  <property fmtid="{D5CDD505-2E9C-101B-9397-08002B2CF9AE}" pid="10" name="ToSuffix">
    <vt:lpwstr>08-m0-00</vt:lpwstr>
  </property>
  <property fmtid="{D5CDD505-2E9C-101B-9397-08002B2CF9AE}" pid="11" name="ToAsAtDate">
    <vt:lpwstr>28 Oct 2020</vt:lpwstr>
  </property>
</Properties>
</file>