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Oct 2020</w:t>
      </w:r>
      <w:r>
        <w:fldChar w:fldCharType="end"/>
      </w:r>
      <w:r>
        <w:t xml:space="preserve">, </w:t>
      </w:r>
      <w:r>
        <w:fldChar w:fldCharType="begin"/>
      </w:r>
      <w:r>
        <w:instrText xml:space="preserve"> DocProperty FromSuffix </w:instrText>
      </w:r>
      <w:r>
        <w:fldChar w:fldCharType="separate"/>
      </w:r>
      <w:r>
        <w:t>02-l0-00</w:t>
      </w:r>
      <w:r>
        <w:fldChar w:fldCharType="end"/>
      </w:r>
      <w:r>
        <w:t>] and [</w:t>
      </w:r>
      <w:r>
        <w:fldChar w:fldCharType="begin"/>
      </w:r>
      <w:r>
        <w:instrText xml:space="preserve"> DocProperty ToAsAtDate</w:instrText>
      </w:r>
      <w:r>
        <w:fldChar w:fldCharType="separate"/>
      </w:r>
      <w:r>
        <w:t>28 Oct 2020</w:t>
      </w:r>
      <w:r>
        <w:fldChar w:fldCharType="end"/>
      </w:r>
      <w:r>
        <w:t xml:space="preserve">, </w:t>
      </w:r>
      <w:r>
        <w:fldChar w:fldCharType="begin"/>
      </w:r>
      <w:r>
        <w:instrText xml:space="preserve"> DocProperty ToSuffix</w:instrText>
      </w:r>
      <w:r>
        <w:fldChar w:fldCharType="separate"/>
      </w:r>
      <w:r>
        <w:t>02-m0-00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 w:name="_Toc54596344"/>
      <w:bookmarkStart w:id="2" w:name="_Toc54596712"/>
      <w:bookmarkStart w:id="3" w:name="_Toc54599409"/>
      <w:bookmarkStart w:id="4" w:name="_Toc54599778"/>
      <w:bookmarkStart w:id="5" w:name="_Toc54607103"/>
      <w:bookmarkStart w:id="6" w:name="_Toc52959649"/>
      <w:bookmarkStart w:id="7" w:name="_Toc52961424"/>
      <w:bookmarkStart w:id="8" w:name="_Toc52973688"/>
      <w:bookmarkStart w:id="9" w:name="_Toc52975117"/>
      <w:r>
        <w:rPr>
          <w:rStyle w:val="CharPartNo"/>
        </w:rPr>
        <w:t>P</w:t>
      </w:r>
      <w:bookmarkStart w:id="10" w:name="_GoBack"/>
      <w:bookmarkEnd w:id="10"/>
      <w:r>
        <w:rPr>
          <w:rStyle w:val="CharPartNo"/>
        </w:rPr>
        <w:t>art 1</w:t>
      </w:r>
      <w:r>
        <w:t> — </w:t>
      </w:r>
      <w:r>
        <w:rPr>
          <w:rStyle w:val="CharPartText"/>
        </w:rPr>
        <w:t>Preliminary</w:t>
      </w:r>
      <w:bookmarkEnd w:id="1"/>
      <w:bookmarkEnd w:id="2"/>
      <w:bookmarkEnd w:id="3"/>
      <w:bookmarkEnd w:id="4"/>
      <w:bookmarkEnd w:id="5"/>
      <w:bookmarkEnd w:id="6"/>
      <w:bookmarkEnd w:id="7"/>
      <w:bookmarkEnd w:id="8"/>
      <w:bookmarkEnd w:id="9"/>
    </w:p>
    <w:p>
      <w:pPr>
        <w:pStyle w:val="Heading3"/>
      </w:pPr>
      <w:bookmarkStart w:id="11" w:name="_Toc54596345"/>
      <w:bookmarkStart w:id="12" w:name="_Toc54596713"/>
      <w:bookmarkStart w:id="13" w:name="_Toc54599410"/>
      <w:bookmarkStart w:id="14" w:name="_Toc54599779"/>
      <w:bookmarkStart w:id="15" w:name="_Toc54607104"/>
      <w:bookmarkStart w:id="16" w:name="_Toc52959650"/>
      <w:bookmarkStart w:id="17" w:name="_Toc52961425"/>
      <w:bookmarkStart w:id="18" w:name="_Toc52973689"/>
      <w:bookmarkStart w:id="19" w:name="_Toc52975118"/>
      <w:r>
        <w:rPr>
          <w:rStyle w:val="CharDivNo"/>
        </w:rPr>
        <w:t>Division 1</w:t>
      </w:r>
      <w:r>
        <w:t> — </w:t>
      </w:r>
      <w:r>
        <w:rPr>
          <w:rStyle w:val="CharDivText"/>
        </w:rPr>
        <w:t>Introductory</w:t>
      </w:r>
      <w:bookmarkEnd w:id="11"/>
      <w:bookmarkEnd w:id="12"/>
      <w:bookmarkEnd w:id="13"/>
      <w:bookmarkEnd w:id="14"/>
      <w:bookmarkEnd w:id="15"/>
      <w:bookmarkEnd w:id="16"/>
      <w:bookmarkEnd w:id="17"/>
      <w:bookmarkEnd w:id="18"/>
      <w:bookmarkEnd w:id="19"/>
    </w:p>
    <w:p>
      <w:pPr>
        <w:pStyle w:val="Heading5"/>
      </w:pPr>
      <w:bookmarkStart w:id="20" w:name="_Toc54607105"/>
      <w:bookmarkStart w:id="21" w:name="_Toc52975119"/>
      <w:r>
        <w:rPr>
          <w:rStyle w:val="CharSectno"/>
        </w:rPr>
        <w:t>1</w:t>
      </w:r>
      <w:r>
        <w:t>.</w:t>
      </w:r>
      <w:r>
        <w:tab/>
        <w:t>Citation</w:t>
      </w:r>
      <w:bookmarkEnd w:id="20"/>
      <w:bookmarkEnd w:id="21"/>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t>.</w:t>
      </w:r>
    </w:p>
    <w:p>
      <w:pPr>
        <w:pStyle w:val="Heading5"/>
        <w:rPr>
          <w:spacing w:val="-2"/>
        </w:rPr>
      </w:pPr>
      <w:bookmarkStart w:id="22" w:name="_Toc54607106"/>
      <w:bookmarkStart w:id="23" w:name="_Toc52975120"/>
      <w:r>
        <w:rPr>
          <w:rStyle w:val="CharSectno"/>
        </w:rPr>
        <w:t>2</w:t>
      </w:r>
      <w:r>
        <w:rPr>
          <w:spacing w:val="-2"/>
        </w:rPr>
        <w:t>.</w:t>
      </w:r>
      <w:r>
        <w:rPr>
          <w:spacing w:val="-2"/>
        </w:rPr>
        <w:tab/>
        <w:t>Commencement</w:t>
      </w:r>
      <w:bookmarkEnd w:id="22"/>
      <w:bookmarkEnd w:id="23"/>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24" w:name="_Toc54607107"/>
      <w:bookmarkStart w:id="25" w:name="_Toc52975121"/>
      <w:r>
        <w:rPr>
          <w:rStyle w:val="CharSectno"/>
        </w:rPr>
        <w:t>3</w:t>
      </w:r>
      <w:r>
        <w:t>.</w:t>
      </w:r>
      <w:r>
        <w:tab/>
        <w:t>Main objects</w:t>
      </w:r>
      <w:bookmarkEnd w:id="24"/>
      <w:bookmarkEnd w:id="25"/>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lastRenderedPageBreak/>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26" w:name="_Toc54596349"/>
      <w:bookmarkStart w:id="27" w:name="_Toc54596717"/>
      <w:bookmarkStart w:id="28" w:name="_Toc54599414"/>
      <w:bookmarkStart w:id="29" w:name="_Toc54599783"/>
      <w:bookmarkStart w:id="30" w:name="_Toc54607108"/>
      <w:bookmarkStart w:id="31" w:name="_Toc52959654"/>
      <w:bookmarkStart w:id="32" w:name="_Toc52961429"/>
      <w:bookmarkStart w:id="33" w:name="_Toc52973693"/>
      <w:bookmarkStart w:id="34" w:name="_Toc52975122"/>
      <w:r>
        <w:rPr>
          <w:rStyle w:val="CharDivNo"/>
        </w:rPr>
        <w:t>Division 2</w:t>
      </w:r>
      <w:r>
        <w:t> — </w:t>
      </w:r>
      <w:r>
        <w:rPr>
          <w:rStyle w:val="CharDivText"/>
        </w:rPr>
        <w:t>Interpretation</w:t>
      </w:r>
      <w:bookmarkEnd w:id="26"/>
      <w:bookmarkEnd w:id="27"/>
      <w:bookmarkEnd w:id="28"/>
      <w:bookmarkEnd w:id="29"/>
      <w:bookmarkEnd w:id="30"/>
      <w:bookmarkEnd w:id="31"/>
      <w:bookmarkEnd w:id="32"/>
      <w:bookmarkEnd w:id="33"/>
      <w:bookmarkEnd w:id="34"/>
    </w:p>
    <w:p>
      <w:pPr>
        <w:pStyle w:val="Heading5"/>
      </w:pPr>
      <w:bookmarkStart w:id="35" w:name="_Toc54607109"/>
      <w:bookmarkStart w:id="36" w:name="_Toc52975123"/>
      <w:r>
        <w:rPr>
          <w:rStyle w:val="CharSectno"/>
        </w:rPr>
        <w:t>4</w:t>
      </w:r>
      <w:r>
        <w:t>.</w:t>
      </w:r>
      <w:r>
        <w:tab/>
        <w:t>Terms used</w:t>
      </w:r>
      <w:bookmarkEnd w:id="35"/>
      <w:bookmarkEnd w:id="36"/>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published by the Inland Transport Committee of the Economic Commission for Europe;</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that shape or design,</w:t>
      </w:r>
    </w:p>
    <w:p>
      <w:pPr>
        <w:pStyle w:val="Defstart"/>
      </w:pPr>
      <w:r>
        <w:tab/>
        <w:t>and includes batteries, aerosols, gas</w:t>
      </w:r>
      <w:r>
        <w:noBreakHyphen/>
        <w:t>filled lighters, seat belt pre</w:t>
      </w:r>
      <w:r>
        <w:noBreakHyphen/>
        <w:t>tensioners and refrigerating machines;</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Transport and Infrastructure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2016 Edition, incorporating Amendment 38</w:t>
      </w:r>
      <w:r>
        <w:noBreakHyphen/>
        <w:t>16 (ISBN: 978</w:t>
      </w:r>
      <w:r>
        <w:noBreakHyphen/>
        <w:t>92</w:t>
      </w:r>
      <w:r>
        <w:noBreakHyphen/>
        <w:t>801</w:t>
      </w:r>
      <w:r>
        <w:noBreakHyphen/>
        <w:t>1636</w:t>
      </w:r>
      <w:r>
        <w:noBreakHyphen/>
        <w:t>6);</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keepNext/>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tab/>
      </w:r>
      <w:r>
        <w:rPr>
          <w:rStyle w:val="CharDefText"/>
        </w:rPr>
        <w:t>model subordinate instrument</w:t>
      </w:r>
      <w:r>
        <w:t xml:space="preserve"> means the </w:t>
      </w:r>
      <w:r>
        <w:rPr>
          <w:i/>
        </w:rPr>
        <w:t>Model Subordinate Instrument on the Transport of Dangerous Goods by Road or Rail</w:t>
      </w:r>
      <w:r>
        <w:t xml:space="preserve"> as agreed to from time to time by the Transport and Infrastructure Council and published on the website maintained by the Parliamentary Counsel’s Committee;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keepNex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keepNext w:val="0"/>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tab/>
      </w:r>
      <w:r>
        <w:rPr>
          <w:rStyle w:val="CharDefText"/>
        </w:rPr>
        <w:t>Subsidiary Hazard</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pPr>
      <w:r>
        <w:tab/>
      </w:r>
      <w:r>
        <w:rPr>
          <w:rStyle w:val="CharDefText"/>
        </w:rPr>
        <w:t>Transport and Infrastructure Council</w:t>
      </w:r>
      <w:r>
        <w:t xml:space="preserve"> means the Ministerial Council called the Transport and Infrastructure Council established with the authority of the Council of Australian Governments;</w:t>
      </w:r>
    </w:p>
    <w:p>
      <w:pPr>
        <w:pStyle w:val="Defstart"/>
      </w:pPr>
      <w:r>
        <w:tab/>
      </w:r>
      <w:r>
        <w:rPr>
          <w:rStyle w:val="CharDefText"/>
        </w:rPr>
        <w:t>transport documentation</w:t>
      </w:r>
      <w:r>
        <w:t xml:space="preserve"> means documentation that complies with the requirements of the ADG Code Chapter 11.1;</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keepNext/>
        <w:keepLines/>
      </w:pPr>
      <w:r>
        <w:rPr>
          <w:b/>
        </w:rPr>
        <w:tab/>
      </w:r>
      <w:r>
        <w:rPr>
          <w:rStyle w:val="CharDefText"/>
        </w:rPr>
        <w:t>UN approved</w:t>
      </w:r>
      <w:r>
        <w:t xml:space="preserve"> means approved in accordance with the </w:t>
      </w:r>
      <w:r>
        <w:rPr>
          <w:i/>
          <w:iCs/>
        </w:rPr>
        <w:t>Model Regulations for the Transport of Dangerous Goods</w:t>
      </w:r>
      <w:r>
        <w:t xml:space="preserve"> annexed to the </w:t>
      </w:r>
      <w:r>
        <w:rPr>
          <w:i/>
        </w:rPr>
        <w:t>Recommendations on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Gazette 30 Jun 2008 p. 3130; 22 Jun 2010 p. 2717</w:t>
      </w:r>
      <w:r>
        <w:rPr>
          <w:szCs w:val="24"/>
        </w:rPr>
        <w:noBreakHyphen/>
        <w:t>19; 19 Feb 2013 p. 989; 13 Jun 2014 p. 1929</w:t>
      </w:r>
      <w:r>
        <w:rPr>
          <w:szCs w:val="24"/>
        </w:rPr>
        <w:noBreakHyphen/>
        <w:t>31; 8 Jan 2015 p. 131; 17 Nov 2015 p. 4696; 5 Feb 2016 p. 360; 11 Jul 2017 p. 3820</w:t>
      </w:r>
      <w:r>
        <w:rPr>
          <w:szCs w:val="24"/>
        </w:rPr>
        <w:noBreakHyphen/>
        <w:t>1; 31 Aug 2018 p. 3043</w:t>
      </w:r>
      <w:r>
        <w:rPr>
          <w:szCs w:val="24"/>
        </w:rPr>
        <w:noBreakHyphen/>
        <w:t>4; SL 2020/193 r. 10(1) and (3).]</w:t>
      </w:r>
    </w:p>
    <w:p>
      <w:pPr>
        <w:pStyle w:val="Heading5"/>
      </w:pPr>
      <w:bookmarkStart w:id="37" w:name="_Toc54607110"/>
      <w:bookmarkStart w:id="38" w:name="_Toc52975124"/>
      <w:r>
        <w:rPr>
          <w:rStyle w:val="CharSectno"/>
        </w:rPr>
        <w:t>5</w:t>
      </w:r>
      <w:r>
        <w:t>.</w:t>
      </w:r>
      <w:r>
        <w:tab/>
        <w:t>Examples and notes in these regulations</w:t>
      </w:r>
      <w:bookmarkEnd w:id="37"/>
      <w:bookmarkEnd w:id="38"/>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39" w:name="_Toc54607111"/>
      <w:bookmarkStart w:id="40" w:name="_Toc52975125"/>
      <w:r>
        <w:rPr>
          <w:rStyle w:val="CharSectno"/>
        </w:rPr>
        <w:t>6</w:t>
      </w:r>
      <w:r>
        <w:t>.</w:t>
      </w:r>
      <w:r>
        <w:tab/>
        <w:t>References to determinations, exemptions, approvals and licences</w:t>
      </w:r>
      <w:bookmarkEnd w:id="39"/>
      <w:bookmarkEnd w:id="40"/>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41" w:name="_Toc54607112"/>
      <w:bookmarkStart w:id="42" w:name="_Toc52975126"/>
      <w:r>
        <w:rPr>
          <w:rStyle w:val="CharSectno"/>
        </w:rPr>
        <w:t>7</w:t>
      </w:r>
      <w:r>
        <w:t>.</w:t>
      </w:r>
      <w:r>
        <w:tab/>
        <w:t>References to variation of determinations, exemptions, approvals and licences</w:t>
      </w:r>
      <w:bookmarkEnd w:id="41"/>
      <w:bookmarkEnd w:id="42"/>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43" w:name="_Toc54607113"/>
      <w:bookmarkStart w:id="44" w:name="_Toc52975127"/>
      <w:r>
        <w:rPr>
          <w:rStyle w:val="CharSectno"/>
        </w:rPr>
        <w:t>8</w:t>
      </w:r>
      <w:r>
        <w:t>.</w:t>
      </w:r>
      <w:r>
        <w:tab/>
        <w:t>Inconsistency between these regulations and documents adopted</w:t>
      </w:r>
      <w:bookmarkEnd w:id="43"/>
      <w:bookmarkEnd w:id="44"/>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45" w:name="_Toc54607114"/>
      <w:bookmarkStart w:id="46" w:name="_Toc52975128"/>
      <w:r>
        <w:rPr>
          <w:rStyle w:val="CharSectno"/>
        </w:rPr>
        <w:t>9</w:t>
      </w:r>
      <w:r>
        <w:t>.</w:t>
      </w:r>
      <w:r>
        <w:tab/>
        <w:t>References in ADG Code</w:t>
      </w:r>
      <w:bookmarkEnd w:id="45"/>
      <w:bookmarkEnd w:id="46"/>
    </w:p>
    <w:p>
      <w:pPr>
        <w:pStyle w:val="Subsection"/>
        <w:keepNext/>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 xml:space="preserve">a reference in the ADG Code to a numbered Regulation is to be taken to be a reference to the provision in these regulations that corresponds to the provision of that number in the </w:t>
      </w:r>
      <w:r>
        <w:t>model subordinate instrument.</w:t>
      </w:r>
    </w:p>
    <w:p>
      <w:pPr>
        <w:pStyle w:val="Footnotesection"/>
        <w:rPr>
          <w:szCs w:val="24"/>
        </w:rPr>
      </w:pPr>
      <w:r>
        <w:rPr>
          <w:szCs w:val="24"/>
        </w:rPr>
        <w:tab/>
        <w:t>[Regulation 9 amended: Gazette 31 Aug 2018 p. 3044.]</w:t>
      </w:r>
    </w:p>
    <w:p>
      <w:pPr>
        <w:pStyle w:val="Heading3"/>
        <w:keepNext w:val="0"/>
        <w:pageBreakBefore/>
        <w:widowControl w:val="0"/>
        <w:spacing w:before="0"/>
      </w:pPr>
      <w:bookmarkStart w:id="47" w:name="_Toc54596356"/>
      <w:bookmarkStart w:id="48" w:name="_Toc54596724"/>
      <w:bookmarkStart w:id="49" w:name="_Toc54599421"/>
      <w:bookmarkStart w:id="50" w:name="_Toc54599790"/>
      <w:bookmarkStart w:id="51" w:name="_Toc54607115"/>
      <w:bookmarkStart w:id="52" w:name="_Toc52959661"/>
      <w:bookmarkStart w:id="53" w:name="_Toc52961436"/>
      <w:bookmarkStart w:id="54" w:name="_Toc52973700"/>
      <w:bookmarkStart w:id="55" w:name="_Toc52975129"/>
      <w:r>
        <w:rPr>
          <w:rStyle w:val="CharDivNo"/>
        </w:rPr>
        <w:t>Division 3</w:t>
      </w:r>
      <w:r>
        <w:t> — </w:t>
      </w:r>
      <w:r>
        <w:rPr>
          <w:rStyle w:val="CharDivText"/>
        </w:rPr>
        <w:t>Application</w:t>
      </w:r>
      <w:bookmarkEnd w:id="47"/>
      <w:bookmarkEnd w:id="48"/>
      <w:bookmarkEnd w:id="49"/>
      <w:bookmarkEnd w:id="50"/>
      <w:bookmarkEnd w:id="51"/>
      <w:bookmarkEnd w:id="52"/>
      <w:bookmarkEnd w:id="53"/>
      <w:bookmarkEnd w:id="54"/>
      <w:bookmarkEnd w:id="55"/>
    </w:p>
    <w:p>
      <w:pPr>
        <w:pStyle w:val="Heading5"/>
        <w:rPr>
          <w:color w:val="000000"/>
        </w:rPr>
      </w:pPr>
      <w:bookmarkStart w:id="56" w:name="_Toc54607116"/>
      <w:bookmarkStart w:id="57" w:name="_Toc52975130"/>
      <w:r>
        <w:rPr>
          <w:rStyle w:val="CharSectno"/>
          <w:color w:val="000000"/>
        </w:rPr>
        <w:t>10</w:t>
      </w:r>
      <w:r>
        <w:rPr>
          <w:color w:val="000000"/>
        </w:rPr>
        <w:t>.</w:t>
      </w:r>
      <w:r>
        <w:rPr>
          <w:color w:val="000000"/>
        </w:rPr>
        <w:tab/>
        <w:t>Application to transport by road and rail</w:t>
      </w:r>
      <w:bookmarkEnd w:id="56"/>
      <w:bookmarkEnd w:id="57"/>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58" w:name="_Toc54607117"/>
      <w:bookmarkStart w:id="59" w:name="_Toc52975131"/>
      <w:r>
        <w:rPr>
          <w:rStyle w:val="CharSectno"/>
        </w:rPr>
        <w:t>11</w:t>
      </w:r>
      <w:r>
        <w:t>.</w:t>
      </w:r>
      <w:r>
        <w:tab/>
        <w:t>Dangerous situations</w:t>
      </w:r>
      <w:bookmarkEnd w:id="58"/>
      <w:bookmarkEnd w:id="59"/>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60" w:name="_Toc54607118"/>
      <w:bookmarkStart w:id="61" w:name="_Toc52975132"/>
      <w:r>
        <w:rPr>
          <w:rStyle w:val="CharSectno"/>
          <w:color w:val="000000"/>
        </w:rPr>
        <w:t>12</w:t>
      </w:r>
      <w:r>
        <w:rPr>
          <w:color w:val="000000"/>
        </w:rPr>
        <w:t>.</w:t>
      </w:r>
      <w:r>
        <w:rPr>
          <w:color w:val="000000"/>
        </w:rPr>
        <w:tab/>
        <w:t>Exempt transport</w:t>
      </w:r>
      <w:bookmarkEnd w:id="60"/>
      <w:bookmarkEnd w:id="61"/>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keepLines w:val="0"/>
      </w:pPr>
      <w:r>
        <w:tab/>
        <w:t>(i)</w:t>
      </w:r>
      <w:r>
        <w:tab/>
        <w:t>any substance or article that, under the ADG Code, is within Division 1.4S; and</w:t>
      </w:r>
    </w:p>
    <w:p>
      <w:pPr>
        <w:pStyle w:val="Defsubpara"/>
        <w:keepNext/>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Gazette 22 Jun 2010 p. 2719; 13 Jun 2014 p. 1932.]</w:t>
      </w:r>
    </w:p>
    <w:p>
      <w:pPr>
        <w:pStyle w:val="Heading5"/>
      </w:pPr>
      <w:bookmarkStart w:id="62" w:name="_Toc54607119"/>
      <w:bookmarkStart w:id="63" w:name="_Toc52975133"/>
      <w:r>
        <w:rPr>
          <w:rStyle w:val="CharSectno"/>
        </w:rPr>
        <w:t>13</w:t>
      </w:r>
      <w:r>
        <w:t>.</w:t>
      </w:r>
      <w:r>
        <w:tab/>
        <w:t>Further</w:t>
      </w:r>
      <w:r>
        <w:rPr>
          <w:color w:val="000000"/>
        </w:rPr>
        <w:t xml:space="preserve"> exemptions</w:t>
      </w:r>
      <w:bookmarkEnd w:id="62"/>
      <w:bookmarkEnd w:id="63"/>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set out in the ADG Code section 1.1.1.2(3)(a);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Gazette 13 Jun 2014 p. 1932; 11 Jul 2017 p. 3821.]</w:t>
      </w:r>
    </w:p>
    <w:p>
      <w:pPr>
        <w:pStyle w:val="Heading5"/>
      </w:pPr>
      <w:bookmarkStart w:id="64" w:name="_Toc54607120"/>
      <w:bookmarkStart w:id="65" w:name="_Toc52975134"/>
      <w:r>
        <w:rPr>
          <w:rStyle w:val="CharSectno"/>
        </w:rPr>
        <w:t>13A</w:t>
      </w:r>
      <w:r>
        <w:t>.</w:t>
      </w:r>
      <w:r>
        <w:tab/>
        <w:t>Partial exemption for transport by complying MPU</w:t>
      </w:r>
      <w:bookmarkEnd w:id="64"/>
      <w:bookmarkEnd w:id="65"/>
    </w:p>
    <w:p>
      <w:pPr>
        <w:pStyle w:val="Subsection"/>
      </w:pPr>
      <w:r>
        <w:tab/>
        <w:t>(1)</w:t>
      </w:r>
      <w:r>
        <w:tab/>
        <w:t xml:space="preserve">In this regulation — </w:t>
      </w:r>
    </w:p>
    <w:p>
      <w:pPr>
        <w:pStyle w:val="Defstart"/>
      </w:pPr>
      <w:r>
        <w:tab/>
      </w:r>
      <w:r>
        <w:rPr>
          <w:rStyle w:val="CharDefText"/>
        </w:rPr>
        <w:t>complying MPU</w:t>
      </w:r>
      <w:r>
        <w:t xml:space="preserve"> means an MPU that complies with an approved code of practice (if any) in respect of the following matters — </w:t>
      </w:r>
    </w:p>
    <w:p>
      <w:pPr>
        <w:pStyle w:val="Defpara"/>
      </w:pPr>
      <w:r>
        <w:tab/>
        <w:t>(a)</w:t>
      </w:r>
      <w:r>
        <w:tab/>
        <w:t>packaging of dangerous goods carried by the MPU;</w:t>
      </w:r>
    </w:p>
    <w:p>
      <w:pPr>
        <w:pStyle w:val="Defpara"/>
      </w:pPr>
      <w:r>
        <w:tab/>
        <w:t>(b)</w:t>
      </w:r>
      <w:r>
        <w:tab/>
        <w:t>consignment procedures for dangerous goods carried by the MPU;</w:t>
      </w:r>
    </w:p>
    <w:p>
      <w:pPr>
        <w:pStyle w:val="Defpara"/>
      </w:pPr>
      <w:r>
        <w:tab/>
        <w:t>(c)</w:t>
      </w:r>
      <w:r>
        <w:tab/>
        <w:t>safety standards for vehicles and equipment;</w:t>
      </w:r>
    </w:p>
    <w:p>
      <w:pPr>
        <w:pStyle w:val="Defpara"/>
      </w:pPr>
      <w:r>
        <w:tab/>
        <w:t>(d)</w:t>
      </w:r>
      <w:r>
        <w:tab/>
        <w:t>stowage and constraint of dangerous goods carried by the MPU;</w:t>
      </w:r>
    </w:p>
    <w:p>
      <w:pPr>
        <w:pStyle w:val="Defpara"/>
      </w:pPr>
      <w:r>
        <w:tab/>
        <w:t>(e)</w:t>
      </w:r>
      <w:r>
        <w:tab/>
        <w:t>segregation of dangerous goods carried by the MPU;</w:t>
      </w:r>
    </w:p>
    <w:p>
      <w:pPr>
        <w:pStyle w:val="Defpara"/>
      </w:pPr>
      <w:r>
        <w:tab/>
        <w:t>(f)</w:t>
      </w:r>
      <w:r>
        <w:tab/>
        <w:t>bulk transfer of dangerous goods carried by the MPU;</w:t>
      </w:r>
    </w:p>
    <w:p>
      <w:pPr>
        <w:pStyle w:val="Defpara"/>
      </w:pPr>
      <w:r>
        <w:tab/>
        <w:t>(g)</w:t>
      </w:r>
      <w:r>
        <w:tab/>
        <w:t>documentation of dangerous goods carried by the MPU;</w:t>
      </w:r>
    </w:p>
    <w:p>
      <w:pPr>
        <w:pStyle w:val="Defpara"/>
      </w:pPr>
      <w:r>
        <w:tab/>
        <w:t>(h)</w:t>
      </w:r>
      <w:r>
        <w:tab/>
        <w:t>safety equipment carried by the MPU;</w:t>
      </w:r>
    </w:p>
    <w:p>
      <w:pPr>
        <w:pStyle w:val="Defpara"/>
      </w:pPr>
      <w:r>
        <w:tab/>
        <w:t>(i)</w:t>
      </w:r>
      <w:r>
        <w:tab/>
        <w:t>procedures during transport of dangerous goods by the MPU;</w:t>
      </w:r>
    </w:p>
    <w:p>
      <w:pPr>
        <w:pStyle w:val="Defstart"/>
      </w:pPr>
      <w:r>
        <w:tab/>
      </w:r>
      <w:r>
        <w:rPr>
          <w:rStyle w:val="CharDefText"/>
        </w:rPr>
        <w:t>mobile processing unit (MPU)</w:t>
      </w:r>
      <w:r>
        <w:t xml:space="preserve"> has the meaning given in the </w:t>
      </w:r>
      <w:r>
        <w:rPr>
          <w:i/>
        </w:rPr>
        <w:t>Dangerous Goods Safety (Explosives) Regulations 2007</w:t>
      </w:r>
      <w:r>
        <w:t xml:space="preserve"> regulation 3 but does not include a trailer that is towed by a mobile processing unit.</w:t>
      </w:r>
    </w:p>
    <w:p>
      <w:pPr>
        <w:pStyle w:val="Subsection"/>
      </w:pPr>
      <w:r>
        <w:tab/>
        <w:t>(2)</w:t>
      </w:r>
      <w:r>
        <w:tab/>
        <w:t>Parts 4, 5, 6, 8, 9, 10, 11, 12 and 13 and regulation 215 do not apply in respect of the transport by a person of the ingredients of an explosive if the transport is by means of a complying MPU.</w:t>
      </w:r>
    </w:p>
    <w:p>
      <w:pPr>
        <w:pStyle w:val="Footnotesection"/>
        <w:spacing w:before="100"/>
        <w:ind w:left="890" w:hanging="890"/>
        <w:rPr>
          <w:color w:val="000000"/>
        </w:rPr>
      </w:pPr>
      <w:r>
        <w:tab/>
        <w:t>[Regulation 13A inserted: Gazette 11 Jul 2017 p. 3822.]</w:t>
      </w:r>
    </w:p>
    <w:p>
      <w:pPr>
        <w:pStyle w:val="Heading5"/>
      </w:pPr>
      <w:bookmarkStart w:id="66" w:name="_Toc54607121"/>
      <w:bookmarkStart w:id="67" w:name="_Toc52975135"/>
      <w:r>
        <w:rPr>
          <w:rStyle w:val="CharSectno"/>
        </w:rPr>
        <w:t>13B</w:t>
      </w:r>
      <w:r>
        <w:t>.</w:t>
      </w:r>
      <w:r>
        <w:tab/>
        <w:t>Special provisions for tools of trade and dangerous goods for private use</w:t>
      </w:r>
      <w:bookmarkEnd w:id="66"/>
      <w:bookmarkEnd w:id="67"/>
    </w:p>
    <w:p>
      <w:pPr>
        <w:pStyle w:val="Subsection"/>
      </w:pPr>
      <w:r>
        <w:tab/>
        <w:t>(1)</w:t>
      </w:r>
      <w:r>
        <w:tab/>
        <w:t xml:space="preserve">This regulation applies to a load if — </w:t>
      </w:r>
    </w:p>
    <w:p>
      <w:pPr>
        <w:pStyle w:val="Indenta"/>
      </w:pPr>
      <w:r>
        <w:tab/>
        <w:t>(a)</w:t>
      </w:r>
      <w:r>
        <w:tab/>
        <w:t>for loads not including dangerous goods of UN Division 2.1 (other than aerosols), UN Division 2.3 or Packing Group 1 — the load includes an aggregate quantity of dangerous goods of less than 500; and</w:t>
      </w:r>
    </w:p>
    <w:p>
      <w:pPr>
        <w:pStyle w:val="Indenta"/>
      </w:pPr>
      <w:r>
        <w:tab/>
        <w:t>(b)</w:t>
      </w:r>
      <w:r>
        <w:tab/>
        <w:t xml:space="preserve">for loads including dangerous goods of UN Division 2.1 (other than aerosols), UN Division 2.3 or Packing Group 1 — </w:t>
      </w:r>
    </w:p>
    <w:p>
      <w:pPr>
        <w:pStyle w:val="Indenti"/>
      </w:pPr>
      <w:r>
        <w:tab/>
        <w:t>(i)</w:t>
      </w:r>
      <w:r>
        <w:tab/>
        <w:t>the load includes an aggregate quantity of dangerous goods of less than 250; and</w:t>
      </w:r>
    </w:p>
    <w:p>
      <w:pPr>
        <w:pStyle w:val="Indenti"/>
      </w:pPr>
      <w:r>
        <w:tab/>
        <w:t>(ii)</w:t>
      </w:r>
      <w:r>
        <w:tab/>
        <w:t>any dangerous goods of UN Division 2.3 or Packing Group 1 together constitute less than 100 of the aggregate quantity;</w:t>
      </w:r>
    </w:p>
    <w:p>
      <w:pPr>
        <w:pStyle w:val="Indenta"/>
      </w:pPr>
      <w:r>
        <w:tab/>
      </w:r>
      <w:r>
        <w:tab/>
        <w:t>and</w:t>
      </w:r>
    </w:p>
    <w:p>
      <w:pPr>
        <w:pStyle w:val="Indenta"/>
      </w:pPr>
      <w:r>
        <w:tab/>
        <w:t>(c)</w:t>
      </w:r>
      <w:r>
        <w:tab/>
        <w:t xml:space="preserve">the goods are not being transported in the course of a business of transporting goods but are being transported — </w:t>
      </w:r>
    </w:p>
    <w:p>
      <w:pPr>
        <w:pStyle w:val="Indenti"/>
      </w:pPr>
      <w:r>
        <w:tab/>
        <w:t>(i)</w:t>
      </w:r>
      <w:r>
        <w:tab/>
        <w:t>by a person who intends to use them; or</w:t>
      </w:r>
    </w:p>
    <w:p>
      <w:pPr>
        <w:pStyle w:val="Indenti"/>
      </w:pPr>
      <w:r>
        <w:tab/>
        <w:t>(ii)</w:t>
      </w:r>
      <w:r>
        <w:tab/>
        <w:t>so they can be used for a commercial purpose.</w:t>
      </w:r>
    </w:p>
    <w:p>
      <w:pPr>
        <w:pStyle w:val="Subsection"/>
      </w:pPr>
      <w:r>
        <w:tab/>
        <w:t>(2)</w:t>
      </w:r>
      <w:r>
        <w:tab/>
        <w:t>A person transporting a load to which this regulation applies is exempt from all the obligations imposed by these regulations other than those imposed by this regulation.</w:t>
      </w:r>
    </w:p>
    <w:p>
      <w:pPr>
        <w:pStyle w:val="Subsection"/>
      </w:pPr>
      <w:r>
        <w:tab/>
        <w:t>(3)</w:t>
      </w:r>
      <w:r>
        <w:tab/>
        <w:t xml:space="preserve">A person must not transport a load to which this regulation applies unless each package in the load — </w:t>
      </w:r>
    </w:p>
    <w:p>
      <w:pPr>
        <w:pStyle w:val="Indenta"/>
      </w:pPr>
      <w:r>
        <w:tab/>
        <w:t>(a)</w:t>
      </w:r>
      <w:r>
        <w:tab/>
        <w:t>complies with the packaging requirements appropriate to the quantity of dangerous goods, as specified in Part 4; and</w:t>
      </w:r>
    </w:p>
    <w:p>
      <w:pPr>
        <w:pStyle w:val="Indenta"/>
      </w:pPr>
      <w:r>
        <w:tab/>
        <w:t>(b)</w:t>
      </w:r>
      <w:r>
        <w:tab/>
        <w:t>is labelled and marked as specified in Part 5 Division 1; and</w:t>
      </w:r>
    </w:p>
    <w:p>
      <w:pPr>
        <w:pStyle w:val="Indenta"/>
      </w:pPr>
      <w:r>
        <w:tab/>
        <w:t>(c)</w:t>
      </w:r>
      <w:r>
        <w:tab/>
        <w:t xml:space="preserve">is loaded, secured, segregated, unloaded and otherwise transported in such a way as to ensure that — </w:t>
      </w:r>
    </w:p>
    <w:p>
      <w:pPr>
        <w:pStyle w:val="Indenti"/>
      </w:pPr>
      <w:r>
        <w:tab/>
        <w:t>(i)</w:t>
      </w:r>
      <w:r>
        <w:tab/>
        <w:t>its packaging remains fit for purpose; and</w:t>
      </w:r>
    </w:p>
    <w:p>
      <w:pPr>
        <w:pStyle w:val="Indenti"/>
      </w:pPr>
      <w:r>
        <w:tab/>
        <w:t>(ii)</w:t>
      </w:r>
      <w:r>
        <w:tab/>
        <w:t>the risks to any person, property or the environment are eliminated, or if it is not practicable to eliminate the risks, are minimised to the maximum extent that is practicable.</w:t>
      </w:r>
    </w:p>
    <w:p>
      <w:pPr>
        <w:pStyle w:val="Penstart"/>
      </w:pPr>
      <w:r>
        <w:tab/>
        <w:t>Penalty for this subregulation: a fine of $1 500.</w:t>
      </w:r>
    </w:p>
    <w:p>
      <w:pPr>
        <w:pStyle w:val="Subsection"/>
      </w:pPr>
      <w:r>
        <w:tab/>
        <w:t>(4)</w:t>
      </w:r>
      <w:r>
        <w:tab/>
        <w:t xml:space="preserve">If a load to which this regulation applies contains an aggregate quantity of dangerous goods of UN Class 3, 4, 5 or 6 of more than 250, a person must not transport the load — </w:t>
      </w:r>
    </w:p>
    <w:p>
      <w:pPr>
        <w:pStyle w:val="Indenta"/>
      </w:pPr>
      <w:r>
        <w:tab/>
        <w:t>(a)</w:t>
      </w:r>
      <w:r>
        <w:tab/>
        <w:t>in the passenger compartment of a vehicle; or</w:t>
      </w:r>
    </w:p>
    <w:p>
      <w:pPr>
        <w:pStyle w:val="Indenta"/>
      </w:pPr>
      <w:r>
        <w:tab/>
        <w:t>(b)</w:t>
      </w:r>
      <w:r>
        <w:tab/>
        <w:t>in an enclosed space that is not separated from the passenger compartment of a vehicle.</w:t>
      </w:r>
    </w:p>
    <w:p>
      <w:pPr>
        <w:pStyle w:val="Penstart"/>
      </w:pPr>
      <w:r>
        <w:tab/>
        <w:t>Penalty for this subregulation: a fine of $1 500.</w:t>
      </w:r>
    </w:p>
    <w:p>
      <w:pPr>
        <w:pStyle w:val="Subsection"/>
      </w:pPr>
      <w:r>
        <w:tab/>
        <w:t>(5)</w:t>
      </w:r>
      <w:r>
        <w:tab/>
        <w:t xml:space="preserve">If a load to which this regulation applies contains an aggregate quantity of dangerous goods of UN Division 2.1, UN Division 2.3 or Packing Group 1 of more than 25% of a placard load, a person must not transport the load — </w:t>
      </w:r>
    </w:p>
    <w:p>
      <w:pPr>
        <w:pStyle w:val="Indenta"/>
      </w:pPr>
      <w:r>
        <w:tab/>
        <w:t>(a)</w:t>
      </w:r>
      <w:r>
        <w:tab/>
        <w:t>in the passenger compartment of a vehicle; or</w:t>
      </w:r>
    </w:p>
    <w:p>
      <w:pPr>
        <w:pStyle w:val="Indenta"/>
      </w:pPr>
      <w:r>
        <w:tab/>
        <w:t>(b)</w:t>
      </w:r>
      <w:r>
        <w:tab/>
        <w:t xml:space="preserve">in any other enclosed space in a vehicle unless the space is sufficiently ventilated to prevent an accumulation of vapours or fumes that is likely to cause risk. </w:t>
      </w:r>
    </w:p>
    <w:p>
      <w:pPr>
        <w:pStyle w:val="Penstart"/>
      </w:pPr>
      <w:r>
        <w:tab/>
        <w:t>Penalty for this subregulation: a fine of $1 500.</w:t>
      </w:r>
    </w:p>
    <w:p>
      <w:pPr>
        <w:pStyle w:val="Footnotesection"/>
        <w:spacing w:before="100"/>
        <w:ind w:left="890" w:hanging="890"/>
        <w:rPr>
          <w:color w:val="000000"/>
        </w:rPr>
      </w:pPr>
      <w:r>
        <w:tab/>
        <w:t>[Regulation 13B inserted: Gazette 11 Jul 2017 p. 3822</w:t>
      </w:r>
      <w:r>
        <w:noBreakHyphen/>
        <w:t>4; amended: Gazette 31 Aug 2018 p. 3044.]</w:t>
      </w:r>
    </w:p>
    <w:p>
      <w:pPr>
        <w:pStyle w:val="Heading3"/>
      </w:pPr>
      <w:bookmarkStart w:id="68" w:name="_Toc54596363"/>
      <w:bookmarkStart w:id="69" w:name="_Toc54596731"/>
      <w:bookmarkStart w:id="70" w:name="_Toc54599428"/>
      <w:bookmarkStart w:id="71" w:name="_Toc54599797"/>
      <w:bookmarkStart w:id="72" w:name="_Toc54607122"/>
      <w:bookmarkStart w:id="73" w:name="_Toc52959668"/>
      <w:bookmarkStart w:id="74" w:name="_Toc52961443"/>
      <w:bookmarkStart w:id="75" w:name="_Toc52973707"/>
      <w:bookmarkStart w:id="76" w:name="_Toc52975136"/>
      <w:r>
        <w:rPr>
          <w:rStyle w:val="CharDivNo"/>
        </w:rPr>
        <w:t>Division 4</w:t>
      </w:r>
      <w:r>
        <w:t> — </w:t>
      </w:r>
      <w:r>
        <w:rPr>
          <w:rStyle w:val="CharDivText"/>
        </w:rPr>
        <w:t>Instruction and training</w:t>
      </w:r>
      <w:bookmarkEnd w:id="68"/>
      <w:bookmarkEnd w:id="69"/>
      <w:bookmarkEnd w:id="70"/>
      <w:bookmarkEnd w:id="71"/>
      <w:bookmarkEnd w:id="72"/>
      <w:bookmarkEnd w:id="73"/>
      <w:bookmarkEnd w:id="74"/>
      <w:bookmarkEnd w:id="75"/>
      <w:bookmarkEnd w:id="76"/>
    </w:p>
    <w:p>
      <w:pPr>
        <w:pStyle w:val="Heading5"/>
        <w:rPr>
          <w:color w:val="000000"/>
        </w:rPr>
      </w:pPr>
      <w:bookmarkStart w:id="77" w:name="_Toc54607123"/>
      <w:bookmarkStart w:id="78" w:name="_Toc52975137"/>
      <w:r>
        <w:rPr>
          <w:rStyle w:val="CharSectno"/>
          <w:color w:val="000000"/>
        </w:rPr>
        <w:t>14</w:t>
      </w:r>
      <w:r>
        <w:rPr>
          <w:color w:val="000000"/>
        </w:rPr>
        <w:t>.</w:t>
      </w:r>
      <w:r>
        <w:rPr>
          <w:color w:val="000000"/>
        </w:rPr>
        <w:tab/>
        <w:t>Instruction and training</w:t>
      </w:r>
      <w:bookmarkEnd w:id="77"/>
      <w:bookmarkEnd w:id="78"/>
    </w:p>
    <w:p>
      <w:pPr>
        <w:pStyle w:val="Subsection"/>
        <w:keepNext/>
        <w:keepLines/>
        <w:rPr>
          <w:color w:val="000000"/>
        </w:rPr>
      </w:pPr>
      <w:r>
        <w:rPr>
          <w:color w:val="000000"/>
        </w:rPr>
        <w:tab/>
        <w:t>(1)</w:t>
      </w:r>
      <w:r>
        <w:rPr>
          <w:color w:val="000000"/>
        </w:rPr>
        <w:tab/>
        <w:t xml:space="preserve">This regulation applies to any task involved in the transport of dangerous goods, including the following — </w:t>
      </w:r>
    </w:p>
    <w:p>
      <w:pPr>
        <w:pStyle w:val="Indenta"/>
        <w:keepNext/>
        <w:rPr>
          <w:color w:val="000000"/>
        </w:rPr>
      </w:pPr>
      <w:r>
        <w:rPr>
          <w:color w:val="000000"/>
        </w:rPr>
        <w:tab/>
        <w:t>(a)</w:t>
      </w:r>
      <w:r>
        <w:rPr>
          <w:color w:val="000000"/>
        </w:rPr>
        <w:tab/>
        <w:t>packing dangerous goods;</w:t>
      </w:r>
    </w:p>
    <w:p>
      <w:pPr>
        <w:pStyle w:val="Indenta"/>
        <w:keepNext/>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Gazette 13 Jun 2014 p. 1932.]</w:t>
      </w:r>
    </w:p>
    <w:p>
      <w:pPr>
        <w:pStyle w:val="Heading5"/>
        <w:rPr>
          <w:color w:val="000000"/>
        </w:rPr>
      </w:pPr>
      <w:bookmarkStart w:id="79" w:name="_Toc54607124"/>
      <w:bookmarkStart w:id="80" w:name="_Toc52975138"/>
      <w:r>
        <w:rPr>
          <w:rStyle w:val="CharSectno"/>
          <w:color w:val="000000"/>
        </w:rPr>
        <w:t>15</w:t>
      </w:r>
      <w:r>
        <w:rPr>
          <w:color w:val="000000"/>
        </w:rPr>
        <w:t>.</w:t>
      </w:r>
      <w:r>
        <w:rPr>
          <w:color w:val="000000"/>
        </w:rPr>
        <w:tab/>
        <w:t>Approvals — tests and training courses for drivers</w:t>
      </w:r>
      <w:bookmarkEnd w:id="79"/>
      <w:bookmarkEnd w:id="80"/>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81" w:name="_Toc54596366"/>
      <w:bookmarkStart w:id="82" w:name="_Toc54596734"/>
      <w:bookmarkStart w:id="83" w:name="_Toc54599431"/>
      <w:bookmarkStart w:id="84" w:name="_Toc54599800"/>
      <w:bookmarkStart w:id="85" w:name="_Toc54607125"/>
      <w:bookmarkStart w:id="86" w:name="_Toc52959671"/>
      <w:bookmarkStart w:id="87" w:name="_Toc52961446"/>
      <w:bookmarkStart w:id="88" w:name="_Toc52973710"/>
      <w:bookmarkStart w:id="89" w:name="_Toc52975139"/>
      <w:r>
        <w:rPr>
          <w:rStyle w:val="CharDivNo"/>
        </w:rPr>
        <w:t>Division 5</w:t>
      </w:r>
      <w:r>
        <w:t> — </w:t>
      </w:r>
      <w:r>
        <w:rPr>
          <w:rStyle w:val="CharDivText"/>
        </w:rPr>
        <w:t>Goods suspected of being dangerous goods</w:t>
      </w:r>
      <w:bookmarkEnd w:id="81"/>
      <w:bookmarkEnd w:id="82"/>
      <w:bookmarkEnd w:id="83"/>
      <w:bookmarkEnd w:id="84"/>
      <w:bookmarkEnd w:id="85"/>
      <w:bookmarkEnd w:id="86"/>
      <w:bookmarkEnd w:id="87"/>
      <w:bookmarkEnd w:id="88"/>
      <w:bookmarkEnd w:id="89"/>
    </w:p>
    <w:p>
      <w:pPr>
        <w:pStyle w:val="Heading5"/>
      </w:pPr>
      <w:bookmarkStart w:id="90" w:name="_Toc54607126"/>
      <w:bookmarkStart w:id="91" w:name="_Toc52975140"/>
      <w:r>
        <w:rPr>
          <w:rStyle w:val="CharSectno"/>
        </w:rPr>
        <w:t>16</w:t>
      </w:r>
      <w:r>
        <w:t>.</w:t>
      </w:r>
      <w:r>
        <w:tab/>
      </w:r>
      <w:r>
        <w:rPr>
          <w:color w:val="000000"/>
        </w:rPr>
        <w:t>Goods suspected of being dangerous goods</w:t>
      </w:r>
      <w:bookmarkEnd w:id="90"/>
      <w:bookmarkEnd w:id="91"/>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Gazette 22 Jun 2010 p. 2719.]</w:t>
      </w:r>
    </w:p>
    <w:p>
      <w:pPr>
        <w:pStyle w:val="Heading3"/>
      </w:pPr>
      <w:bookmarkStart w:id="92" w:name="_Toc54596368"/>
      <w:bookmarkStart w:id="93" w:name="_Toc54596736"/>
      <w:bookmarkStart w:id="94" w:name="_Toc54599433"/>
      <w:bookmarkStart w:id="95" w:name="_Toc54599802"/>
      <w:bookmarkStart w:id="96" w:name="_Toc54607127"/>
      <w:bookmarkStart w:id="97" w:name="_Toc52959673"/>
      <w:bookmarkStart w:id="98" w:name="_Toc52961448"/>
      <w:bookmarkStart w:id="99" w:name="_Toc52973712"/>
      <w:bookmarkStart w:id="100" w:name="_Toc52975141"/>
      <w:r>
        <w:rPr>
          <w:rStyle w:val="CharDivNo"/>
        </w:rPr>
        <w:t>Division 6</w:t>
      </w:r>
      <w:r>
        <w:t> — </w:t>
      </w:r>
      <w:r>
        <w:rPr>
          <w:rStyle w:val="CharDivText"/>
        </w:rPr>
        <w:t>Determinations</w:t>
      </w:r>
      <w:bookmarkEnd w:id="92"/>
      <w:bookmarkEnd w:id="93"/>
      <w:bookmarkEnd w:id="94"/>
      <w:bookmarkEnd w:id="95"/>
      <w:bookmarkEnd w:id="96"/>
      <w:bookmarkEnd w:id="97"/>
      <w:bookmarkEnd w:id="98"/>
      <w:bookmarkEnd w:id="99"/>
      <w:bookmarkEnd w:id="100"/>
    </w:p>
    <w:p>
      <w:pPr>
        <w:pStyle w:val="Heading5"/>
        <w:rPr>
          <w:color w:val="000000"/>
        </w:rPr>
      </w:pPr>
      <w:bookmarkStart w:id="101" w:name="_Toc54607128"/>
      <w:bookmarkStart w:id="102" w:name="_Toc52975142"/>
      <w:r>
        <w:rPr>
          <w:rStyle w:val="CharSectno"/>
          <w:color w:val="000000"/>
        </w:rPr>
        <w:t>17</w:t>
      </w:r>
      <w:r>
        <w:rPr>
          <w:color w:val="000000"/>
        </w:rPr>
        <w:t>.</w:t>
      </w:r>
      <w:r>
        <w:rPr>
          <w:color w:val="000000"/>
        </w:rPr>
        <w:tab/>
        <w:t>Determinations — dangerous goods</w:t>
      </w:r>
      <w:bookmarkEnd w:id="101"/>
      <w:bookmarkEnd w:id="102"/>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 xml:space="preserve">dangerous goods that have a particular </w:t>
      </w:r>
      <w:r>
        <w:t>Subsidiary Hazard</w:t>
      </w:r>
      <w:r>
        <w:rPr>
          <w:color w:val="000000"/>
        </w:rPr>
        <w:t>;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Footnotesection"/>
        <w:rPr>
          <w:szCs w:val="24"/>
        </w:rPr>
      </w:pPr>
      <w:r>
        <w:rPr>
          <w:szCs w:val="24"/>
        </w:rPr>
        <w:tab/>
        <w:t>[Regulation 17 amended: Gazette 31 Aug 2018 p. 3047.]</w:t>
      </w:r>
    </w:p>
    <w:p>
      <w:pPr>
        <w:pStyle w:val="Heading5"/>
        <w:keepNext w:val="0"/>
        <w:keepLines w:val="0"/>
        <w:rPr>
          <w:color w:val="000000"/>
        </w:rPr>
      </w:pPr>
      <w:bookmarkStart w:id="103" w:name="_Toc54607129"/>
      <w:bookmarkStart w:id="104" w:name="_Toc52975143"/>
      <w:r>
        <w:rPr>
          <w:rStyle w:val="CharSectno"/>
          <w:color w:val="000000"/>
        </w:rPr>
        <w:t>18</w:t>
      </w:r>
      <w:r>
        <w:rPr>
          <w:color w:val="000000"/>
        </w:rPr>
        <w:t>.</w:t>
      </w:r>
      <w:r>
        <w:rPr>
          <w:color w:val="000000"/>
        </w:rPr>
        <w:tab/>
        <w:t>Determinations — packaging</w:t>
      </w:r>
      <w:bookmarkEnd w:id="103"/>
      <w:bookmarkEnd w:id="104"/>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Gazette 13 Jun 2014 p. 1932.]</w:t>
      </w:r>
    </w:p>
    <w:p>
      <w:pPr>
        <w:pStyle w:val="Heading5"/>
      </w:pPr>
      <w:bookmarkStart w:id="105" w:name="_Toc54607130"/>
      <w:bookmarkStart w:id="106" w:name="_Toc52975144"/>
      <w:r>
        <w:rPr>
          <w:rStyle w:val="CharSectno"/>
        </w:rPr>
        <w:t>19</w:t>
      </w:r>
      <w:r>
        <w:t>.</w:t>
      </w:r>
      <w:r>
        <w:tab/>
        <w:t>Determinations — vehicles, routes, areas, times etc.</w:t>
      </w:r>
      <w:bookmarkEnd w:id="105"/>
      <w:bookmarkEnd w:id="106"/>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107" w:name="_Toc54607131"/>
      <w:bookmarkStart w:id="108" w:name="_Toc52975145"/>
      <w:r>
        <w:rPr>
          <w:rStyle w:val="CharSectno"/>
        </w:rPr>
        <w:t>20</w:t>
      </w:r>
      <w:r>
        <w:t>.</w:t>
      </w:r>
      <w:r>
        <w:tab/>
        <w:t>Determinations may be subject to conditions</w:t>
      </w:r>
      <w:bookmarkEnd w:id="107"/>
      <w:bookmarkEnd w:id="108"/>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109" w:name="_Toc54607132"/>
      <w:bookmarkStart w:id="110" w:name="_Toc52975146"/>
      <w:r>
        <w:rPr>
          <w:rStyle w:val="CharSectno"/>
          <w:color w:val="000000"/>
        </w:rPr>
        <w:t>21</w:t>
      </w:r>
      <w:r>
        <w:rPr>
          <w:color w:val="000000"/>
        </w:rPr>
        <w:t>.</w:t>
      </w:r>
      <w:r>
        <w:rPr>
          <w:color w:val="000000"/>
        </w:rPr>
        <w:tab/>
        <w:t>Effect of determinations on contrary obligations under these regulations</w:t>
      </w:r>
      <w:bookmarkEnd w:id="109"/>
      <w:bookmarkEnd w:id="110"/>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111" w:name="_Toc54607133"/>
      <w:bookmarkStart w:id="112" w:name="_Toc52975147"/>
      <w:r>
        <w:rPr>
          <w:rStyle w:val="CharSectno"/>
          <w:color w:val="000000"/>
        </w:rPr>
        <w:t>22</w:t>
      </w:r>
      <w:r>
        <w:rPr>
          <w:color w:val="000000"/>
        </w:rPr>
        <w:t>.</w:t>
      </w:r>
      <w:r>
        <w:rPr>
          <w:color w:val="000000"/>
        </w:rPr>
        <w:tab/>
        <w:t>Offence to do any thing prohibited by a determination</w:t>
      </w:r>
      <w:bookmarkEnd w:id="111"/>
      <w:bookmarkEnd w:id="112"/>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113" w:name="_Toc54607134"/>
      <w:bookmarkStart w:id="114" w:name="_Toc52975148"/>
      <w:r>
        <w:rPr>
          <w:rStyle w:val="CharSectno"/>
        </w:rPr>
        <w:t>23</w:t>
      </w:r>
      <w:r>
        <w:t>.</w:t>
      </w:r>
      <w:r>
        <w:tab/>
        <w:t>Register of determinations</w:t>
      </w:r>
      <w:bookmarkEnd w:id="113"/>
      <w:bookmarkEnd w:id="114"/>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115" w:name="_Toc54607135"/>
      <w:bookmarkStart w:id="116" w:name="_Toc52975149"/>
      <w:r>
        <w:rPr>
          <w:rStyle w:val="CharSectno"/>
        </w:rPr>
        <w:t>24</w:t>
      </w:r>
      <w:r>
        <w:t>.</w:t>
      </w:r>
      <w:r>
        <w:tab/>
        <w:t>Records of determinations</w:t>
      </w:r>
      <w:bookmarkEnd w:id="115"/>
      <w:bookmarkEnd w:id="116"/>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117" w:name="_Toc54596377"/>
      <w:bookmarkStart w:id="118" w:name="_Toc54596745"/>
      <w:bookmarkStart w:id="119" w:name="_Toc54599442"/>
      <w:bookmarkStart w:id="120" w:name="_Toc54599811"/>
      <w:bookmarkStart w:id="121" w:name="_Toc54607136"/>
      <w:bookmarkStart w:id="122" w:name="_Toc52959682"/>
      <w:bookmarkStart w:id="123" w:name="_Toc52961457"/>
      <w:bookmarkStart w:id="124" w:name="_Toc52973721"/>
      <w:bookmarkStart w:id="125" w:name="_Toc52975150"/>
      <w:r>
        <w:rPr>
          <w:rStyle w:val="CharDivNo"/>
        </w:rPr>
        <w:t>Division 7</w:t>
      </w:r>
      <w:r>
        <w:t> — </w:t>
      </w:r>
      <w:r>
        <w:rPr>
          <w:rStyle w:val="CharDivText"/>
        </w:rPr>
        <w:t>Registers of determinations, exemptions, approvals and licences</w:t>
      </w:r>
      <w:bookmarkEnd w:id="117"/>
      <w:bookmarkEnd w:id="118"/>
      <w:bookmarkEnd w:id="119"/>
      <w:bookmarkEnd w:id="120"/>
      <w:bookmarkEnd w:id="121"/>
      <w:bookmarkEnd w:id="122"/>
      <w:bookmarkEnd w:id="123"/>
      <w:bookmarkEnd w:id="124"/>
      <w:bookmarkEnd w:id="125"/>
    </w:p>
    <w:p>
      <w:pPr>
        <w:pStyle w:val="Heading5"/>
      </w:pPr>
      <w:bookmarkStart w:id="126" w:name="_Toc54607137"/>
      <w:bookmarkStart w:id="127" w:name="_Toc52975151"/>
      <w:r>
        <w:rPr>
          <w:rStyle w:val="CharSectno"/>
        </w:rPr>
        <w:t>25</w:t>
      </w:r>
      <w:r>
        <w:t>.</w:t>
      </w:r>
      <w:r>
        <w:tab/>
        <w:t>Term used: register</w:t>
      </w:r>
      <w:bookmarkEnd w:id="126"/>
      <w:bookmarkEnd w:id="127"/>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28" w:name="_Toc54607138"/>
      <w:bookmarkStart w:id="129" w:name="_Toc52975152"/>
      <w:r>
        <w:rPr>
          <w:rStyle w:val="CharSectno"/>
        </w:rPr>
        <w:t>26</w:t>
      </w:r>
      <w:r>
        <w:t>.</w:t>
      </w:r>
      <w:r>
        <w:tab/>
        <w:t>Registers may be kept on computer</w:t>
      </w:r>
      <w:bookmarkEnd w:id="128"/>
      <w:bookmarkEnd w:id="129"/>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30" w:name="_Toc54607139"/>
      <w:bookmarkStart w:id="131" w:name="_Toc52975153"/>
      <w:r>
        <w:rPr>
          <w:rStyle w:val="CharSectno"/>
        </w:rPr>
        <w:t>27</w:t>
      </w:r>
      <w:r>
        <w:t>.</w:t>
      </w:r>
      <w:r>
        <w:tab/>
        <w:t>Inspection of registers</w:t>
      </w:r>
      <w:bookmarkEnd w:id="130"/>
      <w:bookmarkEnd w:id="131"/>
    </w:p>
    <w:p>
      <w:pPr>
        <w:pStyle w:val="Subsection"/>
      </w:pPr>
      <w:r>
        <w:tab/>
        <w:t>(1)</w:t>
      </w:r>
      <w:r>
        <w:tab/>
        <w:t>The Chief Officer must ensure that each register is available for inspection by the corresponding authorities and the public.</w:t>
      </w:r>
    </w:p>
    <w:p>
      <w:pPr>
        <w:pStyle w:val="Subsection"/>
        <w:keepNext/>
        <w:keepLines/>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32" w:name="_Toc54596381"/>
      <w:bookmarkStart w:id="133" w:name="_Toc54596749"/>
      <w:bookmarkStart w:id="134" w:name="_Toc54599446"/>
      <w:bookmarkStart w:id="135" w:name="_Toc54599815"/>
      <w:bookmarkStart w:id="136" w:name="_Toc54607140"/>
      <w:bookmarkStart w:id="137" w:name="_Toc52959686"/>
      <w:bookmarkStart w:id="138" w:name="_Toc52961461"/>
      <w:bookmarkStart w:id="139" w:name="_Toc52973725"/>
      <w:bookmarkStart w:id="140" w:name="_Toc52975154"/>
      <w:r>
        <w:rPr>
          <w:rStyle w:val="CharPartNo"/>
        </w:rPr>
        <w:t>Part 2</w:t>
      </w:r>
      <w:r>
        <w:t> — </w:t>
      </w:r>
      <w:r>
        <w:rPr>
          <w:rStyle w:val="CharPartText"/>
        </w:rPr>
        <w:t>Key concepts</w:t>
      </w:r>
      <w:bookmarkEnd w:id="132"/>
      <w:bookmarkEnd w:id="133"/>
      <w:bookmarkEnd w:id="134"/>
      <w:bookmarkEnd w:id="135"/>
      <w:bookmarkEnd w:id="136"/>
      <w:bookmarkEnd w:id="137"/>
      <w:bookmarkEnd w:id="138"/>
      <w:bookmarkEnd w:id="139"/>
      <w:bookmarkEnd w:id="140"/>
    </w:p>
    <w:p>
      <w:pPr>
        <w:pStyle w:val="Heading3"/>
        <w:spacing w:before="200"/>
      </w:pPr>
      <w:bookmarkStart w:id="141" w:name="_Toc54596382"/>
      <w:bookmarkStart w:id="142" w:name="_Toc54596750"/>
      <w:bookmarkStart w:id="143" w:name="_Toc54599447"/>
      <w:bookmarkStart w:id="144" w:name="_Toc54599816"/>
      <w:bookmarkStart w:id="145" w:name="_Toc54607141"/>
      <w:bookmarkStart w:id="146" w:name="_Toc52959687"/>
      <w:bookmarkStart w:id="147" w:name="_Toc52961462"/>
      <w:bookmarkStart w:id="148" w:name="_Toc52973726"/>
      <w:bookmarkStart w:id="149" w:name="_Toc52975155"/>
      <w:r>
        <w:rPr>
          <w:rStyle w:val="CharDivNo"/>
        </w:rPr>
        <w:t>Division 1</w:t>
      </w:r>
      <w:r>
        <w:t> — </w:t>
      </w:r>
      <w:r>
        <w:rPr>
          <w:rStyle w:val="CharDivText"/>
        </w:rPr>
        <w:t>Kinds of goods</w:t>
      </w:r>
      <w:bookmarkEnd w:id="141"/>
      <w:bookmarkEnd w:id="142"/>
      <w:bookmarkEnd w:id="143"/>
      <w:bookmarkEnd w:id="144"/>
      <w:bookmarkEnd w:id="145"/>
      <w:bookmarkEnd w:id="146"/>
      <w:bookmarkEnd w:id="147"/>
      <w:bookmarkEnd w:id="148"/>
      <w:bookmarkEnd w:id="149"/>
    </w:p>
    <w:p>
      <w:pPr>
        <w:pStyle w:val="Heading5"/>
        <w:spacing w:before="180"/>
      </w:pPr>
      <w:bookmarkStart w:id="150" w:name="_Toc54607142"/>
      <w:bookmarkStart w:id="151" w:name="_Toc52975156"/>
      <w:r>
        <w:rPr>
          <w:rStyle w:val="CharSectno"/>
        </w:rPr>
        <w:t>28</w:t>
      </w:r>
      <w:r>
        <w:t>.</w:t>
      </w:r>
      <w:r>
        <w:tab/>
        <w:t>Term used: dangerous goods</w:t>
      </w:r>
      <w:bookmarkEnd w:id="150"/>
      <w:bookmarkEnd w:id="151"/>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Gazette 22 Jun 2010 p. 2720.]</w:t>
      </w:r>
    </w:p>
    <w:p>
      <w:pPr>
        <w:pStyle w:val="Heading5"/>
        <w:spacing w:before="240"/>
      </w:pPr>
      <w:bookmarkStart w:id="152" w:name="_Toc54607143"/>
      <w:bookmarkStart w:id="153" w:name="_Toc52975157"/>
      <w:r>
        <w:rPr>
          <w:rStyle w:val="CharSectno"/>
        </w:rPr>
        <w:t>29</w:t>
      </w:r>
      <w:r>
        <w:t>.</w:t>
      </w:r>
      <w:r>
        <w:tab/>
        <w:t>Terms used: UN Class, UN Division</w:t>
      </w:r>
      <w:bookmarkEnd w:id="152"/>
      <w:bookmarkEnd w:id="153"/>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154" w:name="_Toc54607144"/>
      <w:bookmarkStart w:id="155" w:name="_Toc52975158"/>
      <w:r>
        <w:rPr>
          <w:rStyle w:val="CharSectno"/>
        </w:rPr>
        <w:t>30</w:t>
      </w:r>
      <w:r>
        <w:t>.</w:t>
      </w:r>
      <w:r>
        <w:tab/>
        <w:t>Term used: Subsidiary Hazard</w:t>
      </w:r>
      <w:bookmarkEnd w:id="154"/>
      <w:bookmarkEnd w:id="155"/>
    </w:p>
    <w:p>
      <w:pPr>
        <w:pStyle w:val="Subsection"/>
      </w:pPr>
      <w:r>
        <w:tab/>
      </w:r>
      <w:r>
        <w:tab/>
        <w:t xml:space="preserve">For the purposes of these regulations, the </w:t>
      </w:r>
      <w:r>
        <w:rPr>
          <w:rStyle w:val="CharDefText"/>
        </w:rPr>
        <w:t>Subsidiary Hazard</w:t>
      </w:r>
      <w:r>
        <w:t>, if any, of particular dangerous goods is —</w:t>
      </w:r>
    </w:p>
    <w:p>
      <w:pPr>
        <w:pStyle w:val="Indenta"/>
      </w:pPr>
      <w:r>
        <w:tab/>
        <w:t>(a)</w:t>
      </w:r>
      <w:r>
        <w:tab/>
        <w:t>if a determination made under regulation 17(1)(c) that the goods have a particular Subsidiary Hazard is in effect — the Subsidiary Hazard specified in the determination; or</w:t>
      </w:r>
    </w:p>
    <w:p>
      <w:pPr>
        <w:pStyle w:val="Indenta"/>
      </w:pPr>
      <w:r>
        <w:tab/>
        <w:t>(b)</w:t>
      </w:r>
      <w:r>
        <w:tab/>
        <w:t>if no such determination is in effect — the Subsidiary Hazard determined for the goods in accordance with the ADG Code.</w:t>
      </w:r>
    </w:p>
    <w:p>
      <w:pPr>
        <w:pStyle w:val="PermNoteHeading"/>
      </w:pPr>
      <w:r>
        <w:tab/>
        <w:t>Note for this regulation:</w:t>
      </w:r>
    </w:p>
    <w:p>
      <w:pPr>
        <w:pStyle w:val="PermNoteText"/>
      </w:pPr>
      <w:r>
        <w:tab/>
      </w:r>
      <w:r>
        <w:tab/>
        <w:t>Dangerous goods that are able to be assigned to more than 1 UN Class or UN Division are assigned a Subsidiary Hazard.  The Subsidiary Hazard or Hazards are the other UN Class or Classes or UN Division or Divisions to which the goods also belong.  Under the ADG Code, if particular dangerous goods are listed in the Dangerous Goods List, their Subsidiary Hazard, if any, is that listed in column 4 of that list opposite the name and description of those goods, unless Chapter 3.3 of that Code provides for those goods to be assigned a different Subsidiary Hazard.</w:t>
      </w:r>
    </w:p>
    <w:p>
      <w:pPr>
        <w:pStyle w:val="Footnotesection"/>
        <w:rPr>
          <w:szCs w:val="24"/>
        </w:rPr>
      </w:pPr>
      <w:r>
        <w:rPr>
          <w:szCs w:val="24"/>
        </w:rPr>
        <w:tab/>
        <w:t>[Regulation 30 inserted: Gazette 31 Aug 2018 p. 3045.]</w:t>
      </w:r>
    </w:p>
    <w:p>
      <w:pPr>
        <w:pStyle w:val="Heading5"/>
      </w:pPr>
      <w:bookmarkStart w:id="156" w:name="_Toc54607145"/>
      <w:bookmarkStart w:id="157" w:name="_Toc52975159"/>
      <w:r>
        <w:rPr>
          <w:rStyle w:val="CharSectno"/>
          <w:color w:val="000000"/>
        </w:rPr>
        <w:t>31</w:t>
      </w:r>
      <w:r>
        <w:rPr>
          <w:color w:val="000000"/>
        </w:rPr>
        <w:t>.</w:t>
      </w:r>
      <w:r>
        <w:rPr>
          <w:color w:val="000000"/>
        </w:rPr>
        <w:tab/>
        <w:t>Term used: Packing Group</w:t>
      </w:r>
      <w:bookmarkEnd w:id="156"/>
      <w:bookmarkEnd w:id="157"/>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158" w:name="_Toc54607146"/>
      <w:bookmarkStart w:id="159" w:name="_Toc52975160"/>
      <w:r>
        <w:rPr>
          <w:rStyle w:val="CharSectno"/>
        </w:rPr>
        <w:t>32</w:t>
      </w:r>
      <w:r>
        <w:t>.</w:t>
      </w:r>
      <w:r>
        <w:tab/>
        <w:t>Term used: incompatible</w:t>
      </w:r>
      <w:bookmarkEnd w:id="158"/>
      <w:bookmarkEnd w:id="159"/>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60" w:name="_Toc54596388"/>
      <w:bookmarkStart w:id="161" w:name="_Toc54596756"/>
      <w:bookmarkStart w:id="162" w:name="_Toc54599453"/>
      <w:bookmarkStart w:id="163" w:name="_Toc54599822"/>
      <w:bookmarkStart w:id="164" w:name="_Toc54607147"/>
      <w:bookmarkStart w:id="165" w:name="_Toc52959693"/>
      <w:bookmarkStart w:id="166" w:name="_Toc52961468"/>
      <w:bookmarkStart w:id="167" w:name="_Toc52973732"/>
      <w:bookmarkStart w:id="168" w:name="_Toc52975161"/>
      <w:r>
        <w:rPr>
          <w:rStyle w:val="CharDivNo"/>
        </w:rPr>
        <w:t>Division 2</w:t>
      </w:r>
      <w:r>
        <w:t> — </w:t>
      </w:r>
      <w:r>
        <w:rPr>
          <w:rStyle w:val="CharDivText"/>
        </w:rPr>
        <w:t>Containers and loads</w:t>
      </w:r>
      <w:bookmarkEnd w:id="160"/>
      <w:bookmarkEnd w:id="161"/>
      <w:bookmarkEnd w:id="162"/>
      <w:bookmarkEnd w:id="163"/>
      <w:bookmarkEnd w:id="164"/>
      <w:bookmarkEnd w:id="165"/>
      <w:bookmarkEnd w:id="166"/>
      <w:bookmarkEnd w:id="167"/>
      <w:bookmarkEnd w:id="168"/>
    </w:p>
    <w:p>
      <w:pPr>
        <w:pStyle w:val="Heading5"/>
      </w:pPr>
      <w:bookmarkStart w:id="169" w:name="_Toc54607148"/>
      <w:bookmarkStart w:id="170" w:name="_Toc52975162"/>
      <w:r>
        <w:rPr>
          <w:rStyle w:val="CharSectno"/>
        </w:rPr>
        <w:t>33</w:t>
      </w:r>
      <w:r>
        <w:t>.</w:t>
      </w:r>
      <w:r>
        <w:tab/>
        <w:t>Term used: bulk container</w:t>
      </w:r>
      <w:bookmarkEnd w:id="169"/>
      <w:bookmarkEnd w:id="170"/>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71" w:name="_Toc54607149"/>
      <w:bookmarkStart w:id="172" w:name="_Toc52975163"/>
      <w:r>
        <w:rPr>
          <w:rStyle w:val="CharSectno"/>
        </w:rPr>
        <w:t>34</w:t>
      </w:r>
      <w:r>
        <w:t>.</w:t>
      </w:r>
      <w:r>
        <w:tab/>
        <w:t>Terms used: IBC, intermediate bulk container</w:t>
      </w:r>
      <w:bookmarkEnd w:id="171"/>
      <w:bookmarkEnd w:id="172"/>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Gazette 22 Jun 2010 p. 2720.]</w:t>
      </w:r>
    </w:p>
    <w:p>
      <w:pPr>
        <w:pStyle w:val="Heading5"/>
        <w:rPr>
          <w:color w:val="000000"/>
        </w:rPr>
      </w:pPr>
      <w:bookmarkStart w:id="173" w:name="_Toc54607150"/>
      <w:bookmarkStart w:id="174" w:name="_Toc52975164"/>
      <w:r>
        <w:rPr>
          <w:rStyle w:val="CharSectno"/>
          <w:color w:val="000000"/>
        </w:rPr>
        <w:t>35</w:t>
      </w:r>
      <w:r>
        <w:rPr>
          <w:color w:val="000000"/>
        </w:rPr>
        <w:t>.</w:t>
      </w:r>
      <w:r>
        <w:rPr>
          <w:color w:val="000000"/>
        </w:rPr>
        <w:tab/>
        <w:t>Terms used: MEGC, multiple</w:t>
      </w:r>
      <w:r>
        <w:rPr>
          <w:color w:val="000000"/>
        </w:rPr>
        <w:noBreakHyphen/>
        <w:t>element gas container</w:t>
      </w:r>
      <w:bookmarkEnd w:id="173"/>
      <w:bookmarkEnd w:id="174"/>
    </w:p>
    <w:p>
      <w:pPr>
        <w:pStyle w:val="Subsection"/>
        <w:keepNext/>
        <w:keepLines/>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Gazette 17 Nov 2015 p. 4696.]</w:t>
      </w:r>
    </w:p>
    <w:p>
      <w:pPr>
        <w:pStyle w:val="Heading5"/>
      </w:pPr>
      <w:bookmarkStart w:id="175" w:name="_Toc54607151"/>
      <w:bookmarkStart w:id="176" w:name="_Toc52975165"/>
      <w:r>
        <w:rPr>
          <w:rStyle w:val="CharSectno"/>
          <w:color w:val="000000"/>
        </w:rPr>
        <w:t>36</w:t>
      </w:r>
      <w:r>
        <w:rPr>
          <w:color w:val="000000"/>
        </w:rPr>
        <w:t>.</w:t>
      </w:r>
      <w:r>
        <w:rPr>
          <w:color w:val="000000"/>
        </w:rPr>
        <w:tab/>
        <w:t>Term used: tank</w:t>
      </w:r>
      <w:bookmarkEnd w:id="175"/>
      <w:bookmarkEnd w:id="176"/>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Gazette 13 Jun 2014 p. 1932.]</w:t>
      </w:r>
    </w:p>
    <w:p>
      <w:pPr>
        <w:pStyle w:val="Heading5"/>
      </w:pPr>
      <w:bookmarkStart w:id="177" w:name="_Toc54607152"/>
      <w:bookmarkStart w:id="178" w:name="_Toc52975166"/>
      <w:r>
        <w:rPr>
          <w:rStyle w:val="CharSectno"/>
        </w:rPr>
        <w:t>38</w:t>
      </w:r>
      <w:r>
        <w:t>.</w:t>
      </w:r>
      <w:r>
        <w:tab/>
        <w:t>Loads</w:t>
      </w:r>
      <w:bookmarkEnd w:id="177"/>
      <w:bookmarkEnd w:id="178"/>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Gazette 22 Jun 2010 p. 2720; amended: Gazette 13 Jun 2014 p. 1933.]</w:t>
      </w:r>
    </w:p>
    <w:p>
      <w:pPr>
        <w:pStyle w:val="Heading3"/>
      </w:pPr>
      <w:bookmarkStart w:id="179" w:name="_Toc54596394"/>
      <w:bookmarkStart w:id="180" w:name="_Toc54596762"/>
      <w:bookmarkStart w:id="181" w:name="_Toc54599459"/>
      <w:bookmarkStart w:id="182" w:name="_Toc54599828"/>
      <w:bookmarkStart w:id="183" w:name="_Toc54607153"/>
      <w:bookmarkStart w:id="184" w:name="_Toc52959699"/>
      <w:bookmarkStart w:id="185" w:name="_Toc52961474"/>
      <w:bookmarkStart w:id="186" w:name="_Toc52973738"/>
      <w:bookmarkStart w:id="187" w:name="_Toc52975167"/>
      <w:r>
        <w:rPr>
          <w:rStyle w:val="CharDivNo"/>
        </w:rPr>
        <w:t>Division 3</w:t>
      </w:r>
      <w:r>
        <w:t> — </w:t>
      </w:r>
      <w:r>
        <w:rPr>
          <w:rStyle w:val="CharDivText"/>
        </w:rPr>
        <w:t>Persons with special duties</w:t>
      </w:r>
      <w:bookmarkEnd w:id="179"/>
      <w:bookmarkEnd w:id="180"/>
      <w:bookmarkEnd w:id="181"/>
      <w:bookmarkEnd w:id="182"/>
      <w:bookmarkEnd w:id="183"/>
      <w:bookmarkEnd w:id="184"/>
      <w:bookmarkEnd w:id="185"/>
      <w:bookmarkEnd w:id="186"/>
      <w:bookmarkEnd w:id="187"/>
    </w:p>
    <w:p>
      <w:pPr>
        <w:pStyle w:val="Heading5"/>
      </w:pPr>
      <w:bookmarkStart w:id="188" w:name="_Toc54607154"/>
      <w:bookmarkStart w:id="189" w:name="_Toc52975168"/>
      <w:r>
        <w:rPr>
          <w:rStyle w:val="CharSectno"/>
        </w:rPr>
        <w:t>39</w:t>
      </w:r>
      <w:r>
        <w:t>.</w:t>
      </w:r>
      <w:r>
        <w:tab/>
        <w:t>Term used: owner</w:t>
      </w:r>
      <w:bookmarkEnd w:id="188"/>
      <w:bookmarkEnd w:id="189"/>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90" w:name="_Toc54607155"/>
      <w:bookmarkStart w:id="191" w:name="_Toc52975169"/>
      <w:r>
        <w:rPr>
          <w:rStyle w:val="CharSectno"/>
        </w:rPr>
        <w:t>40</w:t>
      </w:r>
      <w:r>
        <w:t>.</w:t>
      </w:r>
      <w:r>
        <w:tab/>
        <w:t>Terms used: consigns, consignor</w:t>
      </w:r>
      <w:bookmarkEnd w:id="190"/>
      <w:bookmarkEnd w:id="191"/>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Footnotesection"/>
        <w:rPr>
          <w:szCs w:val="24"/>
        </w:rPr>
      </w:pPr>
      <w:r>
        <w:rPr>
          <w:szCs w:val="24"/>
        </w:rPr>
        <w:tab/>
        <w:t>[Regulation 40 amended: Gazette 31 Aug 2018 p. 3047.]</w:t>
      </w:r>
    </w:p>
    <w:p>
      <w:pPr>
        <w:pStyle w:val="Heading5"/>
      </w:pPr>
      <w:bookmarkStart w:id="192" w:name="_Toc54607156"/>
      <w:bookmarkStart w:id="193" w:name="_Toc52975170"/>
      <w:r>
        <w:rPr>
          <w:rStyle w:val="CharSectno"/>
        </w:rPr>
        <w:t>41</w:t>
      </w:r>
      <w:r>
        <w:t>.</w:t>
      </w:r>
      <w:r>
        <w:tab/>
        <w:t>Terms used: packs, packer</w:t>
      </w:r>
      <w:bookmarkEnd w:id="192"/>
      <w:bookmarkEnd w:id="193"/>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94" w:name="_Toc54607157"/>
      <w:bookmarkStart w:id="195" w:name="_Toc52975171"/>
      <w:r>
        <w:rPr>
          <w:rStyle w:val="CharSectno"/>
        </w:rPr>
        <w:t>42</w:t>
      </w:r>
      <w:r>
        <w:t>.</w:t>
      </w:r>
      <w:r>
        <w:tab/>
        <w:t>Terms used: loads, loader</w:t>
      </w:r>
      <w:bookmarkEnd w:id="194"/>
      <w:bookmarkEnd w:id="195"/>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96" w:name="_Toc54607158"/>
      <w:bookmarkStart w:id="197" w:name="_Toc52975172"/>
      <w:r>
        <w:rPr>
          <w:rStyle w:val="CharSectno"/>
        </w:rPr>
        <w:t>43</w:t>
      </w:r>
      <w:r>
        <w:t>.</w:t>
      </w:r>
      <w:r>
        <w:tab/>
        <w:t>Term used: prime contractor</w:t>
      </w:r>
      <w:bookmarkEnd w:id="196"/>
      <w:bookmarkEnd w:id="197"/>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98" w:name="_Toc54607159"/>
      <w:bookmarkStart w:id="199" w:name="_Toc52975173"/>
      <w:r>
        <w:rPr>
          <w:rStyle w:val="CharSectno"/>
        </w:rPr>
        <w:t>44</w:t>
      </w:r>
      <w:r>
        <w:t>.</w:t>
      </w:r>
      <w:r>
        <w:tab/>
        <w:t>Term used: rail operator</w:t>
      </w:r>
      <w:bookmarkEnd w:id="198"/>
      <w:bookmarkEnd w:id="199"/>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200" w:name="_Toc54596401"/>
      <w:bookmarkStart w:id="201" w:name="_Toc54596769"/>
      <w:bookmarkStart w:id="202" w:name="_Toc54599466"/>
      <w:bookmarkStart w:id="203" w:name="_Toc54599835"/>
      <w:bookmarkStart w:id="204" w:name="_Toc54607160"/>
      <w:bookmarkStart w:id="205" w:name="_Toc52959706"/>
      <w:bookmarkStart w:id="206" w:name="_Toc52961481"/>
      <w:bookmarkStart w:id="207" w:name="_Toc52973745"/>
      <w:bookmarkStart w:id="208" w:name="_Toc52975174"/>
      <w:r>
        <w:rPr>
          <w:rStyle w:val="CharDivNo"/>
        </w:rPr>
        <w:t>Division 4</w:t>
      </w:r>
      <w:r>
        <w:t> — </w:t>
      </w:r>
      <w:r>
        <w:rPr>
          <w:rStyle w:val="CharDivText"/>
        </w:rPr>
        <w:t>Miscellaneous</w:t>
      </w:r>
      <w:bookmarkEnd w:id="200"/>
      <w:bookmarkEnd w:id="201"/>
      <w:bookmarkEnd w:id="202"/>
      <w:bookmarkEnd w:id="203"/>
      <w:bookmarkEnd w:id="204"/>
      <w:bookmarkEnd w:id="205"/>
      <w:bookmarkEnd w:id="206"/>
      <w:bookmarkEnd w:id="207"/>
      <w:bookmarkEnd w:id="208"/>
    </w:p>
    <w:p>
      <w:pPr>
        <w:pStyle w:val="Heading5"/>
        <w:rPr>
          <w:color w:val="000000"/>
        </w:rPr>
      </w:pPr>
      <w:bookmarkStart w:id="209" w:name="_Toc54607161"/>
      <w:bookmarkStart w:id="210" w:name="_Toc52975175"/>
      <w:r>
        <w:rPr>
          <w:rStyle w:val="CharSectno"/>
          <w:color w:val="000000"/>
        </w:rPr>
        <w:t>45</w:t>
      </w:r>
      <w:r>
        <w:rPr>
          <w:color w:val="000000"/>
        </w:rPr>
        <w:t>.</w:t>
      </w:r>
      <w:r>
        <w:rPr>
          <w:color w:val="000000"/>
        </w:rPr>
        <w:tab/>
        <w:t>Term used: packed in limited quantities</w:t>
      </w:r>
      <w:bookmarkEnd w:id="209"/>
      <w:bookmarkEnd w:id="210"/>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 xml:space="preserve">the quantity of dangerous goods in each inner packaging or in each article that contains the goods does not exceed the quantity specified, or referred to, in </w:t>
      </w:r>
      <w:r>
        <w:t>column 7a</w:t>
      </w:r>
      <w:r>
        <w:rPr>
          <w:color w:val="000000"/>
        </w:rPr>
        <w:t xml:space="preserve"> of the Dangerous Goods List for those goods.</w:t>
      </w:r>
    </w:p>
    <w:p>
      <w:pPr>
        <w:pStyle w:val="Footnotesection"/>
        <w:rPr>
          <w:szCs w:val="24"/>
        </w:rPr>
      </w:pPr>
      <w:r>
        <w:rPr>
          <w:szCs w:val="24"/>
        </w:rPr>
        <w:tab/>
        <w:t>[Regulation 45 amended: Gazette 31 Aug 2018 p. 3045.]</w:t>
      </w:r>
    </w:p>
    <w:p>
      <w:pPr>
        <w:pStyle w:val="Heading2"/>
        <w:rPr>
          <w:color w:val="000000"/>
        </w:rPr>
      </w:pPr>
      <w:bookmarkStart w:id="211" w:name="_Toc54596403"/>
      <w:bookmarkStart w:id="212" w:name="_Toc54596771"/>
      <w:bookmarkStart w:id="213" w:name="_Toc54599468"/>
      <w:bookmarkStart w:id="214" w:name="_Toc54599837"/>
      <w:bookmarkStart w:id="215" w:name="_Toc54607162"/>
      <w:bookmarkStart w:id="216" w:name="_Toc52959708"/>
      <w:bookmarkStart w:id="217" w:name="_Toc52961483"/>
      <w:bookmarkStart w:id="218" w:name="_Toc52973747"/>
      <w:bookmarkStart w:id="219" w:name="_Toc52975176"/>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211"/>
      <w:bookmarkEnd w:id="212"/>
      <w:bookmarkEnd w:id="213"/>
      <w:bookmarkEnd w:id="214"/>
      <w:bookmarkEnd w:id="215"/>
      <w:bookmarkEnd w:id="216"/>
      <w:bookmarkEnd w:id="217"/>
      <w:bookmarkEnd w:id="218"/>
      <w:bookmarkEnd w:id="219"/>
    </w:p>
    <w:p>
      <w:pPr>
        <w:pStyle w:val="Heading5"/>
      </w:pPr>
      <w:bookmarkStart w:id="220" w:name="_Toc54607163"/>
      <w:bookmarkStart w:id="221" w:name="_Toc52975177"/>
      <w:r>
        <w:rPr>
          <w:rStyle w:val="CharSectno"/>
          <w:color w:val="000000"/>
        </w:rPr>
        <w:t>46</w:t>
      </w:r>
      <w:r>
        <w:t>.</w:t>
      </w:r>
      <w:r>
        <w:tab/>
        <w:t>Application of this Part</w:t>
      </w:r>
      <w:bookmarkEnd w:id="220"/>
      <w:bookmarkEnd w:id="221"/>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Gazette 22 Jun 2010 p. 2721.]</w:t>
      </w:r>
    </w:p>
    <w:p>
      <w:pPr>
        <w:pStyle w:val="Heading5"/>
        <w:rPr>
          <w:color w:val="000000"/>
        </w:rPr>
      </w:pPr>
      <w:bookmarkStart w:id="222" w:name="_Toc54607164"/>
      <w:bookmarkStart w:id="223" w:name="_Toc52975178"/>
      <w:r>
        <w:rPr>
          <w:rStyle w:val="CharSectno"/>
          <w:color w:val="000000"/>
        </w:rPr>
        <w:t>47</w:t>
      </w:r>
      <w:r>
        <w:rPr>
          <w:color w:val="000000"/>
        </w:rPr>
        <w:t>.</w:t>
      </w:r>
      <w:r>
        <w:rPr>
          <w:color w:val="000000"/>
        </w:rPr>
        <w:tab/>
        <w:t>Duty on consignors</w:t>
      </w:r>
      <w:bookmarkEnd w:id="222"/>
      <w:bookmarkEnd w:id="223"/>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224" w:name="_Toc54607165"/>
      <w:bookmarkStart w:id="225" w:name="_Toc52975179"/>
      <w:r>
        <w:rPr>
          <w:rStyle w:val="CharSectno"/>
          <w:color w:val="000000"/>
        </w:rPr>
        <w:t>48A</w:t>
      </w:r>
      <w:r>
        <w:t>.</w:t>
      </w:r>
      <w:r>
        <w:tab/>
        <w:t>Duty on packers</w:t>
      </w:r>
      <w:bookmarkEnd w:id="224"/>
      <w:bookmarkEnd w:id="225"/>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Gazette 22 Jun 2010 p. 2721.]</w:t>
      </w:r>
    </w:p>
    <w:p>
      <w:pPr>
        <w:pStyle w:val="Heading5"/>
        <w:spacing w:before="180"/>
      </w:pPr>
      <w:bookmarkStart w:id="226" w:name="_Toc54607166"/>
      <w:bookmarkStart w:id="227" w:name="_Toc52975180"/>
      <w:r>
        <w:rPr>
          <w:rStyle w:val="CharSectno"/>
          <w:color w:val="000000"/>
        </w:rPr>
        <w:t>48B</w:t>
      </w:r>
      <w:r>
        <w:t>.</w:t>
      </w:r>
      <w:r>
        <w:tab/>
        <w:t>Duty on loaders</w:t>
      </w:r>
      <w:bookmarkEnd w:id="226"/>
      <w:bookmarkEnd w:id="227"/>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Gazette 22 Jun 2010 p. 2722.]</w:t>
      </w:r>
    </w:p>
    <w:p>
      <w:pPr>
        <w:pStyle w:val="Heading5"/>
        <w:spacing w:before="180"/>
        <w:rPr>
          <w:color w:val="000000"/>
        </w:rPr>
      </w:pPr>
      <w:bookmarkStart w:id="228" w:name="_Toc54607167"/>
      <w:bookmarkStart w:id="229" w:name="_Toc52975181"/>
      <w:r>
        <w:rPr>
          <w:rStyle w:val="CharSectno"/>
          <w:color w:val="000000"/>
        </w:rPr>
        <w:t>48</w:t>
      </w:r>
      <w:r>
        <w:rPr>
          <w:color w:val="000000"/>
        </w:rPr>
        <w:t>.</w:t>
      </w:r>
      <w:r>
        <w:rPr>
          <w:color w:val="000000"/>
        </w:rPr>
        <w:tab/>
        <w:t>Duty on prime contractors and rail operators</w:t>
      </w:r>
      <w:bookmarkEnd w:id="228"/>
      <w:bookmarkEnd w:id="229"/>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230" w:name="_Toc54607168"/>
      <w:bookmarkStart w:id="231" w:name="_Toc52975182"/>
      <w:r>
        <w:rPr>
          <w:rStyle w:val="CharSectno"/>
          <w:color w:val="000000"/>
        </w:rPr>
        <w:t>49</w:t>
      </w:r>
      <w:r>
        <w:rPr>
          <w:color w:val="000000"/>
        </w:rPr>
        <w:t>.</w:t>
      </w:r>
      <w:r>
        <w:rPr>
          <w:color w:val="000000"/>
        </w:rPr>
        <w:tab/>
        <w:t>Duty on drivers</w:t>
      </w:r>
      <w:bookmarkEnd w:id="230"/>
      <w:bookmarkEnd w:id="231"/>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232" w:name="_Toc54596410"/>
      <w:bookmarkStart w:id="233" w:name="_Toc54596778"/>
      <w:bookmarkStart w:id="234" w:name="_Toc54599475"/>
      <w:bookmarkStart w:id="235" w:name="_Toc54599844"/>
      <w:bookmarkStart w:id="236" w:name="_Toc54607169"/>
      <w:bookmarkStart w:id="237" w:name="_Toc52959715"/>
      <w:bookmarkStart w:id="238" w:name="_Toc52961490"/>
      <w:bookmarkStart w:id="239" w:name="_Toc52973754"/>
      <w:bookmarkStart w:id="240" w:name="_Toc52975183"/>
      <w:r>
        <w:rPr>
          <w:rStyle w:val="CharPartNo"/>
        </w:rPr>
        <w:t>Part 4</w:t>
      </w:r>
      <w:r>
        <w:t> — </w:t>
      </w:r>
      <w:r>
        <w:rPr>
          <w:rStyle w:val="CharPartText"/>
        </w:rPr>
        <w:t>Packaging</w:t>
      </w:r>
      <w:bookmarkEnd w:id="232"/>
      <w:bookmarkEnd w:id="233"/>
      <w:bookmarkEnd w:id="234"/>
      <w:bookmarkEnd w:id="235"/>
      <w:bookmarkEnd w:id="236"/>
      <w:bookmarkEnd w:id="237"/>
      <w:bookmarkEnd w:id="238"/>
      <w:bookmarkEnd w:id="239"/>
      <w:bookmarkEnd w:id="240"/>
    </w:p>
    <w:p>
      <w:pPr>
        <w:pStyle w:val="Heading3"/>
      </w:pPr>
      <w:bookmarkStart w:id="241" w:name="_Toc54596411"/>
      <w:bookmarkStart w:id="242" w:name="_Toc54596779"/>
      <w:bookmarkStart w:id="243" w:name="_Toc54599476"/>
      <w:bookmarkStart w:id="244" w:name="_Toc54599845"/>
      <w:bookmarkStart w:id="245" w:name="_Toc54607170"/>
      <w:bookmarkStart w:id="246" w:name="_Toc52959716"/>
      <w:bookmarkStart w:id="247" w:name="_Toc52961491"/>
      <w:bookmarkStart w:id="248" w:name="_Toc52973755"/>
      <w:bookmarkStart w:id="249" w:name="_Toc52975184"/>
      <w:r>
        <w:rPr>
          <w:rStyle w:val="CharDivNo"/>
        </w:rPr>
        <w:t>Division 1</w:t>
      </w:r>
      <w:r>
        <w:t> — </w:t>
      </w:r>
      <w:r>
        <w:rPr>
          <w:rStyle w:val="CharDivText"/>
        </w:rPr>
        <w:t>General</w:t>
      </w:r>
      <w:bookmarkEnd w:id="241"/>
      <w:bookmarkEnd w:id="242"/>
      <w:bookmarkEnd w:id="243"/>
      <w:bookmarkEnd w:id="244"/>
      <w:bookmarkEnd w:id="245"/>
      <w:bookmarkEnd w:id="246"/>
      <w:bookmarkEnd w:id="247"/>
      <w:bookmarkEnd w:id="248"/>
      <w:bookmarkEnd w:id="249"/>
    </w:p>
    <w:p>
      <w:pPr>
        <w:pStyle w:val="Heading5"/>
      </w:pPr>
      <w:bookmarkStart w:id="250" w:name="_Toc54607171"/>
      <w:bookmarkStart w:id="251" w:name="_Toc52975185"/>
      <w:r>
        <w:rPr>
          <w:rStyle w:val="CharSectno"/>
        </w:rPr>
        <w:t>50</w:t>
      </w:r>
      <w:r>
        <w:t>.</w:t>
      </w:r>
      <w:r>
        <w:tab/>
      </w:r>
      <w:r>
        <w:rPr>
          <w:color w:val="000000"/>
        </w:rPr>
        <w:t>Application of Part</w:t>
      </w:r>
      <w:bookmarkEnd w:id="250"/>
      <w:bookmarkEnd w:id="251"/>
    </w:p>
    <w:p>
      <w:pPr>
        <w:pStyle w:val="Subsection"/>
      </w:pPr>
      <w:r>
        <w:tab/>
      </w:r>
      <w:r>
        <w:tab/>
        <w:t>This Part does not apply to dangerous goods that are —</w:t>
      </w:r>
    </w:p>
    <w:p>
      <w:pPr>
        <w:pStyle w:val="Indenta"/>
      </w:pPr>
      <w:r>
        <w:tab/>
        <w:t>(a)</w:t>
      </w:r>
      <w:r>
        <w:tab/>
        <w:t xml:space="preserve">packed in limited quantities; </w:t>
      </w:r>
      <w:r>
        <w:rPr>
          <w:color w:val="000000"/>
        </w:rPr>
        <w:t>or</w:t>
      </w:r>
    </w:p>
    <w:p>
      <w:pPr>
        <w:pStyle w:val="Indenta"/>
      </w:pPr>
      <w:r>
        <w:tab/>
        <w:t>(b)</w:t>
      </w:r>
      <w:r>
        <w:tab/>
        <w:t>packed in excepted quantities within the meaning of regulation 106(6).</w:t>
      </w:r>
    </w:p>
    <w:p>
      <w:pPr>
        <w:pStyle w:val="Footnotesection"/>
      </w:pPr>
      <w:r>
        <w:tab/>
        <w:t>[Regulation 50 inserted: SL 2020/193 r. 11)</w:t>
      </w:r>
    </w:p>
    <w:p>
      <w:pPr>
        <w:pStyle w:val="Ednotesection"/>
      </w:pPr>
      <w:r>
        <w:rPr>
          <w:rStyle w:val="CharSchNo"/>
          <w:color w:val="000000"/>
        </w:rPr>
        <w:t xml:space="preserve"> </w:t>
      </w:r>
      <w:r>
        <w:t>[</w:t>
      </w:r>
      <w:r>
        <w:rPr>
          <w:b/>
          <w:bCs/>
        </w:rPr>
        <w:t>51.</w:t>
      </w:r>
      <w:r>
        <w:tab/>
        <w:t>Deleted: Gazette 22 Jun 2010 p. 2722.]</w:t>
      </w:r>
    </w:p>
    <w:p>
      <w:pPr>
        <w:pStyle w:val="Heading5"/>
        <w:rPr>
          <w:color w:val="000000"/>
        </w:rPr>
      </w:pPr>
      <w:bookmarkStart w:id="252" w:name="_Toc54607172"/>
      <w:bookmarkStart w:id="253" w:name="_Toc52975186"/>
      <w:r>
        <w:rPr>
          <w:rStyle w:val="CharSectno"/>
          <w:color w:val="000000"/>
        </w:rPr>
        <w:t>52</w:t>
      </w:r>
      <w:r>
        <w:rPr>
          <w:color w:val="000000"/>
        </w:rPr>
        <w:t>.</w:t>
      </w:r>
      <w:r>
        <w:rPr>
          <w:color w:val="000000"/>
        </w:rPr>
        <w:tab/>
        <w:t>References to ADG Code Part 4 include Dangerous Goods List requirements</w:t>
      </w:r>
      <w:bookmarkEnd w:id="252"/>
      <w:bookmarkEnd w:id="253"/>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254" w:name="_Toc54596414"/>
      <w:bookmarkStart w:id="255" w:name="_Toc54596782"/>
      <w:bookmarkStart w:id="256" w:name="_Toc54599479"/>
      <w:bookmarkStart w:id="257" w:name="_Toc54599848"/>
      <w:bookmarkStart w:id="258" w:name="_Toc54607173"/>
      <w:bookmarkStart w:id="259" w:name="_Toc52959719"/>
      <w:bookmarkStart w:id="260" w:name="_Toc52961494"/>
      <w:bookmarkStart w:id="261" w:name="_Toc52973758"/>
      <w:bookmarkStart w:id="262" w:name="_Toc52975187"/>
      <w:r>
        <w:rPr>
          <w:rStyle w:val="CharDivNo"/>
          <w:color w:val="000000"/>
        </w:rPr>
        <w:t>Division 2</w:t>
      </w:r>
      <w:r>
        <w:rPr>
          <w:color w:val="000000"/>
        </w:rPr>
        <w:t> — </w:t>
      </w:r>
      <w:r>
        <w:rPr>
          <w:rStyle w:val="CharDivText"/>
          <w:color w:val="000000"/>
        </w:rPr>
        <w:t>Suitability and design of packaging</w:t>
      </w:r>
      <w:bookmarkEnd w:id="254"/>
      <w:bookmarkEnd w:id="255"/>
      <w:bookmarkEnd w:id="256"/>
      <w:bookmarkEnd w:id="257"/>
      <w:bookmarkEnd w:id="258"/>
      <w:bookmarkEnd w:id="259"/>
      <w:bookmarkEnd w:id="260"/>
      <w:bookmarkEnd w:id="261"/>
      <w:bookmarkEnd w:id="262"/>
    </w:p>
    <w:p>
      <w:pPr>
        <w:pStyle w:val="Heading5"/>
        <w:rPr>
          <w:color w:val="000000"/>
        </w:rPr>
      </w:pPr>
      <w:bookmarkStart w:id="263" w:name="_Toc54607174"/>
      <w:bookmarkStart w:id="264" w:name="_Toc52975188"/>
      <w:r>
        <w:rPr>
          <w:rStyle w:val="CharSectno"/>
          <w:color w:val="000000"/>
        </w:rPr>
        <w:t>53</w:t>
      </w:r>
      <w:r>
        <w:rPr>
          <w:color w:val="000000"/>
        </w:rPr>
        <w:t>.</w:t>
      </w:r>
      <w:r>
        <w:rPr>
          <w:color w:val="000000"/>
        </w:rPr>
        <w:tab/>
        <w:t>Suitability of packaging for transport</w:t>
      </w:r>
      <w:bookmarkEnd w:id="263"/>
      <w:bookmarkEnd w:id="264"/>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 or</w:t>
      </w:r>
    </w:p>
    <w:p>
      <w:pPr>
        <w:pStyle w:val="Indenta"/>
      </w:pPr>
      <w:r>
        <w:tab/>
        <w:t>(g)</w:t>
      </w:r>
      <w:r>
        <w:tab/>
        <w:t>for goods purported to be packed in limited quantities — the packaging of the goods does not comply with the ADG Code Chapter 3.4; or</w:t>
      </w:r>
    </w:p>
    <w:p>
      <w:pPr>
        <w:pStyle w:val="Indenta"/>
      </w:pPr>
      <w:r>
        <w:tab/>
        <w:t>(h)</w:t>
      </w:r>
      <w:r>
        <w:tab/>
        <w:t>for goods purported to be packed in excepted quantities within the meaning of regulation 106(6) — the packaging of the goods does not comply with the ADG Code Chapter 3.5.</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Gazette 22 Jun 2010 p. 2722</w:t>
      </w:r>
      <w:r>
        <w:noBreakHyphen/>
        <w:t>3; SL 2020/193 r. 12.]</w:t>
      </w:r>
    </w:p>
    <w:p>
      <w:pPr>
        <w:pStyle w:val="Heading5"/>
      </w:pPr>
      <w:bookmarkStart w:id="265" w:name="_Toc54607175"/>
      <w:bookmarkStart w:id="266" w:name="_Toc52975189"/>
      <w:r>
        <w:rPr>
          <w:rStyle w:val="CharSectno"/>
        </w:rPr>
        <w:t>54</w:t>
      </w:r>
      <w:r>
        <w:t>.</w:t>
      </w:r>
      <w:r>
        <w:tab/>
        <w:t>Marking packaging</w:t>
      </w:r>
      <w:bookmarkEnd w:id="265"/>
      <w:bookmarkEnd w:id="266"/>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267" w:name="_Toc54607176"/>
      <w:bookmarkStart w:id="268" w:name="_Toc52975190"/>
      <w:r>
        <w:rPr>
          <w:rStyle w:val="CharSectno"/>
        </w:rPr>
        <w:t>55</w:t>
      </w:r>
      <w:r>
        <w:t>.</w:t>
      </w:r>
      <w:r>
        <w:tab/>
        <w:t>Applications for approval of packaging designs</w:t>
      </w:r>
      <w:bookmarkEnd w:id="267"/>
      <w:bookmarkEnd w:id="268"/>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Gazette 3 Aug 2012 p. 3757.]</w:t>
      </w:r>
    </w:p>
    <w:p>
      <w:pPr>
        <w:pStyle w:val="Heading5"/>
        <w:spacing w:before="180"/>
      </w:pPr>
      <w:bookmarkStart w:id="269" w:name="_Toc54607177"/>
      <w:bookmarkStart w:id="270" w:name="_Toc52975191"/>
      <w:r>
        <w:rPr>
          <w:rStyle w:val="CharSectno"/>
        </w:rPr>
        <w:t>56</w:t>
      </w:r>
      <w:r>
        <w:t>.</w:t>
      </w:r>
      <w:r>
        <w:tab/>
        <w:t>Approvals — packaging designs</w:t>
      </w:r>
      <w:bookmarkEnd w:id="269"/>
      <w:bookmarkEnd w:id="270"/>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keepNext/>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Gazette 22 Jun 2010 p. 2723.]</w:t>
      </w:r>
    </w:p>
    <w:p>
      <w:pPr>
        <w:pStyle w:val="Heading5"/>
      </w:pPr>
      <w:bookmarkStart w:id="271" w:name="_Toc54607178"/>
      <w:bookmarkStart w:id="272" w:name="_Toc52975192"/>
      <w:r>
        <w:rPr>
          <w:rStyle w:val="CharSectno"/>
        </w:rPr>
        <w:t>57</w:t>
      </w:r>
      <w:r>
        <w:t>.</w:t>
      </w:r>
      <w:r>
        <w:tab/>
        <w:t>Term used: recognised testing facilities</w:t>
      </w:r>
      <w:bookmarkEnd w:id="271"/>
      <w:bookmarkEnd w:id="272"/>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273" w:name="_Toc54607179"/>
      <w:bookmarkStart w:id="274" w:name="_Toc52975193"/>
      <w:r>
        <w:rPr>
          <w:rStyle w:val="CharSectno"/>
        </w:rPr>
        <w:t>58</w:t>
      </w:r>
      <w:r>
        <w:t>.</w:t>
      </w:r>
      <w:r>
        <w:tab/>
        <w:t>Test certificates</w:t>
      </w:r>
      <w:bookmarkEnd w:id="273"/>
      <w:bookmarkEnd w:id="274"/>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275" w:name="_Toc54607180"/>
      <w:bookmarkStart w:id="276" w:name="_Toc52975194"/>
      <w:r>
        <w:rPr>
          <w:rStyle w:val="CharSectno"/>
        </w:rPr>
        <w:t>59</w:t>
      </w:r>
      <w:r>
        <w:t>.</w:t>
      </w:r>
      <w:r>
        <w:tab/>
        <w:t>Approvals — overpacks</w:t>
      </w:r>
      <w:bookmarkEnd w:id="275"/>
      <w:bookmarkEnd w:id="276"/>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277" w:name="_Toc54607181"/>
      <w:bookmarkStart w:id="278" w:name="_Toc52975195"/>
      <w:r>
        <w:rPr>
          <w:rStyle w:val="CharSectno"/>
        </w:rPr>
        <w:t>60</w:t>
      </w:r>
      <w:r>
        <w:t>.</w:t>
      </w:r>
      <w:r>
        <w:tab/>
        <w:t>Authorised bodies may give approvals</w:t>
      </w:r>
      <w:bookmarkEnd w:id="277"/>
      <w:bookmarkEnd w:id="278"/>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279" w:name="_Toc54596423"/>
      <w:bookmarkStart w:id="280" w:name="_Toc54596791"/>
      <w:bookmarkStart w:id="281" w:name="_Toc54599488"/>
      <w:bookmarkStart w:id="282" w:name="_Toc54599857"/>
      <w:bookmarkStart w:id="283" w:name="_Toc54607182"/>
      <w:bookmarkStart w:id="284" w:name="_Toc52959728"/>
      <w:bookmarkStart w:id="285" w:name="_Toc52961503"/>
      <w:bookmarkStart w:id="286" w:name="_Toc52973767"/>
      <w:bookmarkStart w:id="287" w:name="_Toc52975196"/>
      <w:r>
        <w:rPr>
          <w:rStyle w:val="CharDivNo"/>
        </w:rPr>
        <w:t>Division 3</w:t>
      </w:r>
      <w:r>
        <w:t> — </w:t>
      </w:r>
      <w:r>
        <w:rPr>
          <w:rStyle w:val="CharDivText"/>
        </w:rPr>
        <w:t>Prohibition on the sale or supply of non</w:t>
      </w:r>
      <w:r>
        <w:rPr>
          <w:rStyle w:val="CharDivText"/>
        </w:rPr>
        <w:noBreakHyphen/>
        <w:t>compliant packaging</w:t>
      </w:r>
      <w:bookmarkEnd w:id="279"/>
      <w:bookmarkEnd w:id="280"/>
      <w:bookmarkEnd w:id="281"/>
      <w:bookmarkEnd w:id="282"/>
      <w:bookmarkEnd w:id="283"/>
      <w:bookmarkEnd w:id="284"/>
      <w:bookmarkEnd w:id="285"/>
      <w:bookmarkEnd w:id="286"/>
      <w:bookmarkEnd w:id="287"/>
    </w:p>
    <w:p>
      <w:pPr>
        <w:pStyle w:val="Heading5"/>
        <w:spacing w:before="240"/>
        <w:rPr>
          <w:color w:val="000000"/>
        </w:rPr>
      </w:pPr>
      <w:bookmarkStart w:id="288" w:name="_Toc54607183"/>
      <w:bookmarkStart w:id="289" w:name="_Toc52975197"/>
      <w:r>
        <w:rPr>
          <w:rStyle w:val="CharSectno"/>
          <w:color w:val="000000"/>
        </w:rPr>
        <w:t>61</w:t>
      </w:r>
      <w:r>
        <w:rPr>
          <w:color w:val="000000"/>
        </w:rPr>
        <w:t>.</w:t>
      </w:r>
      <w:r>
        <w:rPr>
          <w:color w:val="000000"/>
        </w:rPr>
        <w:tab/>
        <w:t>Offence to sell or supply non</w:t>
      </w:r>
      <w:r>
        <w:rPr>
          <w:color w:val="000000"/>
        </w:rPr>
        <w:noBreakHyphen/>
        <w:t>compliant packaging</w:t>
      </w:r>
      <w:bookmarkEnd w:id="288"/>
      <w:bookmarkEnd w:id="289"/>
    </w:p>
    <w:p>
      <w:pPr>
        <w:pStyle w:val="Subsection"/>
        <w:spacing w:before="120"/>
        <w:rPr>
          <w:color w:val="000000"/>
        </w:rPr>
      </w:pPr>
      <w:r>
        <w:tab/>
        <w:t>(1)</w:t>
      </w:r>
      <w:r>
        <w:tab/>
      </w:r>
      <w:r>
        <w:rPr>
          <w:color w:val="000000"/>
        </w:rPr>
        <w:t xml:space="preserve">A person must not sell, supply or offer to sell or supply any packaging for use in the transport of dangerous goods if it does not comply with the requirements of the ADG Code Parts 4 and 6 or </w:t>
      </w:r>
      <w:r>
        <w:t>Chapter 3.4 or 3.5.</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Footnotesection"/>
      </w:pPr>
      <w:r>
        <w:tab/>
        <w:t>[Regulation 61 amended: SL 2020/193 r. 13.]</w:t>
      </w:r>
    </w:p>
    <w:p>
      <w:pPr>
        <w:pStyle w:val="Heading3"/>
      </w:pPr>
      <w:bookmarkStart w:id="290" w:name="_Toc54596425"/>
      <w:bookmarkStart w:id="291" w:name="_Toc54596793"/>
      <w:bookmarkStart w:id="292" w:name="_Toc54599490"/>
      <w:bookmarkStart w:id="293" w:name="_Toc54599859"/>
      <w:bookmarkStart w:id="294" w:name="_Toc54607184"/>
      <w:bookmarkStart w:id="295" w:name="_Toc52959730"/>
      <w:bookmarkStart w:id="296" w:name="_Toc52961505"/>
      <w:bookmarkStart w:id="297" w:name="_Toc52973769"/>
      <w:bookmarkStart w:id="298" w:name="_Toc52975198"/>
      <w:r>
        <w:rPr>
          <w:rStyle w:val="CharDivNo"/>
        </w:rPr>
        <w:t>Division 4</w:t>
      </w:r>
      <w:r>
        <w:t> — </w:t>
      </w:r>
      <w:r>
        <w:rPr>
          <w:rStyle w:val="CharDivText"/>
        </w:rPr>
        <w:t>Offences relating to general packaging</w:t>
      </w:r>
      <w:bookmarkEnd w:id="290"/>
      <w:bookmarkEnd w:id="291"/>
      <w:bookmarkEnd w:id="292"/>
      <w:bookmarkEnd w:id="293"/>
      <w:bookmarkEnd w:id="294"/>
      <w:bookmarkEnd w:id="295"/>
      <w:bookmarkEnd w:id="296"/>
      <w:bookmarkEnd w:id="297"/>
      <w:bookmarkEnd w:id="298"/>
    </w:p>
    <w:p>
      <w:pPr>
        <w:pStyle w:val="Footnoteheading"/>
      </w:pPr>
      <w:r>
        <w:tab/>
        <w:t>[Heading inserted: Gazette 22 Jun 2010 p. 2724.]</w:t>
      </w:r>
    </w:p>
    <w:p>
      <w:pPr>
        <w:pStyle w:val="Heading5"/>
        <w:spacing w:before="180"/>
      </w:pPr>
      <w:bookmarkStart w:id="299" w:name="_Toc54607185"/>
      <w:bookmarkStart w:id="300" w:name="_Toc52975199"/>
      <w:r>
        <w:rPr>
          <w:rStyle w:val="CharSectno"/>
        </w:rPr>
        <w:t>62</w:t>
      </w:r>
      <w:r>
        <w:t>.</w:t>
      </w:r>
      <w:r>
        <w:tab/>
        <w:t>Term used: general packaging</w:t>
      </w:r>
      <w:bookmarkEnd w:id="299"/>
      <w:bookmarkEnd w:id="300"/>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Gazette 22 Jun 2010 p. 2724.]</w:t>
      </w:r>
    </w:p>
    <w:p>
      <w:pPr>
        <w:pStyle w:val="Heading5"/>
        <w:spacing w:before="180"/>
      </w:pPr>
      <w:bookmarkStart w:id="301" w:name="_Toc54607186"/>
      <w:bookmarkStart w:id="302" w:name="_Toc52975200"/>
      <w:r>
        <w:rPr>
          <w:rStyle w:val="CharSectno"/>
        </w:rPr>
        <w:t>63</w:t>
      </w:r>
      <w:r>
        <w:t>.</w:t>
      </w:r>
      <w:r>
        <w:tab/>
        <w:t>Duty on consignors</w:t>
      </w:r>
      <w:bookmarkEnd w:id="301"/>
      <w:bookmarkEnd w:id="302"/>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Gazette 22 Jun 2010 p. 2724.]</w:t>
      </w:r>
    </w:p>
    <w:p>
      <w:pPr>
        <w:pStyle w:val="Heading5"/>
        <w:spacing w:before="180"/>
      </w:pPr>
      <w:bookmarkStart w:id="303" w:name="_Toc54607187"/>
      <w:bookmarkStart w:id="304" w:name="_Toc52975201"/>
      <w:r>
        <w:rPr>
          <w:rStyle w:val="CharSectno"/>
        </w:rPr>
        <w:t>64</w:t>
      </w:r>
      <w:r>
        <w:t>.</w:t>
      </w:r>
      <w:r>
        <w:tab/>
        <w:t>Duty on packers</w:t>
      </w:r>
      <w:bookmarkEnd w:id="303"/>
      <w:bookmarkEnd w:id="304"/>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Gazette 22 Jun 2010 p. 2724.]</w:t>
      </w:r>
    </w:p>
    <w:p>
      <w:pPr>
        <w:pStyle w:val="Heading5"/>
        <w:spacing w:before="240"/>
      </w:pPr>
      <w:bookmarkStart w:id="305" w:name="_Toc54607188"/>
      <w:bookmarkStart w:id="306" w:name="_Toc52975202"/>
      <w:r>
        <w:rPr>
          <w:rStyle w:val="CharSectno"/>
        </w:rPr>
        <w:t>65</w:t>
      </w:r>
      <w:r>
        <w:t>.</w:t>
      </w:r>
      <w:r>
        <w:tab/>
        <w:t>Duty on loaders</w:t>
      </w:r>
      <w:bookmarkEnd w:id="305"/>
      <w:bookmarkEnd w:id="306"/>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Gazette 22 Jun 2010 p. 2725.]</w:t>
      </w:r>
    </w:p>
    <w:p>
      <w:pPr>
        <w:pStyle w:val="Heading5"/>
        <w:spacing w:before="240"/>
      </w:pPr>
      <w:bookmarkStart w:id="307" w:name="_Toc54607189"/>
      <w:bookmarkStart w:id="308" w:name="_Toc52975203"/>
      <w:r>
        <w:rPr>
          <w:rStyle w:val="CharSectno"/>
        </w:rPr>
        <w:t>66</w:t>
      </w:r>
      <w:r>
        <w:t>.</w:t>
      </w:r>
      <w:r>
        <w:tab/>
        <w:t>Duty on prime contractors and rail operators</w:t>
      </w:r>
      <w:bookmarkEnd w:id="307"/>
      <w:bookmarkEnd w:id="308"/>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Gazette 22 Jun 2010 p. 2725.]</w:t>
      </w:r>
    </w:p>
    <w:p>
      <w:pPr>
        <w:pStyle w:val="Heading5"/>
        <w:spacing w:before="240"/>
      </w:pPr>
      <w:bookmarkStart w:id="309" w:name="_Toc54607190"/>
      <w:bookmarkStart w:id="310" w:name="_Toc52975204"/>
      <w:r>
        <w:rPr>
          <w:rStyle w:val="CharSectno"/>
        </w:rPr>
        <w:t>67</w:t>
      </w:r>
      <w:r>
        <w:t>.</w:t>
      </w:r>
      <w:r>
        <w:tab/>
        <w:t>Duty on drivers</w:t>
      </w:r>
      <w:bookmarkEnd w:id="309"/>
      <w:bookmarkEnd w:id="310"/>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Gazette 22 Jun 2010 p. 2725.]</w:t>
      </w:r>
    </w:p>
    <w:p>
      <w:pPr>
        <w:pStyle w:val="Heading3"/>
        <w:spacing w:before="220"/>
      </w:pPr>
      <w:bookmarkStart w:id="311" w:name="_Toc54596432"/>
      <w:bookmarkStart w:id="312" w:name="_Toc54596800"/>
      <w:bookmarkStart w:id="313" w:name="_Toc54599497"/>
      <w:bookmarkStart w:id="314" w:name="_Toc54599866"/>
      <w:bookmarkStart w:id="315" w:name="_Toc54607191"/>
      <w:bookmarkStart w:id="316" w:name="_Toc52959737"/>
      <w:bookmarkStart w:id="317" w:name="_Toc52961512"/>
      <w:bookmarkStart w:id="318" w:name="_Toc52973776"/>
      <w:bookmarkStart w:id="319" w:name="_Toc52975205"/>
      <w:r>
        <w:rPr>
          <w:rStyle w:val="CharDivNo"/>
        </w:rPr>
        <w:t>Division 5</w:t>
      </w:r>
      <w:r>
        <w:t> — </w:t>
      </w:r>
      <w:r>
        <w:rPr>
          <w:rStyle w:val="CharDivText"/>
        </w:rPr>
        <w:t>Offences relating to other packaging</w:t>
      </w:r>
      <w:bookmarkEnd w:id="311"/>
      <w:bookmarkEnd w:id="312"/>
      <w:bookmarkEnd w:id="313"/>
      <w:bookmarkEnd w:id="314"/>
      <w:bookmarkEnd w:id="315"/>
      <w:bookmarkEnd w:id="316"/>
      <w:bookmarkEnd w:id="317"/>
      <w:bookmarkEnd w:id="318"/>
      <w:bookmarkEnd w:id="319"/>
    </w:p>
    <w:p>
      <w:pPr>
        <w:pStyle w:val="Footnoteheading"/>
      </w:pPr>
      <w:r>
        <w:tab/>
        <w:t>[Heading inserted: Gazette 22 Jun 2010 p. 2725.]</w:t>
      </w:r>
    </w:p>
    <w:p>
      <w:pPr>
        <w:pStyle w:val="Heading5"/>
        <w:spacing w:before="180"/>
      </w:pPr>
      <w:bookmarkStart w:id="320" w:name="_Toc54607192"/>
      <w:bookmarkStart w:id="321" w:name="_Toc52975206"/>
      <w:r>
        <w:rPr>
          <w:rStyle w:val="CharSectno"/>
        </w:rPr>
        <w:t>68</w:t>
      </w:r>
      <w:r>
        <w:t>.</w:t>
      </w:r>
      <w:r>
        <w:tab/>
        <w:t>Term used: other packaging</w:t>
      </w:r>
      <w:bookmarkEnd w:id="320"/>
      <w:bookmarkEnd w:id="321"/>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Gazette 22 Jun 2010 p. 2725.]</w:t>
      </w:r>
    </w:p>
    <w:p>
      <w:pPr>
        <w:pStyle w:val="Heading5"/>
        <w:spacing w:before="180"/>
      </w:pPr>
      <w:bookmarkStart w:id="322" w:name="_Toc54607193"/>
      <w:bookmarkStart w:id="323" w:name="_Toc52975207"/>
      <w:r>
        <w:rPr>
          <w:rStyle w:val="CharSectno"/>
        </w:rPr>
        <w:t>69</w:t>
      </w:r>
      <w:r>
        <w:t>.</w:t>
      </w:r>
      <w:r>
        <w:tab/>
        <w:t>Duty on manufacturers of portable tanks, MEGCs or tank vehicles</w:t>
      </w:r>
      <w:bookmarkEnd w:id="322"/>
      <w:bookmarkEnd w:id="323"/>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Gazette 22 Jun 2010 p. 2726.]</w:t>
      </w:r>
    </w:p>
    <w:p>
      <w:pPr>
        <w:pStyle w:val="Heading5"/>
        <w:spacing w:before="180"/>
      </w:pPr>
      <w:bookmarkStart w:id="324" w:name="_Toc54607194"/>
      <w:bookmarkStart w:id="325" w:name="_Toc52975208"/>
      <w:r>
        <w:rPr>
          <w:rStyle w:val="CharSectno"/>
        </w:rPr>
        <w:t>70</w:t>
      </w:r>
      <w:r>
        <w:t>.</w:t>
      </w:r>
      <w:r>
        <w:tab/>
        <w:t>Duty on owners of demountable tanks, portable tanks and MEGCs</w:t>
      </w:r>
      <w:bookmarkEnd w:id="324"/>
      <w:bookmarkEnd w:id="325"/>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Gazette 22 Jun 2010 p. 2726.]</w:t>
      </w:r>
    </w:p>
    <w:p>
      <w:pPr>
        <w:pStyle w:val="Heading5"/>
      </w:pPr>
      <w:bookmarkStart w:id="326" w:name="_Toc54607195"/>
      <w:bookmarkStart w:id="327" w:name="_Toc52975209"/>
      <w:r>
        <w:rPr>
          <w:rStyle w:val="CharSectno"/>
        </w:rPr>
        <w:t>71</w:t>
      </w:r>
      <w:r>
        <w:t>.</w:t>
      </w:r>
      <w:r>
        <w:tab/>
        <w:t>Duty on consignors</w:t>
      </w:r>
      <w:bookmarkEnd w:id="326"/>
      <w:bookmarkEnd w:id="327"/>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Gazette 22 Jun 2010 p. 2726</w:t>
      </w:r>
      <w:r>
        <w:noBreakHyphen/>
        <w:t>7.]</w:t>
      </w:r>
    </w:p>
    <w:p>
      <w:pPr>
        <w:pStyle w:val="Heading5"/>
        <w:spacing w:before="180"/>
      </w:pPr>
      <w:bookmarkStart w:id="328" w:name="_Toc54607196"/>
      <w:bookmarkStart w:id="329" w:name="_Toc52975210"/>
      <w:r>
        <w:rPr>
          <w:rStyle w:val="CharSectno"/>
        </w:rPr>
        <w:t>72</w:t>
      </w:r>
      <w:r>
        <w:t>.</w:t>
      </w:r>
      <w:r>
        <w:tab/>
        <w:t>Duty on packers</w:t>
      </w:r>
      <w:bookmarkEnd w:id="328"/>
      <w:bookmarkEnd w:id="329"/>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Gazette 22 Jun 2010 p. 2727.]</w:t>
      </w:r>
    </w:p>
    <w:p>
      <w:pPr>
        <w:pStyle w:val="Heading5"/>
        <w:keepNext w:val="0"/>
        <w:keepLines w:val="0"/>
        <w:spacing w:before="180"/>
      </w:pPr>
      <w:bookmarkStart w:id="330" w:name="_Toc54607197"/>
      <w:bookmarkStart w:id="331" w:name="_Toc52975211"/>
      <w:r>
        <w:rPr>
          <w:rStyle w:val="CharSectno"/>
        </w:rPr>
        <w:t>73</w:t>
      </w:r>
      <w:r>
        <w:t>.</w:t>
      </w:r>
      <w:r>
        <w:tab/>
        <w:t>Duty on loaders</w:t>
      </w:r>
      <w:bookmarkEnd w:id="330"/>
      <w:bookmarkEnd w:id="331"/>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Gazette 22 Jun 2010 p. 2727.]</w:t>
      </w:r>
    </w:p>
    <w:p>
      <w:pPr>
        <w:pStyle w:val="Heading5"/>
      </w:pPr>
      <w:bookmarkStart w:id="332" w:name="_Toc54607198"/>
      <w:bookmarkStart w:id="333" w:name="_Toc52975212"/>
      <w:r>
        <w:rPr>
          <w:rStyle w:val="CharSectno"/>
        </w:rPr>
        <w:t>74</w:t>
      </w:r>
      <w:r>
        <w:t>.</w:t>
      </w:r>
      <w:r>
        <w:tab/>
        <w:t>Duty on prime contractors and rail operators</w:t>
      </w:r>
      <w:bookmarkEnd w:id="332"/>
      <w:bookmarkEnd w:id="333"/>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keepNext/>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Gazette 22 Jun 2010 p. 2728.]</w:t>
      </w:r>
    </w:p>
    <w:p>
      <w:pPr>
        <w:pStyle w:val="Heading5"/>
      </w:pPr>
      <w:bookmarkStart w:id="334" w:name="_Toc54607199"/>
      <w:bookmarkStart w:id="335" w:name="_Toc52975213"/>
      <w:r>
        <w:rPr>
          <w:rStyle w:val="CharSectno"/>
        </w:rPr>
        <w:t>75</w:t>
      </w:r>
      <w:r>
        <w:t>.</w:t>
      </w:r>
      <w:r>
        <w:tab/>
        <w:t>Duty on drivers</w:t>
      </w:r>
      <w:bookmarkEnd w:id="334"/>
      <w:bookmarkEnd w:id="335"/>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Gazette 22 Jun 2010 p. 2728.]</w:t>
      </w:r>
    </w:p>
    <w:p>
      <w:pPr>
        <w:pStyle w:val="Ednotesection"/>
        <w:spacing w:before="200"/>
      </w:pPr>
      <w:r>
        <w:t>[</w:t>
      </w:r>
      <w:r>
        <w:rPr>
          <w:b/>
          <w:bCs/>
        </w:rPr>
        <w:t>76</w:t>
      </w:r>
      <w:r>
        <w:rPr>
          <w:b/>
          <w:bCs/>
        </w:rPr>
        <w:noBreakHyphen/>
        <w:t>82.</w:t>
      </w:r>
      <w:r>
        <w:tab/>
        <w:t>Deleted: Gazette 22 Jun 2010 p. 2724.]</w:t>
      </w:r>
    </w:p>
    <w:p>
      <w:pPr>
        <w:pStyle w:val="Ednotedivision"/>
        <w:spacing w:before="200"/>
      </w:pPr>
      <w:r>
        <w:t>[Divisions 6</w:t>
      </w:r>
      <w:r>
        <w:noBreakHyphen/>
        <w:t>8 (r. 83</w:t>
      </w:r>
      <w:r>
        <w:noBreakHyphen/>
        <w:t>100) deleted: Gazette 22 Jun 2010 p. 2724.]</w:t>
      </w:r>
    </w:p>
    <w:p>
      <w:pPr>
        <w:pStyle w:val="Heading3"/>
        <w:spacing w:before="200"/>
      </w:pPr>
      <w:bookmarkStart w:id="336" w:name="_Toc54596441"/>
      <w:bookmarkStart w:id="337" w:name="_Toc54596809"/>
      <w:bookmarkStart w:id="338" w:name="_Toc54599506"/>
      <w:bookmarkStart w:id="339" w:name="_Toc54599875"/>
      <w:bookmarkStart w:id="340" w:name="_Toc54607200"/>
      <w:bookmarkStart w:id="341" w:name="_Toc52959746"/>
      <w:bookmarkStart w:id="342" w:name="_Toc52961521"/>
      <w:bookmarkStart w:id="343" w:name="_Toc52973785"/>
      <w:bookmarkStart w:id="344" w:name="_Toc52975214"/>
      <w:r>
        <w:rPr>
          <w:rStyle w:val="CharDivNo"/>
        </w:rPr>
        <w:t>Division 9</w:t>
      </w:r>
      <w:r>
        <w:t> — </w:t>
      </w:r>
      <w:r>
        <w:rPr>
          <w:rStyle w:val="CharDivText"/>
        </w:rPr>
        <w:t>Offences relating to overpacks</w:t>
      </w:r>
      <w:bookmarkEnd w:id="336"/>
      <w:bookmarkEnd w:id="337"/>
      <w:bookmarkEnd w:id="338"/>
      <w:bookmarkEnd w:id="339"/>
      <w:bookmarkEnd w:id="340"/>
      <w:bookmarkEnd w:id="341"/>
      <w:bookmarkEnd w:id="342"/>
      <w:bookmarkEnd w:id="343"/>
      <w:bookmarkEnd w:id="344"/>
    </w:p>
    <w:p>
      <w:pPr>
        <w:pStyle w:val="Heading5"/>
        <w:spacing w:before="180"/>
        <w:rPr>
          <w:color w:val="000000"/>
        </w:rPr>
      </w:pPr>
      <w:bookmarkStart w:id="345" w:name="_Toc54607201"/>
      <w:bookmarkStart w:id="346" w:name="_Toc52975215"/>
      <w:r>
        <w:rPr>
          <w:rStyle w:val="CharSectno"/>
        </w:rPr>
        <w:t>101</w:t>
      </w:r>
      <w:r>
        <w:t>.</w:t>
      </w:r>
      <w:r>
        <w:tab/>
        <w:t>Duty on consignors</w:t>
      </w:r>
      <w:bookmarkEnd w:id="345"/>
      <w:bookmarkEnd w:id="346"/>
    </w:p>
    <w:p>
      <w:pPr>
        <w:pStyle w:val="Subsection"/>
        <w:keepNext/>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347" w:name="_Toc54607202"/>
      <w:bookmarkStart w:id="348" w:name="_Toc52975216"/>
      <w:r>
        <w:rPr>
          <w:rStyle w:val="CharSectno"/>
        </w:rPr>
        <w:t>102</w:t>
      </w:r>
      <w:r>
        <w:t>.</w:t>
      </w:r>
      <w:r>
        <w:tab/>
        <w:t>Duty on packers</w:t>
      </w:r>
      <w:bookmarkEnd w:id="347"/>
      <w:bookmarkEnd w:id="348"/>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349" w:name="_Toc54607203"/>
      <w:bookmarkStart w:id="350" w:name="_Toc52975217"/>
      <w:r>
        <w:rPr>
          <w:rStyle w:val="CharSectno"/>
        </w:rPr>
        <w:t>103</w:t>
      </w:r>
      <w:r>
        <w:t>.</w:t>
      </w:r>
      <w:r>
        <w:tab/>
        <w:t>Duty on loaders</w:t>
      </w:r>
      <w:bookmarkEnd w:id="349"/>
      <w:bookmarkEnd w:id="350"/>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keepNext/>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351" w:name="_Toc54607204"/>
      <w:bookmarkStart w:id="352" w:name="_Toc52975218"/>
      <w:r>
        <w:rPr>
          <w:rStyle w:val="CharSectno"/>
        </w:rPr>
        <w:t>104</w:t>
      </w:r>
      <w:r>
        <w:t>.</w:t>
      </w:r>
      <w:r>
        <w:tab/>
        <w:t>Duty on prime contractors and rail operators</w:t>
      </w:r>
      <w:bookmarkEnd w:id="351"/>
      <w:bookmarkEnd w:id="352"/>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353" w:name="_Toc54607205"/>
      <w:bookmarkStart w:id="354" w:name="_Toc52975219"/>
      <w:r>
        <w:rPr>
          <w:rStyle w:val="CharSectno"/>
        </w:rPr>
        <w:t>105</w:t>
      </w:r>
      <w:r>
        <w:t>.</w:t>
      </w:r>
      <w:r>
        <w:tab/>
        <w:t>Duty on drivers</w:t>
      </w:r>
      <w:bookmarkEnd w:id="353"/>
      <w:bookmarkEnd w:id="354"/>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355" w:name="_Toc54596447"/>
      <w:bookmarkStart w:id="356" w:name="_Toc54596815"/>
      <w:bookmarkStart w:id="357" w:name="_Toc54599512"/>
      <w:bookmarkStart w:id="358" w:name="_Toc54599881"/>
      <w:bookmarkStart w:id="359" w:name="_Toc54607206"/>
      <w:bookmarkStart w:id="360" w:name="_Toc52959752"/>
      <w:bookmarkStart w:id="361" w:name="_Toc52961527"/>
      <w:bookmarkStart w:id="362" w:name="_Toc52973791"/>
      <w:bookmarkStart w:id="363" w:name="_Toc52975220"/>
      <w:r>
        <w:rPr>
          <w:rStyle w:val="CharPartNo"/>
        </w:rPr>
        <w:t>Part 5</w:t>
      </w:r>
      <w:r>
        <w:t> — </w:t>
      </w:r>
      <w:r>
        <w:rPr>
          <w:rStyle w:val="CharPartText"/>
        </w:rPr>
        <w:t>Consignment procedures</w:t>
      </w:r>
      <w:bookmarkEnd w:id="355"/>
      <w:bookmarkEnd w:id="356"/>
      <w:bookmarkEnd w:id="357"/>
      <w:bookmarkEnd w:id="358"/>
      <w:bookmarkEnd w:id="359"/>
      <w:bookmarkEnd w:id="360"/>
      <w:bookmarkEnd w:id="361"/>
      <w:bookmarkEnd w:id="362"/>
      <w:bookmarkEnd w:id="363"/>
    </w:p>
    <w:p>
      <w:pPr>
        <w:pStyle w:val="Heading3"/>
      </w:pPr>
      <w:bookmarkStart w:id="364" w:name="_Toc54596448"/>
      <w:bookmarkStart w:id="365" w:name="_Toc54596816"/>
      <w:bookmarkStart w:id="366" w:name="_Toc54599513"/>
      <w:bookmarkStart w:id="367" w:name="_Toc54599882"/>
      <w:bookmarkStart w:id="368" w:name="_Toc54607207"/>
      <w:bookmarkStart w:id="369" w:name="_Toc52959753"/>
      <w:bookmarkStart w:id="370" w:name="_Toc52961528"/>
      <w:bookmarkStart w:id="371" w:name="_Toc52973792"/>
      <w:bookmarkStart w:id="372" w:name="_Toc52975221"/>
      <w:r>
        <w:rPr>
          <w:rStyle w:val="CharDivNo"/>
        </w:rPr>
        <w:t>Division 1</w:t>
      </w:r>
      <w:r>
        <w:t> — </w:t>
      </w:r>
      <w:r>
        <w:rPr>
          <w:rStyle w:val="CharDivText"/>
        </w:rPr>
        <w:t>Marking and labelling</w:t>
      </w:r>
      <w:bookmarkEnd w:id="364"/>
      <w:bookmarkEnd w:id="365"/>
      <w:bookmarkEnd w:id="366"/>
      <w:bookmarkEnd w:id="367"/>
      <w:bookmarkEnd w:id="368"/>
      <w:bookmarkEnd w:id="369"/>
      <w:bookmarkEnd w:id="370"/>
      <w:bookmarkEnd w:id="371"/>
      <w:bookmarkEnd w:id="372"/>
    </w:p>
    <w:p>
      <w:pPr>
        <w:pStyle w:val="Heading5"/>
        <w:rPr>
          <w:color w:val="000000"/>
        </w:rPr>
      </w:pPr>
      <w:bookmarkStart w:id="373" w:name="_Toc54607208"/>
      <w:bookmarkStart w:id="374" w:name="_Toc52975222"/>
      <w:r>
        <w:rPr>
          <w:rStyle w:val="CharSectno"/>
          <w:color w:val="000000"/>
        </w:rPr>
        <w:t>106</w:t>
      </w:r>
      <w:r>
        <w:rPr>
          <w:color w:val="000000"/>
        </w:rPr>
        <w:t>.</w:t>
      </w:r>
      <w:r>
        <w:rPr>
          <w:color w:val="000000"/>
        </w:rPr>
        <w:tab/>
        <w:t>Term used: appropriately marked</w:t>
      </w:r>
      <w:bookmarkEnd w:id="373"/>
      <w:bookmarkEnd w:id="374"/>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pPr>
      <w:r>
        <w:tab/>
        <w:t>(5)</w:t>
      </w:r>
      <w:r>
        <w:tab/>
        <w:t xml:space="preserve">A package of dangerous goods packed in excepted quantities is also </w:t>
      </w:r>
      <w:r>
        <w:rPr>
          <w:rStyle w:val="CharDefText"/>
        </w:rPr>
        <w:t>appropriately marked</w:t>
      </w:r>
      <w:r>
        <w:t xml:space="preserve"> if it is marked and labelled in accordance with the ADG Code Chapter 3.5.</w:t>
      </w:r>
    </w:p>
    <w:p>
      <w:pPr>
        <w:pStyle w:val="Subsection"/>
      </w:pPr>
      <w:r>
        <w:tab/>
        <w:t>(6)</w:t>
      </w:r>
      <w:r>
        <w:tab/>
        <w:t>For the purposes of subregulation (5), dangerous goods are packed in excepted quantities if —</w:t>
      </w:r>
    </w:p>
    <w:p>
      <w:pPr>
        <w:pStyle w:val="Indenta"/>
      </w:pPr>
      <w:r>
        <w:tab/>
        <w:t>(a)</w:t>
      </w:r>
      <w:r>
        <w:tab/>
        <w:t>the goods are assigned to code E1, E2, E3, E4 or E5 in the Dangerous Goods List column 7b; and</w:t>
      </w:r>
    </w:p>
    <w:p>
      <w:pPr>
        <w:pStyle w:val="Indenta"/>
      </w:pPr>
      <w:r>
        <w:tab/>
        <w:t>(b)</w:t>
      </w:r>
      <w:r>
        <w:tab/>
        <w:t>the goods are packed in accordance with the ADG Code Chapter 3.5; and</w:t>
      </w:r>
    </w:p>
    <w:p>
      <w:pPr>
        <w:pStyle w:val="Indenta"/>
      </w:pPr>
      <w:r>
        <w:tab/>
        <w:t>(c)</w:t>
      </w:r>
      <w:r>
        <w:tab/>
        <w:t>the quantity of dangerous goods does not exceed the quantity specified in the ADG Code section 3.5.1.2.</w:t>
      </w:r>
    </w:p>
    <w:p>
      <w:pPr>
        <w:pStyle w:val="Footnotesection"/>
      </w:pPr>
      <w:r>
        <w:tab/>
        <w:t>[Regulation 106 amended: Gazette 22 Jun 2010 p. 2729; 13 Jun 2014 p. 1933; 11 Jul 2017 p. 3824; 31 Aug 2018 p. 3045.]</w:t>
      </w:r>
    </w:p>
    <w:p>
      <w:pPr>
        <w:pStyle w:val="Heading5"/>
      </w:pPr>
      <w:bookmarkStart w:id="375" w:name="_Toc54607209"/>
      <w:bookmarkStart w:id="376" w:name="_Toc52975223"/>
      <w:r>
        <w:rPr>
          <w:rStyle w:val="CharSectno"/>
        </w:rPr>
        <w:t>107</w:t>
      </w:r>
      <w:r>
        <w:t>.</w:t>
      </w:r>
      <w:r>
        <w:tab/>
        <w:t>Duty on consignors</w:t>
      </w:r>
      <w:bookmarkEnd w:id="375"/>
      <w:bookmarkEnd w:id="376"/>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Gazette 13 Jun 2014 p. 1933</w:t>
      </w:r>
      <w:r>
        <w:noBreakHyphen/>
        <w:t>4.]</w:t>
      </w:r>
    </w:p>
    <w:p>
      <w:pPr>
        <w:pStyle w:val="Heading5"/>
        <w:spacing w:before="180"/>
      </w:pPr>
      <w:bookmarkStart w:id="377" w:name="_Toc54607210"/>
      <w:bookmarkStart w:id="378" w:name="_Toc52975224"/>
      <w:r>
        <w:rPr>
          <w:rStyle w:val="CharSectno"/>
        </w:rPr>
        <w:t>108</w:t>
      </w:r>
      <w:r>
        <w:t>.</w:t>
      </w:r>
      <w:r>
        <w:tab/>
        <w:t>Duty on packers</w:t>
      </w:r>
      <w:bookmarkEnd w:id="377"/>
      <w:bookmarkEnd w:id="378"/>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Gazette 13 Jun 2014 p. 1934.]</w:t>
      </w:r>
    </w:p>
    <w:p>
      <w:pPr>
        <w:pStyle w:val="Heading5"/>
      </w:pPr>
      <w:bookmarkStart w:id="379" w:name="_Toc54607211"/>
      <w:bookmarkStart w:id="380" w:name="_Toc52975225"/>
      <w:r>
        <w:rPr>
          <w:rStyle w:val="CharSectno"/>
        </w:rPr>
        <w:t>109</w:t>
      </w:r>
      <w:r>
        <w:t>.</w:t>
      </w:r>
      <w:r>
        <w:tab/>
        <w:t>Duty on prime contractors and rail operators</w:t>
      </w:r>
      <w:bookmarkEnd w:id="379"/>
      <w:bookmarkEnd w:id="380"/>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Gazette 13 Jun 2014 p. 1934</w:t>
      </w:r>
      <w:r>
        <w:noBreakHyphen/>
        <w:t>5.]</w:t>
      </w:r>
    </w:p>
    <w:p>
      <w:pPr>
        <w:pStyle w:val="Heading5"/>
      </w:pPr>
      <w:bookmarkStart w:id="381" w:name="_Toc54607212"/>
      <w:bookmarkStart w:id="382" w:name="_Toc52975226"/>
      <w:r>
        <w:rPr>
          <w:rStyle w:val="CharSectno"/>
          <w:color w:val="000000"/>
        </w:rPr>
        <w:t>109A</w:t>
      </w:r>
      <w:r>
        <w:t>.</w:t>
      </w:r>
      <w:r>
        <w:tab/>
        <w:t>Further duties if dangerous goods transported in portable tank or by tank vehicle</w:t>
      </w:r>
      <w:bookmarkEnd w:id="381"/>
      <w:bookmarkEnd w:id="382"/>
    </w:p>
    <w:p>
      <w:pPr>
        <w:pStyle w:val="Subsection"/>
      </w:pPr>
      <w:r>
        <w:tab/>
        <w:t>(1)</w:t>
      </w:r>
      <w:r>
        <w:tab/>
        <w:t>A person must not consign dangerous goods for transport in a portable tank, or by a tank vehicle, if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Subsection"/>
      </w:pPr>
      <w:r>
        <w:tab/>
        <w:t>(2)</w:t>
      </w:r>
      <w:r>
        <w:tab/>
        <w:t>A prime contractor must not transport dangerous goods in a portable tank, or by a tank vehicle, if the prime contractor knows, or ought reasonably to know, that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Footnotesection"/>
        <w:spacing w:before="100"/>
        <w:ind w:left="890" w:hanging="890"/>
      </w:pPr>
      <w:r>
        <w:tab/>
        <w:t>[Regulation 109A inserted: Gazette 31 Aug 2018 p. 3046.]</w:t>
      </w:r>
    </w:p>
    <w:p>
      <w:pPr>
        <w:pStyle w:val="Heading3"/>
      </w:pPr>
      <w:bookmarkStart w:id="383" w:name="_Toc54596454"/>
      <w:bookmarkStart w:id="384" w:name="_Toc54596822"/>
      <w:bookmarkStart w:id="385" w:name="_Toc54599519"/>
      <w:bookmarkStart w:id="386" w:name="_Toc54599888"/>
      <w:bookmarkStart w:id="387" w:name="_Toc54607213"/>
      <w:bookmarkStart w:id="388" w:name="_Toc52959759"/>
      <w:bookmarkStart w:id="389" w:name="_Toc52961534"/>
      <w:bookmarkStart w:id="390" w:name="_Toc52973798"/>
      <w:bookmarkStart w:id="391" w:name="_Toc52975227"/>
      <w:r>
        <w:rPr>
          <w:rStyle w:val="CharDivNo"/>
        </w:rPr>
        <w:t>Division 2</w:t>
      </w:r>
      <w:r>
        <w:t> — </w:t>
      </w:r>
      <w:r>
        <w:rPr>
          <w:rStyle w:val="CharDivText"/>
        </w:rPr>
        <w:t>Placarding</w:t>
      </w:r>
      <w:bookmarkEnd w:id="383"/>
      <w:bookmarkEnd w:id="384"/>
      <w:bookmarkEnd w:id="385"/>
      <w:bookmarkEnd w:id="386"/>
      <w:bookmarkEnd w:id="387"/>
      <w:bookmarkEnd w:id="388"/>
      <w:bookmarkEnd w:id="389"/>
      <w:bookmarkEnd w:id="390"/>
      <w:bookmarkEnd w:id="391"/>
    </w:p>
    <w:p>
      <w:pPr>
        <w:pStyle w:val="Heading5"/>
      </w:pPr>
      <w:bookmarkStart w:id="392" w:name="_Toc54607214"/>
      <w:bookmarkStart w:id="393" w:name="_Toc52975228"/>
      <w:r>
        <w:rPr>
          <w:rStyle w:val="CharSectno"/>
        </w:rPr>
        <w:t>110</w:t>
      </w:r>
      <w:r>
        <w:t>.</w:t>
      </w:r>
      <w:r>
        <w:tab/>
        <w:t>When loads must be placarded</w:t>
      </w:r>
      <w:bookmarkEnd w:id="392"/>
      <w:bookmarkEnd w:id="393"/>
    </w:p>
    <w:p>
      <w:pPr>
        <w:pStyle w:val="Subsection"/>
      </w:pPr>
      <w:r>
        <w:tab/>
        <w:t>(1)</w:t>
      </w:r>
      <w:r>
        <w:tab/>
        <w:t xml:space="preserve">In this regulation — </w:t>
      </w:r>
    </w:p>
    <w:p>
      <w:pPr>
        <w:pStyle w:val="Defstart"/>
      </w:pPr>
      <w:r>
        <w:tab/>
      </w:r>
      <w:r>
        <w:rPr>
          <w:rStyle w:val="CharDefText"/>
        </w:rPr>
        <w:t>classification code</w:t>
      </w:r>
      <w:r>
        <w:t xml:space="preserve"> has the meaning given in the </w:t>
      </w:r>
      <w:r>
        <w:rPr>
          <w:i/>
        </w:rPr>
        <w:t>Dangerous Goods Safety (Explosives) Regulations 2007</w:t>
      </w:r>
      <w:r>
        <w:t xml:space="preserve"> regulation 3;</w:t>
      </w:r>
    </w:p>
    <w:p>
      <w:pPr>
        <w:pStyle w:val="Defstart"/>
      </w:pPr>
      <w:r>
        <w:tab/>
      </w:r>
      <w:r>
        <w:rPr>
          <w:rStyle w:val="CharDefText"/>
        </w:rPr>
        <w:t>specified goods</w:t>
      </w:r>
      <w:r>
        <w:t xml:space="preserve"> means dangerous goods that are — </w:t>
      </w:r>
    </w:p>
    <w:p>
      <w:pPr>
        <w:pStyle w:val="Defpara"/>
      </w:pPr>
      <w:r>
        <w:rPr>
          <w:color w:val="000000"/>
        </w:rPr>
        <w:tab/>
        <w:t>(a)</w:t>
      </w:r>
      <w:r>
        <w:rPr>
          <w:color w:val="000000"/>
        </w:rPr>
        <w:tab/>
      </w:r>
      <w:r>
        <w:t>packed in limited quantities; or</w:t>
      </w:r>
    </w:p>
    <w:p>
      <w:pPr>
        <w:pStyle w:val="Defpara"/>
      </w:pPr>
      <w:r>
        <w:rPr>
          <w:color w:val="000000"/>
        </w:rPr>
        <w:tab/>
        <w:t>(b)</w:t>
      </w:r>
      <w:r>
        <w:rPr>
          <w:color w:val="000000"/>
        </w:rPr>
        <w:tab/>
      </w:r>
      <w:r>
        <w:t xml:space="preserve">any of the following — </w:t>
      </w:r>
    </w:p>
    <w:p>
      <w:pPr>
        <w:pStyle w:val="Defsubpara"/>
      </w:pPr>
      <w:r>
        <w:tab/>
        <w:t>(i)</w:t>
      </w:r>
      <w:r>
        <w:tab/>
        <w:t>fireworks that are bonbons, party poppers or sparklers with a classification code of 1.4S;</w:t>
      </w:r>
    </w:p>
    <w:p>
      <w:pPr>
        <w:pStyle w:val="Defsubpara"/>
      </w:pPr>
      <w:r>
        <w:tab/>
        <w:t>(ii)</w:t>
      </w:r>
      <w:r>
        <w:tab/>
        <w:t>domestic smoke detectors containing radioactive material;</w:t>
      </w:r>
    </w:p>
    <w:p>
      <w:pPr>
        <w:pStyle w:val="Defsubpara"/>
      </w:pPr>
      <w:r>
        <w:tab/>
        <w:t>(iii)</w:t>
      </w:r>
      <w:r>
        <w:tab/>
        <w:t>lighters or lighter refills containing flammable gas;</w:t>
      </w:r>
    </w:p>
    <w:p>
      <w:pPr>
        <w:pStyle w:val="Defsubpara"/>
      </w:pPr>
      <w:r>
        <w:tab/>
        <w:t>(iv)</w:t>
      </w:r>
      <w:r>
        <w:tab/>
        <w:t>fire extinguishers containing compressed or liquefied gas, up to a net mass of 23 kg;</w:t>
      </w:r>
    </w:p>
    <w:p>
      <w:pPr>
        <w:pStyle w:val="Defpara"/>
      </w:pPr>
      <w:r>
        <w:tab/>
      </w:r>
      <w:r>
        <w:tab/>
      </w:r>
      <w:r>
        <w:rPr>
          <w:color w:val="000000"/>
        </w:rPr>
        <w:t>or</w:t>
      </w:r>
    </w:p>
    <w:p>
      <w:pPr>
        <w:pStyle w:val="Defpara"/>
      </w:pPr>
      <w:r>
        <w:rPr>
          <w:color w:val="000000"/>
        </w:rPr>
        <w:tab/>
        <w:t>(c)</w:t>
      </w:r>
      <w:r>
        <w:rPr>
          <w:color w:val="000000"/>
        </w:rPr>
        <w:tab/>
      </w:r>
      <w:r>
        <w:t>a combination of the dangerous goods referred to in paragraphs (a) and (b).</w:t>
      </w:r>
    </w:p>
    <w:p>
      <w:pPr>
        <w:pStyle w:val="Subsection"/>
      </w:pPr>
      <w:r>
        <w:rPr>
          <w:color w:val="000000"/>
        </w:rPr>
        <w:tab/>
        <w:t>(2)</w:t>
      </w:r>
      <w:r>
        <w:rPr>
          <w:color w:val="000000"/>
        </w:rPr>
        <w:tab/>
        <w:t xml:space="preserve">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other than an article, with a capacity of more than 500 L; or</w:t>
      </w:r>
    </w:p>
    <w:p>
      <w:pPr>
        <w:pStyle w:val="Indenti"/>
      </w:pPr>
      <w:r>
        <w:tab/>
        <w:t>(ii)</w:t>
      </w:r>
      <w:r>
        <w:tab/>
        <w:t>more than 500 kg of dangerous goods in a receptacle, other than an article;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(other than specified goods) of 250 or more and those goods include — </w:t>
      </w:r>
    </w:p>
    <w:p>
      <w:pPr>
        <w:pStyle w:val="Indenti"/>
      </w:pPr>
      <w:r>
        <w:tab/>
        <w:t>(i)</w:t>
      </w:r>
      <w:r>
        <w:tab/>
        <w:t xml:space="preserve">dangerous goods of </w:t>
      </w:r>
      <w:r>
        <w:rPr>
          <w:color w:val="000000"/>
        </w:rPr>
        <w:t>UN Division 2.1 (other than aerosols); or</w:t>
      </w:r>
    </w:p>
    <w:p>
      <w:pPr>
        <w:pStyle w:val="Indenti"/>
      </w:pPr>
      <w:r>
        <w:tab/>
        <w:t>(ii)</w:t>
      </w:r>
      <w:r>
        <w:tab/>
        <w:t>dangerous goods of UN Division 2.3; or</w:t>
      </w:r>
    </w:p>
    <w:p>
      <w:pPr>
        <w:pStyle w:val="Indenti"/>
      </w:pPr>
      <w:r>
        <w:tab/>
        <w:t>(iii)</w:t>
      </w:r>
      <w:r>
        <w:tab/>
        <w:t>dangerous goods of Packing Group I;</w:t>
      </w:r>
    </w:p>
    <w:p>
      <w:pPr>
        <w:pStyle w:val="Indenta"/>
      </w:pPr>
      <w:r>
        <w:tab/>
      </w:r>
      <w:r>
        <w:tab/>
        <w:t>or</w:t>
      </w:r>
    </w:p>
    <w:p>
      <w:pPr>
        <w:pStyle w:val="Indenta"/>
      </w:pPr>
      <w:r>
        <w:rPr>
          <w:color w:val="000000"/>
        </w:rPr>
        <w:tab/>
        <w:t>(c)</w:t>
      </w:r>
      <w:r>
        <w:rPr>
          <w:color w:val="000000"/>
        </w:rPr>
        <w:tab/>
        <w:t xml:space="preserve">it contains an aggregate quantity of dangerous goods (other than specified goods) of </w:t>
      </w:r>
      <w:r>
        <w:t>1 000 or more; or</w:t>
      </w:r>
    </w:p>
    <w:p>
      <w:pPr>
        <w:pStyle w:val="Indenta"/>
      </w:pPr>
      <w:r>
        <w:rPr>
          <w:color w:val="000000"/>
        </w:rPr>
        <w:tab/>
        <w:t>(d)</w:t>
      </w:r>
      <w:r>
        <w:rPr>
          <w:color w:val="000000"/>
        </w:rPr>
        <w:tab/>
      </w:r>
      <w:r>
        <w:t xml:space="preserve">it contains specified goods and either — </w:t>
      </w:r>
    </w:p>
    <w:p>
      <w:pPr>
        <w:pStyle w:val="Indenti"/>
      </w:pPr>
      <w:r>
        <w:tab/>
        <w:t>(i)</w:t>
      </w:r>
      <w:r>
        <w:tab/>
        <w:t>the specified goods include an aggregate quantity of 2 000 or more of any one UN number from a single place of consignment; or</w:t>
      </w:r>
    </w:p>
    <w:p>
      <w:pPr>
        <w:pStyle w:val="Indenti"/>
      </w:pPr>
      <w:r>
        <w:tab/>
        <w:t>(ii)</w:t>
      </w:r>
      <w:r>
        <w:tab/>
        <w:t>the total gross mass of the specified goods is 8 tonnes or more.</w:t>
      </w:r>
    </w:p>
    <w:p>
      <w:pPr>
        <w:pStyle w:val="Subsection"/>
      </w:pPr>
      <w:r>
        <w:rPr>
          <w:color w:val="000000"/>
        </w:rPr>
        <w:tab/>
        <w:t>(3)</w:t>
      </w:r>
      <w:r>
        <w:rPr>
          <w:color w:val="000000"/>
        </w:rPr>
        <w:tab/>
      </w:r>
      <w:r>
        <w:t xml:space="preserve">A load that contains dangerous goods, but is not required to be placarded under subregulation (2), must be placarded if the load meets the following conditions — </w:t>
      </w:r>
    </w:p>
    <w:p>
      <w:pPr>
        <w:pStyle w:val="Indenta"/>
      </w:pPr>
      <w:r>
        <w:rPr>
          <w:color w:val="000000"/>
        </w:rPr>
        <w:tab/>
        <w:t>(a)</w:t>
      </w:r>
      <w:r>
        <w:rPr>
          <w:color w:val="000000"/>
        </w:rPr>
        <w:tab/>
      </w:r>
      <w:r>
        <w:t>the load contains a mixture of specified goods and other dangerous goods;</w:t>
      </w:r>
    </w:p>
    <w:p>
      <w:pPr>
        <w:pStyle w:val="Indenta"/>
      </w:pPr>
      <w:r>
        <w:rPr>
          <w:color w:val="000000"/>
        </w:rPr>
        <w:tab/>
        <w:t>(b)</w:t>
      </w:r>
      <w:r>
        <w:rPr>
          <w:color w:val="000000"/>
        </w:rPr>
        <w:tab/>
        <w:t xml:space="preserve">either of </w:t>
      </w:r>
      <w:r>
        <w:t xml:space="preserve">the following applies — </w:t>
      </w:r>
    </w:p>
    <w:p>
      <w:pPr>
        <w:pStyle w:val="Indenti"/>
      </w:pPr>
      <w:r>
        <w:tab/>
        <w:t>(i)</w:t>
      </w:r>
      <w:r>
        <w:tab/>
        <w:t>if the load contains dangerous goods referred to in subregulation (2)(b)(i) to (iii) — the aggregate quantity of those goods, plus 10% of the total gross mass of the specified goods, is 250 or more;</w:t>
      </w:r>
    </w:p>
    <w:p>
      <w:pPr>
        <w:pStyle w:val="Indenti"/>
      </w:pPr>
      <w:r>
        <w:tab/>
        <w:t>(ii)</w:t>
      </w:r>
      <w:r>
        <w:tab/>
        <w:t>otherwise — the aggregate quantity of dangerous goods that are not specified goods, plus 25% of the total gross mass of the specified goods, is 1 000 or more.</w:t>
      </w:r>
    </w:p>
    <w:p>
      <w:pPr>
        <w:pStyle w:val="PermNoteHeading"/>
      </w:pPr>
      <w:r>
        <w:tab/>
        <w:t>Note for this regulation:</w:t>
      </w:r>
    </w:p>
    <w:p>
      <w:pPr>
        <w:pStyle w:val="PermNoteText"/>
      </w:pPr>
      <w:r>
        <w:tab/>
      </w:r>
      <w:r>
        <w:tab/>
        <w:t>See the ADG Code Table 5.3.</w:t>
      </w:r>
    </w:p>
    <w:p>
      <w:pPr>
        <w:pStyle w:val="Footnotesection"/>
      </w:pPr>
      <w:r>
        <w:tab/>
        <w:t>[Regulation 110 inserted: SL 2020/193 r. 14.]</w:t>
      </w:r>
    </w:p>
    <w:p>
      <w:pPr>
        <w:pStyle w:val="Heading5"/>
      </w:pPr>
      <w:bookmarkStart w:id="394" w:name="_Toc54607215"/>
      <w:bookmarkStart w:id="395" w:name="_Toc52975229"/>
      <w:r>
        <w:rPr>
          <w:rStyle w:val="CharSectno"/>
        </w:rPr>
        <w:t>111</w:t>
      </w:r>
      <w:r>
        <w:t>.</w:t>
      </w:r>
      <w:r>
        <w:tab/>
        <w:t>Terms used: placard, appropriately placarded</w:t>
      </w:r>
      <w:bookmarkEnd w:id="394"/>
      <w:bookmarkEnd w:id="395"/>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Gazette 13 Jun 2014 p. 1935.]</w:t>
      </w:r>
    </w:p>
    <w:p>
      <w:pPr>
        <w:pStyle w:val="Heading5"/>
      </w:pPr>
      <w:bookmarkStart w:id="396" w:name="_Toc54607216"/>
      <w:bookmarkStart w:id="397" w:name="_Toc52975230"/>
      <w:r>
        <w:rPr>
          <w:rStyle w:val="CharSectno"/>
        </w:rPr>
        <w:t>112</w:t>
      </w:r>
      <w:r>
        <w:t>.</w:t>
      </w:r>
      <w:r>
        <w:tab/>
        <w:t>Duty on consignors</w:t>
      </w:r>
      <w:bookmarkEnd w:id="396"/>
      <w:bookmarkEnd w:id="397"/>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112 amended: Gazette 13 Jun 2014 p. 1935</w:t>
      </w:r>
      <w:r>
        <w:noBreakHyphen/>
        <w:t>6; 17 Nov 2015 p. 4696-7.]</w:t>
      </w:r>
    </w:p>
    <w:p>
      <w:pPr>
        <w:pStyle w:val="Heading5"/>
      </w:pPr>
      <w:bookmarkStart w:id="398" w:name="_Toc54607217"/>
      <w:bookmarkStart w:id="399" w:name="_Toc52975231"/>
      <w:r>
        <w:rPr>
          <w:rStyle w:val="CharSectno"/>
        </w:rPr>
        <w:t>113</w:t>
      </w:r>
      <w:r>
        <w:t>.</w:t>
      </w:r>
      <w:r>
        <w:tab/>
        <w:t>Duty on loaders</w:t>
      </w:r>
      <w:bookmarkEnd w:id="398"/>
      <w:bookmarkEnd w:id="399"/>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pPr>
      <w:r>
        <w:tab/>
        <w:t>Penalty for this subregulation: a fine of $10 000.</w:t>
      </w:r>
    </w:p>
    <w:p>
      <w:pPr>
        <w:pStyle w:val="Footnotesection"/>
      </w:pPr>
      <w:r>
        <w:tab/>
        <w:t>[Regulation 113 amended: Gazette 22 Jun 2010 p. 2730; 13 Jun 2014 p. 1936; 17 Nov 2015 p. 4697.]</w:t>
      </w:r>
    </w:p>
    <w:p>
      <w:pPr>
        <w:pStyle w:val="Heading5"/>
      </w:pPr>
      <w:bookmarkStart w:id="400" w:name="_Toc54607218"/>
      <w:bookmarkStart w:id="401" w:name="_Toc52975232"/>
      <w:r>
        <w:rPr>
          <w:rStyle w:val="CharSectno"/>
        </w:rPr>
        <w:t>114</w:t>
      </w:r>
      <w:r>
        <w:t>.</w:t>
      </w:r>
      <w:r>
        <w:tab/>
        <w:t>Duty on prime contractors and rail operators</w:t>
      </w:r>
      <w:bookmarkEnd w:id="400"/>
      <w:bookmarkEnd w:id="401"/>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Gazette 13 Jun 2014 p. 1936</w:t>
      </w:r>
      <w:r>
        <w:noBreakHyphen/>
        <w:t>7; 17 Nov 2015 p. 4698.]</w:t>
      </w:r>
    </w:p>
    <w:p>
      <w:pPr>
        <w:pStyle w:val="Heading5"/>
      </w:pPr>
      <w:bookmarkStart w:id="402" w:name="_Toc54607219"/>
      <w:bookmarkStart w:id="403" w:name="_Toc52975233"/>
      <w:r>
        <w:rPr>
          <w:rStyle w:val="CharSectno"/>
        </w:rPr>
        <w:t>115</w:t>
      </w:r>
      <w:r>
        <w:t>.</w:t>
      </w:r>
      <w:r>
        <w:tab/>
        <w:t>Duty on drivers</w:t>
      </w:r>
      <w:bookmarkEnd w:id="402"/>
      <w:bookmarkEnd w:id="403"/>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Gazette 13 Jun 2014 p. 1937; 17 Nov 2015 p. 4698-9.]</w:t>
      </w:r>
    </w:p>
    <w:p>
      <w:pPr>
        <w:pStyle w:val="Heading2"/>
      </w:pPr>
      <w:bookmarkStart w:id="404" w:name="_Toc54596461"/>
      <w:bookmarkStart w:id="405" w:name="_Toc54596829"/>
      <w:bookmarkStart w:id="406" w:name="_Toc54599526"/>
      <w:bookmarkStart w:id="407" w:name="_Toc54599895"/>
      <w:bookmarkStart w:id="408" w:name="_Toc54607220"/>
      <w:bookmarkStart w:id="409" w:name="_Toc52959766"/>
      <w:bookmarkStart w:id="410" w:name="_Toc52961541"/>
      <w:bookmarkStart w:id="411" w:name="_Toc52973805"/>
      <w:bookmarkStart w:id="412" w:name="_Toc52975234"/>
      <w:r>
        <w:rPr>
          <w:rStyle w:val="CharPartNo"/>
        </w:rPr>
        <w:t>Part 6</w:t>
      </w:r>
      <w:r>
        <w:rPr>
          <w:rStyle w:val="CharDivNo"/>
        </w:rPr>
        <w:t> </w:t>
      </w:r>
      <w:r>
        <w:t>—</w:t>
      </w:r>
      <w:r>
        <w:rPr>
          <w:rStyle w:val="CharDivText"/>
        </w:rPr>
        <w:t> </w:t>
      </w:r>
      <w:r>
        <w:rPr>
          <w:rStyle w:val="CharPartText"/>
        </w:rPr>
        <w:t>Safety standards for vehicles and equipment</w:t>
      </w:r>
      <w:bookmarkEnd w:id="404"/>
      <w:bookmarkEnd w:id="405"/>
      <w:bookmarkEnd w:id="406"/>
      <w:bookmarkEnd w:id="407"/>
      <w:bookmarkEnd w:id="408"/>
      <w:bookmarkEnd w:id="409"/>
      <w:bookmarkEnd w:id="410"/>
      <w:bookmarkEnd w:id="411"/>
      <w:bookmarkEnd w:id="412"/>
    </w:p>
    <w:p>
      <w:pPr>
        <w:pStyle w:val="Heading5"/>
        <w:spacing w:before="180"/>
      </w:pPr>
      <w:bookmarkStart w:id="413" w:name="_Toc54607221"/>
      <w:bookmarkStart w:id="414" w:name="_Toc52975235"/>
      <w:r>
        <w:rPr>
          <w:rStyle w:val="CharSectno"/>
        </w:rPr>
        <w:t>116</w:t>
      </w:r>
      <w:r>
        <w:t>.</w:t>
      </w:r>
      <w:r>
        <w:tab/>
        <w:t>Duty on owners</w:t>
      </w:r>
      <w:bookmarkEnd w:id="413"/>
      <w:bookmarkEnd w:id="414"/>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415" w:name="_Toc54607222"/>
      <w:bookmarkStart w:id="416" w:name="_Toc52975236"/>
      <w:r>
        <w:rPr>
          <w:rStyle w:val="CharSectno"/>
        </w:rPr>
        <w:t>117</w:t>
      </w:r>
      <w:r>
        <w:t>.</w:t>
      </w:r>
      <w:r>
        <w:tab/>
        <w:t>Duty on consignors</w:t>
      </w:r>
      <w:bookmarkEnd w:id="415"/>
      <w:bookmarkEnd w:id="416"/>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417" w:name="_Toc54607223"/>
      <w:bookmarkStart w:id="418" w:name="_Toc52975237"/>
      <w:r>
        <w:rPr>
          <w:rStyle w:val="CharSectno"/>
        </w:rPr>
        <w:t>118</w:t>
      </w:r>
      <w:r>
        <w:t>.</w:t>
      </w:r>
      <w:r>
        <w:tab/>
        <w:t>Duty on loaders</w:t>
      </w:r>
      <w:bookmarkEnd w:id="417"/>
      <w:bookmarkEnd w:id="418"/>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419" w:name="_Toc54607224"/>
      <w:bookmarkStart w:id="420" w:name="_Toc52975238"/>
      <w:r>
        <w:rPr>
          <w:rStyle w:val="CharSectno"/>
        </w:rPr>
        <w:t>119</w:t>
      </w:r>
      <w:r>
        <w:t>.</w:t>
      </w:r>
      <w:r>
        <w:tab/>
        <w:t>Duties on prime contractors and rail operators</w:t>
      </w:r>
      <w:bookmarkEnd w:id="419"/>
      <w:bookmarkEnd w:id="420"/>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421" w:name="_Toc54607225"/>
      <w:bookmarkStart w:id="422" w:name="_Toc52975239"/>
      <w:r>
        <w:rPr>
          <w:rStyle w:val="CharSectno"/>
        </w:rPr>
        <w:t>120</w:t>
      </w:r>
      <w:r>
        <w:t>.</w:t>
      </w:r>
      <w:r>
        <w:tab/>
        <w:t>Duty on drivers</w:t>
      </w:r>
      <w:bookmarkEnd w:id="421"/>
      <w:bookmarkEnd w:id="422"/>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423" w:name="_Toc54596467"/>
      <w:bookmarkStart w:id="424" w:name="_Toc54596835"/>
      <w:bookmarkStart w:id="425" w:name="_Toc54599532"/>
      <w:bookmarkStart w:id="426" w:name="_Toc54599901"/>
      <w:bookmarkStart w:id="427" w:name="_Toc54607226"/>
      <w:bookmarkStart w:id="428" w:name="_Toc52959772"/>
      <w:bookmarkStart w:id="429" w:name="_Toc52961547"/>
      <w:bookmarkStart w:id="430" w:name="_Toc52973811"/>
      <w:bookmarkStart w:id="431" w:name="_Toc52975240"/>
      <w:r>
        <w:rPr>
          <w:rStyle w:val="CharPartNo"/>
        </w:rPr>
        <w:t>Part 7</w:t>
      </w:r>
      <w:r>
        <w:rPr>
          <w:rStyle w:val="CharDivNo"/>
        </w:rPr>
        <w:t> </w:t>
      </w:r>
      <w:r>
        <w:t>—</w:t>
      </w:r>
      <w:r>
        <w:rPr>
          <w:rStyle w:val="CharDivText"/>
        </w:rPr>
        <w:t> </w:t>
      </w:r>
      <w:r>
        <w:rPr>
          <w:rStyle w:val="CharPartText"/>
        </w:rPr>
        <w:t>Transport operations relating to certain dangerous goods and nominally empty storage vessels</w:t>
      </w:r>
      <w:bookmarkEnd w:id="423"/>
      <w:bookmarkEnd w:id="424"/>
      <w:bookmarkEnd w:id="425"/>
      <w:bookmarkEnd w:id="426"/>
      <w:bookmarkEnd w:id="427"/>
      <w:bookmarkEnd w:id="428"/>
      <w:bookmarkEnd w:id="429"/>
      <w:bookmarkEnd w:id="430"/>
      <w:bookmarkEnd w:id="431"/>
    </w:p>
    <w:p>
      <w:pPr>
        <w:pStyle w:val="Footnoteheading"/>
      </w:pPr>
      <w:r>
        <w:tab/>
        <w:t>[Heading inserted: Gazette 11 Jul 2017 p. 3825; amended: SL 2020/193 r. 15.]</w:t>
      </w:r>
    </w:p>
    <w:p>
      <w:pPr>
        <w:pStyle w:val="Heading5"/>
      </w:pPr>
      <w:bookmarkStart w:id="432" w:name="_Toc54607227"/>
      <w:bookmarkStart w:id="433" w:name="_Toc52975241"/>
      <w:r>
        <w:rPr>
          <w:rStyle w:val="CharSectno"/>
        </w:rPr>
        <w:t>120A</w:t>
      </w:r>
      <w:r>
        <w:t>.</w:t>
      </w:r>
      <w:r>
        <w:tab/>
        <w:t>Term used: nominally empty storage vessels</w:t>
      </w:r>
      <w:bookmarkEnd w:id="432"/>
      <w:bookmarkEnd w:id="433"/>
    </w:p>
    <w:p>
      <w:pPr>
        <w:pStyle w:val="Subsection"/>
      </w:pPr>
      <w:r>
        <w:tab/>
      </w:r>
      <w:r>
        <w:tab/>
        <w:t>In this Part —</w:t>
      </w:r>
    </w:p>
    <w:p>
      <w:pPr>
        <w:pStyle w:val="Defstart"/>
      </w:pPr>
      <w:r>
        <w:tab/>
      </w:r>
      <w:r>
        <w:rPr>
          <w:rStyle w:val="CharDefText"/>
        </w:rPr>
        <w:t>nominally empty storage vessels</w:t>
      </w:r>
      <w:r>
        <w:t xml:space="preserve"> means nominally empty tanks or hoppers described in the ADG Code section 7.2.7.1.</w:t>
      </w:r>
    </w:p>
    <w:p>
      <w:pPr>
        <w:pStyle w:val="Footnotesection"/>
      </w:pPr>
      <w:r>
        <w:tab/>
        <w:t>[Regulation 120A inserted: SL 2020/193 r. 16.]</w:t>
      </w:r>
    </w:p>
    <w:p>
      <w:pPr>
        <w:pStyle w:val="Heading5"/>
        <w:spacing w:before="160"/>
        <w:rPr>
          <w:color w:val="000000"/>
        </w:rPr>
      </w:pPr>
      <w:bookmarkStart w:id="434" w:name="_Toc54607228"/>
      <w:bookmarkStart w:id="435" w:name="_Toc52975242"/>
      <w:r>
        <w:rPr>
          <w:rStyle w:val="CharSectno"/>
          <w:color w:val="000000"/>
        </w:rPr>
        <w:t>121</w:t>
      </w:r>
      <w:r>
        <w:rPr>
          <w:color w:val="000000"/>
        </w:rPr>
        <w:t>.</w:t>
      </w:r>
      <w:r>
        <w:rPr>
          <w:color w:val="000000"/>
        </w:rPr>
        <w:tab/>
        <w:t>Application of Part</w:t>
      </w:r>
      <w:bookmarkEnd w:id="434"/>
      <w:bookmarkEnd w:id="435"/>
    </w:p>
    <w:p>
      <w:pPr>
        <w:pStyle w:val="Subsection"/>
        <w:spacing w:before="120"/>
      </w:pPr>
      <w:r>
        <w:tab/>
        <w:t>(1)</w:t>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Hazard of 6.1;</w:t>
      </w:r>
    </w:p>
    <w:p>
      <w:pPr>
        <w:pStyle w:val="Indenta"/>
      </w:pPr>
      <w:r>
        <w:tab/>
        <w:t>(f)</w:t>
      </w:r>
      <w:r>
        <w:tab/>
        <w:t>dangerous when wet substances of UN Division 4.3.</w:t>
      </w:r>
    </w:p>
    <w:p>
      <w:pPr>
        <w:pStyle w:val="Subsection"/>
        <w:keepNext/>
      </w:pPr>
      <w:r>
        <w:tab/>
        <w:t>(2)</w:t>
      </w:r>
      <w:r>
        <w:tab/>
        <w:t>This Part also applies to the transport of nominally empty storage vessels.</w:t>
      </w:r>
    </w:p>
    <w:p>
      <w:pPr>
        <w:pStyle w:val="Footnotesection"/>
      </w:pPr>
      <w:r>
        <w:tab/>
        <w:t>[Regulation 121 amended: Gazette 11 Jul 2017 p. 3825</w:t>
      </w:r>
      <w:r>
        <w:noBreakHyphen/>
        <w:t>6; 31 Aug 2018 p. 3047; SL 2020/193 r. 17.]</w:t>
      </w:r>
    </w:p>
    <w:p>
      <w:pPr>
        <w:pStyle w:val="Heading5"/>
        <w:spacing w:before="160"/>
        <w:rPr>
          <w:color w:val="000000"/>
        </w:rPr>
      </w:pPr>
      <w:bookmarkStart w:id="436" w:name="_Toc54607229"/>
      <w:bookmarkStart w:id="437" w:name="_Toc52975243"/>
      <w:r>
        <w:rPr>
          <w:rStyle w:val="CharSectno"/>
          <w:color w:val="000000"/>
        </w:rPr>
        <w:t>122</w:t>
      </w:r>
      <w:r>
        <w:rPr>
          <w:color w:val="000000"/>
        </w:rPr>
        <w:t>.</w:t>
      </w:r>
      <w:r>
        <w:rPr>
          <w:color w:val="000000"/>
        </w:rPr>
        <w:tab/>
        <w:t>Duty on consignors</w:t>
      </w:r>
      <w:bookmarkEnd w:id="436"/>
      <w:bookmarkEnd w:id="437"/>
    </w:p>
    <w:p>
      <w:pPr>
        <w:pStyle w:val="Subsection"/>
        <w:spacing w:before="120"/>
        <w:rPr>
          <w:color w:val="000000"/>
        </w:rPr>
      </w:pPr>
      <w:r>
        <w:tab/>
        <w:t>(1)</w:t>
      </w:r>
      <w:r>
        <w:tab/>
        <w:t>A person</w:t>
      </w:r>
      <w:r>
        <w:rPr>
          <w:color w:val="000000"/>
        </w:rPr>
        <w:t xml:space="preserve">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pPr>
      <w:r>
        <w:tab/>
        <w:t>Penalty for this subregulation: a fine of $5 000.</w:t>
      </w:r>
    </w:p>
    <w:p>
      <w:pPr>
        <w:pStyle w:val="Subsection"/>
      </w:pPr>
      <w:r>
        <w:tab/>
        <w:t>(2)</w:t>
      </w:r>
      <w:r>
        <w:tab/>
        <w:t>A person must not consign nominally empty storage vessels for transport if the person knows, or ought reasonably to know, that the storage vessels are not loaded or stowed, or cannot be transported or unloaded, in accordance with the ADG Code Chapter 7.2.</w:t>
      </w:r>
    </w:p>
    <w:p>
      <w:pPr>
        <w:pStyle w:val="Penstart"/>
      </w:pPr>
      <w:r>
        <w:tab/>
        <w:t>Penalty for this subregulation: a fine of $5 000.</w:t>
      </w:r>
    </w:p>
    <w:p>
      <w:pPr>
        <w:pStyle w:val="Footnotesection"/>
      </w:pPr>
      <w:r>
        <w:tab/>
        <w:t>[Regulation 122 amended: Gazette 11 Jul 2017 p. 3826; SL 2020/193 r. 18.]</w:t>
      </w:r>
    </w:p>
    <w:p>
      <w:pPr>
        <w:pStyle w:val="Heading5"/>
        <w:spacing w:before="160"/>
        <w:rPr>
          <w:color w:val="000000"/>
        </w:rPr>
      </w:pPr>
      <w:bookmarkStart w:id="438" w:name="_Toc54607230"/>
      <w:bookmarkStart w:id="439" w:name="_Toc52975244"/>
      <w:r>
        <w:rPr>
          <w:rStyle w:val="CharSectno"/>
          <w:color w:val="000000"/>
        </w:rPr>
        <w:t>123</w:t>
      </w:r>
      <w:r>
        <w:rPr>
          <w:color w:val="000000"/>
        </w:rPr>
        <w:t>.</w:t>
      </w:r>
      <w:r>
        <w:rPr>
          <w:color w:val="000000"/>
        </w:rPr>
        <w:tab/>
        <w:t>Duty on loaders</w:t>
      </w:r>
      <w:bookmarkEnd w:id="438"/>
      <w:bookmarkEnd w:id="439"/>
    </w:p>
    <w:p>
      <w:pPr>
        <w:pStyle w:val="Subsection"/>
        <w:spacing w:before="120"/>
        <w:rPr>
          <w:color w:val="000000"/>
        </w:rPr>
      </w:pPr>
      <w:r>
        <w:tab/>
        <w:t>(1)</w:t>
      </w:r>
      <w:r>
        <w:tab/>
        <w:t>A person</w:t>
      </w:r>
      <w:r>
        <w:rPr>
          <w:color w:val="000000"/>
        </w:rPr>
        <w:t xml:space="preserve"> must not load dangerous goods to which this Part applies</w:t>
      </w:r>
      <w:r>
        <w:t xml:space="preserve"> on to a vehicle</w:t>
      </w:r>
      <w:r>
        <w:rPr>
          <w:color w:val="000000"/>
        </w:rPr>
        <w:t xml:space="preserve"> for transport otherwise than in accordance with the ADG Code Chapter 7.1.</w:t>
      </w:r>
    </w:p>
    <w:p>
      <w:pPr>
        <w:pStyle w:val="Penstart"/>
      </w:pPr>
      <w:r>
        <w:tab/>
        <w:t>Penalty for this subregulation: a fine of $5 000.</w:t>
      </w:r>
    </w:p>
    <w:p>
      <w:pPr>
        <w:pStyle w:val="Subsection"/>
      </w:pPr>
      <w:r>
        <w:tab/>
        <w:t>(2)</w:t>
      </w:r>
      <w:r>
        <w:tab/>
        <w:t>A person must not load nominally empty storage vessels on to a vehicle for transport otherwise than in accordance with the ADG Code Chapter 7.2.</w:t>
      </w:r>
    </w:p>
    <w:p>
      <w:pPr>
        <w:pStyle w:val="Penstart"/>
      </w:pPr>
      <w:r>
        <w:tab/>
        <w:t>Penalty for this subregulation: a fine of $5 000.</w:t>
      </w:r>
    </w:p>
    <w:p>
      <w:pPr>
        <w:pStyle w:val="Footnotesection"/>
        <w:spacing w:before="80"/>
        <w:ind w:left="890" w:hanging="890"/>
        <w:rPr>
          <w:color w:val="000000"/>
        </w:rPr>
      </w:pPr>
      <w:r>
        <w:tab/>
        <w:t>[Regulation 123 amended: Gazette 22 Jun 2010 p. 2730; 11 Jul 2017 p. 3826; SL 2020/193 r. 19.]</w:t>
      </w:r>
    </w:p>
    <w:p>
      <w:pPr>
        <w:pStyle w:val="Heading5"/>
        <w:rPr>
          <w:color w:val="000000"/>
        </w:rPr>
      </w:pPr>
      <w:bookmarkStart w:id="440" w:name="_Toc54607231"/>
      <w:bookmarkStart w:id="441" w:name="_Toc52975245"/>
      <w:r>
        <w:rPr>
          <w:rStyle w:val="CharSectno"/>
          <w:color w:val="000000"/>
        </w:rPr>
        <w:t>124</w:t>
      </w:r>
      <w:r>
        <w:rPr>
          <w:color w:val="000000"/>
        </w:rPr>
        <w:t>.</w:t>
      </w:r>
      <w:r>
        <w:rPr>
          <w:color w:val="000000"/>
        </w:rPr>
        <w:tab/>
        <w:t>Duty on prime contractors and rail operators</w:t>
      </w:r>
      <w:bookmarkEnd w:id="440"/>
      <w:bookmarkEnd w:id="441"/>
    </w:p>
    <w:p>
      <w:pPr>
        <w:pStyle w:val="Subsection"/>
        <w:rPr>
          <w:color w:val="000000"/>
        </w:rPr>
      </w:pPr>
      <w:r>
        <w:tab/>
        <w:t>(1)</w:t>
      </w:r>
      <w:r>
        <w:tab/>
        <w:t>A prime</w:t>
      </w:r>
      <w:r>
        <w:rPr>
          <w:color w:val="3366FF"/>
        </w:rPr>
        <w:t xml:space="preserve"> </w:t>
      </w:r>
      <w:r>
        <w:rPr>
          <w:color w:val="000000"/>
        </w:rPr>
        <w:t>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for this subregulation: a fine of $5 000.</w:t>
      </w:r>
    </w:p>
    <w:p>
      <w:pPr>
        <w:pStyle w:val="Subsection"/>
      </w:pPr>
      <w:r>
        <w:tab/>
        <w:t>(2)</w:t>
      </w:r>
      <w:r>
        <w:tab/>
        <w:t>A prime contractor or rail operator must not transport nominally empty storage vessels if the prime contractor or rail operator knows, or ought reasonably to know, that the transport does not comply with the ADG Code Chapter 7.2.</w:t>
      </w:r>
    </w:p>
    <w:p>
      <w:pPr>
        <w:pStyle w:val="Penstart"/>
      </w:pPr>
      <w:r>
        <w:tab/>
        <w:t>Penalty for this subregulation: a fine of $5 000.</w:t>
      </w:r>
    </w:p>
    <w:p>
      <w:pPr>
        <w:pStyle w:val="Footnotesection"/>
        <w:spacing w:before="80"/>
        <w:ind w:left="890" w:hanging="890"/>
        <w:rPr>
          <w:color w:val="000000"/>
        </w:rPr>
      </w:pPr>
      <w:r>
        <w:tab/>
        <w:t>[Regulation 124 amended: Gazette 11 Jul 2017 p. 3827; SL 2020/193 r. 20.]</w:t>
      </w:r>
    </w:p>
    <w:p>
      <w:pPr>
        <w:pStyle w:val="Heading5"/>
        <w:rPr>
          <w:color w:val="000000"/>
        </w:rPr>
      </w:pPr>
      <w:bookmarkStart w:id="442" w:name="_Toc54607232"/>
      <w:bookmarkStart w:id="443" w:name="_Toc52975246"/>
      <w:r>
        <w:rPr>
          <w:rStyle w:val="CharSectno"/>
          <w:color w:val="000000"/>
        </w:rPr>
        <w:t>125</w:t>
      </w:r>
      <w:r>
        <w:rPr>
          <w:color w:val="000000"/>
        </w:rPr>
        <w:t>.</w:t>
      </w:r>
      <w:r>
        <w:rPr>
          <w:color w:val="000000"/>
        </w:rPr>
        <w:tab/>
        <w:t>Duty on drivers</w:t>
      </w:r>
      <w:bookmarkEnd w:id="442"/>
      <w:bookmarkEnd w:id="443"/>
    </w:p>
    <w:p>
      <w:pPr>
        <w:pStyle w:val="Subsection"/>
        <w:rPr>
          <w:color w:val="000000"/>
        </w:rPr>
      </w:pPr>
      <w:r>
        <w:tab/>
        <w:t>(1)</w:t>
      </w:r>
      <w:r>
        <w:tab/>
        <w:t>A person</w:t>
      </w:r>
      <w:r>
        <w:rPr>
          <w:color w:val="000000"/>
        </w:rPr>
        <w:t xml:space="preserve"> must not drive a road vehicle transporting dangerous goods to which this Part applies if the person knows, or ought reasonably to know, that the dangerous goods are not being transported in accordance with the ADG Code Chapter 7.1.</w:t>
      </w:r>
    </w:p>
    <w:p>
      <w:pPr>
        <w:pStyle w:val="Penstart"/>
      </w:pPr>
      <w:r>
        <w:tab/>
        <w:t>Penalty for this subregulation: a fine of $3 000.</w:t>
      </w:r>
    </w:p>
    <w:p>
      <w:pPr>
        <w:pStyle w:val="Subsection"/>
      </w:pPr>
      <w:r>
        <w:tab/>
        <w:t>(2)</w:t>
      </w:r>
      <w:r>
        <w:tab/>
        <w:t>A person must not drive a road vehicle transporting nominally empty storage vessels if the person knows, or ought reasonably to know, that the storage vessels are not being transported in accordance with the ADG Code Chapter 7.2.</w:t>
      </w:r>
    </w:p>
    <w:p>
      <w:pPr>
        <w:pStyle w:val="Penstart"/>
      </w:pPr>
      <w:r>
        <w:tab/>
        <w:t>Penalty for this subregulation: a fine of $3 000.</w:t>
      </w:r>
    </w:p>
    <w:p>
      <w:pPr>
        <w:pStyle w:val="Footnotesection"/>
        <w:spacing w:before="80"/>
        <w:ind w:left="890" w:hanging="890"/>
        <w:rPr>
          <w:color w:val="000000"/>
        </w:rPr>
      </w:pPr>
      <w:r>
        <w:tab/>
        <w:t>[Regulation 125 amended: Gazette 11 Jul 2017 p. 3827; SL 2020/193 r. 21.]</w:t>
      </w:r>
    </w:p>
    <w:p>
      <w:pPr>
        <w:pStyle w:val="Heading2"/>
      </w:pPr>
      <w:bookmarkStart w:id="444" w:name="_Toc54596474"/>
      <w:bookmarkStart w:id="445" w:name="_Toc54596842"/>
      <w:bookmarkStart w:id="446" w:name="_Toc54599539"/>
      <w:bookmarkStart w:id="447" w:name="_Toc54599908"/>
      <w:bookmarkStart w:id="448" w:name="_Toc54607233"/>
      <w:bookmarkStart w:id="449" w:name="_Toc52959779"/>
      <w:bookmarkStart w:id="450" w:name="_Toc52961554"/>
      <w:bookmarkStart w:id="451" w:name="_Toc52973818"/>
      <w:bookmarkStart w:id="452" w:name="_Toc52975247"/>
      <w:r>
        <w:rPr>
          <w:rStyle w:val="CharPartNo"/>
        </w:rPr>
        <w:t>Part 8</w:t>
      </w:r>
      <w:r>
        <w:rPr>
          <w:b w:val="0"/>
        </w:rPr>
        <w:t> </w:t>
      </w:r>
      <w:r>
        <w:t>—</w:t>
      </w:r>
      <w:r>
        <w:rPr>
          <w:b w:val="0"/>
        </w:rPr>
        <w:t> </w:t>
      </w:r>
      <w:r>
        <w:rPr>
          <w:rStyle w:val="CharPartText"/>
        </w:rPr>
        <w:t>Stowage and restraint</w:t>
      </w:r>
      <w:bookmarkEnd w:id="444"/>
      <w:bookmarkEnd w:id="445"/>
      <w:bookmarkEnd w:id="446"/>
      <w:bookmarkEnd w:id="447"/>
      <w:bookmarkEnd w:id="448"/>
      <w:bookmarkEnd w:id="449"/>
      <w:bookmarkEnd w:id="450"/>
      <w:bookmarkEnd w:id="451"/>
      <w:bookmarkEnd w:id="452"/>
    </w:p>
    <w:p>
      <w:pPr>
        <w:pStyle w:val="Footnoteheading"/>
      </w:pPr>
      <w:r>
        <w:tab/>
        <w:t>[Heading inserted: Gazette 22 Jun 2010 p. 2730.]</w:t>
      </w:r>
    </w:p>
    <w:p>
      <w:pPr>
        <w:pStyle w:val="Heading5"/>
        <w:spacing w:before="180"/>
      </w:pPr>
      <w:bookmarkStart w:id="453" w:name="_Toc54607234"/>
      <w:bookmarkStart w:id="454" w:name="_Toc52975248"/>
      <w:r>
        <w:rPr>
          <w:rStyle w:val="CharSectno"/>
        </w:rPr>
        <w:t>126</w:t>
      </w:r>
      <w:r>
        <w:t>.</w:t>
      </w:r>
      <w:r>
        <w:tab/>
        <w:t>Duty on consignors</w:t>
      </w:r>
      <w:bookmarkEnd w:id="453"/>
      <w:bookmarkEnd w:id="454"/>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Gazette 22 Jun 2010 p. 2730</w:t>
      </w:r>
      <w:r>
        <w:noBreakHyphen/>
        <w:t>1; amended: Gazette 13 Jun 2014 p. 1937.]</w:t>
      </w:r>
    </w:p>
    <w:p>
      <w:pPr>
        <w:pStyle w:val="Heading5"/>
        <w:spacing w:before="180"/>
      </w:pPr>
      <w:bookmarkStart w:id="455" w:name="_Toc54607235"/>
      <w:bookmarkStart w:id="456" w:name="_Toc52975249"/>
      <w:r>
        <w:rPr>
          <w:rStyle w:val="CharSectno"/>
        </w:rPr>
        <w:t>127</w:t>
      </w:r>
      <w:r>
        <w:t>.</w:t>
      </w:r>
      <w:r>
        <w:tab/>
        <w:t>Duty on loaders</w:t>
      </w:r>
      <w:bookmarkEnd w:id="455"/>
      <w:bookmarkEnd w:id="456"/>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Gazette 22 Jun 2010 p. 2731; amended: Gazette 13 Jun 2014 p. 1938.]</w:t>
      </w:r>
    </w:p>
    <w:p>
      <w:pPr>
        <w:pStyle w:val="Heading5"/>
        <w:keepNext w:val="0"/>
        <w:keepLines w:val="0"/>
        <w:spacing w:before="180"/>
      </w:pPr>
      <w:bookmarkStart w:id="457" w:name="_Toc54607236"/>
      <w:bookmarkStart w:id="458" w:name="_Toc52975250"/>
      <w:r>
        <w:rPr>
          <w:rStyle w:val="CharSectno"/>
        </w:rPr>
        <w:t>128</w:t>
      </w:r>
      <w:r>
        <w:t>.</w:t>
      </w:r>
      <w:r>
        <w:tab/>
        <w:t>Duty on prime contractors and rail operators</w:t>
      </w:r>
      <w:bookmarkEnd w:id="457"/>
      <w:bookmarkEnd w:id="458"/>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Gazette 22 Jun 2010 p. 2731</w:t>
      </w:r>
      <w:r>
        <w:noBreakHyphen/>
        <w:t>2; amended: Gazette 13 Jun 2014 p. 1938.]</w:t>
      </w:r>
    </w:p>
    <w:p>
      <w:pPr>
        <w:pStyle w:val="Heading5"/>
        <w:ind w:left="0" w:firstLine="0"/>
      </w:pPr>
      <w:bookmarkStart w:id="459" w:name="_Toc54607237"/>
      <w:bookmarkStart w:id="460" w:name="_Toc52975251"/>
      <w:r>
        <w:rPr>
          <w:rStyle w:val="CharSectno"/>
        </w:rPr>
        <w:t>129</w:t>
      </w:r>
      <w:r>
        <w:t>.</w:t>
      </w:r>
      <w:r>
        <w:tab/>
        <w:t>Duty on drivers</w:t>
      </w:r>
      <w:bookmarkEnd w:id="459"/>
      <w:bookmarkEnd w:id="460"/>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Gazette 22 Jun 2010 p. 2732; amended: Gazette 13 Jun 2014 p. 1938.]</w:t>
      </w:r>
    </w:p>
    <w:p>
      <w:pPr>
        <w:pStyle w:val="Heading2"/>
      </w:pPr>
      <w:bookmarkStart w:id="461" w:name="_Toc54596479"/>
      <w:bookmarkStart w:id="462" w:name="_Toc54596847"/>
      <w:bookmarkStart w:id="463" w:name="_Toc54599544"/>
      <w:bookmarkStart w:id="464" w:name="_Toc54599913"/>
      <w:bookmarkStart w:id="465" w:name="_Toc54607238"/>
      <w:bookmarkStart w:id="466" w:name="_Toc52959784"/>
      <w:bookmarkStart w:id="467" w:name="_Toc52961559"/>
      <w:bookmarkStart w:id="468" w:name="_Toc52973823"/>
      <w:bookmarkStart w:id="469" w:name="_Toc52975252"/>
      <w:r>
        <w:rPr>
          <w:rStyle w:val="CharPartNo"/>
        </w:rPr>
        <w:t>Part 9</w:t>
      </w:r>
      <w:r>
        <w:rPr>
          <w:rStyle w:val="CharDivNo"/>
        </w:rPr>
        <w:t> </w:t>
      </w:r>
      <w:r>
        <w:t>—</w:t>
      </w:r>
      <w:r>
        <w:rPr>
          <w:rStyle w:val="CharDivText"/>
        </w:rPr>
        <w:t> </w:t>
      </w:r>
      <w:r>
        <w:rPr>
          <w:rStyle w:val="CharPartText"/>
        </w:rPr>
        <w:t>Segregation</w:t>
      </w:r>
      <w:bookmarkEnd w:id="461"/>
      <w:bookmarkEnd w:id="462"/>
      <w:bookmarkEnd w:id="463"/>
      <w:bookmarkEnd w:id="464"/>
      <w:bookmarkEnd w:id="465"/>
      <w:bookmarkEnd w:id="466"/>
      <w:bookmarkEnd w:id="467"/>
      <w:bookmarkEnd w:id="468"/>
      <w:bookmarkEnd w:id="469"/>
    </w:p>
    <w:p>
      <w:pPr>
        <w:pStyle w:val="Heading5"/>
      </w:pPr>
      <w:bookmarkStart w:id="470" w:name="_Toc54607239"/>
      <w:bookmarkStart w:id="471" w:name="_Toc52975253"/>
      <w:r>
        <w:rPr>
          <w:rStyle w:val="CharSectno"/>
        </w:rPr>
        <w:t>130</w:t>
      </w:r>
      <w:r>
        <w:t>.</w:t>
      </w:r>
      <w:r>
        <w:tab/>
        <w:t>Application of Part</w:t>
      </w:r>
      <w:bookmarkEnd w:id="470"/>
      <w:bookmarkEnd w:id="471"/>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Hazard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Gazette 22 Jun 2010 p. 2732; 13 Jun 2014 p. 1939; 31 Aug 2018 p. 3047.]</w:t>
      </w:r>
    </w:p>
    <w:p>
      <w:pPr>
        <w:pStyle w:val="Heading5"/>
      </w:pPr>
      <w:bookmarkStart w:id="472" w:name="_Toc54607240"/>
      <w:bookmarkStart w:id="473" w:name="_Toc52975254"/>
      <w:r>
        <w:rPr>
          <w:rStyle w:val="CharSectno"/>
        </w:rPr>
        <w:t>131</w:t>
      </w:r>
      <w:r>
        <w:t>.</w:t>
      </w:r>
      <w:r>
        <w:tab/>
        <w:t>Exception for certain goods for driver’s personal use</w:t>
      </w:r>
      <w:bookmarkEnd w:id="472"/>
      <w:bookmarkEnd w:id="473"/>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474" w:name="_Toc54607241"/>
      <w:bookmarkStart w:id="475" w:name="_Toc52975255"/>
      <w:r>
        <w:rPr>
          <w:rStyle w:val="CharSectno"/>
        </w:rPr>
        <w:t>132</w:t>
      </w:r>
      <w:r>
        <w:t>.</w:t>
      </w:r>
      <w:r>
        <w:tab/>
        <w:t>Duty on consignors</w:t>
      </w:r>
      <w:bookmarkEnd w:id="474"/>
      <w:bookmarkEnd w:id="475"/>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76" w:name="_Toc54607242"/>
      <w:bookmarkStart w:id="477" w:name="_Toc52975256"/>
      <w:r>
        <w:rPr>
          <w:rStyle w:val="CharSectno"/>
        </w:rPr>
        <w:t>133</w:t>
      </w:r>
      <w:r>
        <w:t>.</w:t>
      </w:r>
      <w:r>
        <w:tab/>
        <w:t>Duty on loaders</w:t>
      </w:r>
      <w:bookmarkEnd w:id="476"/>
      <w:bookmarkEnd w:id="477"/>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78" w:name="_Toc54607243"/>
      <w:bookmarkStart w:id="479" w:name="_Toc52975257"/>
      <w:r>
        <w:rPr>
          <w:rStyle w:val="CharSectno"/>
        </w:rPr>
        <w:t>134</w:t>
      </w:r>
      <w:r>
        <w:t>.</w:t>
      </w:r>
      <w:r>
        <w:tab/>
        <w:t>Duty on prime contractors</w:t>
      </w:r>
      <w:bookmarkEnd w:id="478"/>
      <w:bookmarkEnd w:id="479"/>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80" w:name="_Toc54607244"/>
      <w:bookmarkStart w:id="481" w:name="_Toc52975258"/>
      <w:r>
        <w:rPr>
          <w:rStyle w:val="CharSectno"/>
        </w:rPr>
        <w:t>135</w:t>
      </w:r>
      <w:r>
        <w:t>.</w:t>
      </w:r>
      <w:r>
        <w:tab/>
        <w:t>Duty on rail operators</w:t>
      </w:r>
      <w:bookmarkEnd w:id="480"/>
      <w:bookmarkEnd w:id="481"/>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82" w:name="_Toc54607245"/>
      <w:bookmarkStart w:id="483" w:name="_Toc52975259"/>
      <w:r>
        <w:rPr>
          <w:rStyle w:val="CharSectno"/>
        </w:rPr>
        <w:t>136</w:t>
      </w:r>
      <w:r>
        <w:t>.</w:t>
      </w:r>
      <w:r>
        <w:tab/>
        <w:t>Duty on drivers</w:t>
      </w:r>
      <w:bookmarkEnd w:id="482"/>
      <w:bookmarkEnd w:id="483"/>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484" w:name="_Toc54607246"/>
      <w:bookmarkStart w:id="485" w:name="_Toc52975260"/>
      <w:r>
        <w:rPr>
          <w:rStyle w:val="CharSectno"/>
          <w:color w:val="000000"/>
        </w:rPr>
        <w:t>137</w:t>
      </w:r>
      <w:r>
        <w:rPr>
          <w:color w:val="000000"/>
        </w:rPr>
        <w:t>.</w:t>
      </w:r>
      <w:r>
        <w:rPr>
          <w:color w:val="000000"/>
        </w:rPr>
        <w:tab/>
        <w:t>Approvals — Type II segregation devices</w:t>
      </w:r>
      <w:bookmarkEnd w:id="484"/>
      <w:bookmarkEnd w:id="485"/>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486" w:name="_Toc54607247"/>
      <w:bookmarkStart w:id="487" w:name="_Toc52975261"/>
      <w:r>
        <w:rPr>
          <w:rStyle w:val="CharSectno"/>
          <w:color w:val="000000"/>
        </w:rPr>
        <w:t>138</w:t>
      </w:r>
      <w:r>
        <w:rPr>
          <w:color w:val="000000"/>
        </w:rPr>
        <w:t>.</w:t>
      </w:r>
      <w:r>
        <w:rPr>
          <w:color w:val="000000"/>
        </w:rPr>
        <w:tab/>
        <w:t>Approvals — methods of segregation</w:t>
      </w:r>
      <w:bookmarkEnd w:id="486"/>
      <w:bookmarkEnd w:id="487"/>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488" w:name="_Toc54596489"/>
      <w:bookmarkStart w:id="489" w:name="_Toc54596857"/>
      <w:bookmarkStart w:id="490" w:name="_Toc54599554"/>
      <w:bookmarkStart w:id="491" w:name="_Toc54599923"/>
      <w:bookmarkStart w:id="492" w:name="_Toc54607248"/>
      <w:bookmarkStart w:id="493" w:name="_Toc52959794"/>
      <w:bookmarkStart w:id="494" w:name="_Toc52961569"/>
      <w:bookmarkStart w:id="495" w:name="_Toc52973833"/>
      <w:bookmarkStart w:id="496" w:name="_Toc52975262"/>
      <w:r>
        <w:rPr>
          <w:rStyle w:val="CharPartNo"/>
        </w:rPr>
        <w:t>Part 10</w:t>
      </w:r>
      <w:r>
        <w:t> — </w:t>
      </w:r>
      <w:r>
        <w:rPr>
          <w:rStyle w:val="CharPartText"/>
        </w:rPr>
        <w:t>Bulk transfer of dangerous goods</w:t>
      </w:r>
      <w:bookmarkEnd w:id="488"/>
      <w:bookmarkEnd w:id="489"/>
      <w:bookmarkEnd w:id="490"/>
      <w:bookmarkEnd w:id="491"/>
      <w:bookmarkEnd w:id="492"/>
      <w:bookmarkEnd w:id="493"/>
      <w:bookmarkEnd w:id="494"/>
      <w:bookmarkEnd w:id="495"/>
      <w:bookmarkEnd w:id="496"/>
    </w:p>
    <w:p>
      <w:pPr>
        <w:pStyle w:val="Heading3"/>
      </w:pPr>
      <w:bookmarkStart w:id="497" w:name="_Toc54596490"/>
      <w:bookmarkStart w:id="498" w:name="_Toc54596858"/>
      <w:bookmarkStart w:id="499" w:name="_Toc54599555"/>
      <w:bookmarkStart w:id="500" w:name="_Toc54599924"/>
      <w:bookmarkStart w:id="501" w:name="_Toc54607249"/>
      <w:bookmarkStart w:id="502" w:name="_Toc52959795"/>
      <w:bookmarkStart w:id="503" w:name="_Toc52961570"/>
      <w:bookmarkStart w:id="504" w:name="_Toc52973834"/>
      <w:bookmarkStart w:id="505" w:name="_Toc52975263"/>
      <w:r>
        <w:rPr>
          <w:rStyle w:val="CharDivNo"/>
        </w:rPr>
        <w:t>Division 1</w:t>
      </w:r>
      <w:r>
        <w:t> — </w:t>
      </w:r>
      <w:r>
        <w:rPr>
          <w:rStyle w:val="CharDivText"/>
        </w:rPr>
        <w:t>General</w:t>
      </w:r>
      <w:bookmarkEnd w:id="497"/>
      <w:bookmarkEnd w:id="498"/>
      <w:bookmarkEnd w:id="499"/>
      <w:bookmarkEnd w:id="500"/>
      <w:bookmarkEnd w:id="501"/>
      <w:bookmarkEnd w:id="502"/>
      <w:bookmarkEnd w:id="503"/>
      <w:bookmarkEnd w:id="504"/>
      <w:bookmarkEnd w:id="505"/>
    </w:p>
    <w:p>
      <w:pPr>
        <w:pStyle w:val="Heading5"/>
        <w:rPr>
          <w:color w:val="000000"/>
        </w:rPr>
      </w:pPr>
      <w:bookmarkStart w:id="506" w:name="_Toc54607250"/>
      <w:bookmarkStart w:id="507" w:name="_Toc52975264"/>
      <w:r>
        <w:rPr>
          <w:rStyle w:val="CharSectno"/>
          <w:color w:val="000000"/>
        </w:rPr>
        <w:t>139</w:t>
      </w:r>
      <w:r>
        <w:rPr>
          <w:color w:val="000000"/>
        </w:rPr>
        <w:t>.</w:t>
      </w:r>
      <w:r>
        <w:rPr>
          <w:color w:val="000000"/>
        </w:rPr>
        <w:tab/>
        <w:t>Term used: bulk transfer</w:t>
      </w:r>
      <w:bookmarkEnd w:id="506"/>
      <w:bookmarkEnd w:id="507"/>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508" w:name="_Toc54596492"/>
      <w:bookmarkStart w:id="509" w:name="_Toc54596860"/>
      <w:bookmarkStart w:id="510" w:name="_Toc54599557"/>
      <w:bookmarkStart w:id="511" w:name="_Toc54599926"/>
      <w:bookmarkStart w:id="512" w:name="_Toc54607251"/>
      <w:bookmarkStart w:id="513" w:name="_Toc52959797"/>
      <w:bookmarkStart w:id="514" w:name="_Toc52961572"/>
      <w:bookmarkStart w:id="515" w:name="_Toc52973836"/>
      <w:bookmarkStart w:id="516" w:name="_Toc52975265"/>
      <w:r>
        <w:rPr>
          <w:rStyle w:val="CharDivNo"/>
        </w:rPr>
        <w:t>Division 2</w:t>
      </w:r>
      <w:r>
        <w:t> — </w:t>
      </w:r>
      <w:r>
        <w:rPr>
          <w:rStyle w:val="CharDivText"/>
        </w:rPr>
        <w:t>Equipment and transfer</w:t>
      </w:r>
      <w:bookmarkEnd w:id="508"/>
      <w:bookmarkEnd w:id="509"/>
      <w:bookmarkEnd w:id="510"/>
      <w:bookmarkEnd w:id="511"/>
      <w:bookmarkEnd w:id="512"/>
      <w:bookmarkEnd w:id="513"/>
      <w:bookmarkEnd w:id="514"/>
      <w:bookmarkEnd w:id="515"/>
      <w:bookmarkEnd w:id="516"/>
    </w:p>
    <w:p>
      <w:pPr>
        <w:pStyle w:val="Heading5"/>
      </w:pPr>
      <w:bookmarkStart w:id="517" w:name="_Toc54607252"/>
      <w:bookmarkStart w:id="518" w:name="_Toc52975266"/>
      <w:r>
        <w:rPr>
          <w:rStyle w:val="CharSectno"/>
        </w:rPr>
        <w:t>140</w:t>
      </w:r>
      <w:r>
        <w:t>.</w:t>
      </w:r>
      <w:r>
        <w:tab/>
        <w:t>Duty on transferors — hose assemblies</w:t>
      </w:r>
      <w:bookmarkEnd w:id="517"/>
      <w:bookmarkEnd w:id="518"/>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Gazette 22 Jun 2010 p. 2733.]</w:t>
      </w:r>
    </w:p>
    <w:p>
      <w:pPr>
        <w:pStyle w:val="Heading5"/>
      </w:pPr>
      <w:bookmarkStart w:id="519" w:name="_Toc54607253"/>
      <w:bookmarkStart w:id="520" w:name="_Toc52975267"/>
      <w:r>
        <w:rPr>
          <w:rStyle w:val="CharSectno"/>
        </w:rPr>
        <w:t>141</w:t>
      </w:r>
      <w:r>
        <w:t>.</w:t>
      </w:r>
      <w:r>
        <w:tab/>
        <w:t>Duty on transferors — general</w:t>
      </w:r>
      <w:bookmarkEnd w:id="519"/>
      <w:bookmarkEnd w:id="520"/>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521" w:name="_Toc54607254"/>
      <w:bookmarkStart w:id="522" w:name="_Toc52975268"/>
      <w:r>
        <w:rPr>
          <w:rStyle w:val="CharSectno"/>
        </w:rPr>
        <w:t>142</w:t>
      </w:r>
      <w:r>
        <w:t>.</w:t>
      </w:r>
      <w:r>
        <w:tab/>
        <w:t>Duty on occupiers</w:t>
      </w:r>
      <w:bookmarkEnd w:id="521"/>
      <w:bookmarkEnd w:id="522"/>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523" w:name="_Toc54607255"/>
      <w:bookmarkStart w:id="524" w:name="_Toc52975269"/>
      <w:r>
        <w:rPr>
          <w:rStyle w:val="CharSectno"/>
        </w:rPr>
        <w:t>143</w:t>
      </w:r>
      <w:r>
        <w:t>.</w:t>
      </w:r>
      <w:r>
        <w:tab/>
        <w:t>Duty on prime contractors</w:t>
      </w:r>
      <w:bookmarkEnd w:id="523"/>
      <w:bookmarkEnd w:id="524"/>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525" w:name="_Toc54607256"/>
      <w:bookmarkStart w:id="526" w:name="_Toc52975270"/>
      <w:r>
        <w:rPr>
          <w:rStyle w:val="CharSectno"/>
        </w:rPr>
        <w:t>144</w:t>
      </w:r>
      <w:r>
        <w:t>.</w:t>
      </w:r>
      <w:r>
        <w:tab/>
        <w:t>Duty on rail operators</w:t>
      </w:r>
      <w:bookmarkEnd w:id="525"/>
      <w:bookmarkEnd w:id="526"/>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527" w:name="_Toc54596498"/>
      <w:bookmarkStart w:id="528" w:name="_Toc54596866"/>
      <w:bookmarkStart w:id="529" w:name="_Toc54599563"/>
      <w:bookmarkStart w:id="530" w:name="_Toc54599932"/>
      <w:bookmarkStart w:id="531" w:name="_Toc54607257"/>
      <w:bookmarkStart w:id="532" w:name="_Toc52959803"/>
      <w:bookmarkStart w:id="533" w:name="_Toc52961578"/>
      <w:bookmarkStart w:id="534" w:name="_Toc52973842"/>
      <w:bookmarkStart w:id="535" w:name="_Toc52975271"/>
      <w:r>
        <w:rPr>
          <w:rStyle w:val="CharDivNo"/>
        </w:rPr>
        <w:t>Division 3</w:t>
      </w:r>
      <w:r>
        <w:t> — </w:t>
      </w:r>
      <w:r>
        <w:rPr>
          <w:rStyle w:val="CharDivText"/>
        </w:rPr>
        <w:t>Filling ratio and ullage for tank vehicles</w:t>
      </w:r>
      <w:bookmarkEnd w:id="527"/>
      <w:bookmarkEnd w:id="528"/>
      <w:bookmarkEnd w:id="529"/>
      <w:bookmarkEnd w:id="530"/>
      <w:bookmarkEnd w:id="531"/>
      <w:bookmarkEnd w:id="532"/>
      <w:bookmarkEnd w:id="533"/>
      <w:bookmarkEnd w:id="534"/>
      <w:bookmarkEnd w:id="535"/>
    </w:p>
    <w:p>
      <w:pPr>
        <w:pStyle w:val="Heading5"/>
        <w:spacing w:before="240"/>
      </w:pPr>
      <w:bookmarkStart w:id="536" w:name="_Toc54607258"/>
      <w:bookmarkStart w:id="537" w:name="_Toc52975272"/>
      <w:r>
        <w:rPr>
          <w:rStyle w:val="CharSectno"/>
        </w:rPr>
        <w:t>145</w:t>
      </w:r>
      <w:r>
        <w:t>.</w:t>
      </w:r>
      <w:r>
        <w:tab/>
        <w:t>Application of Division</w:t>
      </w:r>
      <w:bookmarkEnd w:id="536"/>
      <w:bookmarkEnd w:id="537"/>
    </w:p>
    <w:p>
      <w:pPr>
        <w:pStyle w:val="Subsection"/>
        <w:spacing w:before="180"/>
      </w:pPr>
      <w:r>
        <w:tab/>
      </w:r>
      <w:r>
        <w:tab/>
        <w:t>This Division applies to and in relation to bulk transfer into a tank vehicle.</w:t>
      </w:r>
    </w:p>
    <w:p>
      <w:pPr>
        <w:pStyle w:val="Heading5"/>
        <w:spacing w:before="240"/>
      </w:pPr>
      <w:bookmarkStart w:id="538" w:name="_Toc54607259"/>
      <w:bookmarkStart w:id="539" w:name="_Toc52975273"/>
      <w:r>
        <w:rPr>
          <w:rStyle w:val="CharSectno"/>
        </w:rPr>
        <w:t>146</w:t>
      </w:r>
      <w:r>
        <w:t>.</w:t>
      </w:r>
      <w:r>
        <w:tab/>
        <w:t>Duty on transferors</w:t>
      </w:r>
      <w:bookmarkEnd w:id="538"/>
      <w:bookmarkEnd w:id="539"/>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Gazette 13 Jun 2014 p. 1939</w:t>
      </w:r>
      <w:r>
        <w:noBreakHyphen/>
        <w:t>40.]</w:t>
      </w:r>
    </w:p>
    <w:p>
      <w:pPr>
        <w:pStyle w:val="Heading5"/>
      </w:pPr>
      <w:bookmarkStart w:id="540" w:name="_Toc54607260"/>
      <w:bookmarkStart w:id="541" w:name="_Toc52975274"/>
      <w:r>
        <w:rPr>
          <w:rStyle w:val="CharSectno"/>
        </w:rPr>
        <w:t>147</w:t>
      </w:r>
      <w:r>
        <w:t>.</w:t>
      </w:r>
      <w:r>
        <w:tab/>
        <w:t>Duty on prime contractors and rail operators</w:t>
      </w:r>
      <w:bookmarkEnd w:id="540"/>
      <w:bookmarkEnd w:id="541"/>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Gazette 13 Jun 2014 p. 1940.]</w:t>
      </w:r>
    </w:p>
    <w:p>
      <w:pPr>
        <w:pStyle w:val="Heading5"/>
      </w:pPr>
      <w:bookmarkStart w:id="542" w:name="_Toc54607261"/>
      <w:bookmarkStart w:id="543" w:name="_Toc52975275"/>
      <w:r>
        <w:rPr>
          <w:rStyle w:val="CharSectno"/>
        </w:rPr>
        <w:t>148</w:t>
      </w:r>
      <w:r>
        <w:t>.</w:t>
      </w:r>
      <w:r>
        <w:tab/>
        <w:t>Duty on drivers</w:t>
      </w:r>
      <w:bookmarkEnd w:id="542"/>
      <w:bookmarkEnd w:id="543"/>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Gazette 13 Jun 2014 p. 1941.]</w:t>
      </w:r>
    </w:p>
    <w:p>
      <w:pPr>
        <w:pStyle w:val="Heading2"/>
      </w:pPr>
      <w:bookmarkStart w:id="544" w:name="_Toc54596503"/>
      <w:bookmarkStart w:id="545" w:name="_Toc54596871"/>
      <w:bookmarkStart w:id="546" w:name="_Toc54599568"/>
      <w:bookmarkStart w:id="547" w:name="_Toc54599937"/>
      <w:bookmarkStart w:id="548" w:name="_Toc54607262"/>
      <w:bookmarkStart w:id="549" w:name="_Toc52959808"/>
      <w:bookmarkStart w:id="550" w:name="_Toc52961583"/>
      <w:bookmarkStart w:id="551" w:name="_Toc52973847"/>
      <w:bookmarkStart w:id="552" w:name="_Toc52975276"/>
      <w:r>
        <w:rPr>
          <w:rStyle w:val="CharPartNo"/>
        </w:rPr>
        <w:t>Part 11</w:t>
      </w:r>
      <w:r>
        <w:t> — </w:t>
      </w:r>
      <w:r>
        <w:rPr>
          <w:rStyle w:val="CharPartText"/>
        </w:rPr>
        <w:t>Documentation</w:t>
      </w:r>
      <w:bookmarkEnd w:id="544"/>
      <w:bookmarkEnd w:id="545"/>
      <w:bookmarkEnd w:id="546"/>
      <w:bookmarkEnd w:id="547"/>
      <w:bookmarkEnd w:id="548"/>
      <w:bookmarkEnd w:id="549"/>
      <w:bookmarkEnd w:id="550"/>
      <w:bookmarkEnd w:id="551"/>
      <w:bookmarkEnd w:id="552"/>
    </w:p>
    <w:p>
      <w:pPr>
        <w:pStyle w:val="Heading3"/>
      </w:pPr>
      <w:bookmarkStart w:id="553" w:name="_Toc54596504"/>
      <w:bookmarkStart w:id="554" w:name="_Toc54596872"/>
      <w:bookmarkStart w:id="555" w:name="_Toc54599569"/>
      <w:bookmarkStart w:id="556" w:name="_Toc54599938"/>
      <w:bookmarkStart w:id="557" w:name="_Toc54607263"/>
      <w:bookmarkStart w:id="558" w:name="_Toc52959809"/>
      <w:bookmarkStart w:id="559" w:name="_Toc52961584"/>
      <w:bookmarkStart w:id="560" w:name="_Toc52973848"/>
      <w:bookmarkStart w:id="561" w:name="_Toc52975277"/>
      <w:r>
        <w:rPr>
          <w:rStyle w:val="CharDivNo"/>
        </w:rPr>
        <w:t>Division 1</w:t>
      </w:r>
      <w:r>
        <w:t> — </w:t>
      </w:r>
      <w:r>
        <w:rPr>
          <w:rStyle w:val="CharDivText"/>
        </w:rPr>
        <w:t>Transport documentation</w:t>
      </w:r>
      <w:bookmarkEnd w:id="553"/>
      <w:bookmarkEnd w:id="554"/>
      <w:bookmarkEnd w:id="555"/>
      <w:bookmarkEnd w:id="556"/>
      <w:bookmarkEnd w:id="557"/>
      <w:bookmarkEnd w:id="558"/>
      <w:bookmarkEnd w:id="559"/>
      <w:bookmarkEnd w:id="560"/>
      <w:bookmarkEnd w:id="561"/>
    </w:p>
    <w:p>
      <w:pPr>
        <w:pStyle w:val="Heading5"/>
      </w:pPr>
      <w:bookmarkStart w:id="562" w:name="_Toc54607264"/>
      <w:bookmarkStart w:id="563" w:name="_Toc52975278"/>
      <w:r>
        <w:rPr>
          <w:rStyle w:val="CharSectno"/>
        </w:rPr>
        <w:t>149</w:t>
      </w:r>
      <w:r>
        <w:t>.</w:t>
      </w:r>
      <w:r>
        <w:tab/>
        <w:t>False or misleading information</w:t>
      </w:r>
      <w:bookmarkEnd w:id="562"/>
      <w:bookmarkEnd w:id="563"/>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564" w:name="_Toc54607265"/>
      <w:bookmarkStart w:id="565" w:name="_Toc52975279"/>
      <w:r>
        <w:rPr>
          <w:rStyle w:val="CharSectno"/>
        </w:rPr>
        <w:t>150</w:t>
      </w:r>
      <w:r>
        <w:t>.</w:t>
      </w:r>
      <w:r>
        <w:tab/>
        <w:t>Duty on consignors — transport by road</w:t>
      </w:r>
      <w:bookmarkEnd w:id="564"/>
      <w:bookmarkEnd w:id="565"/>
    </w:p>
    <w:p>
      <w:pPr>
        <w:pStyle w:val="Subsection"/>
      </w:pPr>
      <w:r>
        <w:tab/>
        <w:t>(1)</w:t>
      </w:r>
      <w:r>
        <w:tab/>
        <w:t>A person must not consign dangerous goods for transport in or on a road vehicle if the prime contractor or the driver of the road vehicle does not have transport documentation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for each load.</w:t>
      </w:r>
    </w:p>
    <w:p>
      <w:pPr>
        <w:pStyle w:val="Penstart"/>
      </w:pPr>
      <w:r>
        <w:tab/>
        <w:t>Penalty: a fine of $3 000.</w:t>
      </w:r>
    </w:p>
    <w:p>
      <w:pPr>
        <w:pStyle w:val="Footnotesection"/>
        <w:rPr>
          <w:szCs w:val="24"/>
        </w:rPr>
      </w:pPr>
      <w:r>
        <w:rPr>
          <w:szCs w:val="24"/>
        </w:rPr>
        <w:tab/>
        <w:t>[Regulation 150 amended: Gazette 31 Aug 2018 p. 3047.]</w:t>
      </w:r>
    </w:p>
    <w:p>
      <w:pPr>
        <w:pStyle w:val="Heading5"/>
        <w:spacing w:before="180"/>
      </w:pPr>
      <w:bookmarkStart w:id="566" w:name="_Toc54607266"/>
      <w:bookmarkStart w:id="567" w:name="_Toc52975280"/>
      <w:r>
        <w:rPr>
          <w:rStyle w:val="CharSectno"/>
        </w:rPr>
        <w:t>151</w:t>
      </w:r>
      <w:r>
        <w:t>.</w:t>
      </w:r>
      <w:r>
        <w:tab/>
        <w:t>Duty on consignors — transport by rail</w:t>
      </w:r>
      <w:bookmarkEnd w:id="566"/>
      <w:bookmarkEnd w:id="567"/>
    </w:p>
    <w:p>
      <w:pPr>
        <w:pStyle w:val="Subsection"/>
        <w:spacing w:before="120"/>
      </w:pPr>
      <w:r>
        <w:tab/>
        <w:t>(1)</w:t>
      </w:r>
      <w:r>
        <w:tab/>
        <w:t>A person must not consign dangerous goods for transport in or on a unit of rolling stock if the rail operator does not have transport documentation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Footnotesection"/>
        <w:rPr>
          <w:szCs w:val="24"/>
        </w:rPr>
      </w:pPr>
      <w:r>
        <w:rPr>
          <w:szCs w:val="24"/>
        </w:rPr>
        <w:tab/>
        <w:t>[Regulation 151 amended: Gazette 31 Aug 2018 p. 3047.]</w:t>
      </w:r>
    </w:p>
    <w:p>
      <w:pPr>
        <w:pStyle w:val="Heading5"/>
      </w:pPr>
      <w:bookmarkStart w:id="568" w:name="_Toc54607267"/>
      <w:bookmarkStart w:id="569" w:name="_Toc52975281"/>
      <w:r>
        <w:rPr>
          <w:rStyle w:val="CharSectno"/>
        </w:rPr>
        <w:t>152</w:t>
      </w:r>
      <w:r>
        <w:t>.</w:t>
      </w:r>
      <w:r>
        <w:tab/>
        <w:t>Duty on prime contractors</w:t>
      </w:r>
      <w:bookmarkEnd w:id="568"/>
      <w:bookmarkEnd w:id="569"/>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Gazette 13 Jun 2014 p. 1942; amended: Gazette 11 Jul 2017 p. 3827; 31 Aug 2018 p. 3047.]</w:t>
      </w:r>
    </w:p>
    <w:p>
      <w:pPr>
        <w:pStyle w:val="Heading5"/>
      </w:pPr>
      <w:bookmarkStart w:id="570" w:name="_Toc54607268"/>
      <w:bookmarkStart w:id="571" w:name="_Toc52975282"/>
      <w:r>
        <w:rPr>
          <w:rStyle w:val="CharSectno"/>
        </w:rPr>
        <w:t>153</w:t>
      </w:r>
      <w:r>
        <w:t>.</w:t>
      </w:r>
      <w:r>
        <w:tab/>
        <w:t>Duty on rail operators</w:t>
      </w:r>
      <w:bookmarkEnd w:id="570"/>
      <w:bookmarkEnd w:id="571"/>
    </w:p>
    <w:p>
      <w:pPr>
        <w:pStyle w:val="Subsection"/>
        <w:rPr>
          <w:bCs/>
          <w:iCs/>
        </w:rPr>
      </w:pPr>
      <w:r>
        <w:tab/>
      </w:r>
      <w:r>
        <w:tab/>
        <w:t>A rail operator must not transport dangerous goods by rail unless the driver of the train transporting the goods has been given transport documentation for the goods.</w:t>
      </w:r>
    </w:p>
    <w:p>
      <w:pPr>
        <w:pStyle w:val="Penstart"/>
      </w:pPr>
      <w:r>
        <w:tab/>
        <w:t>Penalty: a fine of $5 000.</w:t>
      </w:r>
    </w:p>
    <w:p>
      <w:pPr>
        <w:pStyle w:val="Footnotesection"/>
        <w:rPr>
          <w:szCs w:val="24"/>
        </w:rPr>
      </w:pPr>
      <w:r>
        <w:rPr>
          <w:szCs w:val="24"/>
        </w:rPr>
        <w:tab/>
        <w:t>[Regulation 153 amended: Gazette 31 Aug 2018 p. 3047.]</w:t>
      </w:r>
    </w:p>
    <w:p>
      <w:pPr>
        <w:pStyle w:val="Heading5"/>
      </w:pPr>
      <w:bookmarkStart w:id="572" w:name="_Toc54607269"/>
      <w:bookmarkStart w:id="573" w:name="_Toc52975283"/>
      <w:r>
        <w:rPr>
          <w:rStyle w:val="CharSectno"/>
        </w:rPr>
        <w:t>154</w:t>
      </w:r>
      <w:r>
        <w:t>.</w:t>
      </w:r>
      <w:r>
        <w:tab/>
        <w:t>Duty on drivers</w:t>
      </w:r>
      <w:bookmarkEnd w:id="572"/>
      <w:bookmarkEnd w:id="573"/>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Gazette 13 Jun 2014 p. 1942.]</w:t>
      </w:r>
    </w:p>
    <w:p>
      <w:pPr>
        <w:pStyle w:val="Heading5"/>
      </w:pPr>
      <w:bookmarkStart w:id="574" w:name="_Toc54607270"/>
      <w:bookmarkStart w:id="575" w:name="_Toc52975284"/>
      <w:r>
        <w:rPr>
          <w:rStyle w:val="CharSectno"/>
        </w:rPr>
        <w:t>155</w:t>
      </w:r>
      <w:r>
        <w:t>.</w:t>
      </w:r>
      <w:r>
        <w:tab/>
        <w:t>Duty on train drivers</w:t>
      </w:r>
      <w:bookmarkEnd w:id="574"/>
      <w:bookmarkEnd w:id="575"/>
    </w:p>
    <w:p>
      <w:pPr>
        <w:pStyle w:val="Subsection"/>
      </w:pPr>
      <w:r>
        <w:tab/>
        <w:t>(1)</w:t>
      </w:r>
      <w:r>
        <w:tab/>
        <w:t>A person must not drive a train that the person knows, or ought reasonably to know, is transporting dangerous goods, if the person does not have transport documentation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Gazette 22 Jun 2010 p. 2733; 31 Aug 2018 p. 3047.]</w:t>
      </w:r>
    </w:p>
    <w:p>
      <w:pPr>
        <w:pStyle w:val="Heading5"/>
      </w:pPr>
      <w:bookmarkStart w:id="576" w:name="_Toc54607271"/>
      <w:bookmarkStart w:id="577" w:name="_Toc52975285"/>
      <w:r>
        <w:rPr>
          <w:rStyle w:val="CharSectno"/>
        </w:rPr>
        <w:t>156A</w:t>
      </w:r>
      <w:r>
        <w:t>.</w:t>
      </w:r>
      <w:r>
        <w:tab/>
        <w:t>Prime contactor’s duties: retention of documents</w:t>
      </w:r>
      <w:bookmarkEnd w:id="576"/>
      <w:bookmarkEnd w:id="577"/>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Gazette 13 Jun 2014 p. 1943.]</w:t>
      </w:r>
    </w:p>
    <w:p>
      <w:pPr>
        <w:pStyle w:val="Heading3"/>
      </w:pPr>
      <w:bookmarkStart w:id="578" w:name="_Toc54596513"/>
      <w:bookmarkStart w:id="579" w:name="_Toc54596881"/>
      <w:bookmarkStart w:id="580" w:name="_Toc54599578"/>
      <w:bookmarkStart w:id="581" w:name="_Toc54599947"/>
      <w:bookmarkStart w:id="582" w:name="_Toc54607272"/>
      <w:bookmarkStart w:id="583" w:name="_Toc52959818"/>
      <w:bookmarkStart w:id="584" w:name="_Toc52961593"/>
      <w:bookmarkStart w:id="585" w:name="_Toc52973857"/>
      <w:bookmarkStart w:id="586" w:name="_Toc52975286"/>
      <w:r>
        <w:rPr>
          <w:rStyle w:val="CharDivNo"/>
        </w:rPr>
        <w:t>Division 2</w:t>
      </w:r>
      <w:r>
        <w:t> — </w:t>
      </w:r>
      <w:r>
        <w:rPr>
          <w:rStyle w:val="CharDivText"/>
        </w:rPr>
        <w:t>Emergency information</w:t>
      </w:r>
      <w:bookmarkEnd w:id="578"/>
      <w:bookmarkEnd w:id="579"/>
      <w:bookmarkEnd w:id="580"/>
      <w:bookmarkEnd w:id="581"/>
      <w:bookmarkEnd w:id="582"/>
      <w:bookmarkEnd w:id="583"/>
      <w:bookmarkEnd w:id="584"/>
      <w:bookmarkEnd w:id="585"/>
      <w:bookmarkEnd w:id="586"/>
    </w:p>
    <w:p>
      <w:pPr>
        <w:pStyle w:val="Heading5"/>
        <w:ind w:left="1140" w:hanging="1140"/>
      </w:pPr>
      <w:bookmarkStart w:id="587" w:name="_Toc54607273"/>
      <w:bookmarkStart w:id="588" w:name="_Toc52975287"/>
      <w:r>
        <w:rPr>
          <w:rStyle w:val="CharSectno"/>
        </w:rPr>
        <w:t>156</w:t>
      </w:r>
      <w:r>
        <w:t>.</w:t>
      </w:r>
      <w:r>
        <w:tab/>
        <w:t>Term used: required emergency information</w:t>
      </w:r>
      <w:bookmarkEnd w:id="587"/>
      <w:bookmarkEnd w:id="588"/>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589" w:name="_Toc54607274"/>
      <w:bookmarkStart w:id="590" w:name="_Toc52975288"/>
      <w:r>
        <w:rPr>
          <w:rStyle w:val="CharSectno"/>
        </w:rPr>
        <w:t>157</w:t>
      </w:r>
      <w:r>
        <w:t>.</w:t>
      </w:r>
      <w:r>
        <w:tab/>
        <w:t>Duty on consignors</w:t>
      </w:r>
      <w:bookmarkEnd w:id="589"/>
      <w:bookmarkEnd w:id="590"/>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591" w:name="_Toc54607275"/>
      <w:bookmarkStart w:id="592" w:name="_Toc52975289"/>
      <w:r>
        <w:rPr>
          <w:rStyle w:val="CharSectno"/>
        </w:rPr>
        <w:t>158</w:t>
      </w:r>
      <w:r>
        <w:t>.</w:t>
      </w:r>
      <w:r>
        <w:tab/>
        <w:t>Duty on prime contractors</w:t>
      </w:r>
      <w:bookmarkEnd w:id="591"/>
      <w:bookmarkEnd w:id="592"/>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593" w:name="_Toc54607276"/>
      <w:bookmarkStart w:id="594" w:name="_Toc52975290"/>
      <w:r>
        <w:rPr>
          <w:rStyle w:val="CharSectno"/>
        </w:rPr>
        <w:t>159</w:t>
      </w:r>
      <w:r>
        <w:t>.</w:t>
      </w:r>
      <w:r>
        <w:tab/>
        <w:t>Duty on rail operators</w:t>
      </w:r>
      <w:bookmarkEnd w:id="593"/>
      <w:bookmarkEnd w:id="594"/>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Gazette 13 Jun 2014 p. 1943.]</w:t>
      </w:r>
    </w:p>
    <w:p>
      <w:pPr>
        <w:pStyle w:val="Heading5"/>
        <w:spacing w:before="240"/>
      </w:pPr>
      <w:bookmarkStart w:id="595" w:name="_Toc54607277"/>
      <w:bookmarkStart w:id="596" w:name="_Toc52975291"/>
      <w:r>
        <w:rPr>
          <w:rStyle w:val="CharSectno"/>
        </w:rPr>
        <w:t>160</w:t>
      </w:r>
      <w:r>
        <w:t>.</w:t>
      </w:r>
      <w:r>
        <w:tab/>
        <w:t>Duty on drivers</w:t>
      </w:r>
      <w:bookmarkEnd w:id="595"/>
      <w:bookmarkEnd w:id="596"/>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597" w:name="_Toc54607278"/>
      <w:bookmarkStart w:id="598" w:name="_Toc52975292"/>
      <w:r>
        <w:rPr>
          <w:rStyle w:val="CharSectno"/>
        </w:rPr>
        <w:t>161</w:t>
      </w:r>
      <w:r>
        <w:t>.</w:t>
      </w:r>
      <w:r>
        <w:tab/>
        <w:t>Duty on train drivers</w:t>
      </w:r>
      <w:bookmarkEnd w:id="597"/>
      <w:bookmarkEnd w:id="598"/>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Gazette 22 Jun 2010 p. 2734.]</w:t>
      </w:r>
    </w:p>
    <w:p>
      <w:pPr>
        <w:pStyle w:val="Heading5"/>
      </w:pPr>
      <w:bookmarkStart w:id="599" w:name="_Toc54607279"/>
      <w:bookmarkStart w:id="600" w:name="_Toc52975293"/>
      <w:r>
        <w:rPr>
          <w:rStyle w:val="CharSectno"/>
        </w:rPr>
        <w:t>162</w:t>
      </w:r>
      <w:r>
        <w:t>.</w:t>
      </w:r>
      <w:r>
        <w:tab/>
        <w:t>Approvals — emergency information</w:t>
      </w:r>
      <w:bookmarkEnd w:id="599"/>
      <w:bookmarkEnd w:id="600"/>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3"/>
      </w:pPr>
      <w:bookmarkStart w:id="601" w:name="_Toc54596521"/>
      <w:bookmarkStart w:id="602" w:name="_Toc54596889"/>
      <w:bookmarkStart w:id="603" w:name="_Toc54599586"/>
      <w:bookmarkStart w:id="604" w:name="_Toc54599955"/>
      <w:bookmarkStart w:id="605" w:name="_Toc54607280"/>
      <w:bookmarkStart w:id="606" w:name="_Toc52961601"/>
      <w:bookmarkStart w:id="607" w:name="_Toc52973865"/>
      <w:bookmarkStart w:id="608" w:name="_Toc52975294"/>
      <w:bookmarkStart w:id="609" w:name="_Toc52959826"/>
      <w:r>
        <w:rPr>
          <w:rStyle w:val="CharDivNo"/>
        </w:rPr>
        <w:t>Division 3</w:t>
      </w:r>
      <w:r>
        <w:t> — </w:t>
      </w:r>
      <w:r>
        <w:rPr>
          <w:rStyle w:val="CharDivText"/>
        </w:rPr>
        <w:t>Dangerous goods packed in limited quantities</w:t>
      </w:r>
      <w:bookmarkEnd w:id="601"/>
      <w:bookmarkEnd w:id="602"/>
      <w:bookmarkEnd w:id="603"/>
      <w:bookmarkEnd w:id="604"/>
      <w:bookmarkEnd w:id="605"/>
      <w:bookmarkEnd w:id="606"/>
      <w:bookmarkEnd w:id="607"/>
      <w:bookmarkEnd w:id="608"/>
    </w:p>
    <w:p>
      <w:pPr>
        <w:pStyle w:val="Footnoteheading"/>
      </w:pPr>
      <w:r>
        <w:tab/>
        <w:t>[Heading inserted: SL 2020/193 r. 22.]</w:t>
      </w:r>
    </w:p>
    <w:p>
      <w:pPr>
        <w:pStyle w:val="Heading5"/>
      </w:pPr>
      <w:bookmarkStart w:id="610" w:name="_Toc54607281"/>
      <w:bookmarkStart w:id="611" w:name="_Toc52975295"/>
      <w:r>
        <w:t>162A.</w:t>
      </w:r>
      <w:r>
        <w:tab/>
        <w:t>Duty on consignors</w:t>
      </w:r>
      <w:bookmarkEnd w:id="610"/>
      <w:bookmarkEnd w:id="611"/>
    </w:p>
    <w:p>
      <w:pPr>
        <w:pStyle w:val="Subsection"/>
      </w:pPr>
      <w:r>
        <w:tab/>
      </w:r>
      <w:r>
        <w:tab/>
        <w:t>A person must not consign dangerous goods that are packed in limited quantities for transport unless the person has provided the prime contractor with the information required by the ADG Code section 3.4.12.1 in the form required by that section.</w:t>
      </w:r>
    </w:p>
    <w:p>
      <w:pPr>
        <w:pStyle w:val="Penstart"/>
      </w:pPr>
      <w:r>
        <w:tab/>
        <w:t>Penalty: a fine of $3 000.</w:t>
      </w:r>
    </w:p>
    <w:p>
      <w:pPr>
        <w:pStyle w:val="Footnotesection"/>
      </w:pPr>
      <w:r>
        <w:tab/>
        <w:t>[Regulation 162A inserted: SL 2020/193 r. 22.]</w:t>
      </w:r>
    </w:p>
    <w:p>
      <w:pPr>
        <w:pStyle w:val="Heading5"/>
      </w:pPr>
      <w:bookmarkStart w:id="612" w:name="_Toc54607282"/>
      <w:bookmarkStart w:id="613" w:name="_Toc52975296"/>
      <w:r>
        <w:rPr>
          <w:rStyle w:val="CharSectno"/>
        </w:rPr>
        <w:t>162B</w:t>
      </w:r>
      <w:r>
        <w:t>.</w:t>
      </w:r>
      <w:r>
        <w:tab/>
        <w:t>Duty on prime contractors</w:t>
      </w:r>
      <w:bookmarkEnd w:id="612"/>
      <w:bookmarkEnd w:id="613"/>
    </w:p>
    <w:p>
      <w:pPr>
        <w:pStyle w:val="Subsection"/>
      </w:pPr>
      <w:r>
        <w:rPr>
          <w:b/>
        </w:rPr>
        <w:tab/>
      </w:r>
      <w:r>
        <w:rPr>
          <w:b/>
        </w:rPr>
        <w:tab/>
      </w:r>
      <w:r>
        <w:t>A prime contractor who receives information under the ADG Code section 3.4.12.1 must ensure that the information is readily ascertainable during transport of the dangerous goods.</w:t>
      </w:r>
    </w:p>
    <w:p>
      <w:pPr>
        <w:pStyle w:val="Penstart"/>
      </w:pPr>
      <w:r>
        <w:tab/>
        <w:t>Penalty: a fine of $5 000.</w:t>
      </w:r>
    </w:p>
    <w:p>
      <w:pPr>
        <w:pStyle w:val="Footnotesection"/>
      </w:pPr>
      <w:r>
        <w:tab/>
        <w:t>[Regulation 162B inserted: SL 2020/193 r. 22.]</w:t>
      </w:r>
    </w:p>
    <w:p>
      <w:pPr>
        <w:pStyle w:val="Heading5"/>
      </w:pPr>
      <w:bookmarkStart w:id="614" w:name="_Toc54607283"/>
      <w:bookmarkStart w:id="615" w:name="_Toc52975297"/>
      <w:r>
        <w:rPr>
          <w:rStyle w:val="CharSectno"/>
        </w:rPr>
        <w:t>162C</w:t>
      </w:r>
      <w:r>
        <w:t>.</w:t>
      </w:r>
      <w:r>
        <w:tab/>
        <w:t>False or misleading information</w:t>
      </w:r>
      <w:bookmarkEnd w:id="614"/>
      <w:bookmarkEnd w:id="615"/>
    </w:p>
    <w:p>
      <w:pPr>
        <w:pStyle w:val="Subsection"/>
      </w:pPr>
      <w:r>
        <w:tab/>
      </w:r>
      <w:r>
        <w:tab/>
        <w:t>In providing information under the ADG Code section 3.4.12.1, a person must not include information that the person knows, or ought reasonably to know, is false or misleading in a material particular.</w:t>
      </w:r>
    </w:p>
    <w:p>
      <w:pPr>
        <w:pStyle w:val="Penstart"/>
      </w:pPr>
      <w:r>
        <w:tab/>
        <w:t>Penalty: a fine of $10 000.</w:t>
      </w:r>
    </w:p>
    <w:p>
      <w:pPr>
        <w:pStyle w:val="Footnotesection"/>
      </w:pPr>
      <w:r>
        <w:tab/>
        <w:t>[Regulation 162C inserted: SL 2020/193 r. 22.]</w:t>
      </w:r>
    </w:p>
    <w:p>
      <w:pPr>
        <w:pStyle w:val="Heading2"/>
      </w:pPr>
      <w:bookmarkStart w:id="616" w:name="_Toc54596525"/>
      <w:bookmarkStart w:id="617" w:name="_Toc54596893"/>
      <w:bookmarkStart w:id="618" w:name="_Toc54599590"/>
      <w:bookmarkStart w:id="619" w:name="_Toc54599959"/>
      <w:bookmarkStart w:id="620" w:name="_Toc54607284"/>
      <w:bookmarkStart w:id="621" w:name="_Toc52961605"/>
      <w:bookmarkStart w:id="622" w:name="_Toc52973869"/>
      <w:bookmarkStart w:id="623" w:name="_Toc52975298"/>
      <w:r>
        <w:rPr>
          <w:rStyle w:val="CharPartNo"/>
        </w:rPr>
        <w:t>Part 12</w:t>
      </w:r>
      <w:r>
        <w:rPr>
          <w:rStyle w:val="CharDivNo"/>
        </w:rPr>
        <w:t> </w:t>
      </w:r>
      <w:r>
        <w:t>—</w:t>
      </w:r>
      <w:r>
        <w:rPr>
          <w:rStyle w:val="CharDivText"/>
        </w:rPr>
        <w:t> </w:t>
      </w:r>
      <w:r>
        <w:rPr>
          <w:rStyle w:val="CharPartText"/>
        </w:rPr>
        <w:t>Safety equipment</w:t>
      </w:r>
      <w:bookmarkEnd w:id="616"/>
      <w:bookmarkEnd w:id="617"/>
      <w:bookmarkEnd w:id="618"/>
      <w:bookmarkEnd w:id="619"/>
      <w:bookmarkEnd w:id="620"/>
      <w:bookmarkEnd w:id="609"/>
      <w:bookmarkEnd w:id="621"/>
      <w:bookmarkEnd w:id="622"/>
      <w:bookmarkEnd w:id="623"/>
    </w:p>
    <w:p>
      <w:pPr>
        <w:pStyle w:val="Heading5"/>
      </w:pPr>
      <w:bookmarkStart w:id="624" w:name="_Toc54607285"/>
      <w:bookmarkStart w:id="625" w:name="_Toc52975299"/>
      <w:r>
        <w:rPr>
          <w:rStyle w:val="CharSectno"/>
        </w:rPr>
        <w:t>163</w:t>
      </w:r>
      <w:r>
        <w:t>.</w:t>
      </w:r>
      <w:r>
        <w:tab/>
        <w:t>Duty on owners</w:t>
      </w:r>
      <w:bookmarkEnd w:id="624"/>
      <w:bookmarkEnd w:id="625"/>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626" w:name="_Toc54607286"/>
      <w:bookmarkStart w:id="627" w:name="_Toc52975300"/>
      <w:r>
        <w:rPr>
          <w:rStyle w:val="CharSectno"/>
        </w:rPr>
        <w:t>164</w:t>
      </w:r>
      <w:r>
        <w:t>.</w:t>
      </w:r>
      <w:r>
        <w:tab/>
        <w:t>Duty on prime contractors</w:t>
      </w:r>
      <w:bookmarkEnd w:id="626"/>
      <w:bookmarkEnd w:id="627"/>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Gazette 22 Jun 2010 p. 2734</w:t>
      </w:r>
      <w:r>
        <w:noBreakHyphen/>
        <w:t>5.]</w:t>
      </w:r>
    </w:p>
    <w:p>
      <w:pPr>
        <w:pStyle w:val="Heading5"/>
        <w:spacing w:before="180"/>
      </w:pPr>
      <w:bookmarkStart w:id="628" w:name="_Toc54607287"/>
      <w:bookmarkStart w:id="629" w:name="_Toc52975301"/>
      <w:r>
        <w:rPr>
          <w:rStyle w:val="CharSectno"/>
        </w:rPr>
        <w:t>165</w:t>
      </w:r>
      <w:r>
        <w:t>.</w:t>
      </w:r>
      <w:r>
        <w:tab/>
        <w:t>Duty on drivers</w:t>
      </w:r>
      <w:bookmarkEnd w:id="628"/>
      <w:bookmarkEnd w:id="629"/>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Gazette 22 Jun 2010 p. 2735.]</w:t>
      </w:r>
    </w:p>
    <w:p>
      <w:pPr>
        <w:pStyle w:val="Heading2"/>
      </w:pPr>
      <w:bookmarkStart w:id="630" w:name="_Toc54596529"/>
      <w:bookmarkStart w:id="631" w:name="_Toc54596897"/>
      <w:bookmarkStart w:id="632" w:name="_Toc54599594"/>
      <w:bookmarkStart w:id="633" w:name="_Toc54599963"/>
      <w:bookmarkStart w:id="634" w:name="_Toc54607288"/>
      <w:bookmarkStart w:id="635" w:name="_Toc52959830"/>
      <w:bookmarkStart w:id="636" w:name="_Toc52961609"/>
      <w:bookmarkStart w:id="637" w:name="_Toc52973873"/>
      <w:bookmarkStart w:id="638" w:name="_Toc52975302"/>
      <w:r>
        <w:rPr>
          <w:rStyle w:val="CharPartNo"/>
        </w:rPr>
        <w:t>Part 13</w:t>
      </w:r>
      <w:r>
        <w:t> — </w:t>
      </w:r>
      <w:r>
        <w:rPr>
          <w:rStyle w:val="CharPartText"/>
        </w:rPr>
        <w:t>Procedures during transport</w:t>
      </w:r>
      <w:bookmarkEnd w:id="630"/>
      <w:bookmarkEnd w:id="631"/>
      <w:bookmarkEnd w:id="632"/>
      <w:bookmarkEnd w:id="633"/>
      <w:bookmarkEnd w:id="634"/>
      <w:bookmarkEnd w:id="635"/>
      <w:bookmarkEnd w:id="636"/>
      <w:bookmarkEnd w:id="637"/>
      <w:bookmarkEnd w:id="638"/>
    </w:p>
    <w:p>
      <w:pPr>
        <w:pStyle w:val="Heading3"/>
      </w:pPr>
      <w:bookmarkStart w:id="639" w:name="_Toc54596530"/>
      <w:bookmarkStart w:id="640" w:name="_Toc54596898"/>
      <w:bookmarkStart w:id="641" w:name="_Toc54599595"/>
      <w:bookmarkStart w:id="642" w:name="_Toc54599964"/>
      <w:bookmarkStart w:id="643" w:name="_Toc54607289"/>
      <w:bookmarkStart w:id="644" w:name="_Toc52959831"/>
      <w:bookmarkStart w:id="645" w:name="_Toc52961610"/>
      <w:bookmarkStart w:id="646" w:name="_Toc52973874"/>
      <w:bookmarkStart w:id="647" w:name="_Toc52975303"/>
      <w:r>
        <w:rPr>
          <w:rStyle w:val="CharDivNo"/>
        </w:rPr>
        <w:t>Division 1</w:t>
      </w:r>
      <w:r>
        <w:t> — </w:t>
      </w:r>
      <w:r>
        <w:rPr>
          <w:rStyle w:val="CharDivText"/>
        </w:rPr>
        <w:t>Immobilised and stopped vehicles</w:t>
      </w:r>
      <w:bookmarkEnd w:id="639"/>
      <w:bookmarkEnd w:id="640"/>
      <w:bookmarkEnd w:id="641"/>
      <w:bookmarkEnd w:id="642"/>
      <w:bookmarkEnd w:id="643"/>
      <w:bookmarkEnd w:id="644"/>
      <w:bookmarkEnd w:id="645"/>
      <w:bookmarkEnd w:id="646"/>
      <w:bookmarkEnd w:id="647"/>
    </w:p>
    <w:p>
      <w:pPr>
        <w:pStyle w:val="Heading5"/>
      </w:pPr>
      <w:bookmarkStart w:id="648" w:name="_Toc54607290"/>
      <w:bookmarkStart w:id="649" w:name="_Toc52975304"/>
      <w:r>
        <w:rPr>
          <w:rStyle w:val="CharSectno"/>
        </w:rPr>
        <w:t>166</w:t>
      </w:r>
      <w:r>
        <w:t>.</w:t>
      </w:r>
      <w:r>
        <w:tab/>
        <w:t>Duty on drivers</w:t>
      </w:r>
      <w:bookmarkEnd w:id="648"/>
      <w:bookmarkEnd w:id="649"/>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Gazette 17 Nov 2015 p. 4699-700.]</w:t>
      </w:r>
    </w:p>
    <w:p>
      <w:pPr>
        <w:pStyle w:val="Heading5"/>
      </w:pPr>
      <w:bookmarkStart w:id="650" w:name="_Toc54607291"/>
      <w:bookmarkStart w:id="651" w:name="_Toc52975305"/>
      <w:r>
        <w:rPr>
          <w:rStyle w:val="CharSectno"/>
        </w:rPr>
        <w:t>167</w:t>
      </w:r>
      <w:r>
        <w:t>.</w:t>
      </w:r>
      <w:r>
        <w:tab/>
        <w:t>Duty on prime contractors</w:t>
      </w:r>
      <w:bookmarkEnd w:id="650"/>
      <w:bookmarkEnd w:id="651"/>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Gazette 13 Jun 2014 p. 1943</w:t>
      </w:r>
      <w:r>
        <w:noBreakHyphen/>
        <w:t>4.]</w:t>
      </w:r>
    </w:p>
    <w:p>
      <w:pPr>
        <w:pStyle w:val="Heading5"/>
      </w:pPr>
      <w:bookmarkStart w:id="652" w:name="_Toc54607292"/>
      <w:bookmarkStart w:id="653" w:name="_Toc52975306"/>
      <w:r>
        <w:rPr>
          <w:rStyle w:val="CharSectno"/>
        </w:rPr>
        <w:t>168</w:t>
      </w:r>
      <w:r>
        <w:t>.</w:t>
      </w:r>
      <w:r>
        <w:tab/>
        <w:t>Duty on rail operators</w:t>
      </w:r>
      <w:bookmarkEnd w:id="652"/>
      <w:bookmarkEnd w:id="653"/>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654" w:name="_Toc54596534"/>
      <w:bookmarkStart w:id="655" w:name="_Toc54596902"/>
      <w:bookmarkStart w:id="656" w:name="_Toc54599599"/>
      <w:bookmarkStart w:id="657" w:name="_Toc54599968"/>
      <w:bookmarkStart w:id="658" w:name="_Toc54607293"/>
      <w:bookmarkStart w:id="659" w:name="_Toc52961614"/>
      <w:bookmarkStart w:id="660" w:name="_Toc52973878"/>
      <w:bookmarkStart w:id="661" w:name="_Toc52975307"/>
      <w:bookmarkStart w:id="662" w:name="_Toc52959835"/>
      <w:r>
        <w:rPr>
          <w:rStyle w:val="CharDivNo"/>
        </w:rPr>
        <w:t>Division 2</w:t>
      </w:r>
      <w:r>
        <w:t> — </w:t>
      </w:r>
      <w:r>
        <w:rPr>
          <w:rStyle w:val="CharDivText"/>
        </w:rPr>
        <w:t>General precautions: duties on drivers</w:t>
      </w:r>
      <w:bookmarkEnd w:id="654"/>
      <w:bookmarkEnd w:id="655"/>
      <w:bookmarkEnd w:id="656"/>
      <w:bookmarkEnd w:id="657"/>
      <w:bookmarkEnd w:id="658"/>
      <w:bookmarkEnd w:id="659"/>
      <w:bookmarkEnd w:id="660"/>
      <w:bookmarkEnd w:id="661"/>
    </w:p>
    <w:bookmarkEnd w:id="662"/>
    <w:p>
      <w:pPr>
        <w:pStyle w:val="Footnoteheading"/>
      </w:pPr>
      <w:r>
        <w:tab/>
        <w:t>[Heading inserted: SL 2020/193 r. 23.]</w:t>
      </w:r>
    </w:p>
    <w:p>
      <w:pPr>
        <w:pStyle w:val="Heading5"/>
      </w:pPr>
      <w:bookmarkStart w:id="663" w:name="_Toc54607294"/>
      <w:bookmarkStart w:id="664" w:name="_Toc52975308"/>
      <w:r>
        <w:rPr>
          <w:rStyle w:val="CharSectno"/>
        </w:rPr>
        <w:t>169</w:t>
      </w:r>
      <w:r>
        <w:t>.</w:t>
      </w:r>
      <w:r>
        <w:tab/>
        <w:t>Driving</w:t>
      </w:r>
      <w:bookmarkEnd w:id="663"/>
      <w:bookmarkEnd w:id="664"/>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665" w:name="_Toc54607295"/>
      <w:bookmarkStart w:id="666" w:name="_Toc52975309"/>
      <w:r>
        <w:rPr>
          <w:rStyle w:val="CharSectno"/>
        </w:rPr>
        <w:t>170</w:t>
      </w:r>
      <w:r>
        <w:t>.</w:t>
      </w:r>
      <w:r>
        <w:tab/>
        <w:t>Parking</w:t>
      </w:r>
      <w:bookmarkEnd w:id="665"/>
      <w:bookmarkEnd w:id="666"/>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667" w:name="_Toc54607296"/>
      <w:bookmarkStart w:id="668" w:name="_Toc52975310"/>
      <w:r>
        <w:rPr>
          <w:rStyle w:val="CharSectno"/>
        </w:rPr>
        <w:t>171</w:t>
      </w:r>
      <w:r>
        <w:t>.</w:t>
      </w:r>
      <w:r>
        <w:tab/>
        <w:t>Control of ignition sources</w:t>
      </w:r>
      <w:bookmarkEnd w:id="667"/>
      <w:bookmarkEnd w:id="668"/>
    </w:p>
    <w:p>
      <w:pPr>
        <w:pStyle w:val="Subsection"/>
        <w:keepNext/>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Hazard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Gazette 22 Jun 2010 p. 2736; 31 Aug 2018 p. 3047.]</w:t>
      </w:r>
    </w:p>
    <w:p>
      <w:pPr>
        <w:pStyle w:val="Heading5"/>
      </w:pPr>
      <w:bookmarkStart w:id="669" w:name="_Toc54607297"/>
      <w:bookmarkStart w:id="670" w:name="_Toc52975311"/>
      <w:r>
        <w:rPr>
          <w:rStyle w:val="CharSectno"/>
          <w:color w:val="000000"/>
        </w:rPr>
        <w:t>172</w:t>
      </w:r>
      <w:r>
        <w:rPr>
          <w:color w:val="000000"/>
        </w:rPr>
        <w:t>.</w:t>
      </w:r>
      <w:r>
        <w:rPr>
          <w:color w:val="000000"/>
        </w:rPr>
        <w:tab/>
        <w:t>Unloading</w:t>
      </w:r>
      <w:bookmarkEnd w:id="669"/>
      <w:bookmarkEnd w:id="670"/>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671" w:name="_Toc54607298"/>
      <w:bookmarkStart w:id="672" w:name="_Toc52975312"/>
      <w:r>
        <w:rPr>
          <w:rStyle w:val="CharSectno"/>
          <w:color w:val="000000"/>
        </w:rPr>
        <w:t>173</w:t>
      </w:r>
      <w:r>
        <w:rPr>
          <w:color w:val="000000"/>
        </w:rPr>
        <w:t>.</w:t>
      </w:r>
      <w:r>
        <w:rPr>
          <w:color w:val="000000"/>
        </w:rPr>
        <w:tab/>
        <w:t>Detaching trailer</w:t>
      </w:r>
      <w:bookmarkEnd w:id="671"/>
      <w:bookmarkEnd w:id="672"/>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673" w:name="_Toc54607299"/>
      <w:bookmarkStart w:id="674" w:name="_Toc52975313"/>
      <w:r>
        <w:rPr>
          <w:rStyle w:val="CharSectno"/>
          <w:color w:val="000000"/>
        </w:rPr>
        <w:t>174</w:t>
      </w:r>
      <w:r>
        <w:rPr>
          <w:color w:val="000000"/>
        </w:rPr>
        <w:t>.</w:t>
      </w:r>
      <w:r>
        <w:rPr>
          <w:color w:val="000000"/>
        </w:rPr>
        <w:tab/>
        <w:t>Road tank vehicle equipped with burner</w:t>
      </w:r>
      <w:bookmarkEnd w:id="673"/>
      <w:bookmarkEnd w:id="674"/>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3"/>
      </w:pPr>
      <w:bookmarkStart w:id="675" w:name="_Toc54596541"/>
      <w:bookmarkStart w:id="676" w:name="_Toc54596909"/>
      <w:bookmarkStart w:id="677" w:name="_Toc54599606"/>
      <w:bookmarkStart w:id="678" w:name="_Toc54599975"/>
      <w:bookmarkStart w:id="679" w:name="_Toc54607300"/>
      <w:bookmarkStart w:id="680" w:name="_Toc52961621"/>
      <w:bookmarkStart w:id="681" w:name="_Toc52973885"/>
      <w:bookmarkStart w:id="682" w:name="_Toc52975314"/>
      <w:bookmarkStart w:id="683" w:name="_Toc52959842"/>
      <w:r>
        <w:rPr>
          <w:rStyle w:val="CharDivNo"/>
        </w:rPr>
        <w:t>Division 3</w:t>
      </w:r>
      <w:r>
        <w:t> — </w:t>
      </w:r>
      <w:r>
        <w:rPr>
          <w:rStyle w:val="CharDivText"/>
        </w:rPr>
        <w:t>General precautions: duties on prime contractors</w:t>
      </w:r>
      <w:bookmarkEnd w:id="675"/>
      <w:bookmarkEnd w:id="676"/>
      <w:bookmarkEnd w:id="677"/>
      <w:bookmarkEnd w:id="678"/>
      <w:bookmarkEnd w:id="679"/>
      <w:bookmarkEnd w:id="680"/>
      <w:bookmarkEnd w:id="681"/>
      <w:bookmarkEnd w:id="682"/>
    </w:p>
    <w:p>
      <w:pPr>
        <w:pStyle w:val="Footnoteheading"/>
      </w:pPr>
      <w:r>
        <w:tab/>
        <w:t>[Heading inserted: SL 2020/193 r. 24.]</w:t>
      </w:r>
    </w:p>
    <w:p>
      <w:pPr>
        <w:pStyle w:val="Heading5"/>
      </w:pPr>
      <w:bookmarkStart w:id="684" w:name="_Toc54607301"/>
      <w:bookmarkStart w:id="685" w:name="_Toc52975315"/>
      <w:r>
        <w:rPr>
          <w:rStyle w:val="CharSectno"/>
        </w:rPr>
        <w:t>174A</w:t>
      </w:r>
      <w:r>
        <w:t>.</w:t>
      </w:r>
      <w:r>
        <w:tab/>
        <w:t>Parking</w:t>
      </w:r>
      <w:bookmarkEnd w:id="684"/>
      <w:bookmarkEnd w:id="685"/>
    </w:p>
    <w:p>
      <w:pPr>
        <w:pStyle w:val="Subsection"/>
      </w:pPr>
      <w:r>
        <w:tab/>
      </w:r>
      <w:r>
        <w:tab/>
        <w:t>A prime contractor must not direct or induce the driver of a road vehicle transporting a placard load to park the road vehicle, or leave the road vehicle standing, in a public or private place except in accordance with the ADG Code Part 13.</w:t>
      </w:r>
    </w:p>
    <w:p>
      <w:pPr>
        <w:pStyle w:val="Penstart"/>
      </w:pPr>
      <w:r>
        <w:tab/>
        <w:t>Penalty: a fine of $3 000.</w:t>
      </w:r>
    </w:p>
    <w:p>
      <w:pPr>
        <w:pStyle w:val="Footnotesection"/>
      </w:pPr>
      <w:r>
        <w:tab/>
        <w:t>[Regulation 174A inserted: SL 2020/193 r. 24.]</w:t>
      </w:r>
    </w:p>
    <w:p>
      <w:pPr>
        <w:pStyle w:val="Heading5"/>
      </w:pPr>
      <w:bookmarkStart w:id="686" w:name="_Toc54607302"/>
      <w:bookmarkStart w:id="687" w:name="_Toc52975316"/>
      <w:r>
        <w:rPr>
          <w:rStyle w:val="CharSectno"/>
        </w:rPr>
        <w:t>174B</w:t>
      </w:r>
      <w:r>
        <w:t>.</w:t>
      </w:r>
      <w:r>
        <w:tab/>
        <w:t>Unloading</w:t>
      </w:r>
      <w:bookmarkEnd w:id="686"/>
      <w:bookmarkEnd w:id="687"/>
    </w:p>
    <w:p>
      <w:pPr>
        <w:pStyle w:val="Subsection"/>
      </w:pPr>
      <w:r>
        <w:tab/>
      </w:r>
      <w:r>
        <w:tab/>
      </w:r>
      <w:r>
        <w:rPr>
          <w:color w:val="000000"/>
        </w:rPr>
        <w:t>A prime contractor must not direct or induce the driver of a road vehicle transporting a placard load to permit the dangerous goods to be unloaded from the vehicle except in accordance with the ADG Code Part 13.</w:t>
      </w:r>
    </w:p>
    <w:p>
      <w:pPr>
        <w:pStyle w:val="Penstart"/>
      </w:pPr>
      <w:r>
        <w:tab/>
        <w:t>Penalty: a fine of $10 000.</w:t>
      </w:r>
    </w:p>
    <w:p>
      <w:pPr>
        <w:pStyle w:val="Footnotesection"/>
      </w:pPr>
      <w:r>
        <w:tab/>
        <w:t>[Regulation 174B inserted: SL 2020/193 r. 24.]</w:t>
      </w:r>
    </w:p>
    <w:p>
      <w:pPr>
        <w:pStyle w:val="Heading5"/>
      </w:pPr>
      <w:bookmarkStart w:id="688" w:name="_Toc54607303"/>
      <w:bookmarkStart w:id="689" w:name="_Toc52975317"/>
      <w:r>
        <w:rPr>
          <w:rStyle w:val="CharSectno"/>
        </w:rPr>
        <w:t>174C</w:t>
      </w:r>
      <w:r>
        <w:t>.</w:t>
      </w:r>
      <w:r>
        <w:tab/>
        <w:t>Detaching trailer</w:t>
      </w:r>
      <w:bookmarkEnd w:id="688"/>
      <w:bookmarkEnd w:id="689"/>
    </w:p>
    <w:p>
      <w:pPr>
        <w:pStyle w:val="Subsection"/>
      </w:pPr>
      <w:r>
        <w:tab/>
      </w:r>
      <w:r>
        <w:tab/>
      </w:r>
      <w:r>
        <w:rPr>
          <w:color w:val="000000"/>
        </w:rPr>
        <w:t>A prime contractor must not direct or induce the driver of a road vehicle that has attached to it a trailer transporting a placard load to detach the trailer or permit it to be detached from the vehicle except in accordance with the ADG Code Part 13.</w:t>
      </w:r>
    </w:p>
    <w:p>
      <w:pPr>
        <w:pStyle w:val="Penstart"/>
      </w:pPr>
      <w:r>
        <w:tab/>
        <w:t>Penalty: a fine of $10 000.</w:t>
      </w:r>
    </w:p>
    <w:p>
      <w:pPr>
        <w:pStyle w:val="Footnotesection"/>
      </w:pPr>
      <w:r>
        <w:tab/>
        <w:t>[Regulation 174C inserted: SL 2020/193 r. 24.]</w:t>
      </w:r>
    </w:p>
    <w:p>
      <w:pPr>
        <w:pStyle w:val="Heading5"/>
      </w:pPr>
      <w:bookmarkStart w:id="690" w:name="_Toc54607304"/>
      <w:bookmarkStart w:id="691" w:name="_Toc52975318"/>
      <w:r>
        <w:rPr>
          <w:rStyle w:val="CharSectno"/>
        </w:rPr>
        <w:t>174D</w:t>
      </w:r>
      <w:r>
        <w:t>.</w:t>
      </w:r>
      <w:r>
        <w:tab/>
      </w:r>
      <w:r>
        <w:rPr>
          <w:color w:val="000000"/>
        </w:rPr>
        <w:t>Road tank vehicle equipped with burner</w:t>
      </w:r>
      <w:bookmarkEnd w:id="690"/>
      <w:bookmarkEnd w:id="691"/>
    </w:p>
    <w:p>
      <w:pPr>
        <w:pStyle w:val="Subsection"/>
      </w:pPr>
      <w:r>
        <w:tab/>
      </w:r>
      <w:r>
        <w:tab/>
      </w:r>
      <w:r>
        <w:rPr>
          <w:color w:val="000000"/>
        </w:rPr>
        <w:t>A prime contractor must not direct or induce the driver of a road vehicle that is transporting a placard load, and that is equipped with a burner to heat the load, to operate the burner or permit it to be operated except in accordance with the ADG Code Part 13.</w:t>
      </w:r>
    </w:p>
    <w:p>
      <w:pPr>
        <w:pStyle w:val="Penstart"/>
      </w:pPr>
      <w:r>
        <w:tab/>
        <w:t>Penalty: a fine of $10 000.</w:t>
      </w:r>
    </w:p>
    <w:p>
      <w:pPr>
        <w:pStyle w:val="Footnotesection"/>
      </w:pPr>
      <w:r>
        <w:tab/>
        <w:t>[Regulation 174D inserted: SL 2020/193 r. 24.]</w:t>
      </w:r>
    </w:p>
    <w:p>
      <w:pPr>
        <w:pStyle w:val="Heading2"/>
      </w:pPr>
      <w:bookmarkStart w:id="692" w:name="_Toc54596546"/>
      <w:bookmarkStart w:id="693" w:name="_Toc54596914"/>
      <w:bookmarkStart w:id="694" w:name="_Toc54599611"/>
      <w:bookmarkStart w:id="695" w:name="_Toc54599980"/>
      <w:bookmarkStart w:id="696" w:name="_Toc54607305"/>
      <w:bookmarkStart w:id="697" w:name="_Toc52961626"/>
      <w:bookmarkStart w:id="698" w:name="_Toc52973890"/>
      <w:bookmarkStart w:id="699" w:name="_Toc52975319"/>
      <w:r>
        <w:rPr>
          <w:rStyle w:val="CharPartNo"/>
        </w:rPr>
        <w:t>Part 14</w:t>
      </w:r>
      <w:r>
        <w:t> — </w:t>
      </w:r>
      <w:r>
        <w:rPr>
          <w:rStyle w:val="CharPartText"/>
        </w:rPr>
        <w:t>Emergencies</w:t>
      </w:r>
      <w:bookmarkEnd w:id="692"/>
      <w:bookmarkEnd w:id="693"/>
      <w:bookmarkEnd w:id="694"/>
      <w:bookmarkEnd w:id="695"/>
      <w:bookmarkEnd w:id="696"/>
      <w:bookmarkEnd w:id="683"/>
      <w:bookmarkEnd w:id="697"/>
      <w:bookmarkEnd w:id="698"/>
      <w:bookmarkEnd w:id="699"/>
    </w:p>
    <w:p>
      <w:pPr>
        <w:pStyle w:val="Heading3"/>
        <w:spacing w:before="200"/>
      </w:pPr>
      <w:bookmarkStart w:id="700" w:name="_Toc54596547"/>
      <w:bookmarkStart w:id="701" w:name="_Toc54596915"/>
      <w:bookmarkStart w:id="702" w:name="_Toc54599612"/>
      <w:bookmarkStart w:id="703" w:name="_Toc54599981"/>
      <w:bookmarkStart w:id="704" w:name="_Toc54607306"/>
      <w:bookmarkStart w:id="705" w:name="_Toc52959843"/>
      <w:bookmarkStart w:id="706" w:name="_Toc52961627"/>
      <w:bookmarkStart w:id="707" w:name="_Toc52973891"/>
      <w:bookmarkStart w:id="708" w:name="_Toc52975320"/>
      <w:r>
        <w:rPr>
          <w:rStyle w:val="CharDivNo"/>
        </w:rPr>
        <w:t>Division 1</w:t>
      </w:r>
      <w:r>
        <w:t> — </w:t>
      </w:r>
      <w:r>
        <w:rPr>
          <w:rStyle w:val="CharDivText"/>
        </w:rPr>
        <w:t>Emergencies generally</w:t>
      </w:r>
      <w:bookmarkEnd w:id="700"/>
      <w:bookmarkEnd w:id="701"/>
      <w:bookmarkEnd w:id="702"/>
      <w:bookmarkEnd w:id="703"/>
      <w:bookmarkEnd w:id="704"/>
      <w:bookmarkEnd w:id="705"/>
      <w:bookmarkEnd w:id="706"/>
      <w:bookmarkEnd w:id="707"/>
      <w:bookmarkEnd w:id="708"/>
    </w:p>
    <w:p>
      <w:pPr>
        <w:pStyle w:val="Heading5"/>
        <w:spacing w:before="180"/>
      </w:pPr>
      <w:bookmarkStart w:id="709" w:name="_Toc54607307"/>
      <w:bookmarkStart w:id="710" w:name="_Toc52975321"/>
      <w:r>
        <w:rPr>
          <w:rStyle w:val="CharSectno"/>
        </w:rPr>
        <w:t>175</w:t>
      </w:r>
      <w:r>
        <w:t>.</w:t>
      </w:r>
      <w:r>
        <w:tab/>
        <w:t>Duty on drivers</w:t>
      </w:r>
      <w:bookmarkEnd w:id="709"/>
      <w:bookmarkEnd w:id="710"/>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Gazette 19 Feb 2013 p. 989.]</w:t>
      </w:r>
    </w:p>
    <w:p>
      <w:pPr>
        <w:pStyle w:val="Heading5"/>
        <w:spacing w:before="180"/>
      </w:pPr>
      <w:bookmarkStart w:id="711" w:name="_Toc54607308"/>
      <w:bookmarkStart w:id="712" w:name="_Toc52975322"/>
      <w:r>
        <w:rPr>
          <w:rStyle w:val="CharSectno"/>
        </w:rPr>
        <w:t>176</w:t>
      </w:r>
      <w:r>
        <w:t>.</w:t>
      </w:r>
      <w:r>
        <w:tab/>
        <w:t>Duty on train drivers and rail operators</w:t>
      </w:r>
      <w:bookmarkEnd w:id="711"/>
      <w:bookmarkEnd w:id="712"/>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Gazette 19 Feb 2013 p. 989.]</w:t>
      </w:r>
    </w:p>
    <w:p>
      <w:pPr>
        <w:pStyle w:val="Heading5"/>
        <w:spacing w:before="180"/>
      </w:pPr>
      <w:bookmarkStart w:id="713" w:name="_Toc54607309"/>
      <w:bookmarkStart w:id="714" w:name="_Toc52975323"/>
      <w:r>
        <w:rPr>
          <w:rStyle w:val="CharSectno"/>
        </w:rPr>
        <w:t>177</w:t>
      </w:r>
      <w:r>
        <w:t>.</w:t>
      </w:r>
      <w:r>
        <w:tab/>
        <w:t>Duty on prime contractors and rail operators — food or food packaging</w:t>
      </w:r>
      <w:bookmarkEnd w:id="713"/>
      <w:bookmarkEnd w:id="714"/>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715" w:name="_Toc54607310"/>
      <w:bookmarkStart w:id="716" w:name="_Toc52975324"/>
      <w:r>
        <w:rPr>
          <w:rStyle w:val="CharSectno"/>
        </w:rPr>
        <w:t>178</w:t>
      </w:r>
      <w:r>
        <w:t>.</w:t>
      </w:r>
      <w:r>
        <w:tab/>
        <w:t>Prime contractors, rail operators and drivers to inform Chief Officer</w:t>
      </w:r>
      <w:bookmarkEnd w:id="715"/>
      <w:bookmarkEnd w:id="716"/>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Gazette 22 Jun 2010 p. 2736.]</w:t>
      </w:r>
    </w:p>
    <w:p>
      <w:pPr>
        <w:pStyle w:val="Heading3"/>
      </w:pPr>
      <w:bookmarkStart w:id="717" w:name="_Toc54596552"/>
      <w:bookmarkStart w:id="718" w:name="_Toc54596920"/>
      <w:bookmarkStart w:id="719" w:name="_Toc54599617"/>
      <w:bookmarkStart w:id="720" w:name="_Toc54599986"/>
      <w:bookmarkStart w:id="721" w:name="_Toc54607311"/>
      <w:bookmarkStart w:id="722" w:name="_Toc52959848"/>
      <w:bookmarkStart w:id="723" w:name="_Toc52961632"/>
      <w:bookmarkStart w:id="724" w:name="_Toc52973896"/>
      <w:bookmarkStart w:id="725" w:name="_Toc52975325"/>
      <w:r>
        <w:rPr>
          <w:rStyle w:val="CharDivNo"/>
        </w:rPr>
        <w:t>Division 2</w:t>
      </w:r>
      <w:r>
        <w:t> — </w:t>
      </w:r>
      <w:r>
        <w:rPr>
          <w:rStyle w:val="CharDivText"/>
        </w:rPr>
        <w:t>Emergencies involving placard loads</w:t>
      </w:r>
      <w:bookmarkEnd w:id="717"/>
      <w:bookmarkEnd w:id="718"/>
      <w:bookmarkEnd w:id="719"/>
      <w:bookmarkEnd w:id="720"/>
      <w:bookmarkEnd w:id="721"/>
      <w:bookmarkEnd w:id="722"/>
      <w:bookmarkEnd w:id="723"/>
      <w:bookmarkEnd w:id="724"/>
      <w:bookmarkEnd w:id="725"/>
    </w:p>
    <w:p>
      <w:pPr>
        <w:pStyle w:val="Heading5"/>
      </w:pPr>
      <w:bookmarkStart w:id="726" w:name="_Toc54607312"/>
      <w:bookmarkStart w:id="727" w:name="_Toc52975326"/>
      <w:r>
        <w:rPr>
          <w:rStyle w:val="CharSectno"/>
        </w:rPr>
        <w:t>179</w:t>
      </w:r>
      <w:r>
        <w:t>.</w:t>
      </w:r>
      <w:r>
        <w:tab/>
        <w:t>Telephone advisory service</w:t>
      </w:r>
      <w:bookmarkEnd w:id="726"/>
      <w:bookmarkEnd w:id="727"/>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r>
      <w:r>
        <w:rPr>
          <w:spacing w:val="-4"/>
        </w:rPr>
        <w:t>if a telephone advisory service is not available during the journey</w:t>
      </w:r>
      <w:r>
        <w:t>.</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Gazette 22 Jun 2010 p. 2737.]</w:t>
      </w:r>
    </w:p>
    <w:p>
      <w:pPr>
        <w:pStyle w:val="Heading5"/>
      </w:pPr>
      <w:bookmarkStart w:id="728" w:name="_Toc54607313"/>
      <w:bookmarkStart w:id="729" w:name="_Toc52975327"/>
      <w:r>
        <w:rPr>
          <w:rStyle w:val="CharSectno"/>
        </w:rPr>
        <w:t>180</w:t>
      </w:r>
      <w:r>
        <w:t>.</w:t>
      </w:r>
      <w:r>
        <w:tab/>
        <w:t>Emergency plans</w:t>
      </w:r>
      <w:bookmarkEnd w:id="728"/>
      <w:bookmarkEnd w:id="729"/>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Transport and Infrastructure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Gazette 13 Jun 2014 p. 1944; 11 Jul 2017 p. 3828.]</w:t>
      </w:r>
    </w:p>
    <w:p>
      <w:pPr>
        <w:pStyle w:val="Heading5"/>
      </w:pPr>
      <w:bookmarkStart w:id="730" w:name="_Toc54607314"/>
      <w:bookmarkStart w:id="731" w:name="_Toc52975328"/>
      <w:r>
        <w:rPr>
          <w:rStyle w:val="CharSectno"/>
        </w:rPr>
        <w:t>181</w:t>
      </w:r>
      <w:r>
        <w:t>.</w:t>
      </w:r>
      <w:r>
        <w:tab/>
        <w:t>Duty on consignors — information</w:t>
      </w:r>
      <w:bookmarkEnd w:id="730"/>
      <w:bookmarkEnd w:id="731"/>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732" w:name="_Toc54607315"/>
      <w:bookmarkStart w:id="733" w:name="_Toc52975329"/>
      <w:r>
        <w:rPr>
          <w:rStyle w:val="CharSectno"/>
        </w:rPr>
        <w:t>182</w:t>
      </w:r>
      <w:r>
        <w:t>.</w:t>
      </w:r>
      <w:r>
        <w:tab/>
        <w:t>Duty on prime contractors and rail operators — information</w:t>
      </w:r>
      <w:bookmarkEnd w:id="732"/>
      <w:bookmarkEnd w:id="733"/>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734" w:name="_Toc54596557"/>
      <w:bookmarkStart w:id="735" w:name="_Toc54596925"/>
      <w:bookmarkStart w:id="736" w:name="_Toc54599622"/>
      <w:bookmarkStart w:id="737" w:name="_Toc54599991"/>
      <w:bookmarkStart w:id="738" w:name="_Toc54607316"/>
      <w:bookmarkStart w:id="739" w:name="_Toc52959853"/>
      <w:bookmarkStart w:id="740" w:name="_Toc52961637"/>
      <w:bookmarkStart w:id="741" w:name="_Toc52973901"/>
      <w:bookmarkStart w:id="742" w:name="_Toc52975330"/>
      <w:r>
        <w:rPr>
          <w:rStyle w:val="CharDivNo"/>
        </w:rPr>
        <w:t>Division 3</w:t>
      </w:r>
      <w:r>
        <w:t> — </w:t>
      </w:r>
      <w:r>
        <w:rPr>
          <w:rStyle w:val="CharDivText"/>
        </w:rPr>
        <w:t>Dealing with emergencies involving placard loads</w:t>
      </w:r>
      <w:bookmarkEnd w:id="734"/>
      <w:bookmarkEnd w:id="735"/>
      <w:bookmarkEnd w:id="736"/>
      <w:bookmarkEnd w:id="737"/>
      <w:bookmarkEnd w:id="738"/>
      <w:bookmarkEnd w:id="739"/>
      <w:bookmarkEnd w:id="740"/>
      <w:bookmarkEnd w:id="741"/>
      <w:bookmarkEnd w:id="742"/>
    </w:p>
    <w:p>
      <w:pPr>
        <w:pStyle w:val="Heading5"/>
      </w:pPr>
      <w:bookmarkStart w:id="743" w:name="_Toc54607317"/>
      <w:bookmarkStart w:id="744" w:name="_Toc52975331"/>
      <w:r>
        <w:rPr>
          <w:rStyle w:val="CharSectno"/>
        </w:rPr>
        <w:t>183</w:t>
      </w:r>
      <w:r>
        <w:t>.</w:t>
      </w:r>
      <w:r>
        <w:tab/>
        <w:t>Terms used</w:t>
      </w:r>
      <w:bookmarkEnd w:id="743"/>
      <w:bookmarkEnd w:id="744"/>
    </w:p>
    <w:p>
      <w:pPr>
        <w:pStyle w:val="Subsection"/>
      </w:pPr>
      <w:r>
        <w:tab/>
      </w:r>
      <w:r>
        <w:tab/>
        <w:t xml:space="preserve">In this Division — </w:t>
      </w:r>
    </w:p>
    <w:p>
      <w:pPr>
        <w:pStyle w:val="Defstart"/>
      </w:pPr>
      <w:r>
        <w:tab/>
      </w:r>
      <w:r>
        <w:rPr>
          <w:rStyle w:val="CharDefText"/>
        </w:rPr>
        <w:t>approved responder</w:t>
      </w:r>
      <w:r>
        <w:t xml:space="preserve">, in relation to a class of dangerous goods, means a person who is approved by the Chief Officer under regulation 184 in relation to the class of dangerous goods; </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Footnotesection"/>
        <w:spacing w:before="100"/>
        <w:ind w:left="890" w:hanging="890"/>
        <w:rPr>
          <w:color w:val="000000"/>
        </w:rPr>
      </w:pPr>
      <w:r>
        <w:tab/>
        <w:t>[Regulation 183 amended: Gazette 11 Jul 2017 p. 3828.]</w:t>
      </w:r>
    </w:p>
    <w:p>
      <w:pPr>
        <w:pStyle w:val="Heading5"/>
      </w:pPr>
      <w:bookmarkStart w:id="745" w:name="_Toc54607318"/>
      <w:bookmarkStart w:id="746" w:name="_Toc52975332"/>
      <w:r>
        <w:rPr>
          <w:rStyle w:val="CharSectno"/>
        </w:rPr>
        <w:t>184</w:t>
      </w:r>
      <w:r>
        <w:t>.</w:t>
      </w:r>
      <w:r>
        <w:tab/>
        <w:t>Approvals — responders to emergencies</w:t>
      </w:r>
      <w:bookmarkEnd w:id="745"/>
      <w:bookmarkEnd w:id="746"/>
    </w:p>
    <w:p>
      <w:pPr>
        <w:pStyle w:val="Subsection"/>
      </w:pPr>
      <w:r>
        <w:tab/>
        <w:t>(1)</w:t>
      </w:r>
      <w:r>
        <w:tab/>
        <w:t>The Chief Officer may approve a person to deal with any dangerous situation that might result while dangerous goods of a specified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class of the dangerous goods to which it relates.</w:t>
      </w:r>
    </w:p>
    <w:p>
      <w:pPr>
        <w:pStyle w:val="Footnotesection"/>
        <w:spacing w:before="100"/>
        <w:ind w:left="890" w:hanging="890"/>
        <w:rPr>
          <w:color w:val="000000"/>
        </w:rPr>
      </w:pPr>
      <w:r>
        <w:tab/>
        <w:t>[Regulation 184 amended: Gazette 11 Jul 2017 p. 3828.]</w:t>
      </w:r>
    </w:p>
    <w:p>
      <w:pPr>
        <w:pStyle w:val="Heading5"/>
      </w:pPr>
      <w:bookmarkStart w:id="747" w:name="_Toc54607319"/>
      <w:bookmarkStart w:id="748" w:name="_Toc52975333"/>
      <w:r>
        <w:rPr>
          <w:rStyle w:val="CharSectno"/>
        </w:rPr>
        <w:t>185</w:t>
      </w:r>
      <w:r>
        <w:t>.</w:t>
      </w:r>
      <w:r>
        <w:tab/>
        <w:t>Duties as to ensure adequate resources available to deal with emergencies</w:t>
      </w:r>
      <w:bookmarkEnd w:id="747"/>
      <w:bookmarkEnd w:id="748"/>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all the dangerous goods that comprise the load; or</w:t>
      </w:r>
    </w:p>
    <w:p>
      <w:pPr>
        <w:pStyle w:val="Indenta"/>
      </w:pPr>
      <w:r>
        <w:tab/>
        <w:t>(b)</w:t>
      </w:r>
      <w:r>
        <w:tab/>
        <w:t>be an approved responder in relation to the dangerous goods that comprise part of the load and have an emergency response contract with another person who is an approved responder in relation to the dangerous goods that comprise the remainder of the load; or</w:t>
      </w:r>
    </w:p>
    <w:p>
      <w:pPr>
        <w:pStyle w:val="Indenta"/>
      </w:pPr>
      <w:r>
        <w:tab/>
        <w:t>(c)</w:t>
      </w:r>
      <w:r>
        <w:tab/>
        <w:t>have an emergency response contract with another person who is an approved responder in relation to the dangerous goods that comprise the load.</w:t>
      </w:r>
    </w:p>
    <w:p>
      <w:pPr>
        <w:pStyle w:val="Ednotesubsection"/>
      </w:pPr>
      <w:r>
        <w:tab/>
        <w:t>[(3)</w:t>
      </w:r>
      <w:r>
        <w:tab/>
        <w:t>deleted]</w:t>
      </w:r>
    </w:p>
    <w:p>
      <w:pPr>
        <w:pStyle w:val="Footnotesection"/>
        <w:spacing w:before="100"/>
        <w:ind w:left="890" w:hanging="890"/>
        <w:rPr>
          <w:color w:val="000000"/>
        </w:rPr>
      </w:pPr>
      <w:r>
        <w:tab/>
        <w:t>[Regulation 185 amended: Gazette 11 Jul 2017 p. 3828.]</w:t>
      </w:r>
    </w:p>
    <w:p>
      <w:pPr>
        <w:pStyle w:val="Heading5"/>
      </w:pPr>
      <w:bookmarkStart w:id="749" w:name="_Toc54607320"/>
      <w:bookmarkStart w:id="750" w:name="_Toc52975334"/>
      <w:r>
        <w:rPr>
          <w:rStyle w:val="CharSectno"/>
        </w:rPr>
        <w:t>186</w:t>
      </w:r>
      <w:r>
        <w:t>.</w:t>
      </w:r>
      <w:r>
        <w:tab/>
        <w:t>Duties to provide resources to deal with emergency</w:t>
      </w:r>
      <w:bookmarkEnd w:id="749"/>
      <w:bookmarkEnd w:id="750"/>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keepNext/>
        <w:keepLines/>
      </w:pPr>
      <w:r>
        <w:tab/>
        <w:t>(3)</w:t>
      </w:r>
      <w:r>
        <w:tab/>
        <w:t xml:space="preserve">The prime contractor, or the rail operator, as the case requires, must — </w:t>
      </w:r>
    </w:p>
    <w:p>
      <w:pPr>
        <w:pStyle w:val="Indenta"/>
      </w:pPr>
      <w:r>
        <w:tab/>
        <w:t>(a)</w:t>
      </w:r>
      <w:r>
        <w:tab/>
        <w:t>if the prime contractor or rail operator is an approved responder in relation to all the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some of the dangerous goods that are giving rise to the dangerous situation —</w:t>
      </w:r>
    </w:p>
    <w:p>
      <w:pPr>
        <w:pStyle w:val="Indenti"/>
      </w:pPr>
      <w:r>
        <w:tab/>
        <w:t>(i)</w:t>
      </w:r>
      <w:r>
        <w:tab/>
        <w:t>deal with the dangerous situation, in so far as it arises from those dangerous goods, as soon as practicable after it arises; and</w:t>
      </w:r>
    </w:p>
    <w:p>
      <w:pPr>
        <w:pStyle w:val="Indenti"/>
      </w:pPr>
      <w:r>
        <w:tab/>
        <w:t>(ii)</w:t>
      </w:r>
      <w:r>
        <w:tab/>
        <w:t>ensure that an approved responder in relation to the remaining dangerous goods that are giving rise to the dangerous situation deals with the dangerous situation, insofar as it arises from those dangerous goods, as soon as practicable after it arises;</w:t>
      </w:r>
    </w:p>
    <w:p>
      <w:pPr>
        <w:pStyle w:val="Indenta"/>
      </w:pPr>
      <w:r>
        <w:tab/>
        <w:t>(c)</w:t>
      </w:r>
      <w:r>
        <w:tab/>
        <w:t xml:space="preserve">if the prime contractor or rail operator is not an approved responder in relation to any of the dangerous goods that are giving rise to the dangerous situation — </w:t>
      </w:r>
    </w:p>
    <w:p>
      <w:pPr>
        <w:pStyle w:val="Indenti"/>
      </w:pPr>
      <w:r>
        <w:tab/>
        <w:t>(i)</w:t>
      </w:r>
      <w:r>
        <w:tab/>
        <w:t>ensure that an approved responder in relation to the dangerous goods that are giving rise to the dangerous situation deals with the dangerous situation as soon as practicable after it arises; and</w:t>
      </w:r>
    </w:p>
    <w:p>
      <w:pPr>
        <w:pStyle w:val="Indenti"/>
      </w:pPr>
      <w:r>
        <w:tab/>
        <w:t>(ii)</w:t>
      </w:r>
      <w:r>
        <w:tab/>
        <w:t xml:space="preserve">provide to the approved responder any assistance that is reasonably required for the approved responder to deal with the dangerous situation. </w:t>
      </w:r>
    </w:p>
    <w:p>
      <w:pPr>
        <w:pStyle w:val="Penstart"/>
      </w:pPr>
      <w:r>
        <w:tab/>
        <w:t>Penalty for this subregulation: a fine of $10 000.</w:t>
      </w:r>
    </w:p>
    <w:p>
      <w:pPr>
        <w:pStyle w:val="Ednotesubsection"/>
      </w:pPr>
      <w:r>
        <w:tab/>
        <w:t>[(4)</w:t>
      </w:r>
      <w:r>
        <w:tab/>
        <w:t>deleted]</w:t>
      </w:r>
    </w:p>
    <w:p>
      <w:pPr>
        <w:pStyle w:val="Footnotesection"/>
        <w:spacing w:before="100"/>
        <w:ind w:left="890" w:hanging="890"/>
        <w:rPr>
          <w:color w:val="000000"/>
        </w:rPr>
      </w:pPr>
      <w:r>
        <w:tab/>
        <w:t>[Regulation 186 amended: Gazette 11 Jul 2017 p. 3829.]</w:t>
      </w:r>
    </w:p>
    <w:p>
      <w:pPr>
        <w:pStyle w:val="Heading2"/>
      </w:pPr>
      <w:bookmarkStart w:id="751" w:name="_Toc54596562"/>
      <w:bookmarkStart w:id="752" w:name="_Toc54596930"/>
      <w:bookmarkStart w:id="753" w:name="_Toc54599627"/>
      <w:bookmarkStart w:id="754" w:name="_Toc54599996"/>
      <w:bookmarkStart w:id="755" w:name="_Toc54607321"/>
      <w:bookmarkStart w:id="756" w:name="_Toc52959858"/>
      <w:bookmarkStart w:id="757" w:name="_Toc52961642"/>
      <w:bookmarkStart w:id="758" w:name="_Toc52973906"/>
      <w:bookmarkStart w:id="759" w:name="_Toc52975335"/>
      <w:r>
        <w:rPr>
          <w:rStyle w:val="CharPartNo"/>
        </w:rPr>
        <w:t>Part 15</w:t>
      </w:r>
      <w:r>
        <w:t> — </w:t>
      </w:r>
      <w:r>
        <w:rPr>
          <w:rStyle w:val="CharPartText"/>
        </w:rPr>
        <w:t>Exemption</w:t>
      </w:r>
      <w:bookmarkEnd w:id="751"/>
      <w:bookmarkEnd w:id="752"/>
      <w:bookmarkEnd w:id="753"/>
      <w:bookmarkEnd w:id="754"/>
      <w:bookmarkEnd w:id="755"/>
      <w:bookmarkEnd w:id="756"/>
      <w:bookmarkEnd w:id="757"/>
      <w:bookmarkEnd w:id="758"/>
      <w:bookmarkEnd w:id="759"/>
    </w:p>
    <w:p>
      <w:pPr>
        <w:pStyle w:val="Heading3"/>
      </w:pPr>
      <w:bookmarkStart w:id="760" w:name="_Toc54596563"/>
      <w:bookmarkStart w:id="761" w:name="_Toc54596931"/>
      <w:bookmarkStart w:id="762" w:name="_Toc54599628"/>
      <w:bookmarkStart w:id="763" w:name="_Toc54599997"/>
      <w:bookmarkStart w:id="764" w:name="_Toc54607322"/>
      <w:bookmarkStart w:id="765" w:name="_Toc52959859"/>
      <w:bookmarkStart w:id="766" w:name="_Toc52961643"/>
      <w:bookmarkStart w:id="767" w:name="_Toc52973907"/>
      <w:bookmarkStart w:id="768" w:name="_Toc52975336"/>
      <w:r>
        <w:rPr>
          <w:rStyle w:val="CharDivNo"/>
        </w:rPr>
        <w:t>Division 1</w:t>
      </w:r>
      <w:r>
        <w:t> — </w:t>
      </w:r>
      <w:r>
        <w:rPr>
          <w:rStyle w:val="CharDivText"/>
        </w:rPr>
        <w:t>General</w:t>
      </w:r>
      <w:bookmarkEnd w:id="760"/>
      <w:bookmarkEnd w:id="761"/>
      <w:bookmarkEnd w:id="762"/>
      <w:bookmarkEnd w:id="763"/>
      <w:bookmarkEnd w:id="764"/>
      <w:bookmarkEnd w:id="765"/>
      <w:bookmarkEnd w:id="766"/>
      <w:bookmarkEnd w:id="767"/>
      <w:bookmarkEnd w:id="768"/>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769" w:name="_Toc54607323"/>
      <w:bookmarkStart w:id="770" w:name="_Toc52975337"/>
      <w:r>
        <w:rPr>
          <w:rStyle w:val="CharSectno"/>
        </w:rPr>
        <w:t>187</w:t>
      </w:r>
      <w:r>
        <w:t>.</w:t>
      </w:r>
      <w:r>
        <w:tab/>
        <w:t>Register of corresponding exemptions</w:t>
      </w:r>
      <w:bookmarkEnd w:id="769"/>
      <w:bookmarkEnd w:id="770"/>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771" w:name="_Toc54607324"/>
      <w:bookmarkStart w:id="772" w:name="_Toc52975338"/>
      <w:r>
        <w:rPr>
          <w:rStyle w:val="CharSectno"/>
        </w:rPr>
        <w:t>188</w:t>
      </w:r>
      <w:r>
        <w:t>.</w:t>
      </w:r>
      <w:r>
        <w:tab/>
        <w:t>Records of corresponding exemptions</w:t>
      </w:r>
      <w:bookmarkEnd w:id="771"/>
      <w:bookmarkEnd w:id="772"/>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773" w:name="_Toc54596566"/>
      <w:bookmarkStart w:id="774" w:name="_Toc54596934"/>
      <w:bookmarkStart w:id="775" w:name="_Toc54599631"/>
      <w:bookmarkStart w:id="776" w:name="_Toc54600000"/>
      <w:bookmarkStart w:id="777" w:name="_Toc54607325"/>
      <w:bookmarkStart w:id="778" w:name="_Toc52959862"/>
      <w:bookmarkStart w:id="779" w:name="_Toc52961646"/>
      <w:bookmarkStart w:id="780" w:name="_Toc52973910"/>
      <w:bookmarkStart w:id="781" w:name="_Toc52975339"/>
      <w:r>
        <w:rPr>
          <w:rStyle w:val="CharDivNo"/>
        </w:rPr>
        <w:t>Division 2</w:t>
      </w:r>
      <w:r>
        <w:t> — </w:t>
      </w:r>
      <w:r>
        <w:rPr>
          <w:rStyle w:val="CharDivText"/>
        </w:rPr>
        <w:t>References of matters to CAP</w:t>
      </w:r>
      <w:bookmarkEnd w:id="773"/>
      <w:bookmarkEnd w:id="774"/>
      <w:bookmarkEnd w:id="775"/>
      <w:bookmarkEnd w:id="776"/>
      <w:bookmarkEnd w:id="777"/>
      <w:bookmarkEnd w:id="778"/>
      <w:bookmarkEnd w:id="779"/>
      <w:bookmarkEnd w:id="780"/>
      <w:bookmarkEnd w:id="781"/>
    </w:p>
    <w:p>
      <w:pPr>
        <w:pStyle w:val="Heading5"/>
      </w:pPr>
      <w:bookmarkStart w:id="782" w:name="_Toc54607326"/>
      <w:bookmarkStart w:id="783" w:name="_Toc52975340"/>
      <w:r>
        <w:rPr>
          <w:rStyle w:val="CharSectno"/>
        </w:rPr>
        <w:t>189</w:t>
      </w:r>
      <w:r>
        <w:t>.</w:t>
      </w:r>
      <w:r>
        <w:tab/>
        <w:t>Term used: exemption</w:t>
      </w:r>
      <w:bookmarkEnd w:id="782"/>
      <w:bookmarkEnd w:id="783"/>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784" w:name="_Toc54607327"/>
      <w:bookmarkStart w:id="785" w:name="_Toc52975341"/>
      <w:r>
        <w:rPr>
          <w:rStyle w:val="CharSectno"/>
        </w:rPr>
        <w:t>190</w:t>
      </w:r>
      <w:r>
        <w:t>.</w:t>
      </w:r>
      <w:r>
        <w:tab/>
        <w:t>References to CAP</w:t>
      </w:r>
      <w:bookmarkEnd w:id="784"/>
      <w:bookmarkEnd w:id="785"/>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Gazette 13 Jun 2014 p. 1944.]</w:t>
      </w:r>
    </w:p>
    <w:p>
      <w:pPr>
        <w:pStyle w:val="Heading5"/>
      </w:pPr>
      <w:bookmarkStart w:id="786" w:name="_Toc54607328"/>
      <w:bookmarkStart w:id="787" w:name="_Toc52975342"/>
      <w:r>
        <w:rPr>
          <w:rStyle w:val="CharSectno"/>
        </w:rPr>
        <w:t>191</w:t>
      </w:r>
      <w:r>
        <w:t>.</w:t>
      </w:r>
      <w:r>
        <w:tab/>
        <w:t>Effect of CAP decisions about exemptions</w:t>
      </w:r>
      <w:bookmarkEnd w:id="786"/>
      <w:bookmarkEnd w:id="787"/>
    </w:p>
    <w:p>
      <w:pPr>
        <w:pStyle w:val="Subsection"/>
        <w:keepNext/>
        <w:keepLines/>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Gazette 13 Jun 2014 p. 1945.]</w:t>
      </w:r>
    </w:p>
    <w:p>
      <w:pPr>
        <w:pStyle w:val="Heading5"/>
      </w:pPr>
      <w:bookmarkStart w:id="788" w:name="_Toc54607329"/>
      <w:bookmarkStart w:id="789" w:name="_Toc52975343"/>
      <w:r>
        <w:rPr>
          <w:rStyle w:val="CharSectno"/>
        </w:rPr>
        <w:t>192</w:t>
      </w:r>
      <w:r>
        <w:t>.</w:t>
      </w:r>
      <w:r>
        <w:tab/>
        <w:t>Effect of CAP decisions about cancelling or varying exemptions</w:t>
      </w:r>
      <w:bookmarkEnd w:id="788"/>
      <w:bookmarkEnd w:id="789"/>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790" w:name="_Toc54596571"/>
      <w:bookmarkStart w:id="791" w:name="_Toc54596939"/>
      <w:bookmarkStart w:id="792" w:name="_Toc54599636"/>
      <w:bookmarkStart w:id="793" w:name="_Toc54600005"/>
      <w:bookmarkStart w:id="794" w:name="_Toc54607330"/>
      <w:bookmarkStart w:id="795" w:name="_Toc52959867"/>
      <w:bookmarkStart w:id="796" w:name="_Toc52961651"/>
      <w:bookmarkStart w:id="797" w:name="_Toc52973915"/>
      <w:bookmarkStart w:id="798" w:name="_Toc52975344"/>
      <w:r>
        <w:rPr>
          <w:rStyle w:val="CharPartNo"/>
        </w:rPr>
        <w:t>Part 16</w:t>
      </w:r>
      <w:r>
        <w:t> — </w:t>
      </w:r>
      <w:r>
        <w:rPr>
          <w:rStyle w:val="CharPartText"/>
        </w:rPr>
        <w:t>Approvals</w:t>
      </w:r>
      <w:bookmarkEnd w:id="790"/>
      <w:bookmarkEnd w:id="791"/>
      <w:bookmarkEnd w:id="792"/>
      <w:bookmarkEnd w:id="793"/>
      <w:bookmarkEnd w:id="794"/>
      <w:bookmarkEnd w:id="795"/>
      <w:bookmarkEnd w:id="796"/>
      <w:bookmarkEnd w:id="797"/>
      <w:bookmarkEnd w:id="798"/>
    </w:p>
    <w:p>
      <w:pPr>
        <w:pStyle w:val="Heading3"/>
      </w:pPr>
      <w:bookmarkStart w:id="799" w:name="_Toc54596572"/>
      <w:bookmarkStart w:id="800" w:name="_Toc54596940"/>
      <w:bookmarkStart w:id="801" w:name="_Toc54599637"/>
      <w:bookmarkStart w:id="802" w:name="_Toc54600006"/>
      <w:bookmarkStart w:id="803" w:name="_Toc54607331"/>
      <w:bookmarkStart w:id="804" w:name="_Toc52959868"/>
      <w:bookmarkStart w:id="805" w:name="_Toc52961652"/>
      <w:bookmarkStart w:id="806" w:name="_Toc52973916"/>
      <w:bookmarkStart w:id="807" w:name="_Toc52975345"/>
      <w:r>
        <w:rPr>
          <w:rStyle w:val="CharDivNo"/>
        </w:rPr>
        <w:t>Division 1</w:t>
      </w:r>
      <w:r>
        <w:t> — </w:t>
      </w:r>
      <w:r>
        <w:rPr>
          <w:rStyle w:val="CharDivText"/>
        </w:rPr>
        <w:t>General</w:t>
      </w:r>
      <w:bookmarkEnd w:id="799"/>
      <w:bookmarkEnd w:id="800"/>
      <w:bookmarkEnd w:id="801"/>
      <w:bookmarkEnd w:id="802"/>
      <w:bookmarkEnd w:id="803"/>
      <w:bookmarkEnd w:id="804"/>
      <w:bookmarkEnd w:id="805"/>
      <w:bookmarkEnd w:id="806"/>
      <w:bookmarkEnd w:id="807"/>
    </w:p>
    <w:p>
      <w:pPr>
        <w:pStyle w:val="Heading5"/>
      </w:pPr>
      <w:bookmarkStart w:id="808" w:name="_Toc54607332"/>
      <w:bookmarkStart w:id="809" w:name="_Toc52975346"/>
      <w:r>
        <w:rPr>
          <w:rStyle w:val="CharSectno"/>
        </w:rPr>
        <w:t>193</w:t>
      </w:r>
      <w:r>
        <w:t>.</w:t>
      </w:r>
      <w:r>
        <w:tab/>
        <w:t>Term used: approval</w:t>
      </w:r>
      <w:bookmarkEnd w:id="808"/>
      <w:bookmarkEnd w:id="809"/>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810" w:name="_Toc54607333"/>
      <w:bookmarkStart w:id="811" w:name="_Toc52975347"/>
      <w:r>
        <w:rPr>
          <w:rStyle w:val="CharSectno"/>
        </w:rPr>
        <w:t>194</w:t>
      </w:r>
      <w:r>
        <w:t>.</w:t>
      </w:r>
      <w:r>
        <w:tab/>
        <w:t>Applications</w:t>
      </w:r>
      <w:bookmarkEnd w:id="810"/>
      <w:bookmarkEnd w:id="811"/>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Gazette 22 Jun 2010 p. 2737.]</w:t>
      </w:r>
    </w:p>
    <w:p>
      <w:pPr>
        <w:pStyle w:val="Heading5"/>
      </w:pPr>
      <w:bookmarkStart w:id="812" w:name="_Toc54607334"/>
      <w:bookmarkStart w:id="813" w:name="_Toc52975348"/>
      <w:r>
        <w:rPr>
          <w:rStyle w:val="CharSectno"/>
        </w:rPr>
        <w:t>195</w:t>
      </w:r>
      <w:r>
        <w:t>.</w:t>
      </w:r>
      <w:r>
        <w:tab/>
        <w:t>Form of approvals</w:t>
      </w:r>
      <w:bookmarkEnd w:id="812"/>
      <w:bookmarkEnd w:id="813"/>
    </w:p>
    <w:p>
      <w:pPr>
        <w:pStyle w:val="Subsection"/>
      </w:pPr>
      <w:r>
        <w:tab/>
      </w:r>
      <w:r>
        <w:tab/>
        <w:t>An approval must be in writing.</w:t>
      </w:r>
    </w:p>
    <w:p>
      <w:pPr>
        <w:pStyle w:val="Heading5"/>
        <w:keepNext w:val="0"/>
        <w:spacing w:before="180"/>
      </w:pPr>
      <w:bookmarkStart w:id="814" w:name="_Toc54607335"/>
      <w:bookmarkStart w:id="815" w:name="_Toc52975349"/>
      <w:r>
        <w:rPr>
          <w:rStyle w:val="CharSectno"/>
        </w:rPr>
        <w:t>196</w:t>
      </w:r>
      <w:r>
        <w:t>.</w:t>
      </w:r>
      <w:r>
        <w:tab/>
        <w:t>When approvals not to be made</w:t>
      </w:r>
      <w:bookmarkEnd w:id="814"/>
      <w:bookmarkEnd w:id="815"/>
    </w:p>
    <w:p>
      <w:pPr>
        <w:pStyle w:val="Subsection"/>
      </w:pPr>
      <w:r>
        <w:tab/>
      </w:r>
      <w:r>
        <w:tab/>
        <w:t>The Chief Officer must not give an approval to a person who is prohibited by a court order from involvement in the transport of dangerous goods.</w:t>
      </w:r>
    </w:p>
    <w:p>
      <w:pPr>
        <w:pStyle w:val="Heading5"/>
      </w:pPr>
      <w:bookmarkStart w:id="816" w:name="_Toc54607336"/>
      <w:bookmarkStart w:id="817" w:name="_Toc52975350"/>
      <w:r>
        <w:rPr>
          <w:rStyle w:val="CharSectno"/>
        </w:rPr>
        <w:t>197</w:t>
      </w:r>
      <w:r>
        <w:t>.</w:t>
      </w:r>
      <w:r>
        <w:tab/>
        <w:t>Reasons for refusal of applications</w:t>
      </w:r>
      <w:bookmarkEnd w:id="816"/>
      <w:bookmarkEnd w:id="817"/>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818" w:name="_Toc54607337"/>
      <w:bookmarkStart w:id="819" w:name="_Toc52975351"/>
      <w:r>
        <w:rPr>
          <w:rStyle w:val="CharSectno"/>
        </w:rPr>
        <w:t>198</w:t>
      </w:r>
      <w:r>
        <w:t>.</w:t>
      </w:r>
      <w:r>
        <w:tab/>
        <w:t>Periods and conditions</w:t>
      </w:r>
      <w:bookmarkEnd w:id="818"/>
      <w:bookmarkEnd w:id="819"/>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820" w:name="_Toc54607338"/>
      <w:bookmarkStart w:id="821" w:name="_Toc52975352"/>
      <w:r>
        <w:rPr>
          <w:rStyle w:val="CharSectno"/>
        </w:rPr>
        <w:t>199</w:t>
      </w:r>
      <w:r>
        <w:t>.</w:t>
      </w:r>
      <w:r>
        <w:tab/>
        <w:t>Replacement approvals</w:t>
      </w:r>
      <w:bookmarkEnd w:id="820"/>
      <w:bookmarkEnd w:id="821"/>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822" w:name="_Toc54607339"/>
      <w:bookmarkStart w:id="823" w:name="_Toc52975353"/>
      <w:r>
        <w:rPr>
          <w:rStyle w:val="CharSectno"/>
        </w:rPr>
        <w:t>200</w:t>
      </w:r>
      <w:r>
        <w:t>.</w:t>
      </w:r>
      <w:r>
        <w:tab/>
        <w:t>Grounds for cancelling approvals</w:t>
      </w:r>
      <w:bookmarkEnd w:id="822"/>
      <w:bookmarkEnd w:id="823"/>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824" w:name="_Toc54607340"/>
      <w:bookmarkStart w:id="825" w:name="_Toc52975354"/>
      <w:r>
        <w:rPr>
          <w:rStyle w:val="CharSectno"/>
        </w:rPr>
        <w:t>201</w:t>
      </w:r>
      <w:r>
        <w:t>.</w:t>
      </w:r>
      <w:r>
        <w:tab/>
        <w:t>Grounds for varying approvals</w:t>
      </w:r>
      <w:bookmarkEnd w:id="824"/>
      <w:bookmarkEnd w:id="825"/>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826" w:name="_Toc54596582"/>
      <w:bookmarkStart w:id="827" w:name="_Toc54596950"/>
      <w:bookmarkStart w:id="828" w:name="_Toc54599647"/>
      <w:bookmarkStart w:id="829" w:name="_Toc54600016"/>
      <w:bookmarkStart w:id="830" w:name="_Toc54607341"/>
      <w:bookmarkStart w:id="831" w:name="_Toc52959878"/>
      <w:bookmarkStart w:id="832" w:name="_Toc52961662"/>
      <w:bookmarkStart w:id="833" w:name="_Toc52973926"/>
      <w:bookmarkStart w:id="834" w:name="_Toc52975355"/>
      <w:r>
        <w:rPr>
          <w:rStyle w:val="CharDivNo"/>
        </w:rPr>
        <w:t>Division 2</w:t>
      </w:r>
      <w:r>
        <w:t> — </w:t>
      </w:r>
      <w:r>
        <w:rPr>
          <w:rStyle w:val="CharDivText"/>
        </w:rPr>
        <w:t>Register of approvals</w:t>
      </w:r>
      <w:bookmarkEnd w:id="826"/>
      <w:bookmarkEnd w:id="827"/>
      <w:bookmarkEnd w:id="828"/>
      <w:bookmarkEnd w:id="829"/>
      <w:bookmarkEnd w:id="830"/>
      <w:bookmarkEnd w:id="831"/>
      <w:bookmarkEnd w:id="832"/>
      <w:bookmarkEnd w:id="833"/>
      <w:bookmarkEnd w:id="834"/>
    </w:p>
    <w:p>
      <w:pPr>
        <w:pStyle w:val="Heading5"/>
        <w:spacing w:before="180"/>
      </w:pPr>
      <w:bookmarkStart w:id="835" w:name="_Toc54607342"/>
      <w:bookmarkStart w:id="836" w:name="_Toc52975356"/>
      <w:r>
        <w:rPr>
          <w:rStyle w:val="CharSectno"/>
        </w:rPr>
        <w:t>202</w:t>
      </w:r>
      <w:r>
        <w:t>.</w:t>
      </w:r>
      <w:r>
        <w:tab/>
        <w:t>Register of approvals</w:t>
      </w:r>
      <w:bookmarkEnd w:id="835"/>
      <w:bookmarkEnd w:id="836"/>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837" w:name="_Toc54607343"/>
      <w:bookmarkStart w:id="838" w:name="_Toc52975357"/>
      <w:r>
        <w:rPr>
          <w:rStyle w:val="CharSectno"/>
        </w:rPr>
        <w:t>203</w:t>
      </w:r>
      <w:r>
        <w:t>.</w:t>
      </w:r>
      <w:r>
        <w:tab/>
        <w:t>Records of approvals</w:t>
      </w:r>
      <w:bookmarkEnd w:id="837"/>
      <w:bookmarkEnd w:id="838"/>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839" w:name="_Toc54596585"/>
      <w:bookmarkStart w:id="840" w:name="_Toc54596953"/>
      <w:bookmarkStart w:id="841" w:name="_Toc54599650"/>
      <w:bookmarkStart w:id="842" w:name="_Toc54600019"/>
      <w:bookmarkStart w:id="843" w:name="_Toc54607344"/>
      <w:bookmarkStart w:id="844" w:name="_Toc52959881"/>
      <w:bookmarkStart w:id="845" w:name="_Toc52961665"/>
      <w:bookmarkStart w:id="846" w:name="_Toc52973929"/>
      <w:bookmarkStart w:id="847" w:name="_Toc52975358"/>
      <w:r>
        <w:rPr>
          <w:rStyle w:val="CharDivNo"/>
        </w:rPr>
        <w:t>Division 3</w:t>
      </w:r>
      <w:r>
        <w:t> — </w:t>
      </w:r>
      <w:r>
        <w:rPr>
          <w:rStyle w:val="CharDivText"/>
        </w:rPr>
        <w:t>Reference of approval matters to CAP</w:t>
      </w:r>
      <w:bookmarkEnd w:id="839"/>
      <w:bookmarkEnd w:id="840"/>
      <w:bookmarkEnd w:id="841"/>
      <w:bookmarkEnd w:id="842"/>
      <w:bookmarkEnd w:id="843"/>
      <w:bookmarkEnd w:id="844"/>
      <w:bookmarkEnd w:id="845"/>
      <w:bookmarkEnd w:id="846"/>
      <w:bookmarkEnd w:id="847"/>
    </w:p>
    <w:p>
      <w:pPr>
        <w:pStyle w:val="Heading5"/>
      </w:pPr>
      <w:bookmarkStart w:id="848" w:name="_Toc54607345"/>
      <w:bookmarkStart w:id="849" w:name="_Toc52975359"/>
      <w:r>
        <w:rPr>
          <w:rStyle w:val="CharSectno"/>
        </w:rPr>
        <w:t>204</w:t>
      </w:r>
      <w:r>
        <w:t>.</w:t>
      </w:r>
      <w:r>
        <w:tab/>
        <w:t>References to CAP</w:t>
      </w:r>
      <w:bookmarkEnd w:id="848"/>
      <w:bookmarkEnd w:id="849"/>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Gazette 13 Jun 2014 p. 1945.]</w:t>
      </w:r>
    </w:p>
    <w:p>
      <w:pPr>
        <w:pStyle w:val="Heading5"/>
      </w:pPr>
      <w:bookmarkStart w:id="850" w:name="_Toc54607346"/>
      <w:bookmarkStart w:id="851" w:name="_Toc52975360"/>
      <w:r>
        <w:rPr>
          <w:rStyle w:val="CharSectno"/>
        </w:rPr>
        <w:t>205</w:t>
      </w:r>
      <w:r>
        <w:t>.</w:t>
      </w:r>
      <w:r>
        <w:tab/>
        <w:t>Effect of CAP decisions about approvals</w:t>
      </w:r>
      <w:bookmarkEnd w:id="850"/>
      <w:bookmarkEnd w:id="851"/>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Gazette 13 Jun 2014 p. 1945.]</w:t>
      </w:r>
    </w:p>
    <w:p>
      <w:pPr>
        <w:pStyle w:val="Heading5"/>
      </w:pPr>
      <w:bookmarkStart w:id="852" w:name="_Toc54607347"/>
      <w:bookmarkStart w:id="853" w:name="_Toc52975361"/>
      <w:r>
        <w:rPr>
          <w:rStyle w:val="CharSectno"/>
        </w:rPr>
        <w:t>206</w:t>
      </w:r>
      <w:r>
        <w:t>.</w:t>
      </w:r>
      <w:r>
        <w:tab/>
        <w:t>Effect of CAP decisions about cancelling or varying approvals</w:t>
      </w:r>
      <w:bookmarkEnd w:id="852"/>
      <w:bookmarkEnd w:id="853"/>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854" w:name="_Toc54596589"/>
      <w:bookmarkStart w:id="855" w:name="_Toc54596957"/>
      <w:bookmarkStart w:id="856" w:name="_Toc54599654"/>
      <w:bookmarkStart w:id="857" w:name="_Toc54600023"/>
      <w:bookmarkStart w:id="858" w:name="_Toc54607348"/>
      <w:bookmarkStart w:id="859" w:name="_Toc52959885"/>
      <w:bookmarkStart w:id="860" w:name="_Toc52961669"/>
      <w:bookmarkStart w:id="861" w:name="_Toc52973933"/>
      <w:bookmarkStart w:id="862" w:name="_Toc52975362"/>
      <w:r>
        <w:rPr>
          <w:rStyle w:val="CharDivNo"/>
        </w:rPr>
        <w:t>Division 4</w:t>
      </w:r>
      <w:r>
        <w:t> — </w:t>
      </w:r>
      <w:r>
        <w:rPr>
          <w:rStyle w:val="CharDivText"/>
        </w:rPr>
        <w:t>Cancellation and variation</w:t>
      </w:r>
      <w:bookmarkEnd w:id="854"/>
      <w:bookmarkEnd w:id="855"/>
      <w:bookmarkEnd w:id="856"/>
      <w:bookmarkEnd w:id="857"/>
      <w:bookmarkEnd w:id="858"/>
      <w:bookmarkEnd w:id="859"/>
      <w:bookmarkEnd w:id="860"/>
      <w:bookmarkEnd w:id="861"/>
      <w:bookmarkEnd w:id="862"/>
    </w:p>
    <w:p>
      <w:pPr>
        <w:pStyle w:val="Heading5"/>
        <w:spacing w:before="180"/>
      </w:pPr>
      <w:bookmarkStart w:id="863" w:name="_Toc54607349"/>
      <w:bookmarkStart w:id="864" w:name="_Toc52975363"/>
      <w:r>
        <w:rPr>
          <w:rStyle w:val="CharSectno"/>
        </w:rPr>
        <w:t>207</w:t>
      </w:r>
      <w:r>
        <w:t>.</w:t>
      </w:r>
      <w:r>
        <w:tab/>
        <w:t>Term used: approval</w:t>
      </w:r>
      <w:bookmarkEnd w:id="863"/>
      <w:bookmarkEnd w:id="864"/>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865" w:name="_Toc54607350"/>
      <w:bookmarkStart w:id="866" w:name="_Toc52975364"/>
      <w:r>
        <w:rPr>
          <w:rStyle w:val="CharSectno"/>
        </w:rPr>
        <w:t>208</w:t>
      </w:r>
      <w:r>
        <w:t>.</w:t>
      </w:r>
      <w:r>
        <w:tab/>
        <w:t>Cancellation and variation in dangerous situations</w:t>
      </w:r>
      <w:bookmarkEnd w:id="865"/>
      <w:bookmarkEnd w:id="866"/>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867" w:name="_Toc54607351"/>
      <w:bookmarkStart w:id="868" w:name="_Toc52975365"/>
      <w:r>
        <w:rPr>
          <w:rStyle w:val="CharSectno"/>
        </w:rPr>
        <w:t>209</w:t>
      </w:r>
      <w:r>
        <w:t>.</w:t>
      </w:r>
      <w:r>
        <w:tab/>
        <w:t>Cancellation giving effect to court orders</w:t>
      </w:r>
      <w:bookmarkEnd w:id="867"/>
      <w:bookmarkEnd w:id="868"/>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869" w:name="_Toc54607352"/>
      <w:bookmarkStart w:id="870" w:name="_Toc52975366"/>
      <w:r>
        <w:rPr>
          <w:rStyle w:val="CharSectno"/>
        </w:rPr>
        <w:t>210</w:t>
      </w:r>
      <w:r>
        <w:t>.</w:t>
      </w:r>
      <w:r>
        <w:tab/>
        <w:t>Variation of approvals on application</w:t>
      </w:r>
      <w:bookmarkEnd w:id="869"/>
      <w:bookmarkEnd w:id="870"/>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871" w:name="_Toc54607353"/>
      <w:bookmarkStart w:id="872" w:name="_Toc52975367"/>
      <w:r>
        <w:rPr>
          <w:rStyle w:val="CharSectno"/>
        </w:rPr>
        <w:t>211</w:t>
      </w:r>
      <w:r>
        <w:t>.</w:t>
      </w:r>
      <w:r>
        <w:tab/>
        <w:t>Cancellation and variation in other circumstances</w:t>
      </w:r>
      <w:bookmarkEnd w:id="871"/>
      <w:bookmarkEnd w:id="872"/>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873" w:name="_Toc54607354"/>
      <w:bookmarkStart w:id="874" w:name="_Toc52975368"/>
      <w:r>
        <w:rPr>
          <w:rStyle w:val="CharSectno"/>
        </w:rPr>
        <w:t>212</w:t>
      </w:r>
      <w:r>
        <w:t>.</w:t>
      </w:r>
      <w:r>
        <w:tab/>
        <w:t>When cancellation and variation take effect</w:t>
      </w:r>
      <w:bookmarkEnd w:id="873"/>
      <w:bookmarkEnd w:id="874"/>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875" w:name="_Toc54596596"/>
      <w:bookmarkStart w:id="876" w:name="_Toc54596964"/>
      <w:bookmarkStart w:id="877" w:name="_Toc54599661"/>
      <w:bookmarkStart w:id="878" w:name="_Toc54600030"/>
      <w:bookmarkStart w:id="879" w:name="_Toc54607355"/>
      <w:bookmarkStart w:id="880" w:name="_Toc52959892"/>
      <w:bookmarkStart w:id="881" w:name="_Toc52961676"/>
      <w:bookmarkStart w:id="882" w:name="_Toc52973940"/>
      <w:bookmarkStart w:id="883" w:name="_Toc52975369"/>
      <w:r>
        <w:rPr>
          <w:rStyle w:val="CharPartNo"/>
        </w:rPr>
        <w:t>Part 17A</w:t>
      </w:r>
      <w:r>
        <w:rPr>
          <w:rStyle w:val="CharDivNo"/>
        </w:rPr>
        <w:t> </w:t>
      </w:r>
      <w:r>
        <w:t>—</w:t>
      </w:r>
      <w:r>
        <w:rPr>
          <w:rStyle w:val="CharDivText"/>
        </w:rPr>
        <w:t> </w:t>
      </w:r>
      <w:r>
        <w:rPr>
          <w:rStyle w:val="CharPartText"/>
        </w:rPr>
        <w:t>Determinations</w:t>
      </w:r>
      <w:bookmarkEnd w:id="875"/>
      <w:bookmarkEnd w:id="876"/>
      <w:bookmarkEnd w:id="877"/>
      <w:bookmarkEnd w:id="878"/>
      <w:bookmarkEnd w:id="879"/>
      <w:bookmarkEnd w:id="880"/>
      <w:bookmarkEnd w:id="881"/>
      <w:bookmarkEnd w:id="882"/>
      <w:bookmarkEnd w:id="883"/>
    </w:p>
    <w:p>
      <w:pPr>
        <w:pStyle w:val="Footnoteheading"/>
      </w:pPr>
      <w:r>
        <w:tab/>
        <w:t>[Heading inserted: Gazette 13 Jun 2014 p. 1945.]</w:t>
      </w:r>
    </w:p>
    <w:p>
      <w:pPr>
        <w:pStyle w:val="Heading5"/>
        <w:spacing w:before="240"/>
      </w:pPr>
      <w:bookmarkStart w:id="884" w:name="_Toc54607356"/>
      <w:bookmarkStart w:id="885" w:name="_Toc52975370"/>
      <w:r>
        <w:rPr>
          <w:rStyle w:val="CharSectno"/>
        </w:rPr>
        <w:t>213A</w:t>
      </w:r>
      <w:r>
        <w:t>.</w:t>
      </w:r>
      <w:r>
        <w:tab/>
        <w:t>Reference of determinations to CAP</w:t>
      </w:r>
      <w:bookmarkEnd w:id="884"/>
      <w:bookmarkEnd w:id="885"/>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Gazette 13 Jun 2014 p. 1945</w:t>
      </w:r>
      <w:r>
        <w:noBreakHyphen/>
        <w:t>6.]</w:t>
      </w:r>
    </w:p>
    <w:p>
      <w:pPr>
        <w:pStyle w:val="Heading5"/>
        <w:spacing w:before="240"/>
      </w:pPr>
      <w:bookmarkStart w:id="886" w:name="_Toc54607357"/>
      <w:bookmarkStart w:id="887" w:name="_Toc52975371"/>
      <w:r>
        <w:rPr>
          <w:rStyle w:val="CharSectno"/>
        </w:rPr>
        <w:t>213B</w:t>
      </w:r>
      <w:r>
        <w:t>.</w:t>
      </w:r>
      <w:r>
        <w:tab/>
        <w:t>Effect of CAP decisions about determinations</w:t>
      </w:r>
      <w:bookmarkEnd w:id="886"/>
      <w:bookmarkEnd w:id="887"/>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Gazette 13 Jun 2014 p. 1946.]</w:t>
      </w:r>
    </w:p>
    <w:p>
      <w:pPr>
        <w:pStyle w:val="Heading5"/>
        <w:spacing w:before="240"/>
      </w:pPr>
      <w:bookmarkStart w:id="888" w:name="_Toc54607358"/>
      <w:bookmarkStart w:id="889" w:name="_Toc52975372"/>
      <w:r>
        <w:rPr>
          <w:rStyle w:val="CharSectno"/>
        </w:rPr>
        <w:t>213C</w:t>
      </w:r>
      <w:r>
        <w:t>.</w:t>
      </w:r>
      <w:r>
        <w:tab/>
        <w:t>Effect of CAP decisions about revoking or varying determinations</w:t>
      </w:r>
      <w:bookmarkEnd w:id="888"/>
      <w:bookmarkEnd w:id="889"/>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Gazette 13 Jun 2014 p. 1947.]</w:t>
      </w:r>
    </w:p>
    <w:p>
      <w:pPr>
        <w:pStyle w:val="Heading2"/>
      </w:pPr>
      <w:bookmarkStart w:id="890" w:name="_Toc54596600"/>
      <w:bookmarkStart w:id="891" w:name="_Toc54596968"/>
      <w:bookmarkStart w:id="892" w:name="_Toc54599665"/>
      <w:bookmarkStart w:id="893" w:name="_Toc54600034"/>
      <w:bookmarkStart w:id="894" w:name="_Toc54607359"/>
      <w:bookmarkStart w:id="895" w:name="_Toc52959896"/>
      <w:bookmarkStart w:id="896" w:name="_Toc52961680"/>
      <w:bookmarkStart w:id="897" w:name="_Toc52973944"/>
      <w:bookmarkStart w:id="898" w:name="_Toc52975373"/>
      <w:r>
        <w:rPr>
          <w:rStyle w:val="CharPartNo"/>
        </w:rPr>
        <w:t>Part 17</w:t>
      </w:r>
      <w:r>
        <w:t> — </w:t>
      </w:r>
      <w:r>
        <w:rPr>
          <w:rStyle w:val="CharPartText"/>
        </w:rPr>
        <w:t>Licences</w:t>
      </w:r>
      <w:bookmarkEnd w:id="890"/>
      <w:bookmarkEnd w:id="891"/>
      <w:bookmarkEnd w:id="892"/>
      <w:bookmarkEnd w:id="893"/>
      <w:bookmarkEnd w:id="894"/>
      <w:bookmarkEnd w:id="895"/>
      <w:bookmarkEnd w:id="896"/>
      <w:bookmarkEnd w:id="897"/>
      <w:bookmarkEnd w:id="898"/>
    </w:p>
    <w:p>
      <w:pPr>
        <w:pStyle w:val="Heading3"/>
      </w:pPr>
      <w:bookmarkStart w:id="899" w:name="_Toc54596601"/>
      <w:bookmarkStart w:id="900" w:name="_Toc54596969"/>
      <w:bookmarkStart w:id="901" w:name="_Toc54599666"/>
      <w:bookmarkStart w:id="902" w:name="_Toc54600035"/>
      <w:bookmarkStart w:id="903" w:name="_Toc54607360"/>
      <w:bookmarkStart w:id="904" w:name="_Toc52959897"/>
      <w:bookmarkStart w:id="905" w:name="_Toc52961681"/>
      <w:bookmarkStart w:id="906" w:name="_Toc52973945"/>
      <w:bookmarkStart w:id="907" w:name="_Toc52975374"/>
      <w:r>
        <w:rPr>
          <w:rStyle w:val="CharDivNo"/>
        </w:rPr>
        <w:t>Division 1</w:t>
      </w:r>
      <w:r>
        <w:t> — </w:t>
      </w:r>
      <w:r>
        <w:rPr>
          <w:rStyle w:val="CharDivText"/>
        </w:rPr>
        <w:t>Preliminary</w:t>
      </w:r>
      <w:bookmarkEnd w:id="899"/>
      <w:bookmarkEnd w:id="900"/>
      <w:bookmarkEnd w:id="901"/>
      <w:bookmarkEnd w:id="902"/>
      <w:bookmarkEnd w:id="903"/>
      <w:bookmarkEnd w:id="904"/>
      <w:bookmarkEnd w:id="905"/>
      <w:bookmarkEnd w:id="906"/>
      <w:bookmarkEnd w:id="907"/>
    </w:p>
    <w:p>
      <w:pPr>
        <w:pStyle w:val="Heading5"/>
        <w:spacing w:before="180"/>
        <w:rPr>
          <w:color w:val="000000"/>
        </w:rPr>
      </w:pPr>
      <w:bookmarkStart w:id="908" w:name="_Toc54607361"/>
      <w:bookmarkStart w:id="909" w:name="_Toc52975375"/>
      <w:r>
        <w:rPr>
          <w:rStyle w:val="CharSectno"/>
          <w:color w:val="000000"/>
        </w:rPr>
        <w:t>213</w:t>
      </w:r>
      <w:r>
        <w:rPr>
          <w:color w:val="000000"/>
        </w:rPr>
        <w:t>.</w:t>
      </w:r>
      <w:r>
        <w:rPr>
          <w:color w:val="000000"/>
        </w:rPr>
        <w:tab/>
        <w:t>Term used: licensing authority</w:t>
      </w:r>
      <w:bookmarkEnd w:id="908"/>
      <w:bookmarkEnd w:id="909"/>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910" w:name="_Toc54607362"/>
      <w:bookmarkStart w:id="911" w:name="_Toc52975376"/>
      <w:r>
        <w:rPr>
          <w:rStyle w:val="CharSectno"/>
          <w:color w:val="000000"/>
        </w:rPr>
        <w:t>214</w:t>
      </w:r>
      <w:r>
        <w:rPr>
          <w:color w:val="000000"/>
        </w:rPr>
        <w:t>.</w:t>
      </w:r>
      <w:r>
        <w:rPr>
          <w:color w:val="000000"/>
        </w:rPr>
        <w:tab/>
        <w:t>Part additional to other laws</w:t>
      </w:r>
      <w:bookmarkEnd w:id="910"/>
      <w:bookmarkEnd w:id="911"/>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912" w:name="_Toc54596604"/>
      <w:bookmarkStart w:id="913" w:name="_Toc54596972"/>
      <w:bookmarkStart w:id="914" w:name="_Toc54599669"/>
      <w:bookmarkStart w:id="915" w:name="_Toc54600038"/>
      <w:bookmarkStart w:id="916" w:name="_Toc54607363"/>
      <w:bookmarkStart w:id="917" w:name="_Toc52959900"/>
      <w:bookmarkStart w:id="918" w:name="_Toc52961684"/>
      <w:bookmarkStart w:id="919" w:name="_Toc52973948"/>
      <w:bookmarkStart w:id="920" w:name="_Toc52975377"/>
      <w:r>
        <w:rPr>
          <w:rStyle w:val="CharDivNo"/>
        </w:rPr>
        <w:t>Division 2</w:t>
      </w:r>
      <w:r>
        <w:t> — </w:t>
      </w:r>
      <w:r>
        <w:rPr>
          <w:rStyle w:val="CharDivText"/>
        </w:rPr>
        <w:t>Principal duties under this Part</w:t>
      </w:r>
      <w:bookmarkEnd w:id="912"/>
      <w:bookmarkEnd w:id="913"/>
      <w:bookmarkEnd w:id="914"/>
      <w:bookmarkEnd w:id="915"/>
      <w:bookmarkEnd w:id="916"/>
      <w:bookmarkEnd w:id="917"/>
      <w:bookmarkEnd w:id="918"/>
      <w:bookmarkEnd w:id="919"/>
      <w:bookmarkEnd w:id="920"/>
    </w:p>
    <w:p>
      <w:pPr>
        <w:pStyle w:val="Heading5"/>
        <w:spacing w:before="180"/>
      </w:pPr>
      <w:bookmarkStart w:id="921" w:name="_Toc54607364"/>
      <w:bookmarkStart w:id="922" w:name="_Toc52975378"/>
      <w:r>
        <w:rPr>
          <w:rStyle w:val="CharSectno"/>
          <w:color w:val="000000"/>
        </w:rPr>
        <w:t>215</w:t>
      </w:r>
      <w:r>
        <w:rPr>
          <w:color w:val="000000"/>
        </w:rPr>
        <w:t>.</w:t>
      </w:r>
      <w:r>
        <w:rPr>
          <w:color w:val="000000"/>
        </w:rPr>
        <w:tab/>
        <w:t>Vehicles to be licensed (Act s. 14)</w:t>
      </w:r>
      <w:bookmarkEnd w:id="921"/>
      <w:bookmarkEnd w:id="922"/>
    </w:p>
    <w:p>
      <w:pPr>
        <w:pStyle w:val="Subsection"/>
      </w:pPr>
      <w:r>
        <w:tab/>
        <w:t>(1)</w:t>
      </w:r>
      <w:r>
        <w:tab/>
        <w:t xml:space="preserve">In this regulation — </w:t>
      </w:r>
    </w:p>
    <w:p>
      <w:pPr>
        <w:pStyle w:val="Defstart"/>
      </w:pPr>
      <w:r>
        <w:tab/>
      </w:r>
      <w:r>
        <w:rPr>
          <w:rStyle w:val="CharDefText"/>
        </w:rPr>
        <w:t>road tank vehicle</w:t>
      </w:r>
      <w:r>
        <w:t xml:space="preserve"> means a tank vehicle — </w:t>
      </w:r>
    </w:p>
    <w:p>
      <w:pPr>
        <w:pStyle w:val="Defpara"/>
      </w:pPr>
      <w:r>
        <w:tab/>
        <w:t>(a)</w:t>
      </w:r>
      <w:r>
        <w:tab/>
        <w:t>that is a road vehicle; and</w:t>
      </w:r>
    </w:p>
    <w:p>
      <w:pPr>
        <w:pStyle w:val="Defpara"/>
      </w:pPr>
      <w:r>
        <w:tab/>
        <w:t>(b)</w:t>
      </w:r>
      <w:r>
        <w:tab/>
        <w:t>with a tank or demountable tank with a capacity of more than 500 L that is filled or emptied while attached to the vehicle.</w:t>
      </w:r>
    </w:p>
    <w:p>
      <w:pPr>
        <w:pStyle w:val="Subsection"/>
      </w:pPr>
      <w:r>
        <w:tab/>
        <w:t>(2)</w:t>
      </w:r>
      <w:r>
        <w:tab/>
        <w:t>Except as provided in subregulation (5), a road tank vehicle used to transport dangerous goods on a road must be licensed under this Part to transport the goods.</w:t>
      </w:r>
    </w:p>
    <w:p>
      <w:pPr>
        <w:pStyle w:val="Ednotesubsection"/>
      </w:pPr>
      <w:r>
        <w:tab/>
        <w:t>[(3), (4)</w:t>
      </w:r>
      <w:r>
        <w:tab/>
        <w:t>deleted]</w:t>
      </w:r>
    </w:p>
    <w:p>
      <w:pPr>
        <w:pStyle w:val="Subsection"/>
      </w:pPr>
      <w:r>
        <w:tab/>
        <w:t>(5)</w:t>
      </w:r>
      <w:r>
        <w:tab/>
        <w:t>A road tank vehicle used to transport dangerous goods need not be licensed under this Part if a determination made under regulation 19 permits the vehicle that is not licensed under this Part to be used to transport the particular dangerous goods.</w:t>
      </w:r>
    </w:p>
    <w:p>
      <w:pPr>
        <w:pStyle w:val="Footnotesection"/>
      </w:pPr>
      <w:r>
        <w:tab/>
        <w:t>[Regulation 215 amended: Gazette 22 Jun 2010 p. 2737</w:t>
      </w:r>
      <w:r>
        <w:noBreakHyphen/>
        <w:t>8; 3 Aug 2012 p. 3757; 13 Jun 2014 p. 1947; 8 Jan 2015 p. 132; 11 Jul 2017 p. 3830.]</w:t>
      </w:r>
    </w:p>
    <w:p>
      <w:pPr>
        <w:pStyle w:val="Heading5"/>
      </w:pPr>
      <w:bookmarkStart w:id="923" w:name="_Toc54607365"/>
      <w:bookmarkStart w:id="924" w:name="_Toc52975379"/>
      <w:r>
        <w:rPr>
          <w:rStyle w:val="CharSectno"/>
          <w:color w:val="000000"/>
        </w:rPr>
        <w:t>216A</w:t>
      </w:r>
      <w:r>
        <w:t>.</w:t>
      </w:r>
      <w:r>
        <w:tab/>
        <w:t>Some vehicles may be licensed even though not required to be licensed under this Part</w:t>
      </w:r>
      <w:bookmarkEnd w:id="923"/>
      <w:bookmarkEnd w:id="924"/>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Gazette 3 Aug 2012 p. 3758.]</w:t>
      </w:r>
    </w:p>
    <w:p>
      <w:pPr>
        <w:pStyle w:val="Heading5"/>
        <w:rPr>
          <w:color w:val="000000"/>
        </w:rPr>
      </w:pPr>
      <w:bookmarkStart w:id="925" w:name="_Toc54607366"/>
      <w:bookmarkStart w:id="926" w:name="_Toc52975380"/>
      <w:r>
        <w:rPr>
          <w:rStyle w:val="CharSectno"/>
          <w:color w:val="000000"/>
        </w:rPr>
        <w:t>216</w:t>
      </w:r>
      <w:r>
        <w:rPr>
          <w:color w:val="000000"/>
        </w:rPr>
        <w:t>.</w:t>
      </w:r>
      <w:r>
        <w:rPr>
          <w:color w:val="000000"/>
        </w:rPr>
        <w:tab/>
        <w:t>Drivers to be licensed (Act s. 15)</w:t>
      </w:r>
      <w:bookmarkEnd w:id="925"/>
      <w:bookmarkEnd w:id="926"/>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Gazette 22 Jun 2010 p. 2738.]</w:t>
      </w:r>
    </w:p>
    <w:p>
      <w:pPr>
        <w:pStyle w:val="Heading5"/>
        <w:rPr>
          <w:color w:val="000000"/>
        </w:rPr>
      </w:pPr>
      <w:bookmarkStart w:id="927" w:name="_Toc54607367"/>
      <w:bookmarkStart w:id="928" w:name="_Toc52975381"/>
      <w:r>
        <w:rPr>
          <w:rStyle w:val="CharSectno"/>
          <w:color w:val="000000"/>
        </w:rPr>
        <w:t>217</w:t>
      </w:r>
      <w:r>
        <w:rPr>
          <w:color w:val="000000"/>
        </w:rPr>
        <w:t>.</w:t>
      </w:r>
      <w:r>
        <w:rPr>
          <w:color w:val="000000"/>
        </w:rPr>
        <w:tab/>
        <w:t>Duty on consignors</w:t>
      </w:r>
      <w:bookmarkEnd w:id="927"/>
      <w:bookmarkEnd w:id="928"/>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929" w:name="_Toc54596609"/>
      <w:bookmarkStart w:id="930" w:name="_Toc54596977"/>
      <w:bookmarkStart w:id="931" w:name="_Toc54599674"/>
      <w:bookmarkStart w:id="932" w:name="_Toc54600043"/>
      <w:bookmarkStart w:id="933" w:name="_Toc54607368"/>
      <w:bookmarkStart w:id="934" w:name="_Toc52959905"/>
      <w:bookmarkStart w:id="935" w:name="_Toc52961689"/>
      <w:bookmarkStart w:id="936" w:name="_Toc52973953"/>
      <w:bookmarkStart w:id="937" w:name="_Toc52975382"/>
      <w:r>
        <w:rPr>
          <w:rStyle w:val="CharDivNo"/>
        </w:rPr>
        <w:t>Division 3</w:t>
      </w:r>
      <w:r>
        <w:t> — </w:t>
      </w:r>
      <w:r>
        <w:rPr>
          <w:rStyle w:val="CharDivText"/>
        </w:rPr>
        <w:t>Dangerous goods driver licences</w:t>
      </w:r>
      <w:bookmarkEnd w:id="929"/>
      <w:bookmarkEnd w:id="930"/>
      <w:bookmarkEnd w:id="931"/>
      <w:bookmarkEnd w:id="932"/>
      <w:bookmarkEnd w:id="933"/>
      <w:bookmarkEnd w:id="934"/>
      <w:bookmarkEnd w:id="935"/>
      <w:bookmarkEnd w:id="936"/>
      <w:bookmarkEnd w:id="937"/>
    </w:p>
    <w:p>
      <w:pPr>
        <w:pStyle w:val="Heading5"/>
        <w:spacing w:before="240"/>
      </w:pPr>
      <w:bookmarkStart w:id="938" w:name="_Toc54607369"/>
      <w:bookmarkStart w:id="939" w:name="_Toc52975383"/>
      <w:r>
        <w:rPr>
          <w:rStyle w:val="CharSectno"/>
        </w:rPr>
        <w:t>218</w:t>
      </w:r>
      <w:r>
        <w:t>.</w:t>
      </w:r>
      <w:r>
        <w:tab/>
        <w:t>Applications for licences</w:t>
      </w:r>
      <w:bookmarkEnd w:id="938"/>
      <w:bookmarkEnd w:id="939"/>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1 recent photograph of the applicant’s face and shoulders;</w:t>
      </w:r>
    </w:p>
    <w:p>
      <w:pPr>
        <w:pStyle w:val="Indenta"/>
      </w:pPr>
      <w:r>
        <w:tab/>
        <w:t>(e)</w:t>
      </w:r>
      <w:r>
        <w:tab/>
        <w:t>if a fee is prescribed for the application — the prescribed fee.</w:t>
      </w:r>
    </w:p>
    <w:p>
      <w:pPr>
        <w:pStyle w:val="Footnotesection"/>
      </w:pPr>
      <w:r>
        <w:tab/>
        <w:t>[Regulation 218 amended: Gazette 17 Nov 2015 p. 4700; 11 Jul 2017 p. 3830.]</w:t>
      </w:r>
    </w:p>
    <w:p>
      <w:pPr>
        <w:pStyle w:val="Heading5"/>
        <w:spacing w:before="240"/>
      </w:pPr>
      <w:bookmarkStart w:id="940" w:name="_Toc54607370"/>
      <w:bookmarkStart w:id="941" w:name="_Toc52975384"/>
      <w:r>
        <w:rPr>
          <w:rStyle w:val="CharSectno"/>
        </w:rPr>
        <w:t>219</w:t>
      </w:r>
      <w:r>
        <w:t>.</w:t>
      </w:r>
      <w:r>
        <w:tab/>
        <w:t>Required driver licence evidence</w:t>
      </w:r>
      <w:bookmarkEnd w:id="940"/>
      <w:bookmarkEnd w:id="941"/>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Gazette 17 Nov 2015 p. 4700.]</w:t>
      </w:r>
    </w:p>
    <w:p>
      <w:pPr>
        <w:pStyle w:val="Heading5"/>
      </w:pPr>
      <w:bookmarkStart w:id="942" w:name="_Toc54607371"/>
      <w:bookmarkStart w:id="943" w:name="_Toc52975385"/>
      <w:r>
        <w:rPr>
          <w:rStyle w:val="CharSectno"/>
        </w:rPr>
        <w:t>220</w:t>
      </w:r>
      <w:r>
        <w:t>.</w:t>
      </w:r>
      <w:r>
        <w:tab/>
        <w:t>Required competency evidence</w:t>
      </w:r>
      <w:bookmarkEnd w:id="942"/>
      <w:bookmarkEnd w:id="943"/>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944" w:name="_Toc54607372"/>
      <w:bookmarkStart w:id="945" w:name="_Toc52975386"/>
      <w:r>
        <w:rPr>
          <w:rStyle w:val="CharSectno"/>
        </w:rPr>
        <w:t>221</w:t>
      </w:r>
      <w:r>
        <w:t>.</w:t>
      </w:r>
      <w:r>
        <w:tab/>
        <w:t>Required medical fitness evidence</w:t>
      </w:r>
      <w:bookmarkEnd w:id="944"/>
      <w:bookmarkEnd w:id="945"/>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Footnotesection"/>
      </w:pPr>
      <w:r>
        <w:tab/>
        <w:t>[Regulation 221 amended: Gazette 3 Aug 2012 p. 3758; 11 Jul 2017 p. 3830.]</w:t>
      </w:r>
    </w:p>
    <w:p>
      <w:pPr>
        <w:pStyle w:val="Heading5"/>
      </w:pPr>
      <w:bookmarkStart w:id="946" w:name="_Toc54607373"/>
      <w:bookmarkStart w:id="947" w:name="_Toc52975387"/>
      <w:r>
        <w:rPr>
          <w:rStyle w:val="CharSectno"/>
        </w:rPr>
        <w:t>222</w:t>
      </w:r>
      <w:r>
        <w:t>.</w:t>
      </w:r>
      <w:r>
        <w:tab/>
        <w:t>Grant of dangerous goods driver licences</w:t>
      </w:r>
      <w:bookmarkEnd w:id="946"/>
      <w:bookmarkEnd w:id="947"/>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948" w:name="_Toc54607374"/>
      <w:bookmarkStart w:id="949" w:name="_Toc52975388"/>
      <w:r>
        <w:rPr>
          <w:rStyle w:val="CharSectno"/>
        </w:rPr>
        <w:t>223</w:t>
      </w:r>
      <w:r>
        <w:t>.</w:t>
      </w:r>
      <w:r>
        <w:tab/>
        <w:t>Applications for renewal of licences</w:t>
      </w:r>
      <w:bookmarkEnd w:id="948"/>
      <w:bookmarkEnd w:id="949"/>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950" w:name="_Toc54607375"/>
      <w:bookmarkStart w:id="951" w:name="_Toc52975389"/>
      <w:r>
        <w:rPr>
          <w:rStyle w:val="CharSectno"/>
        </w:rPr>
        <w:t>224</w:t>
      </w:r>
      <w:r>
        <w:t>.</w:t>
      </w:r>
      <w:r>
        <w:tab/>
        <w:t>Renewal of licences</w:t>
      </w:r>
      <w:bookmarkEnd w:id="950"/>
      <w:bookmarkEnd w:id="951"/>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952" w:name="_Toc54607376"/>
      <w:bookmarkStart w:id="953" w:name="_Toc52975390"/>
      <w:r>
        <w:rPr>
          <w:rStyle w:val="CharSectno"/>
        </w:rPr>
        <w:t>225</w:t>
      </w:r>
      <w:r>
        <w:t>.</w:t>
      </w:r>
      <w:r>
        <w:tab/>
        <w:t>Licence periods</w:t>
      </w:r>
      <w:bookmarkEnd w:id="952"/>
      <w:bookmarkEnd w:id="953"/>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Gazette 3 Aug 2012 p. 3758.]</w:t>
      </w:r>
    </w:p>
    <w:p>
      <w:pPr>
        <w:pStyle w:val="Heading5"/>
        <w:spacing w:before="180"/>
      </w:pPr>
      <w:bookmarkStart w:id="954" w:name="_Toc54607377"/>
      <w:bookmarkStart w:id="955" w:name="_Toc52975391"/>
      <w:r>
        <w:rPr>
          <w:rStyle w:val="CharSectno"/>
        </w:rPr>
        <w:t>226</w:t>
      </w:r>
      <w:r>
        <w:t>.</w:t>
      </w:r>
      <w:r>
        <w:tab/>
        <w:t>Licence conditions</w:t>
      </w:r>
      <w:bookmarkEnd w:id="954"/>
      <w:bookmarkEnd w:id="955"/>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956" w:name="_Toc54607378"/>
      <w:bookmarkStart w:id="957" w:name="_Toc52975392"/>
      <w:r>
        <w:rPr>
          <w:rStyle w:val="CharSectno"/>
        </w:rPr>
        <w:t>227</w:t>
      </w:r>
      <w:r>
        <w:t>.</w:t>
      </w:r>
      <w:r>
        <w:tab/>
        <w:t>Additional condition</w:t>
      </w:r>
      <w:bookmarkEnd w:id="956"/>
      <w:bookmarkEnd w:id="957"/>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keepNext/>
        <w:keepLines/>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Gazette 3 Aug 2012 p. 3759; 11 Jul 2017 p. 3831.]</w:t>
      </w:r>
    </w:p>
    <w:p>
      <w:pPr>
        <w:pStyle w:val="Heading5"/>
      </w:pPr>
      <w:bookmarkStart w:id="958" w:name="_Toc54607379"/>
      <w:bookmarkStart w:id="959" w:name="_Toc52975393"/>
      <w:r>
        <w:rPr>
          <w:rStyle w:val="CharSectno"/>
          <w:color w:val="000000"/>
        </w:rPr>
        <w:t>228</w:t>
      </w:r>
      <w:r>
        <w:rPr>
          <w:color w:val="000000"/>
        </w:rPr>
        <w:t>.</w:t>
      </w:r>
      <w:r>
        <w:rPr>
          <w:color w:val="000000"/>
        </w:rPr>
        <w:tab/>
        <w:t>Grounds for cancelling, suspending or varying</w:t>
      </w:r>
      <w:r>
        <w:t xml:space="preserve"> licences</w:t>
      </w:r>
      <w:bookmarkEnd w:id="958"/>
      <w:bookmarkEnd w:id="959"/>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keepNext w:val="0"/>
        <w:pageBreakBefore/>
        <w:spacing w:before="0"/>
      </w:pPr>
      <w:bookmarkStart w:id="960" w:name="_Toc54596621"/>
      <w:bookmarkStart w:id="961" w:name="_Toc54596989"/>
      <w:bookmarkStart w:id="962" w:name="_Toc54599686"/>
      <w:bookmarkStart w:id="963" w:name="_Toc54600055"/>
      <w:bookmarkStart w:id="964" w:name="_Toc54607380"/>
      <w:bookmarkStart w:id="965" w:name="_Toc52959917"/>
      <w:bookmarkStart w:id="966" w:name="_Toc52961701"/>
      <w:bookmarkStart w:id="967" w:name="_Toc52973965"/>
      <w:bookmarkStart w:id="968" w:name="_Toc52975394"/>
      <w:r>
        <w:rPr>
          <w:rStyle w:val="CharDivNo"/>
        </w:rPr>
        <w:t>Division 4</w:t>
      </w:r>
      <w:r>
        <w:t> — </w:t>
      </w:r>
      <w:r>
        <w:rPr>
          <w:rStyle w:val="CharDivText"/>
        </w:rPr>
        <w:t>Dangerous goods vehicle licences</w:t>
      </w:r>
      <w:bookmarkEnd w:id="960"/>
      <w:bookmarkEnd w:id="961"/>
      <w:bookmarkEnd w:id="962"/>
      <w:bookmarkEnd w:id="963"/>
      <w:bookmarkEnd w:id="964"/>
      <w:bookmarkEnd w:id="965"/>
      <w:bookmarkEnd w:id="966"/>
      <w:bookmarkEnd w:id="967"/>
      <w:bookmarkEnd w:id="968"/>
    </w:p>
    <w:p>
      <w:pPr>
        <w:pStyle w:val="Heading5"/>
        <w:spacing w:before="180"/>
      </w:pPr>
      <w:bookmarkStart w:id="969" w:name="_Toc54607381"/>
      <w:bookmarkStart w:id="970" w:name="_Toc52975395"/>
      <w:r>
        <w:rPr>
          <w:rStyle w:val="CharSectno"/>
        </w:rPr>
        <w:t>229</w:t>
      </w:r>
      <w:r>
        <w:t>.</w:t>
      </w:r>
      <w:r>
        <w:tab/>
        <w:t>Terms used</w:t>
      </w:r>
      <w:bookmarkEnd w:id="969"/>
      <w:bookmarkEnd w:id="970"/>
    </w:p>
    <w:p>
      <w:pPr>
        <w:pStyle w:val="Subsection"/>
      </w:pPr>
      <w:r>
        <w:tab/>
      </w:r>
      <w:r>
        <w:tab/>
        <w:t xml:space="preserve">In this Division — </w:t>
      </w:r>
    </w:p>
    <w:p>
      <w:pPr>
        <w:pStyle w:val="Defstart"/>
      </w:pPr>
      <w:r>
        <w:rPr>
          <w:b/>
        </w:rPr>
        <w:tab/>
      </w:r>
      <w:r>
        <w:rPr>
          <w:rStyle w:val="CharDefText"/>
        </w:rPr>
        <w:t>converter dolly</w:t>
      </w:r>
      <w:r>
        <w:t xml:space="preserve"> has the meaning given in the </w:t>
      </w:r>
      <w:r>
        <w:rPr>
          <w:i/>
        </w:rPr>
        <w:t>Road Traffic (Vehicles) Regulations 2014</w:t>
      </w:r>
      <w:r>
        <w:t xml:space="preserve"> regulation 3;</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pPr>
      <w:r>
        <w:tab/>
        <w:t>(b)</w:t>
      </w:r>
      <w:r>
        <w:tab/>
        <w:t>a converter dolly.</w:t>
      </w:r>
    </w:p>
    <w:p>
      <w:pPr>
        <w:pStyle w:val="Footnotesection"/>
      </w:pPr>
      <w:r>
        <w:tab/>
        <w:t>[Regulation 229 amended: Gazette 11 Jul 2017 p. 3831.]</w:t>
      </w:r>
    </w:p>
    <w:p>
      <w:pPr>
        <w:pStyle w:val="Heading5"/>
        <w:spacing w:before="180"/>
      </w:pPr>
      <w:bookmarkStart w:id="971" w:name="_Toc54607382"/>
      <w:bookmarkStart w:id="972" w:name="_Toc52975396"/>
      <w:r>
        <w:rPr>
          <w:rStyle w:val="CharSectno"/>
        </w:rPr>
        <w:t>230</w:t>
      </w:r>
      <w:r>
        <w:t>.</w:t>
      </w:r>
      <w:r>
        <w:tab/>
        <w:t>Applications for licences</w:t>
      </w:r>
      <w:bookmarkEnd w:id="971"/>
      <w:bookmarkEnd w:id="972"/>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Gazette 8 Jan 2015 p. 132.]</w:t>
      </w:r>
    </w:p>
    <w:p>
      <w:pPr>
        <w:pStyle w:val="Heading5"/>
      </w:pPr>
      <w:bookmarkStart w:id="973" w:name="_Toc54607383"/>
      <w:bookmarkStart w:id="974" w:name="_Toc52975397"/>
      <w:r>
        <w:rPr>
          <w:rStyle w:val="CharSectno"/>
        </w:rPr>
        <w:t>231</w:t>
      </w:r>
      <w:r>
        <w:t>.</w:t>
      </w:r>
      <w:r>
        <w:tab/>
        <w:t>Additional information and inspections</w:t>
      </w:r>
      <w:bookmarkEnd w:id="973"/>
      <w:bookmarkEnd w:id="974"/>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975" w:name="_Toc54607384"/>
      <w:bookmarkStart w:id="976" w:name="_Toc52975398"/>
      <w:r>
        <w:rPr>
          <w:rStyle w:val="CharSectno"/>
        </w:rPr>
        <w:t>232</w:t>
      </w:r>
      <w:r>
        <w:t>.</w:t>
      </w:r>
      <w:r>
        <w:tab/>
        <w:t>Grant of dangerous goods vehicle licences</w:t>
      </w:r>
      <w:bookmarkEnd w:id="975"/>
      <w:bookmarkEnd w:id="976"/>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977" w:name="_Toc54607385"/>
      <w:bookmarkStart w:id="978" w:name="_Toc52975399"/>
      <w:r>
        <w:rPr>
          <w:rStyle w:val="CharSectno"/>
        </w:rPr>
        <w:t>233</w:t>
      </w:r>
      <w:r>
        <w:t>.</w:t>
      </w:r>
      <w:r>
        <w:tab/>
        <w:t>Applications for renewal of licences</w:t>
      </w:r>
      <w:bookmarkEnd w:id="977"/>
      <w:bookmarkEnd w:id="978"/>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Lines w:val="0"/>
        <w:spacing w:before="180"/>
      </w:pPr>
      <w:bookmarkStart w:id="979" w:name="_Toc54607386"/>
      <w:bookmarkStart w:id="980" w:name="_Toc52975400"/>
      <w:r>
        <w:rPr>
          <w:rStyle w:val="CharSectno"/>
        </w:rPr>
        <w:t>234</w:t>
      </w:r>
      <w:r>
        <w:t>.</w:t>
      </w:r>
      <w:r>
        <w:tab/>
        <w:t>Renewal of licences</w:t>
      </w:r>
      <w:bookmarkEnd w:id="979"/>
      <w:bookmarkEnd w:id="980"/>
    </w:p>
    <w:p>
      <w:pPr>
        <w:pStyle w:val="Subsection"/>
        <w:keepNext/>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981" w:name="_Toc54607387"/>
      <w:bookmarkStart w:id="982" w:name="_Toc52975401"/>
      <w:r>
        <w:rPr>
          <w:rStyle w:val="CharSectno"/>
        </w:rPr>
        <w:t>235</w:t>
      </w:r>
      <w:r>
        <w:t>.</w:t>
      </w:r>
      <w:r>
        <w:tab/>
        <w:t>Licence periods</w:t>
      </w:r>
      <w:bookmarkEnd w:id="981"/>
      <w:bookmarkEnd w:id="982"/>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Gazette 3 Aug 2012 p. 3759.]</w:t>
      </w:r>
    </w:p>
    <w:p>
      <w:pPr>
        <w:pStyle w:val="Heading5"/>
        <w:spacing w:before="180"/>
      </w:pPr>
      <w:bookmarkStart w:id="983" w:name="_Toc54607388"/>
      <w:bookmarkStart w:id="984" w:name="_Toc52975402"/>
      <w:r>
        <w:rPr>
          <w:rStyle w:val="CharSectno"/>
        </w:rPr>
        <w:t>236</w:t>
      </w:r>
      <w:r>
        <w:t>.</w:t>
      </w:r>
      <w:r>
        <w:tab/>
        <w:t>Licence conditions</w:t>
      </w:r>
      <w:bookmarkEnd w:id="983"/>
      <w:bookmarkEnd w:id="984"/>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985" w:name="_Toc54607389"/>
      <w:bookmarkStart w:id="986" w:name="_Toc52975403"/>
      <w:r>
        <w:rPr>
          <w:rStyle w:val="CharSectno"/>
        </w:rPr>
        <w:t>237</w:t>
      </w:r>
      <w:r>
        <w:t>.</w:t>
      </w:r>
      <w:r>
        <w:tab/>
        <w:t>Disposal and transfer of licensed vehicles</w:t>
      </w:r>
      <w:bookmarkEnd w:id="985"/>
      <w:bookmarkEnd w:id="986"/>
    </w:p>
    <w:p>
      <w:pPr>
        <w:pStyle w:val="Subsection"/>
        <w:keepNext/>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987" w:name="_Toc54607390"/>
      <w:bookmarkStart w:id="988" w:name="_Toc52975404"/>
      <w:r>
        <w:rPr>
          <w:rStyle w:val="CharSectno"/>
        </w:rPr>
        <w:t>238</w:t>
      </w:r>
      <w:r>
        <w:t>.</w:t>
      </w:r>
      <w:r>
        <w:tab/>
        <w:t>Grounds for cancelling, suspending or varying licences</w:t>
      </w:r>
      <w:bookmarkEnd w:id="987"/>
      <w:bookmarkEnd w:id="988"/>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989" w:name="_Toc54596632"/>
      <w:bookmarkStart w:id="990" w:name="_Toc54597000"/>
      <w:bookmarkStart w:id="991" w:name="_Toc54599697"/>
      <w:bookmarkStart w:id="992" w:name="_Toc54600066"/>
      <w:bookmarkStart w:id="993" w:name="_Toc54607391"/>
      <w:bookmarkStart w:id="994" w:name="_Toc52959928"/>
      <w:bookmarkStart w:id="995" w:name="_Toc52961712"/>
      <w:bookmarkStart w:id="996" w:name="_Toc52973976"/>
      <w:bookmarkStart w:id="997" w:name="_Toc52975405"/>
      <w:r>
        <w:rPr>
          <w:rStyle w:val="CharDivNo"/>
        </w:rPr>
        <w:t>Division 5</w:t>
      </w:r>
      <w:r>
        <w:t> — </w:t>
      </w:r>
      <w:r>
        <w:rPr>
          <w:rStyle w:val="CharDivText"/>
        </w:rPr>
        <w:t>Requirements relating to dangerous goods driver licences</w:t>
      </w:r>
      <w:bookmarkEnd w:id="989"/>
      <w:bookmarkEnd w:id="990"/>
      <w:bookmarkEnd w:id="991"/>
      <w:bookmarkEnd w:id="992"/>
      <w:bookmarkEnd w:id="993"/>
      <w:bookmarkEnd w:id="994"/>
      <w:bookmarkEnd w:id="995"/>
      <w:bookmarkEnd w:id="996"/>
      <w:bookmarkEnd w:id="997"/>
    </w:p>
    <w:p>
      <w:pPr>
        <w:pStyle w:val="Heading5"/>
        <w:spacing w:before="180"/>
      </w:pPr>
      <w:bookmarkStart w:id="998" w:name="_Toc54607392"/>
      <w:bookmarkStart w:id="999" w:name="_Toc52975406"/>
      <w:r>
        <w:rPr>
          <w:rStyle w:val="CharSectno"/>
        </w:rPr>
        <w:t>239</w:t>
      </w:r>
      <w:r>
        <w:t>.</w:t>
      </w:r>
      <w:r>
        <w:tab/>
        <w:t>When licences to be carried</w:t>
      </w:r>
      <w:bookmarkEnd w:id="998"/>
      <w:bookmarkEnd w:id="999"/>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Gazette 2 Dec 2013 p.</w:t>
      </w:r>
      <w:r>
        <w:rPr>
          <w:sz w:val="19"/>
        </w:rPr>
        <w:t> </w:t>
      </w:r>
      <w:r>
        <w:t>5497</w:t>
      </w:r>
      <w:r>
        <w:noBreakHyphen/>
        <w:t>8.]</w:t>
      </w:r>
    </w:p>
    <w:p>
      <w:pPr>
        <w:pStyle w:val="Heading5"/>
        <w:keepNext w:val="0"/>
        <w:keepLines w:val="0"/>
        <w:spacing w:before="180"/>
      </w:pPr>
      <w:bookmarkStart w:id="1000" w:name="_Toc54607393"/>
      <w:bookmarkStart w:id="1001" w:name="_Toc52975407"/>
      <w:r>
        <w:rPr>
          <w:rStyle w:val="CharSectno"/>
        </w:rPr>
        <w:t>240</w:t>
      </w:r>
      <w:r>
        <w:t>.</w:t>
      </w:r>
      <w:r>
        <w:tab/>
        <w:t>Licences to be produced for inspection</w:t>
      </w:r>
      <w:bookmarkEnd w:id="1000"/>
      <w:bookmarkEnd w:id="1001"/>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1002" w:name="_Toc54596635"/>
      <w:bookmarkStart w:id="1003" w:name="_Toc54597003"/>
      <w:bookmarkStart w:id="1004" w:name="_Toc54599700"/>
      <w:bookmarkStart w:id="1005" w:name="_Toc54600069"/>
      <w:bookmarkStart w:id="1006" w:name="_Toc54607394"/>
      <w:bookmarkStart w:id="1007" w:name="_Toc52959931"/>
      <w:bookmarkStart w:id="1008" w:name="_Toc52961715"/>
      <w:bookmarkStart w:id="1009" w:name="_Toc52973979"/>
      <w:bookmarkStart w:id="1010" w:name="_Toc52975408"/>
      <w:r>
        <w:rPr>
          <w:rStyle w:val="CharDivNo"/>
        </w:rPr>
        <w:t>Division 6</w:t>
      </w:r>
      <w:r>
        <w:t> — </w:t>
      </w:r>
      <w:r>
        <w:rPr>
          <w:rStyle w:val="CharDivText"/>
        </w:rPr>
        <w:t>Licences generally</w:t>
      </w:r>
      <w:bookmarkEnd w:id="1002"/>
      <w:bookmarkEnd w:id="1003"/>
      <w:bookmarkEnd w:id="1004"/>
      <w:bookmarkEnd w:id="1005"/>
      <w:bookmarkEnd w:id="1006"/>
      <w:bookmarkEnd w:id="1007"/>
      <w:bookmarkEnd w:id="1008"/>
      <w:bookmarkEnd w:id="1009"/>
      <w:bookmarkEnd w:id="1010"/>
    </w:p>
    <w:p>
      <w:pPr>
        <w:pStyle w:val="Heading5"/>
      </w:pPr>
      <w:bookmarkStart w:id="1011" w:name="_Toc54607395"/>
      <w:bookmarkStart w:id="1012" w:name="_Toc52975409"/>
      <w:r>
        <w:rPr>
          <w:rStyle w:val="CharSectno"/>
        </w:rPr>
        <w:t>241</w:t>
      </w:r>
      <w:r>
        <w:t>.</w:t>
      </w:r>
      <w:r>
        <w:tab/>
        <w:t>Terms used</w:t>
      </w:r>
      <w:bookmarkEnd w:id="1011"/>
      <w:bookmarkEnd w:id="1012"/>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013" w:name="_Toc54607396"/>
      <w:bookmarkStart w:id="1014" w:name="_Toc52975410"/>
      <w:r>
        <w:rPr>
          <w:rStyle w:val="CharSectno"/>
        </w:rPr>
        <w:t>242</w:t>
      </w:r>
      <w:r>
        <w:t>.</w:t>
      </w:r>
      <w:r>
        <w:tab/>
        <w:t>Replacement licences</w:t>
      </w:r>
      <w:bookmarkEnd w:id="1013"/>
      <w:bookmarkEnd w:id="1014"/>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1015" w:name="_Toc54607397"/>
      <w:bookmarkStart w:id="1016" w:name="_Toc52975411"/>
      <w:r>
        <w:rPr>
          <w:rStyle w:val="CharSectno"/>
        </w:rPr>
        <w:t>243</w:t>
      </w:r>
      <w:r>
        <w:t>.</w:t>
      </w:r>
      <w:r>
        <w:tab/>
        <w:t>Failure to comply with licence conditions</w:t>
      </w:r>
      <w:bookmarkEnd w:id="1015"/>
      <w:bookmarkEnd w:id="1016"/>
    </w:p>
    <w:p>
      <w:pPr>
        <w:pStyle w:val="Subsection"/>
      </w:pPr>
      <w:r>
        <w:tab/>
      </w:r>
      <w:r>
        <w:tab/>
        <w:t>A licensee must not contravene a condition of his or her licence.</w:t>
      </w:r>
    </w:p>
    <w:p>
      <w:pPr>
        <w:pStyle w:val="Penstart"/>
      </w:pPr>
      <w:r>
        <w:tab/>
        <w:t>Penalty: a fine of $10 000.</w:t>
      </w:r>
    </w:p>
    <w:p>
      <w:pPr>
        <w:pStyle w:val="Heading5"/>
      </w:pPr>
      <w:bookmarkStart w:id="1017" w:name="_Toc54607398"/>
      <w:bookmarkStart w:id="1018" w:name="_Toc52975412"/>
      <w:r>
        <w:rPr>
          <w:rStyle w:val="CharSectno"/>
        </w:rPr>
        <w:t>244</w:t>
      </w:r>
      <w:r>
        <w:t>.</w:t>
      </w:r>
      <w:r>
        <w:tab/>
        <w:t>Surrender of licences</w:t>
      </w:r>
      <w:bookmarkEnd w:id="1017"/>
      <w:bookmarkEnd w:id="1018"/>
    </w:p>
    <w:p>
      <w:pPr>
        <w:pStyle w:val="Subsection"/>
        <w:rPr>
          <w:color w:val="000000"/>
        </w:rPr>
      </w:pPr>
      <w:r>
        <w:tab/>
        <w:t>(1)</w:t>
      </w:r>
      <w:r>
        <w:tab/>
        <w:t xml:space="preserve">A licensee may surrender his or her licence by giving notice of </w:t>
      </w:r>
      <w:r>
        <w:rPr>
          <w:color w:val="000000"/>
        </w:rPr>
        <w:t xml:space="preserve">surrender to the licensing </w:t>
      </w:r>
      <w:r>
        <w:t>authority.</w:t>
      </w:r>
    </w:p>
    <w:p>
      <w:pPr>
        <w:pStyle w:val="Subsection"/>
      </w:pPr>
      <w:r>
        <w:tab/>
        <w:t>(2)</w:t>
      </w:r>
      <w:r>
        <w:tab/>
        <w:t>A licence ceases to have effect on its surrender.</w:t>
      </w:r>
    </w:p>
    <w:p>
      <w:pPr>
        <w:pStyle w:val="Subsection"/>
      </w:pPr>
      <w:r>
        <w:tab/>
        <w:t>(3)</w:t>
      </w:r>
      <w:r>
        <w:tab/>
        <w:t>A person must not produce for inspection a licence that has been surrendered.</w:t>
      </w:r>
    </w:p>
    <w:p>
      <w:pPr>
        <w:pStyle w:val="Penstart"/>
      </w:pPr>
      <w:r>
        <w:tab/>
        <w:t>Penalty for this subregulation: a fine of $10 000.</w:t>
      </w:r>
    </w:p>
    <w:p>
      <w:pPr>
        <w:pStyle w:val="Footnotesection"/>
      </w:pPr>
      <w:r>
        <w:tab/>
        <w:t>[Regulation 244 amended: Gazette 11 Jul 2017 p. 3831.]</w:t>
      </w:r>
    </w:p>
    <w:p>
      <w:pPr>
        <w:pStyle w:val="Heading5"/>
      </w:pPr>
      <w:bookmarkStart w:id="1019" w:name="_Toc54607399"/>
      <w:bookmarkStart w:id="1020" w:name="_Toc52975413"/>
      <w:r>
        <w:rPr>
          <w:rStyle w:val="CharSectno"/>
        </w:rPr>
        <w:t>245</w:t>
      </w:r>
      <w:r>
        <w:t>.</w:t>
      </w:r>
      <w:r>
        <w:tab/>
        <w:t>Registers of licences</w:t>
      </w:r>
      <w:bookmarkEnd w:id="1019"/>
      <w:bookmarkEnd w:id="1020"/>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1021" w:name="_Toc54607400"/>
      <w:bookmarkStart w:id="1022" w:name="_Toc52975414"/>
      <w:r>
        <w:rPr>
          <w:rStyle w:val="CharSectno"/>
        </w:rPr>
        <w:t>246</w:t>
      </w:r>
      <w:r>
        <w:t>.</w:t>
      </w:r>
      <w:r>
        <w:tab/>
        <w:t>Records of licences</w:t>
      </w:r>
      <w:bookmarkEnd w:id="1021"/>
      <w:bookmarkEnd w:id="1022"/>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1023" w:name="_Toc54607401"/>
      <w:bookmarkStart w:id="1024" w:name="_Toc52975415"/>
      <w:r>
        <w:rPr>
          <w:rStyle w:val="CharSectno"/>
        </w:rPr>
        <w:t>247</w:t>
      </w:r>
      <w:r>
        <w:t>.</w:t>
      </w:r>
      <w:r>
        <w:tab/>
        <w:t>Change of information given in licence applications</w:t>
      </w:r>
      <w:bookmarkEnd w:id="1023"/>
      <w:bookmarkEnd w:id="1024"/>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1025" w:name="_Toc54607402"/>
      <w:bookmarkStart w:id="1026" w:name="_Toc52975416"/>
      <w:r>
        <w:rPr>
          <w:rStyle w:val="CharSectno"/>
        </w:rPr>
        <w:t>248</w:t>
      </w:r>
      <w:r>
        <w:t>.</w:t>
      </w:r>
      <w:r>
        <w:tab/>
        <w:t xml:space="preserve">Production of licences </w:t>
      </w:r>
      <w:r>
        <w:rPr>
          <w:color w:val="000000"/>
        </w:rPr>
        <w:t>to licensing authority</w:t>
      </w:r>
      <w:bookmarkEnd w:id="1025"/>
      <w:bookmarkEnd w:id="1026"/>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1027" w:name="_Toc54607403"/>
      <w:bookmarkStart w:id="1028" w:name="_Toc52975417"/>
      <w:r>
        <w:rPr>
          <w:rStyle w:val="CharSectno"/>
        </w:rPr>
        <w:t>249</w:t>
      </w:r>
      <w:r>
        <w:t>.</w:t>
      </w:r>
      <w:r>
        <w:tab/>
        <w:t>Return of licences</w:t>
      </w:r>
      <w:bookmarkEnd w:id="1027"/>
      <w:bookmarkEnd w:id="1028"/>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1029" w:name="_Toc54596645"/>
      <w:bookmarkStart w:id="1030" w:name="_Toc54597013"/>
      <w:bookmarkStart w:id="1031" w:name="_Toc54599710"/>
      <w:bookmarkStart w:id="1032" w:name="_Toc54600079"/>
      <w:bookmarkStart w:id="1033" w:name="_Toc54607404"/>
      <w:bookmarkStart w:id="1034" w:name="_Toc52959941"/>
      <w:bookmarkStart w:id="1035" w:name="_Toc52961725"/>
      <w:bookmarkStart w:id="1036" w:name="_Toc52973989"/>
      <w:bookmarkStart w:id="1037" w:name="_Toc52975418"/>
      <w:r>
        <w:rPr>
          <w:rStyle w:val="CharDivNo"/>
        </w:rPr>
        <w:t>Division 7</w:t>
      </w:r>
      <w:r>
        <w:t> — </w:t>
      </w:r>
      <w:r>
        <w:rPr>
          <w:rStyle w:val="CharDivText"/>
        </w:rPr>
        <w:t>Cancellation, suspension and variation</w:t>
      </w:r>
      <w:bookmarkEnd w:id="1029"/>
      <w:bookmarkEnd w:id="1030"/>
      <w:bookmarkEnd w:id="1031"/>
      <w:bookmarkEnd w:id="1032"/>
      <w:bookmarkEnd w:id="1033"/>
      <w:bookmarkEnd w:id="1034"/>
      <w:bookmarkEnd w:id="1035"/>
      <w:bookmarkEnd w:id="1036"/>
      <w:bookmarkEnd w:id="1037"/>
    </w:p>
    <w:p>
      <w:pPr>
        <w:pStyle w:val="Heading5"/>
        <w:rPr>
          <w:color w:val="000000"/>
        </w:rPr>
      </w:pPr>
      <w:bookmarkStart w:id="1038" w:name="_Toc54607405"/>
      <w:bookmarkStart w:id="1039" w:name="_Toc52975419"/>
      <w:r>
        <w:rPr>
          <w:rStyle w:val="CharSectno"/>
        </w:rPr>
        <w:t>250</w:t>
      </w:r>
      <w:r>
        <w:t>.</w:t>
      </w:r>
      <w:r>
        <w:tab/>
      </w:r>
      <w:r>
        <w:rPr>
          <w:color w:val="000000"/>
        </w:rPr>
        <w:t>Terms used</w:t>
      </w:r>
      <w:bookmarkEnd w:id="1038"/>
      <w:bookmarkEnd w:id="1039"/>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040" w:name="_Toc54607406"/>
      <w:bookmarkStart w:id="1041" w:name="_Toc52975420"/>
      <w:r>
        <w:rPr>
          <w:rStyle w:val="CharSectno"/>
        </w:rPr>
        <w:t>251</w:t>
      </w:r>
      <w:r>
        <w:t>.</w:t>
      </w:r>
      <w:r>
        <w:tab/>
        <w:t>Cancellation, suspension and variation in dangerous situations</w:t>
      </w:r>
      <w:bookmarkEnd w:id="1040"/>
      <w:bookmarkEnd w:id="1041"/>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1042" w:name="_Toc54607407"/>
      <w:bookmarkStart w:id="1043" w:name="_Toc52975421"/>
      <w:r>
        <w:rPr>
          <w:rStyle w:val="CharSectno"/>
        </w:rPr>
        <w:t>252</w:t>
      </w:r>
      <w:r>
        <w:t>.</w:t>
      </w:r>
      <w:r>
        <w:tab/>
        <w:t>Cancellation and suspension giving effect to court orders</w:t>
      </w:r>
      <w:bookmarkEnd w:id="1042"/>
      <w:bookmarkEnd w:id="1043"/>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1044" w:name="_Toc54607408"/>
      <w:bookmarkStart w:id="1045" w:name="_Toc52975422"/>
      <w:r>
        <w:rPr>
          <w:rStyle w:val="CharSectno"/>
        </w:rPr>
        <w:t>253</w:t>
      </w:r>
      <w:r>
        <w:t>.</w:t>
      </w:r>
      <w:r>
        <w:tab/>
        <w:t>Variation of licences on application</w:t>
      </w:r>
      <w:bookmarkEnd w:id="1044"/>
      <w:bookmarkEnd w:id="1045"/>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1046" w:name="_Toc54607409"/>
      <w:bookmarkStart w:id="1047" w:name="_Toc52975423"/>
      <w:r>
        <w:rPr>
          <w:rStyle w:val="CharSectno"/>
        </w:rPr>
        <w:t>254</w:t>
      </w:r>
      <w:r>
        <w:t>.</w:t>
      </w:r>
      <w:r>
        <w:tab/>
        <w:t>Cancellation, suspension and variation in other circumstances</w:t>
      </w:r>
      <w:bookmarkEnd w:id="1046"/>
      <w:bookmarkEnd w:id="1047"/>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pPr>
      <w:r>
        <w:tab/>
        <w:t>(b)</w:t>
      </w:r>
      <w:r>
        <w:tab/>
        <w:t>if the proposed action is to suspend the licence — states the proposed suspension period (either as a period of time or by reference to a future event);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pPr>
      <w:r>
        <w:tab/>
        <w:t>(b)</w:t>
      </w:r>
      <w:r>
        <w:tab/>
        <w:t>suspend the licence for not longer than the suspension period stated in the notice;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Footnotesection"/>
      </w:pPr>
      <w:r>
        <w:tab/>
        <w:t>[Regulation 254 amended: Gazette 11 Jul 2017 p. 3831</w:t>
      </w:r>
      <w:r>
        <w:noBreakHyphen/>
        <w:t>2.]</w:t>
      </w:r>
    </w:p>
    <w:p>
      <w:pPr>
        <w:pStyle w:val="Heading5"/>
      </w:pPr>
      <w:bookmarkStart w:id="1048" w:name="_Toc54607410"/>
      <w:bookmarkStart w:id="1049" w:name="_Toc52975424"/>
      <w:r>
        <w:rPr>
          <w:rStyle w:val="CharSectno"/>
        </w:rPr>
        <w:t>255</w:t>
      </w:r>
      <w:r>
        <w:t>.</w:t>
      </w:r>
      <w:r>
        <w:tab/>
        <w:t>When cancellation, suspension and variation take effect</w:t>
      </w:r>
      <w:bookmarkEnd w:id="1048"/>
      <w:bookmarkEnd w:id="1049"/>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1050" w:name="_Toc54607411"/>
      <w:bookmarkStart w:id="1051" w:name="_Toc52975425"/>
      <w:r>
        <w:rPr>
          <w:rStyle w:val="CharSectno"/>
        </w:rPr>
        <w:t>256</w:t>
      </w:r>
      <w:r>
        <w:t>.</w:t>
      </w:r>
      <w:r>
        <w:tab/>
        <w:t>When licences taken to be suspended</w:t>
      </w:r>
      <w:bookmarkEnd w:id="1050"/>
      <w:bookmarkEnd w:id="1051"/>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1052" w:name="_Toc54596653"/>
      <w:bookmarkStart w:id="1053" w:name="_Toc54597021"/>
      <w:bookmarkStart w:id="1054" w:name="_Toc54599718"/>
      <w:bookmarkStart w:id="1055" w:name="_Toc54600087"/>
      <w:bookmarkStart w:id="1056" w:name="_Toc54607412"/>
      <w:bookmarkStart w:id="1057" w:name="_Toc52959949"/>
      <w:bookmarkStart w:id="1058" w:name="_Toc52961733"/>
      <w:bookmarkStart w:id="1059" w:name="_Toc52973997"/>
      <w:bookmarkStart w:id="1060" w:name="_Toc52975426"/>
      <w:r>
        <w:rPr>
          <w:rStyle w:val="CharPartNo"/>
        </w:rPr>
        <w:t>Part 18</w:t>
      </w:r>
      <w:r>
        <w:rPr>
          <w:rStyle w:val="CharDivNo"/>
        </w:rPr>
        <w:t> </w:t>
      </w:r>
      <w:r>
        <w:t>—</w:t>
      </w:r>
      <w:r>
        <w:rPr>
          <w:rStyle w:val="CharDivText"/>
        </w:rPr>
        <w:t> </w:t>
      </w:r>
      <w:r>
        <w:rPr>
          <w:rStyle w:val="CharPartText"/>
        </w:rPr>
        <w:t>Insurance</w:t>
      </w:r>
      <w:bookmarkEnd w:id="1052"/>
      <w:bookmarkEnd w:id="1053"/>
      <w:bookmarkEnd w:id="1054"/>
      <w:bookmarkEnd w:id="1055"/>
      <w:bookmarkEnd w:id="1056"/>
      <w:bookmarkEnd w:id="1057"/>
      <w:bookmarkEnd w:id="1058"/>
      <w:bookmarkEnd w:id="1059"/>
      <w:bookmarkEnd w:id="1060"/>
    </w:p>
    <w:p>
      <w:pPr>
        <w:pStyle w:val="Heading5"/>
        <w:rPr>
          <w:color w:val="000000"/>
        </w:rPr>
      </w:pPr>
      <w:bookmarkStart w:id="1061" w:name="_Toc54607413"/>
      <w:bookmarkStart w:id="1062" w:name="_Toc52975427"/>
      <w:r>
        <w:rPr>
          <w:rStyle w:val="CharSectno"/>
          <w:color w:val="000000"/>
        </w:rPr>
        <w:t>257</w:t>
      </w:r>
      <w:r>
        <w:rPr>
          <w:color w:val="000000"/>
        </w:rPr>
        <w:t>.</w:t>
      </w:r>
      <w:r>
        <w:rPr>
          <w:color w:val="000000"/>
        </w:rPr>
        <w:tab/>
        <w:t>Duty on owners</w:t>
      </w:r>
      <w:bookmarkEnd w:id="1061"/>
      <w:bookmarkEnd w:id="1062"/>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Gazette 22 Jun 2010 p. 2738; 13 Jun 2014 p. 1948.]</w:t>
      </w:r>
    </w:p>
    <w:p>
      <w:pPr>
        <w:pStyle w:val="Heading5"/>
        <w:rPr>
          <w:color w:val="000000"/>
        </w:rPr>
      </w:pPr>
      <w:bookmarkStart w:id="1063" w:name="_Toc54607414"/>
      <w:bookmarkStart w:id="1064" w:name="_Toc52975428"/>
      <w:r>
        <w:rPr>
          <w:rStyle w:val="CharSectno"/>
          <w:color w:val="000000"/>
        </w:rPr>
        <w:t>258</w:t>
      </w:r>
      <w:r>
        <w:rPr>
          <w:color w:val="000000"/>
        </w:rPr>
        <w:t>.</w:t>
      </w:r>
      <w:r>
        <w:rPr>
          <w:color w:val="000000"/>
        </w:rPr>
        <w:tab/>
        <w:t>Duty on prime contractors</w:t>
      </w:r>
      <w:bookmarkEnd w:id="1063"/>
      <w:bookmarkEnd w:id="1064"/>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Gazette 22 Jun 2010 p. 2739; 13 Jun 2014 p. 1948.]</w:t>
      </w:r>
    </w:p>
    <w:p>
      <w:pPr>
        <w:pStyle w:val="Heading5"/>
        <w:spacing w:before="180"/>
      </w:pPr>
      <w:bookmarkStart w:id="1065" w:name="_Toc54607415"/>
      <w:bookmarkStart w:id="1066" w:name="_Toc52975429"/>
      <w:r>
        <w:rPr>
          <w:rStyle w:val="CharSectno"/>
        </w:rPr>
        <w:t>259</w:t>
      </w:r>
      <w:r>
        <w:t>.</w:t>
      </w:r>
      <w:r>
        <w:tab/>
        <w:t>Requiring evidence of insurance etc.</w:t>
      </w:r>
      <w:bookmarkEnd w:id="1065"/>
      <w:bookmarkEnd w:id="1066"/>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1067" w:name="_Toc54607416"/>
      <w:bookmarkStart w:id="1068" w:name="_Toc52975430"/>
      <w:r>
        <w:rPr>
          <w:rStyle w:val="CharSectno"/>
          <w:color w:val="000000"/>
        </w:rPr>
        <w:t>260</w:t>
      </w:r>
      <w:r>
        <w:rPr>
          <w:color w:val="000000"/>
        </w:rPr>
        <w:t>.</w:t>
      </w:r>
      <w:r>
        <w:rPr>
          <w:color w:val="000000"/>
        </w:rPr>
        <w:tab/>
        <w:t>Approvals — insurance</w:t>
      </w:r>
      <w:bookmarkEnd w:id="1067"/>
      <w:bookmarkEnd w:id="1068"/>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1069" w:name="_Toc54596658"/>
      <w:bookmarkStart w:id="1070" w:name="_Toc54597026"/>
      <w:bookmarkStart w:id="1071" w:name="_Toc54599723"/>
      <w:bookmarkStart w:id="1072" w:name="_Toc54600092"/>
      <w:bookmarkStart w:id="1073" w:name="_Toc54607417"/>
      <w:bookmarkStart w:id="1074" w:name="_Toc52959954"/>
      <w:bookmarkStart w:id="1075" w:name="_Toc52961738"/>
      <w:bookmarkStart w:id="1076" w:name="_Toc52974002"/>
      <w:bookmarkStart w:id="1077" w:name="_Toc52975431"/>
      <w:r>
        <w:rPr>
          <w:rStyle w:val="CharPartNo"/>
        </w:rPr>
        <w:t>Part 19</w:t>
      </w:r>
      <w:r>
        <w:t> — </w:t>
      </w:r>
      <w:r>
        <w:rPr>
          <w:rStyle w:val="CharPartText"/>
        </w:rPr>
        <w:t>Mutual recognition</w:t>
      </w:r>
      <w:bookmarkEnd w:id="1069"/>
      <w:bookmarkEnd w:id="1070"/>
      <w:bookmarkEnd w:id="1071"/>
      <w:bookmarkEnd w:id="1072"/>
      <w:bookmarkEnd w:id="1073"/>
      <w:bookmarkEnd w:id="1074"/>
      <w:bookmarkEnd w:id="1075"/>
      <w:bookmarkEnd w:id="1076"/>
      <w:bookmarkEnd w:id="1077"/>
    </w:p>
    <w:p>
      <w:pPr>
        <w:pStyle w:val="Heading3"/>
      </w:pPr>
      <w:bookmarkStart w:id="1078" w:name="_Toc54596659"/>
      <w:bookmarkStart w:id="1079" w:name="_Toc54597027"/>
      <w:bookmarkStart w:id="1080" w:name="_Toc54599724"/>
      <w:bookmarkStart w:id="1081" w:name="_Toc54600093"/>
      <w:bookmarkStart w:id="1082" w:name="_Toc54607418"/>
      <w:bookmarkStart w:id="1083" w:name="_Toc52959955"/>
      <w:bookmarkStart w:id="1084" w:name="_Toc52961739"/>
      <w:bookmarkStart w:id="1085" w:name="_Toc52974003"/>
      <w:bookmarkStart w:id="1086" w:name="_Toc52975432"/>
      <w:r>
        <w:rPr>
          <w:rStyle w:val="CharDivNo"/>
        </w:rPr>
        <w:t>Division 1</w:t>
      </w:r>
      <w:r>
        <w:t> — </w:t>
      </w:r>
      <w:r>
        <w:rPr>
          <w:rStyle w:val="CharDivText"/>
        </w:rPr>
        <w:t>Recommendations by Chief Officer and corresponding authorities</w:t>
      </w:r>
      <w:bookmarkEnd w:id="1078"/>
      <w:bookmarkEnd w:id="1079"/>
      <w:bookmarkEnd w:id="1080"/>
      <w:bookmarkEnd w:id="1081"/>
      <w:bookmarkEnd w:id="1082"/>
      <w:bookmarkEnd w:id="1083"/>
      <w:bookmarkEnd w:id="1084"/>
      <w:bookmarkEnd w:id="1085"/>
      <w:bookmarkEnd w:id="1086"/>
    </w:p>
    <w:p>
      <w:pPr>
        <w:pStyle w:val="Heading5"/>
      </w:pPr>
      <w:bookmarkStart w:id="1087" w:name="_Toc54607419"/>
      <w:bookmarkStart w:id="1088" w:name="_Toc52975433"/>
      <w:r>
        <w:rPr>
          <w:rStyle w:val="CharSectno"/>
        </w:rPr>
        <w:t>261</w:t>
      </w:r>
      <w:r>
        <w:t>.</w:t>
      </w:r>
      <w:r>
        <w:tab/>
        <w:t>Recommendations by Chief Officer</w:t>
      </w:r>
      <w:bookmarkEnd w:id="1087"/>
      <w:bookmarkEnd w:id="1088"/>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1089" w:name="_Toc54607420"/>
      <w:bookmarkStart w:id="1090" w:name="_Toc52975434"/>
      <w:r>
        <w:rPr>
          <w:rStyle w:val="CharSectno"/>
        </w:rPr>
        <w:t>262</w:t>
      </w:r>
      <w:r>
        <w:t>.</w:t>
      </w:r>
      <w:r>
        <w:tab/>
        <w:t>Recommendations by corresponding authorities</w:t>
      </w:r>
      <w:bookmarkEnd w:id="1089"/>
      <w:bookmarkEnd w:id="1090"/>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1091" w:name="_Toc54596662"/>
      <w:bookmarkStart w:id="1092" w:name="_Toc54597030"/>
      <w:bookmarkStart w:id="1093" w:name="_Toc54599727"/>
      <w:bookmarkStart w:id="1094" w:name="_Toc54600096"/>
      <w:bookmarkStart w:id="1095" w:name="_Toc54607421"/>
      <w:bookmarkStart w:id="1096" w:name="_Toc52959958"/>
      <w:bookmarkStart w:id="1097" w:name="_Toc52961742"/>
      <w:bookmarkStart w:id="1098" w:name="_Toc52974006"/>
      <w:bookmarkStart w:id="1099" w:name="_Toc52975435"/>
      <w:r>
        <w:rPr>
          <w:rStyle w:val="CharDivNo"/>
        </w:rPr>
        <w:t>Division 2</w:t>
      </w:r>
      <w:r>
        <w:t> — </w:t>
      </w:r>
      <w:r>
        <w:rPr>
          <w:rStyle w:val="CharDivText"/>
        </w:rPr>
        <w:t>Mutual recognition of determinations, exemptions, approvals and licences</w:t>
      </w:r>
      <w:bookmarkEnd w:id="1091"/>
      <w:bookmarkEnd w:id="1092"/>
      <w:bookmarkEnd w:id="1093"/>
      <w:bookmarkEnd w:id="1094"/>
      <w:bookmarkEnd w:id="1095"/>
      <w:bookmarkEnd w:id="1096"/>
      <w:bookmarkEnd w:id="1097"/>
      <w:bookmarkEnd w:id="1098"/>
      <w:bookmarkEnd w:id="1099"/>
    </w:p>
    <w:p>
      <w:pPr>
        <w:pStyle w:val="Heading5"/>
        <w:spacing w:before="180"/>
      </w:pPr>
      <w:bookmarkStart w:id="1100" w:name="_Toc54607422"/>
      <w:bookmarkStart w:id="1101" w:name="_Toc52975436"/>
      <w:r>
        <w:rPr>
          <w:rStyle w:val="CharSectno"/>
        </w:rPr>
        <w:t>263</w:t>
      </w:r>
      <w:r>
        <w:t>.</w:t>
      </w:r>
      <w:r>
        <w:tab/>
        <w:t>Corresponding determinations</w:t>
      </w:r>
      <w:bookmarkEnd w:id="1100"/>
      <w:bookmarkEnd w:id="1101"/>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1102" w:name="_Toc54607423"/>
      <w:bookmarkStart w:id="1103" w:name="_Toc52975437"/>
      <w:r>
        <w:rPr>
          <w:rStyle w:val="CharSectno"/>
        </w:rPr>
        <w:t>264</w:t>
      </w:r>
      <w:r>
        <w:t>.</w:t>
      </w:r>
      <w:r>
        <w:tab/>
        <w:t>Corresponding exemptions</w:t>
      </w:r>
      <w:bookmarkEnd w:id="1102"/>
      <w:bookmarkEnd w:id="1103"/>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1104" w:name="_Toc54607424"/>
      <w:bookmarkStart w:id="1105" w:name="_Toc52975438"/>
      <w:r>
        <w:rPr>
          <w:rStyle w:val="CharSectno"/>
        </w:rPr>
        <w:t>265</w:t>
      </w:r>
      <w:r>
        <w:t>.</w:t>
      </w:r>
      <w:r>
        <w:tab/>
        <w:t>Corresponding approvals</w:t>
      </w:r>
      <w:bookmarkEnd w:id="1104"/>
      <w:bookmarkEnd w:id="1105"/>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1106" w:name="_Toc54607425"/>
      <w:bookmarkStart w:id="1107" w:name="_Toc52975439"/>
      <w:r>
        <w:rPr>
          <w:rStyle w:val="CharSectno"/>
        </w:rPr>
        <w:t>266</w:t>
      </w:r>
      <w:r>
        <w:t>.</w:t>
      </w:r>
      <w:r>
        <w:tab/>
        <w:t>Corresponding licences</w:t>
      </w:r>
      <w:bookmarkEnd w:id="1106"/>
      <w:bookmarkEnd w:id="1107"/>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1108" w:name="_Toc54607426"/>
      <w:bookmarkStart w:id="1109" w:name="_Toc52975440"/>
      <w:r>
        <w:rPr>
          <w:rStyle w:val="CharSectno"/>
        </w:rPr>
        <w:t>267A</w:t>
      </w:r>
      <w:r>
        <w:t>.</w:t>
      </w:r>
      <w:r>
        <w:tab/>
        <w:t>Reference of determination, exemption or approval to CAP for the purposes of mutual recognition</w:t>
      </w:r>
      <w:bookmarkEnd w:id="1108"/>
      <w:bookmarkEnd w:id="1109"/>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Gazette 17 Nov 2015 p. 4700-1.]</w:t>
      </w:r>
    </w:p>
    <w:p>
      <w:pPr>
        <w:pStyle w:val="Heading2"/>
      </w:pPr>
      <w:bookmarkStart w:id="1110" w:name="_Toc54596668"/>
      <w:bookmarkStart w:id="1111" w:name="_Toc54597036"/>
      <w:bookmarkStart w:id="1112" w:name="_Toc54599733"/>
      <w:bookmarkStart w:id="1113" w:name="_Toc54600102"/>
      <w:bookmarkStart w:id="1114" w:name="_Toc54607427"/>
      <w:bookmarkStart w:id="1115" w:name="_Toc52959964"/>
      <w:bookmarkStart w:id="1116" w:name="_Toc52961748"/>
      <w:bookmarkStart w:id="1117" w:name="_Toc52974012"/>
      <w:bookmarkStart w:id="1118" w:name="_Toc52975441"/>
      <w:r>
        <w:rPr>
          <w:rStyle w:val="CharPartNo"/>
        </w:rPr>
        <w:t>Part 20</w:t>
      </w:r>
      <w:r>
        <w:rPr>
          <w:rStyle w:val="CharDivNo"/>
        </w:rPr>
        <w:t> </w:t>
      </w:r>
      <w:r>
        <w:t>—</w:t>
      </w:r>
      <w:r>
        <w:rPr>
          <w:rStyle w:val="CharDivText"/>
        </w:rPr>
        <w:t> </w:t>
      </w:r>
      <w:r>
        <w:rPr>
          <w:rStyle w:val="CharPartText"/>
        </w:rPr>
        <w:t>Reconsideration and review of decisions</w:t>
      </w:r>
      <w:bookmarkEnd w:id="1110"/>
      <w:bookmarkEnd w:id="1111"/>
      <w:bookmarkEnd w:id="1112"/>
      <w:bookmarkEnd w:id="1113"/>
      <w:bookmarkEnd w:id="1114"/>
      <w:bookmarkEnd w:id="1115"/>
      <w:bookmarkEnd w:id="1116"/>
      <w:bookmarkEnd w:id="1117"/>
      <w:bookmarkEnd w:id="1118"/>
    </w:p>
    <w:p>
      <w:pPr>
        <w:pStyle w:val="Heading5"/>
      </w:pPr>
      <w:bookmarkStart w:id="1119" w:name="_Toc54607428"/>
      <w:bookmarkStart w:id="1120" w:name="_Toc52975442"/>
      <w:r>
        <w:rPr>
          <w:rStyle w:val="CharSectno"/>
        </w:rPr>
        <w:t>267</w:t>
      </w:r>
      <w:r>
        <w:t>.</w:t>
      </w:r>
      <w:r>
        <w:tab/>
        <w:t>Application of Part</w:t>
      </w:r>
      <w:bookmarkEnd w:id="1119"/>
      <w:bookmarkEnd w:id="1120"/>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1121" w:name="_Toc54607429"/>
      <w:bookmarkStart w:id="1122" w:name="_Toc52975443"/>
      <w:r>
        <w:rPr>
          <w:rStyle w:val="CharSectno"/>
        </w:rPr>
        <w:t>268</w:t>
      </w:r>
      <w:r>
        <w:t>.</w:t>
      </w:r>
      <w:r>
        <w:tab/>
        <w:t>Who may apply for reconsideration of decisions</w:t>
      </w:r>
      <w:bookmarkEnd w:id="1121"/>
      <w:bookmarkEnd w:id="1122"/>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1123" w:name="_Toc54607430"/>
      <w:bookmarkStart w:id="1124" w:name="_Toc52975444"/>
      <w:r>
        <w:rPr>
          <w:rStyle w:val="CharSectno"/>
        </w:rPr>
        <w:t>269</w:t>
      </w:r>
      <w:r>
        <w:t>.</w:t>
      </w:r>
      <w:r>
        <w:tab/>
        <w:t>Applications for reconsideration</w:t>
      </w:r>
      <w:bookmarkEnd w:id="1123"/>
      <w:bookmarkEnd w:id="1124"/>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1125" w:name="_Toc54607431"/>
      <w:bookmarkStart w:id="1126" w:name="_Toc52975445"/>
      <w:r>
        <w:rPr>
          <w:rStyle w:val="CharSectno"/>
        </w:rPr>
        <w:t>270</w:t>
      </w:r>
      <w:r>
        <w:t>.</w:t>
      </w:r>
      <w:r>
        <w:tab/>
        <w:t>Chief Officer to reconsider decisions</w:t>
      </w:r>
      <w:bookmarkEnd w:id="1125"/>
      <w:bookmarkEnd w:id="1126"/>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1127" w:name="_Toc54596673"/>
      <w:bookmarkStart w:id="1128" w:name="_Toc54597041"/>
      <w:bookmarkStart w:id="1129" w:name="_Toc54599738"/>
      <w:bookmarkStart w:id="1130" w:name="_Toc54600107"/>
      <w:bookmarkStart w:id="1131" w:name="_Toc54607432"/>
      <w:bookmarkStart w:id="1132" w:name="_Toc52959969"/>
      <w:bookmarkStart w:id="1133" w:name="_Toc52961753"/>
      <w:bookmarkStart w:id="1134" w:name="_Toc52974017"/>
      <w:bookmarkStart w:id="1135" w:name="_Toc52975446"/>
      <w:r>
        <w:rPr>
          <w:rStyle w:val="CharPartNo"/>
        </w:rPr>
        <w:t>Part 21</w:t>
      </w:r>
      <w:r>
        <w:rPr>
          <w:rStyle w:val="CharDivNo"/>
        </w:rPr>
        <w:t> </w:t>
      </w:r>
      <w:r>
        <w:t>—</w:t>
      </w:r>
      <w:r>
        <w:rPr>
          <w:rStyle w:val="CharDivText"/>
        </w:rPr>
        <w:t> </w:t>
      </w:r>
      <w:r>
        <w:rPr>
          <w:rStyle w:val="CharPartText"/>
        </w:rPr>
        <w:t>Infringement notices</w:t>
      </w:r>
      <w:bookmarkEnd w:id="1127"/>
      <w:bookmarkEnd w:id="1128"/>
      <w:bookmarkEnd w:id="1129"/>
      <w:bookmarkEnd w:id="1130"/>
      <w:bookmarkEnd w:id="1131"/>
      <w:bookmarkEnd w:id="1132"/>
      <w:bookmarkEnd w:id="1133"/>
      <w:bookmarkEnd w:id="1134"/>
      <w:bookmarkEnd w:id="1135"/>
    </w:p>
    <w:p>
      <w:pPr>
        <w:pStyle w:val="Heading5"/>
      </w:pPr>
      <w:bookmarkStart w:id="1136" w:name="_Toc54607433"/>
      <w:bookmarkStart w:id="1137" w:name="_Toc52975447"/>
      <w:r>
        <w:rPr>
          <w:rStyle w:val="CharSectno"/>
        </w:rPr>
        <w:t>271</w:t>
      </w:r>
      <w:r>
        <w:t>.</w:t>
      </w:r>
      <w:r>
        <w:tab/>
        <w:t>Infringement notice offences and modified penalties</w:t>
      </w:r>
      <w:bookmarkEnd w:id="1136"/>
      <w:bookmarkEnd w:id="1137"/>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1138" w:name="_Toc54596675"/>
      <w:bookmarkStart w:id="1139" w:name="_Toc54597043"/>
      <w:bookmarkStart w:id="1140" w:name="_Toc54599740"/>
      <w:bookmarkStart w:id="1141" w:name="_Toc54600109"/>
      <w:bookmarkStart w:id="1142" w:name="_Toc54607434"/>
      <w:bookmarkStart w:id="1143" w:name="_Toc52959971"/>
      <w:bookmarkStart w:id="1144" w:name="_Toc52961755"/>
      <w:bookmarkStart w:id="1145" w:name="_Toc52974019"/>
      <w:bookmarkStart w:id="1146" w:name="_Toc52975448"/>
      <w:r>
        <w:rPr>
          <w:rStyle w:val="CharPartNo"/>
        </w:rPr>
        <w:t>Part 22</w:t>
      </w:r>
      <w:r>
        <w:rPr>
          <w:rStyle w:val="CharDivNo"/>
        </w:rPr>
        <w:t> </w:t>
      </w:r>
      <w:r>
        <w:t>—</w:t>
      </w:r>
      <w:r>
        <w:rPr>
          <w:rStyle w:val="CharDivText"/>
        </w:rPr>
        <w:t> </w:t>
      </w:r>
      <w:r>
        <w:rPr>
          <w:rStyle w:val="CharPartText"/>
        </w:rPr>
        <w:t>Fees</w:t>
      </w:r>
      <w:bookmarkEnd w:id="1138"/>
      <w:bookmarkEnd w:id="1139"/>
      <w:bookmarkEnd w:id="1140"/>
      <w:bookmarkEnd w:id="1141"/>
      <w:bookmarkEnd w:id="1142"/>
      <w:bookmarkEnd w:id="1143"/>
      <w:bookmarkEnd w:id="1144"/>
      <w:bookmarkEnd w:id="1145"/>
      <w:bookmarkEnd w:id="1146"/>
    </w:p>
    <w:p>
      <w:pPr>
        <w:pStyle w:val="Heading5"/>
      </w:pPr>
      <w:bookmarkStart w:id="1147" w:name="_Toc54607435"/>
      <w:bookmarkStart w:id="1148" w:name="_Toc52975449"/>
      <w:r>
        <w:rPr>
          <w:rStyle w:val="CharSectno"/>
        </w:rPr>
        <w:t>272</w:t>
      </w:r>
      <w:r>
        <w:t>.</w:t>
      </w:r>
      <w:r>
        <w:tab/>
        <w:t>Fees prescribed</w:t>
      </w:r>
      <w:bookmarkEnd w:id="1147"/>
      <w:bookmarkEnd w:id="1148"/>
    </w:p>
    <w:p>
      <w:pPr>
        <w:pStyle w:val="Subsection"/>
        <w:rPr>
          <w:ins w:id="1149" w:author="Master Repository Process" w:date="2021-08-01T05:23:00Z"/>
        </w:rPr>
      </w:pPr>
      <w:r>
        <w:tab/>
      </w:r>
      <w:ins w:id="1150" w:author="Master Repository Process" w:date="2021-08-01T05:23:00Z">
        <w:r>
          <w:t>(1)</w:t>
        </w:r>
        <w:r>
          <w:tab/>
          <w:t xml:space="preserve">In this regulation — </w:t>
        </w:r>
      </w:ins>
    </w:p>
    <w:p>
      <w:pPr>
        <w:pStyle w:val="Defstart"/>
        <w:rPr>
          <w:ins w:id="1151" w:author="Master Repository Process" w:date="2021-08-01T05:23:00Z"/>
        </w:rPr>
      </w:pPr>
      <w:ins w:id="1152" w:author="Master Repository Process" w:date="2021-08-01T05:23:00Z">
        <w:r>
          <w:tab/>
        </w:r>
        <w:r>
          <w:rPr>
            <w:rStyle w:val="CharDefText"/>
          </w:rPr>
          <w:t>designated period</w:t>
        </w:r>
        <w:r>
          <w:t xml:space="preserve"> means the period — </w:t>
        </w:r>
      </w:ins>
    </w:p>
    <w:p>
      <w:pPr>
        <w:pStyle w:val="Defpara"/>
        <w:rPr>
          <w:ins w:id="1153" w:author="Master Repository Process" w:date="2021-08-01T05:23:00Z"/>
        </w:rPr>
      </w:pPr>
      <w:ins w:id="1154" w:author="Master Repository Process" w:date="2021-08-01T05:23:00Z">
        <w:r>
          <w:tab/>
          <w:t>(a)</w:t>
        </w:r>
        <w:r>
          <w:tab/>
          <w:t xml:space="preserve">beginning on the day on which the </w:t>
        </w:r>
        <w:r>
          <w:rPr>
            <w:i/>
          </w:rPr>
          <w:t>Mines and Petroleum Regulations Amendment (COVID</w:t>
        </w:r>
        <w:r>
          <w:rPr>
            <w:i/>
          </w:rPr>
          <w:noBreakHyphen/>
          <w:t>19 Response) Regulations (No. 2) 2020</w:t>
        </w:r>
        <w:r>
          <w:t xml:space="preserve"> regulation 9 comes into operation; and</w:t>
        </w:r>
      </w:ins>
    </w:p>
    <w:p>
      <w:pPr>
        <w:pStyle w:val="Defpara"/>
        <w:rPr>
          <w:ins w:id="1155" w:author="Master Repository Process" w:date="2021-08-01T05:23:00Z"/>
        </w:rPr>
      </w:pPr>
      <w:ins w:id="1156" w:author="Master Repository Process" w:date="2021-08-01T05:23:00Z">
        <w:r>
          <w:tab/>
          <w:t>(b)</w:t>
        </w:r>
        <w:r>
          <w:tab/>
          <w:t>ending on 31 March 2021.</w:t>
        </w:r>
      </w:ins>
    </w:p>
    <w:p>
      <w:pPr>
        <w:pStyle w:val="Subsection"/>
      </w:pPr>
      <w:ins w:id="1157" w:author="Master Repository Process" w:date="2021-08-01T05:23:00Z">
        <w:r>
          <w:tab/>
          <w:t>(2)</w:t>
        </w:r>
      </w:ins>
      <w:r>
        <w:tab/>
        <w:t>The fees payable under these regulations are prescribed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27"/>
        <w:gridCol w:w="1400"/>
        <w:gridCol w:w="1318"/>
      </w:tblGrid>
      <w:tr>
        <w:trPr>
          <w:tblHeader/>
        </w:trPr>
        <w:tc>
          <w:tcPr>
            <w:tcW w:w="822" w:type="dxa"/>
          </w:tcPr>
          <w:p>
            <w:pPr>
              <w:pStyle w:val="TableNAm"/>
              <w:keepNext/>
              <w:jc w:val="center"/>
              <w:rPr>
                <w:b/>
                <w:bCs/>
              </w:rPr>
            </w:pPr>
            <w:r>
              <w:rPr>
                <w:b/>
                <w:bCs/>
              </w:rPr>
              <w:t>Item</w:t>
            </w:r>
          </w:p>
        </w:tc>
        <w:tc>
          <w:tcPr>
            <w:tcW w:w="2527" w:type="dxa"/>
            <w:cellIns w:id="1158" w:author="Master Repository Process" w:date="2021-08-01T05:23:00Z"/>
          </w:tcPr>
          <w:p>
            <w:pPr>
              <w:pStyle w:val="TableNAm"/>
              <w:keepNext/>
              <w:jc w:val="center"/>
              <w:rPr>
                <w:ins w:id="1159" w:author="Master Repository Process" w:date="2021-08-01T05:23:00Z"/>
                <w:b/>
                <w:bCs/>
              </w:rPr>
            </w:pPr>
            <w:ins w:id="1160" w:author="Master Repository Process" w:date="2021-08-01T05:23:00Z">
              <w:r>
                <w:rPr>
                  <w:b/>
                  <w:bCs/>
                </w:rPr>
                <w:t>Column 1</w:t>
              </w:r>
            </w:ins>
          </w:p>
          <w:p>
            <w:pPr>
              <w:pStyle w:val="TableNAm"/>
              <w:keepNext/>
              <w:jc w:val="center"/>
              <w:rPr>
                <w:b/>
                <w:bCs/>
              </w:rPr>
            </w:pPr>
            <w:ins w:id="1161" w:author="Master Repository Process" w:date="2021-08-01T05:23:00Z">
              <w:r>
                <w:rPr>
                  <w:b/>
                  <w:bCs/>
                </w:rPr>
                <w:t>Application</w:t>
              </w:r>
            </w:ins>
          </w:p>
        </w:tc>
        <w:tc>
          <w:tcPr>
            <w:tcW w:w="1400" w:type="dxa"/>
          </w:tcPr>
          <w:p>
            <w:pPr>
              <w:pStyle w:val="TableNAm"/>
              <w:keepNext/>
              <w:jc w:val="center"/>
              <w:rPr>
                <w:ins w:id="1162" w:author="Master Repository Process" w:date="2021-08-01T05:23:00Z"/>
                <w:b/>
              </w:rPr>
            </w:pPr>
            <w:ins w:id="1163" w:author="Master Repository Process" w:date="2021-08-01T05:23:00Z">
              <w:r>
                <w:rPr>
                  <w:b/>
                </w:rPr>
                <w:t>Column 2</w:t>
              </w:r>
            </w:ins>
          </w:p>
          <w:p>
            <w:pPr>
              <w:pStyle w:val="TableNAm"/>
              <w:keepNext/>
              <w:jc w:val="center"/>
              <w:rPr>
                <w:b/>
                <w:bCs/>
              </w:rPr>
            </w:pPr>
            <w:r>
              <w:rPr>
                <w:b/>
              </w:rPr>
              <w:t xml:space="preserve">Fee </w:t>
            </w:r>
            <w:del w:id="1164" w:author="Master Repository Process" w:date="2021-08-01T05:23:00Z">
              <w:r>
                <w:rPr>
                  <w:b/>
                  <w:bCs/>
                </w:rPr>
                <w:delText>for</w:delText>
              </w:r>
            </w:del>
            <w:ins w:id="1165" w:author="Master Repository Process" w:date="2021-08-01T05:23:00Z">
              <w:r>
                <w:rPr>
                  <w:b/>
                </w:rPr>
                <w:t>during designated period</w:t>
              </w:r>
              <w:r>
                <w:rPr>
                  <w:b/>
                </w:rPr>
                <w:br/>
                <w:t>$</w:t>
              </w:r>
            </w:ins>
          </w:p>
        </w:tc>
        <w:tc>
          <w:tcPr>
            <w:tcW w:w="1318" w:type="dxa"/>
          </w:tcPr>
          <w:p>
            <w:pPr>
              <w:pStyle w:val="TableNAm"/>
              <w:keepNext/>
              <w:jc w:val="center"/>
              <w:rPr>
                <w:ins w:id="1166" w:author="Master Repository Process" w:date="2021-08-01T05:23:00Z"/>
                <w:b/>
                <w:bCs/>
              </w:rPr>
            </w:pPr>
            <w:ins w:id="1167" w:author="Master Repository Process" w:date="2021-08-01T05:23:00Z">
              <w:r>
                <w:rPr>
                  <w:b/>
                  <w:bCs/>
                </w:rPr>
                <w:t>Column 3</w:t>
              </w:r>
            </w:ins>
          </w:p>
          <w:p>
            <w:pPr>
              <w:pStyle w:val="TableNAm"/>
              <w:keepNext/>
              <w:jc w:val="center"/>
              <w:rPr>
                <w:b/>
                <w:bCs/>
              </w:rPr>
            </w:pPr>
            <w:r>
              <w:rPr>
                <w:b/>
                <w:bCs/>
              </w:rPr>
              <w:t xml:space="preserve">Fee </w:t>
            </w:r>
            <w:del w:id="1168" w:author="Master Repository Process" w:date="2021-08-01T05:23:00Z">
              <w:r>
                <w:rPr>
                  <w:b/>
                  <w:bCs/>
                </w:rPr>
                <w:delText>($)</w:delText>
              </w:r>
            </w:del>
            <w:ins w:id="1169" w:author="Master Repository Process" w:date="2021-08-01T05:23:00Z">
              <w:r>
                <w:rPr>
                  <w:b/>
                  <w:bCs/>
                </w:rPr>
                <w:t>after designated period</w:t>
              </w:r>
              <w:r>
                <w:rPr>
                  <w:b/>
                  <w:bCs/>
                </w:rPr>
                <w:br/>
                <w:t>$</w:t>
              </w:r>
            </w:ins>
          </w:p>
        </w:tc>
      </w:tr>
      <w:tr>
        <w:trPr>
          <w:cantSplit/>
        </w:trPr>
        <w:tc>
          <w:tcPr>
            <w:tcW w:w="822" w:type="dxa"/>
            <w:tcBorders>
              <w:bottom w:val="single" w:sz="4" w:space="0" w:color="auto"/>
            </w:tcBorders>
          </w:tcPr>
          <w:p>
            <w:pPr>
              <w:pStyle w:val="TableNAm"/>
              <w:keepNext/>
            </w:pPr>
            <w:r>
              <w:t>1.</w:t>
            </w:r>
          </w:p>
        </w:tc>
        <w:tc>
          <w:tcPr>
            <w:tcW w:w="2527" w:type="dxa"/>
            <w:tcBorders>
              <w:bottom w:val="single" w:sz="4" w:space="0" w:color="auto"/>
            </w:tcBorders>
          </w:tcPr>
          <w:p>
            <w:pPr>
              <w:pStyle w:val="TableNAm"/>
              <w:keepNext/>
            </w:pPr>
            <w:del w:id="1170" w:author="Master Repository Process" w:date="2021-08-01T05:23:00Z">
              <w:r>
                <w:delText xml:space="preserve">Approval </w:delText>
              </w:r>
            </w:del>
            <w:ins w:id="1171" w:author="Master Repository Process" w:date="2021-08-01T05:23:00Z">
              <w:r>
                <w:t xml:space="preserve">Application for approval </w:t>
              </w:r>
            </w:ins>
            <w:r>
              <w:t>or variation of approval (r. 194(1)(b))</w:t>
            </w:r>
          </w:p>
        </w:tc>
        <w:tc>
          <w:tcPr>
            <w:tcW w:w="1400" w:type="dxa"/>
            <w:tcBorders>
              <w:bottom w:val="single" w:sz="4" w:space="0" w:color="auto"/>
            </w:tcBorders>
            <w:shd w:val="clear" w:color="auto" w:fill="auto"/>
            <w:vAlign w:val="bottom"/>
            <w:cellIns w:id="1172" w:author="Master Repository Process" w:date="2021-08-01T05:23:00Z"/>
          </w:tcPr>
          <w:p>
            <w:pPr>
              <w:pStyle w:val="TableNAm"/>
              <w:keepNext/>
              <w:jc w:val="right"/>
            </w:pPr>
            <w:ins w:id="1173" w:author="Master Repository Process" w:date="2021-08-01T05:23:00Z">
              <w:r>
                <w:t>–</w:t>
              </w:r>
            </w:ins>
          </w:p>
        </w:tc>
        <w:tc>
          <w:tcPr>
            <w:tcW w:w="1318" w:type="dxa"/>
            <w:tcBorders>
              <w:bottom w:val="single" w:sz="4" w:space="0" w:color="auto"/>
            </w:tcBorders>
            <w:vAlign w:val="bottom"/>
          </w:tcPr>
          <w:p>
            <w:pPr>
              <w:pStyle w:val="TableNAm"/>
              <w:keepNext/>
              <w:jc w:val="right"/>
            </w:pPr>
            <w:del w:id="1174" w:author="Master Repository Process" w:date="2021-08-01T05:23:00Z">
              <w:r>
                <w:br/>
              </w:r>
            </w:del>
            <w:r>
              <w:t>294.00</w:t>
            </w:r>
          </w:p>
        </w:tc>
      </w:tr>
      <w:tr>
        <w:trPr>
          <w:trHeight w:val="420"/>
          <w:ins w:id="1175" w:author="Master Repository Process" w:date="2021-08-01T05:23:00Z"/>
        </w:trPr>
        <w:tc>
          <w:tcPr>
            <w:tcW w:w="822" w:type="dxa"/>
            <w:tcBorders>
              <w:bottom w:val="nil"/>
            </w:tcBorders>
          </w:tcPr>
          <w:p>
            <w:pPr>
              <w:pStyle w:val="TableNAm"/>
              <w:rPr>
                <w:ins w:id="1176" w:author="Master Repository Process" w:date="2021-08-01T05:23:00Z"/>
              </w:rPr>
            </w:pPr>
            <w:ins w:id="1177" w:author="Master Repository Process" w:date="2021-08-01T05:23:00Z">
              <w:r>
                <w:t>2.</w:t>
              </w:r>
            </w:ins>
          </w:p>
        </w:tc>
        <w:tc>
          <w:tcPr>
            <w:tcW w:w="2527" w:type="dxa"/>
            <w:tcBorders>
              <w:bottom w:val="nil"/>
            </w:tcBorders>
          </w:tcPr>
          <w:p>
            <w:pPr>
              <w:pStyle w:val="TableNAm"/>
              <w:rPr>
                <w:ins w:id="1178" w:author="Master Repository Process" w:date="2021-08-01T05:23:00Z"/>
              </w:rPr>
            </w:pPr>
            <w:ins w:id="1179" w:author="Master Repository Process" w:date="2021-08-01T05:23:00Z">
              <w:r>
                <w:t>Application for, or for renewal of —</w:t>
              </w:r>
            </w:ins>
          </w:p>
        </w:tc>
        <w:tc>
          <w:tcPr>
            <w:tcW w:w="1400" w:type="dxa"/>
            <w:tcBorders>
              <w:bottom w:val="nil"/>
            </w:tcBorders>
            <w:vAlign w:val="bottom"/>
          </w:tcPr>
          <w:p>
            <w:pPr>
              <w:pStyle w:val="TableNAm"/>
              <w:jc w:val="right"/>
              <w:rPr>
                <w:ins w:id="1180" w:author="Master Repository Process" w:date="2021-08-01T05:23:00Z"/>
              </w:rPr>
            </w:pPr>
          </w:p>
        </w:tc>
        <w:tc>
          <w:tcPr>
            <w:tcW w:w="1318" w:type="dxa"/>
            <w:tcBorders>
              <w:bottom w:val="nil"/>
            </w:tcBorders>
            <w:vAlign w:val="bottom"/>
          </w:tcPr>
          <w:p>
            <w:pPr>
              <w:pStyle w:val="TableNAm"/>
              <w:jc w:val="right"/>
              <w:rPr>
                <w:ins w:id="1181" w:author="Master Repository Process" w:date="2021-08-01T05:23:00Z"/>
              </w:rPr>
            </w:pPr>
          </w:p>
        </w:tc>
      </w:tr>
      <w:tr>
        <w:trPr>
          <w:trHeight w:val="332"/>
          <w:ins w:id="1182" w:author="Master Repository Process" w:date="2021-08-01T05:23:00Z"/>
        </w:trPr>
        <w:tc>
          <w:tcPr>
            <w:tcW w:w="822" w:type="dxa"/>
            <w:vMerge w:val="restart"/>
            <w:tcBorders>
              <w:top w:val="nil"/>
              <w:bottom w:val="nil"/>
            </w:tcBorders>
          </w:tcPr>
          <w:p>
            <w:pPr>
              <w:pStyle w:val="TableNAm"/>
              <w:rPr>
                <w:ins w:id="1183" w:author="Master Repository Process" w:date="2021-08-01T05:23:00Z"/>
              </w:rPr>
            </w:pPr>
          </w:p>
        </w:tc>
        <w:tc>
          <w:tcPr>
            <w:tcW w:w="2527" w:type="dxa"/>
            <w:tcBorders>
              <w:top w:val="nil"/>
              <w:bottom w:val="nil"/>
            </w:tcBorders>
          </w:tcPr>
          <w:p>
            <w:pPr>
              <w:pStyle w:val="TableNAm"/>
              <w:tabs>
                <w:tab w:val="clear" w:pos="567"/>
                <w:tab w:val="left" w:pos="459"/>
              </w:tabs>
              <w:ind w:left="459" w:hanging="459"/>
              <w:rPr>
                <w:ins w:id="1184" w:author="Master Repository Process" w:date="2021-08-01T05:23:00Z"/>
              </w:rPr>
            </w:pPr>
            <w:ins w:id="1185" w:author="Master Repository Process" w:date="2021-08-01T05:23:00Z">
              <w:r>
                <w:t>(a)</w:t>
              </w:r>
              <w:r>
                <w:tab/>
                <w:t xml:space="preserve">a dangerous goods driver licence (r. 218(2)(e) and 223(2)(e)) — </w:t>
              </w:r>
            </w:ins>
          </w:p>
        </w:tc>
        <w:tc>
          <w:tcPr>
            <w:tcW w:w="1400" w:type="dxa"/>
            <w:tcBorders>
              <w:top w:val="nil"/>
              <w:bottom w:val="nil"/>
            </w:tcBorders>
          </w:tcPr>
          <w:p>
            <w:pPr>
              <w:pStyle w:val="TableNAm"/>
              <w:jc w:val="right"/>
              <w:rPr>
                <w:ins w:id="1186" w:author="Master Repository Process" w:date="2021-08-01T05:23:00Z"/>
              </w:rPr>
            </w:pPr>
          </w:p>
        </w:tc>
        <w:tc>
          <w:tcPr>
            <w:tcW w:w="1318" w:type="dxa"/>
            <w:tcBorders>
              <w:top w:val="nil"/>
              <w:bottom w:val="nil"/>
            </w:tcBorders>
          </w:tcPr>
          <w:p>
            <w:pPr>
              <w:pStyle w:val="TableNAm"/>
              <w:jc w:val="right"/>
              <w:rPr>
                <w:ins w:id="1187" w:author="Master Repository Process" w:date="2021-08-01T05:23:00Z"/>
              </w:rPr>
            </w:pPr>
          </w:p>
        </w:tc>
      </w:tr>
      <w:tr>
        <w:trPr>
          <w:trHeight w:val="692"/>
          <w:ins w:id="1188" w:author="Master Repository Process" w:date="2021-08-01T05:23:00Z"/>
        </w:trPr>
        <w:tc>
          <w:tcPr>
            <w:tcW w:w="822" w:type="dxa"/>
            <w:vMerge/>
            <w:tcBorders>
              <w:top w:val="nil"/>
              <w:bottom w:val="nil"/>
            </w:tcBorders>
          </w:tcPr>
          <w:p>
            <w:pPr>
              <w:pStyle w:val="TableNAm"/>
              <w:rPr>
                <w:ins w:id="1189" w:author="Master Repository Process" w:date="2021-08-01T05:23:00Z"/>
              </w:rPr>
            </w:pPr>
          </w:p>
        </w:tc>
        <w:tc>
          <w:tcPr>
            <w:tcW w:w="2527" w:type="dxa"/>
            <w:tcBorders>
              <w:top w:val="nil"/>
              <w:bottom w:val="nil"/>
            </w:tcBorders>
          </w:tcPr>
          <w:p>
            <w:pPr>
              <w:pStyle w:val="TableNAm"/>
              <w:keepNext/>
              <w:keepLines/>
              <w:ind w:left="893" w:hanging="420"/>
              <w:rPr>
                <w:ins w:id="1190" w:author="Master Repository Process" w:date="2021-08-01T05:23:00Z"/>
              </w:rPr>
            </w:pPr>
            <w:ins w:id="1191" w:author="Master Repository Process" w:date="2021-08-01T05:23:00Z">
              <w:r>
                <w:t>(i)</w:t>
              </w:r>
              <w:r>
                <w:tab/>
                <w:t>for the first year or part of a year of the term of the licence</w:t>
              </w:r>
            </w:ins>
          </w:p>
        </w:tc>
        <w:tc>
          <w:tcPr>
            <w:tcW w:w="1400" w:type="dxa"/>
            <w:tcBorders>
              <w:top w:val="nil"/>
              <w:bottom w:val="nil"/>
            </w:tcBorders>
            <w:vAlign w:val="bottom"/>
          </w:tcPr>
          <w:p>
            <w:pPr>
              <w:pStyle w:val="TableNAm"/>
              <w:jc w:val="right"/>
              <w:rPr>
                <w:ins w:id="1192" w:author="Master Repository Process" w:date="2021-08-01T05:23:00Z"/>
              </w:rPr>
            </w:pPr>
            <w:ins w:id="1193" w:author="Master Repository Process" w:date="2021-08-01T05:23:00Z">
              <w:r>
                <w:t>–</w:t>
              </w:r>
            </w:ins>
          </w:p>
        </w:tc>
        <w:tc>
          <w:tcPr>
            <w:tcW w:w="1318" w:type="dxa"/>
            <w:tcBorders>
              <w:top w:val="nil"/>
              <w:bottom w:val="nil"/>
            </w:tcBorders>
            <w:vAlign w:val="bottom"/>
          </w:tcPr>
          <w:p>
            <w:pPr>
              <w:pStyle w:val="TableNAm"/>
              <w:jc w:val="right"/>
              <w:rPr>
                <w:ins w:id="1194" w:author="Master Repository Process" w:date="2021-08-01T05:23:00Z"/>
              </w:rPr>
            </w:pPr>
            <w:ins w:id="1195" w:author="Master Repository Process" w:date="2021-08-01T05:23:00Z">
              <w:r>
                <w:t>23.50</w:t>
              </w:r>
            </w:ins>
          </w:p>
        </w:tc>
      </w:tr>
      <w:tr>
        <w:trPr>
          <w:trHeight w:val="1640"/>
          <w:ins w:id="1196" w:author="Master Repository Process" w:date="2021-08-01T05:23:00Z"/>
        </w:trPr>
        <w:tc>
          <w:tcPr>
            <w:tcW w:w="822" w:type="dxa"/>
            <w:tcBorders>
              <w:top w:val="nil"/>
              <w:bottom w:val="nil"/>
            </w:tcBorders>
          </w:tcPr>
          <w:p>
            <w:pPr>
              <w:pStyle w:val="TableNAm"/>
              <w:rPr>
                <w:ins w:id="1197" w:author="Master Repository Process" w:date="2021-08-01T05:23:00Z"/>
              </w:rPr>
            </w:pPr>
          </w:p>
        </w:tc>
        <w:tc>
          <w:tcPr>
            <w:tcW w:w="2527" w:type="dxa"/>
            <w:tcBorders>
              <w:top w:val="nil"/>
              <w:bottom w:val="nil"/>
            </w:tcBorders>
          </w:tcPr>
          <w:p>
            <w:pPr>
              <w:pStyle w:val="TableNAm"/>
              <w:keepNext/>
              <w:keepLines/>
              <w:ind w:left="893" w:hanging="420"/>
              <w:rPr>
                <w:ins w:id="1198" w:author="Master Repository Process" w:date="2021-08-01T05:23:00Z"/>
              </w:rPr>
            </w:pPr>
            <w:ins w:id="1199" w:author="Master Repository Process" w:date="2021-08-01T05:23:00Z">
              <w:r>
                <w:t>(ii)</w:t>
              </w:r>
              <w:r>
                <w:tab/>
                <w:t>for each subsequent year or part of a year of the term of the licence</w:t>
              </w:r>
            </w:ins>
          </w:p>
        </w:tc>
        <w:tc>
          <w:tcPr>
            <w:tcW w:w="1400" w:type="dxa"/>
            <w:tcBorders>
              <w:top w:val="nil"/>
              <w:bottom w:val="nil"/>
            </w:tcBorders>
            <w:vAlign w:val="bottom"/>
          </w:tcPr>
          <w:p>
            <w:pPr>
              <w:pStyle w:val="TableNAm"/>
              <w:jc w:val="right"/>
              <w:rPr>
                <w:ins w:id="1200" w:author="Master Repository Process" w:date="2021-08-01T05:23:00Z"/>
              </w:rPr>
            </w:pPr>
            <w:ins w:id="1201" w:author="Master Repository Process" w:date="2021-08-01T05:23:00Z">
              <w:r>
                <w:t>23.50</w:t>
              </w:r>
            </w:ins>
          </w:p>
        </w:tc>
        <w:tc>
          <w:tcPr>
            <w:tcW w:w="1318" w:type="dxa"/>
            <w:tcBorders>
              <w:top w:val="nil"/>
              <w:bottom w:val="nil"/>
            </w:tcBorders>
            <w:vAlign w:val="bottom"/>
          </w:tcPr>
          <w:p>
            <w:pPr>
              <w:pStyle w:val="TableNAm"/>
              <w:jc w:val="right"/>
              <w:rPr>
                <w:ins w:id="1202" w:author="Master Repository Process" w:date="2021-08-01T05:23:00Z"/>
              </w:rPr>
            </w:pPr>
            <w:ins w:id="1203" w:author="Master Repository Process" w:date="2021-08-01T05:23:00Z">
              <w:r>
                <w:t>23.50</w:t>
              </w:r>
            </w:ins>
          </w:p>
        </w:tc>
      </w:tr>
      <w:tr>
        <w:trPr>
          <w:cantSplit/>
          <w:trHeight w:val="367"/>
          <w:ins w:id="1204" w:author="Master Repository Process" w:date="2021-08-01T05:23:00Z"/>
        </w:trPr>
        <w:tc>
          <w:tcPr>
            <w:tcW w:w="822" w:type="dxa"/>
            <w:tcBorders>
              <w:top w:val="nil"/>
            </w:tcBorders>
          </w:tcPr>
          <w:p>
            <w:pPr>
              <w:pStyle w:val="TableNAm"/>
              <w:keepNext/>
              <w:rPr>
                <w:ins w:id="1205" w:author="Master Repository Process" w:date="2021-08-01T05:23:00Z"/>
              </w:rPr>
            </w:pPr>
          </w:p>
        </w:tc>
        <w:tc>
          <w:tcPr>
            <w:tcW w:w="2527" w:type="dxa"/>
            <w:tcBorders>
              <w:top w:val="nil"/>
              <w:bottom w:val="nil"/>
            </w:tcBorders>
          </w:tcPr>
          <w:p>
            <w:pPr>
              <w:pStyle w:val="TableNAm"/>
              <w:keepNext/>
              <w:keepLines/>
              <w:tabs>
                <w:tab w:val="clear" w:pos="567"/>
                <w:tab w:val="left" w:pos="459"/>
              </w:tabs>
              <w:ind w:left="459" w:hanging="459"/>
              <w:rPr>
                <w:ins w:id="1206" w:author="Master Repository Process" w:date="2021-08-01T05:23:00Z"/>
              </w:rPr>
            </w:pPr>
            <w:ins w:id="1207" w:author="Master Repository Process" w:date="2021-08-01T05:23:00Z">
              <w:r>
                <w:t>(b)</w:t>
              </w:r>
              <w:r>
                <w:tab/>
                <w:t xml:space="preserve">a dangerous goods vehicle licence (r. 230(4) and 233(3)) — </w:t>
              </w:r>
            </w:ins>
          </w:p>
        </w:tc>
        <w:tc>
          <w:tcPr>
            <w:tcW w:w="1400" w:type="dxa"/>
            <w:tcBorders>
              <w:top w:val="nil"/>
              <w:bottom w:val="nil"/>
            </w:tcBorders>
          </w:tcPr>
          <w:p>
            <w:pPr>
              <w:pStyle w:val="TableNAm"/>
              <w:keepNext/>
              <w:jc w:val="right"/>
              <w:rPr>
                <w:ins w:id="1208" w:author="Master Repository Process" w:date="2021-08-01T05:23:00Z"/>
              </w:rPr>
            </w:pPr>
          </w:p>
        </w:tc>
        <w:tc>
          <w:tcPr>
            <w:tcW w:w="1318" w:type="dxa"/>
            <w:tcBorders>
              <w:top w:val="nil"/>
              <w:bottom w:val="nil"/>
            </w:tcBorders>
          </w:tcPr>
          <w:p>
            <w:pPr>
              <w:pStyle w:val="TableNAm"/>
              <w:keepNext/>
              <w:jc w:val="right"/>
              <w:rPr>
                <w:ins w:id="1209" w:author="Master Repository Process" w:date="2021-08-01T05:23:00Z"/>
              </w:rPr>
            </w:pPr>
          </w:p>
        </w:tc>
      </w:tr>
      <w:tr>
        <w:trPr>
          <w:trHeight w:val="707"/>
        </w:trPr>
        <w:tc>
          <w:tcPr>
            <w:tcW w:w="822" w:type="dxa"/>
            <w:cellMerge w:id="1210" w:author="Master Repository Process" w:date="2021-08-01T05:23:00Z" w:vMerge="cont"/>
          </w:tcPr>
          <w:p>
            <w:pPr>
              <w:pStyle w:val="TableNAm"/>
              <w:keepNext/>
            </w:pPr>
            <w:del w:id="1211" w:author="Master Repository Process" w:date="2021-08-01T05:23:00Z">
              <w:r>
                <w:delText>2.</w:delText>
              </w:r>
            </w:del>
          </w:p>
        </w:tc>
        <w:tc>
          <w:tcPr>
            <w:tcW w:w="2527" w:type="dxa"/>
            <w:tcBorders>
              <w:top w:val="nil"/>
              <w:bottom w:val="nil"/>
            </w:tcBorders>
          </w:tcPr>
          <w:p>
            <w:pPr>
              <w:pStyle w:val="TableNAm"/>
              <w:rPr>
                <w:del w:id="1212" w:author="Master Repository Process" w:date="2021-08-01T05:23:00Z"/>
              </w:rPr>
            </w:pPr>
            <w:del w:id="1213" w:author="Master Repository Process" w:date="2021-08-01T05:23:00Z">
              <w:r>
                <w:delText xml:space="preserve">Application for, or for renewal of, a licence, </w:delText>
              </w:r>
            </w:del>
            <w:ins w:id="1214" w:author="Master Repository Process" w:date="2021-08-01T05:23:00Z">
              <w:r>
                <w:t>(i)</w:t>
              </w:r>
              <w:r>
                <w:tab/>
              </w:r>
            </w:ins>
            <w:r>
              <w:t xml:space="preserve">for the </w:t>
            </w:r>
            <w:del w:id="1215" w:author="Master Repository Process" w:date="2021-08-01T05:23:00Z">
              <w:r>
                <w:delText>term of the licence per</w:delText>
              </w:r>
            </w:del>
            <w:ins w:id="1216" w:author="Master Repository Process" w:date="2021-08-01T05:23:00Z">
              <w:r>
                <w:t>first</w:t>
              </w:r>
            </w:ins>
            <w:r>
              <w:t xml:space="preserve"> year or part of a year</w:t>
            </w:r>
            <w:del w:id="1217" w:author="Master Repository Process" w:date="2021-08-01T05:23:00Z">
              <w:r>
                <w:delText> —</w:delText>
              </w:r>
            </w:del>
          </w:p>
          <w:p>
            <w:pPr>
              <w:pStyle w:val="TableNAm"/>
              <w:ind w:left="576" w:hanging="576"/>
              <w:rPr>
                <w:del w:id="1218" w:author="Master Repository Process" w:date="2021-08-01T05:23:00Z"/>
              </w:rPr>
            </w:pPr>
            <w:del w:id="1219" w:author="Master Repository Process" w:date="2021-08-01T05:23:00Z">
              <w:r>
                <w:delText>(a)</w:delText>
              </w:r>
              <w:r>
                <w:tab/>
                <w:delText>dangerous goods driver licence (r. 218(2)(e) and 223(2)(e))</w:delText>
              </w:r>
            </w:del>
          </w:p>
          <w:p>
            <w:pPr>
              <w:pStyle w:val="TableNAm"/>
              <w:keepNext/>
              <w:keepLines/>
              <w:ind w:left="893" w:hanging="420"/>
            </w:pPr>
            <w:del w:id="1220" w:author="Master Repository Process" w:date="2021-08-01T05:23:00Z">
              <w:r>
                <w:delText>(b)</w:delText>
              </w:r>
              <w:r>
                <w:tab/>
                <w:delText xml:space="preserve">dangerous goods vehicle licence (r. 230(4) and 233(3)) </w:delText>
              </w:r>
            </w:del>
            <w:ins w:id="1221" w:author="Master Repository Process" w:date="2021-08-01T05:23:00Z">
              <w:r>
                <w:t xml:space="preserve"> of the term of the licence</w:t>
              </w:r>
            </w:ins>
          </w:p>
        </w:tc>
        <w:tc>
          <w:tcPr>
            <w:tcW w:w="1400" w:type="dxa"/>
            <w:tcBorders>
              <w:top w:val="nil"/>
              <w:bottom w:val="nil"/>
            </w:tcBorders>
            <w:vAlign w:val="bottom"/>
            <w:cellIns w:id="1222" w:author="Master Repository Process" w:date="2021-08-01T05:23:00Z"/>
          </w:tcPr>
          <w:p>
            <w:pPr>
              <w:pStyle w:val="TableNAm"/>
              <w:keepNext/>
              <w:jc w:val="right"/>
            </w:pPr>
            <w:ins w:id="1223" w:author="Master Repository Process" w:date="2021-08-01T05:23:00Z">
              <w:r>
                <w:t>–</w:t>
              </w:r>
            </w:ins>
          </w:p>
        </w:tc>
        <w:tc>
          <w:tcPr>
            <w:tcW w:w="1318" w:type="dxa"/>
            <w:tcBorders>
              <w:top w:val="nil"/>
              <w:bottom w:val="nil"/>
            </w:tcBorders>
            <w:vAlign w:val="bottom"/>
          </w:tcPr>
          <w:p>
            <w:pPr>
              <w:pStyle w:val="TableNAm"/>
              <w:rPr>
                <w:del w:id="1224" w:author="Master Repository Process" w:date="2021-08-01T05:23:00Z"/>
              </w:rPr>
            </w:pPr>
            <w:del w:id="1225" w:author="Master Repository Process" w:date="2021-08-01T05:23:00Z">
              <w:r>
                <w:br/>
              </w:r>
              <w:r>
                <w:br/>
              </w:r>
            </w:del>
          </w:p>
          <w:p>
            <w:pPr>
              <w:pStyle w:val="TableNAm"/>
              <w:rPr>
                <w:del w:id="1226" w:author="Master Repository Process" w:date="2021-08-01T05:23:00Z"/>
              </w:rPr>
            </w:pPr>
            <w:del w:id="1227" w:author="Master Repository Process" w:date="2021-08-01T05:23:00Z">
              <w:r>
                <w:br/>
                <w:delText>23.50</w:delText>
              </w:r>
            </w:del>
          </w:p>
          <w:p>
            <w:pPr>
              <w:pStyle w:val="TableNAm"/>
              <w:keepNext/>
              <w:jc w:val="right"/>
            </w:pPr>
            <w:del w:id="1228" w:author="Master Repository Process" w:date="2021-08-01T05:23:00Z">
              <w:r>
                <w:br/>
              </w:r>
            </w:del>
            <w:r>
              <w:t>148.00</w:t>
            </w:r>
          </w:p>
        </w:tc>
      </w:tr>
      <w:tr>
        <w:trPr>
          <w:trHeight w:val="706"/>
          <w:ins w:id="1229" w:author="Master Repository Process" w:date="2021-08-01T05:23:00Z"/>
        </w:trPr>
        <w:tc>
          <w:tcPr>
            <w:tcW w:w="822" w:type="dxa"/>
            <w:cellMerge w:id="1230" w:author="Master Repository Process" w:date="2021-08-01T05:23:00Z" w:vMerge="cont"/>
          </w:tcPr>
          <w:p>
            <w:pPr>
              <w:pStyle w:val="TableNAm"/>
              <w:rPr>
                <w:ins w:id="1231" w:author="Master Repository Process" w:date="2021-08-01T05:23:00Z"/>
              </w:rPr>
            </w:pPr>
          </w:p>
        </w:tc>
        <w:tc>
          <w:tcPr>
            <w:tcW w:w="2527" w:type="dxa"/>
            <w:tcBorders>
              <w:top w:val="nil"/>
            </w:tcBorders>
          </w:tcPr>
          <w:p>
            <w:pPr>
              <w:pStyle w:val="TableNAm"/>
              <w:keepNext/>
              <w:keepLines/>
              <w:ind w:left="893" w:hanging="420"/>
              <w:rPr>
                <w:ins w:id="1232" w:author="Master Repository Process" w:date="2021-08-01T05:23:00Z"/>
              </w:rPr>
            </w:pPr>
            <w:ins w:id="1233" w:author="Master Repository Process" w:date="2021-08-01T05:23:00Z">
              <w:r>
                <w:t>(ii)</w:t>
              </w:r>
              <w:r>
                <w:tab/>
                <w:t>for each subsequent year or part of a year of the term of the licence</w:t>
              </w:r>
            </w:ins>
          </w:p>
        </w:tc>
        <w:tc>
          <w:tcPr>
            <w:tcW w:w="1400" w:type="dxa"/>
            <w:tcBorders>
              <w:top w:val="nil"/>
            </w:tcBorders>
            <w:vAlign w:val="bottom"/>
          </w:tcPr>
          <w:p>
            <w:pPr>
              <w:pStyle w:val="TableNAm"/>
              <w:jc w:val="right"/>
              <w:rPr>
                <w:ins w:id="1234" w:author="Master Repository Process" w:date="2021-08-01T05:23:00Z"/>
              </w:rPr>
            </w:pPr>
            <w:ins w:id="1235" w:author="Master Repository Process" w:date="2021-08-01T05:23:00Z">
              <w:r>
                <w:t>148.00</w:t>
              </w:r>
            </w:ins>
          </w:p>
        </w:tc>
        <w:tc>
          <w:tcPr>
            <w:tcW w:w="1318" w:type="dxa"/>
            <w:tcBorders>
              <w:top w:val="nil"/>
            </w:tcBorders>
            <w:vAlign w:val="bottom"/>
          </w:tcPr>
          <w:p>
            <w:pPr>
              <w:pStyle w:val="TableNAm"/>
              <w:jc w:val="right"/>
              <w:rPr>
                <w:ins w:id="1236" w:author="Master Repository Process" w:date="2021-08-01T05:23:00Z"/>
              </w:rPr>
            </w:pPr>
            <w:ins w:id="1237" w:author="Master Repository Process" w:date="2021-08-01T05:23:00Z">
              <w:r>
                <w:t>148.00</w:t>
              </w:r>
            </w:ins>
          </w:p>
        </w:tc>
      </w:tr>
    </w:tbl>
    <w:p>
      <w:pPr>
        <w:pStyle w:val="Footnotesection"/>
        <w:rPr>
          <w:ins w:id="1238" w:author="Master Repository Process" w:date="2021-08-01T05:23:00Z"/>
        </w:rPr>
      </w:pPr>
      <w:r>
        <w:tab/>
        <w:t xml:space="preserve">[Regulation 272 inserted: </w:t>
      </w:r>
      <w:del w:id="1239" w:author="Master Repository Process" w:date="2021-08-01T05:23:00Z">
        <w:r>
          <w:delText>Gazette 22 Jun 2010 p. 2739; amended: Gazette 20 Aug 2010 p. 4071; 26 Jun 2015 p. 2265; 24 Jun 2016 p. 2328; 23 Jun 2017 p. 3288; 25 Jun 2018 p. 2303; 18 Jun 2019 p. 2043</w:delText>
        </w:r>
      </w:del>
      <w:ins w:id="1240" w:author="Master Repository Process" w:date="2021-08-01T05:23:00Z">
        <w:r>
          <w:t>SL 2020/197 r. 9.]</w:t>
        </w:r>
      </w:ins>
    </w:p>
    <w:p>
      <w:pPr>
        <w:pStyle w:val="Heading5"/>
        <w:rPr>
          <w:ins w:id="1241" w:author="Master Repository Process" w:date="2021-08-01T05:23:00Z"/>
        </w:rPr>
      </w:pPr>
      <w:bookmarkStart w:id="1242" w:name="_Toc54607436"/>
      <w:bookmarkStart w:id="1243" w:name="_Toc54596677"/>
      <w:bookmarkStart w:id="1244" w:name="_Toc54597045"/>
      <w:ins w:id="1245" w:author="Master Repository Process" w:date="2021-08-01T05:23:00Z">
        <w:r>
          <w:rPr>
            <w:rStyle w:val="CharSectno"/>
          </w:rPr>
          <w:t>272AA</w:t>
        </w:r>
        <w:r>
          <w:t>.</w:t>
        </w:r>
        <w:r>
          <w:tab/>
          <w:t>Refund of fees in response to COVID</w:t>
        </w:r>
        <w:r>
          <w:noBreakHyphen/>
          <w:t>19 pandemic</w:t>
        </w:r>
        <w:bookmarkEnd w:id="1242"/>
      </w:ins>
    </w:p>
    <w:p>
      <w:pPr>
        <w:pStyle w:val="Subsection"/>
        <w:rPr>
          <w:ins w:id="1246" w:author="Master Repository Process" w:date="2021-08-01T05:23:00Z"/>
        </w:rPr>
      </w:pPr>
      <w:ins w:id="1247" w:author="Master Repository Process" w:date="2021-08-01T05:23:00Z">
        <w:r>
          <w:tab/>
          <w:t>(1)</w:t>
        </w:r>
        <w:r>
          <w:tab/>
          <w:t xml:space="preserve">In this regulation — </w:t>
        </w:r>
      </w:ins>
    </w:p>
    <w:p>
      <w:pPr>
        <w:pStyle w:val="Defstart"/>
        <w:rPr>
          <w:ins w:id="1248" w:author="Master Repository Process" w:date="2021-08-01T05:23:00Z"/>
        </w:rPr>
      </w:pPr>
      <w:ins w:id="1249" w:author="Master Repository Process" w:date="2021-08-01T05:23:00Z">
        <w:r>
          <w:tab/>
        </w:r>
        <w:r>
          <w:rPr>
            <w:rStyle w:val="CharDefText"/>
          </w:rPr>
          <w:t>commencement day</w:t>
        </w:r>
        <w:r>
          <w:t xml:space="preserve"> means the day on which the </w:t>
        </w:r>
        <w:r>
          <w:rPr>
            <w:i/>
          </w:rPr>
          <w:t>Mines and Petroleum Regulations Amendment (COVID</w:t>
        </w:r>
        <w:r>
          <w:rPr>
            <w:i/>
          </w:rPr>
          <w:noBreakHyphen/>
          <w:t>19 Response) Regulations (No. 2) 2020</w:t>
        </w:r>
        <w:r>
          <w:t xml:space="preserve"> regulation 9 comes into operation;</w:t>
        </w:r>
      </w:ins>
    </w:p>
    <w:p>
      <w:pPr>
        <w:pStyle w:val="Defstart"/>
        <w:rPr>
          <w:ins w:id="1250" w:author="Master Repository Process" w:date="2021-08-01T05:23:00Z"/>
        </w:rPr>
      </w:pPr>
      <w:ins w:id="1251" w:author="Master Repository Process" w:date="2021-08-01T05:23:00Z">
        <w:r>
          <w:tab/>
        </w:r>
        <w:r>
          <w:rPr>
            <w:rStyle w:val="CharDefText"/>
          </w:rPr>
          <w:t>designated fee</w:t>
        </w:r>
        <w:r>
          <w:t xml:space="preserve"> means a fee set out in the Table to regulation 272 as in force on 1 April 2020;</w:t>
        </w:r>
      </w:ins>
    </w:p>
    <w:p>
      <w:pPr>
        <w:pStyle w:val="Defstart"/>
        <w:rPr>
          <w:ins w:id="1252" w:author="Master Repository Process" w:date="2021-08-01T05:23:00Z"/>
        </w:rPr>
      </w:pPr>
      <w:ins w:id="1253" w:author="Master Repository Process" w:date="2021-08-01T05:23:00Z">
        <w:r>
          <w:tab/>
        </w:r>
        <w:r>
          <w:rPr>
            <w:rStyle w:val="CharDefText"/>
          </w:rPr>
          <w:t>reduced fee</w:t>
        </w:r>
        <w:r>
          <w:t xml:space="preserve"> means a fee set out in Column 2 of the Table to regulation 272(2).</w:t>
        </w:r>
      </w:ins>
    </w:p>
    <w:p>
      <w:pPr>
        <w:pStyle w:val="Subsection"/>
        <w:rPr>
          <w:ins w:id="1254" w:author="Master Repository Process" w:date="2021-08-01T05:23:00Z"/>
        </w:rPr>
      </w:pPr>
      <w:ins w:id="1255" w:author="Master Repository Process" w:date="2021-08-01T05:23:00Z">
        <w:r>
          <w:tab/>
          <w:t>(2)</w:t>
        </w:r>
        <w:r>
          <w:tab/>
          <w:t xml:space="preserve">This regulation applies if — </w:t>
        </w:r>
      </w:ins>
    </w:p>
    <w:p>
      <w:pPr>
        <w:pStyle w:val="Indenta"/>
        <w:rPr>
          <w:ins w:id="1256" w:author="Master Repository Process" w:date="2021-08-01T05:23:00Z"/>
        </w:rPr>
      </w:pPr>
      <w:ins w:id="1257" w:author="Master Repository Process" w:date="2021-08-01T05:23:00Z">
        <w:r>
          <w:tab/>
          <w:t>(a)</w:t>
        </w:r>
        <w:r>
          <w:tab/>
          <w:t>a person paid a designated fee during the period beginning on 1 April 2020 and ending on the day before commencement day; and</w:t>
        </w:r>
      </w:ins>
    </w:p>
    <w:p>
      <w:pPr>
        <w:pStyle w:val="Indenta"/>
        <w:rPr>
          <w:ins w:id="1258" w:author="Master Repository Process" w:date="2021-08-01T05:23:00Z"/>
        </w:rPr>
      </w:pPr>
      <w:ins w:id="1259" w:author="Master Repository Process" w:date="2021-08-01T05:23:00Z">
        <w:r>
          <w:tab/>
          <w:t>(b)</w:t>
        </w:r>
        <w:r>
          <w:tab/>
          <w:t>the designated fee is greater than the corresponding reduced fee.</w:t>
        </w:r>
      </w:ins>
    </w:p>
    <w:p>
      <w:pPr>
        <w:pStyle w:val="Subsection"/>
        <w:rPr>
          <w:ins w:id="1260" w:author="Master Repository Process" w:date="2021-08-01T05:23:00Z"/>
        </w:rPr>
      </w:pPr>
      <w:ins w:id="1261" w:author="Master Repository Process" w:date="2021-08-01T05:23:00Z">
        <w:r>
          <w:tab/>
          <w:t>(3)</w:t>
        </w:r>
        <w:r>
          <w:tab/>
          <w:t>The Chief Officer must refund to the person an amount equal to the difference between the designated fee and the corresponding reduced fee.</w:t>
        </w:r>
      </w:ins>
    </w:p>
    <w:p>
      <w:pPr>
        <w:pStyle w:val="Subsection"/>
        <w:rPr>
          <w:ins w:id="1262" w:author="Master Repository Process" w:date="2021-08-01T05:23:00Z"/>
        </w:rPr>
      </w:pPr>
      <w:ins w:id="1263" w:author="Master Repository Process" w:date="2021-08-01T05:23:00Z">
        <w:r>
          <w:tab/>
          <w:t>(4)</w:t>
        </w:r>
        <w:r>
          <w:tab/>
          <w:t>However, subregulation (3) does not require the Chief Officer to refund an amount in respect of a fee that has been refunded under regulation 194(4).</w:t>
        </w:r>
      </w:ins>
    </w:p>
    <w:p>
      <w:pPr>
        <w:pStyle w:val="Footnotesection"/>
      </w:pPr>
      <w:ins w:id="1264" w:author="Master Repository Process" w:date="2021-08-01T05:23:00Z">
        <w:r>
          <w:tab/>
          <w:t>[Regulation 272AA inserted: SL 2020/197 r. 10</w:t>
        </w:r>
      </w:ins>
      <w:r>
        <w:t>.]</w:t>
      </w:r>
    </w:p>
    <w:p>
      <w:pPr>
        <w:pStyle w:val="Heading2"/>
      </w:pPr>
      <w:bookmarkStart w:id="1265" w:name="_Toc54599743"/>
      <w:bookmarkStart w:id="1266" w:name="_Toc54600112"/>
      <w:bookmarkStart w:id="1267" w:name="_Toc54607437"/>
      <w:bookmarkStart w:id="1268" w:name="_Toc52961757"/>
      <w:bookmarkStart w:id="1269" w:name="_Toc52974021"/>
      <w:bookmarkStart w:id="1270" w:name="_Toc52975450"/>
      <w:bookmarkStart w:id="1271" w:name="_Toc52959973"/>
      <w:r>
        <w:rPr>
          <w:rStyle w:val="CharPartNo"/>
        </w:rPr>
        <w:t>Part 22A</w:t>
      </w:r>
      <w:r>
        <w:rPr>
          <w:b w:val="0"/>
        </w:rPr>
        <w:t> </w:t>
      </w:r>
      <w:r>
        <w:t>—</w:t>
      </w:r>
      <w:r>
        <w:rPr>
          <w:b w:val="0"/>
        </w:rPr>
        <w:t> </w:t>
      </w:r>
      <w:r>
        <w:rPr>
          <w:rStyle w:val="CharPartText"/>
        </w:rPr>
        <w:t>Miscellaneous</w:t>
      </w:r>
      <w:bookmarkEnd w:id="1243"/>
      <w:bookmarkEnd w:id="1244"/>
      <w:bookmarkEnd w:id="1265"/>
      <w:bookmarkEnd w:id="1266"/>
      <w:bookmarkEnd w:id="1267"/>
      <w:bookmarkEnd w:id="1268"/>
      <w:bookmarkEnd w:id="1269"/>
      <w:bookmarkEnd w:id="1270"/>
    </w:p>
    <w:p>
      <w:pPr>
        <w:pStyle w:val="Footnoteheading"/>
      </w:pPr>
      <w:r>
        <w:tab/>
        <w:t>[Heading inserted: SL 2020/193 r. 25.]</w:t>
      </w:r>
    </w:p>
    <w:p>
      <w:pPr>
        <w:pStyle w:val="Heading5"/>
      </w:pPr>
      <w:bookmarkStart w:id="1272" w:name="_Toc54607438"/>
      <w:bookmarkStart w:id="1273" w:name="_Toc52975451"/>
      <w:r>
        <w:rPr>
          <w:rStyle w:val="CharSectno"/>
        </w:rPr>
        <w:t>272A</w:t>
      </w:r>
      <w:r>
        <w:t>.</w:t>
      </w:r>
      <w:r>
        <w:tab/>
        <w:t>Exception for offence involving compliance with ADG Code</w:t>
      </w:r>
      <w:bookmarkEnd w:id="1272"/>
      <w:bookmarkEnd w:id="1273"/>
    </w:p>
    <w:p>
      <w:pPr>
        <w:pStyle w:val="Subsection"/>
      </w:pPr>
      <w:r>
        <w:tab/>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of 12 months beginning on the day on which an amendment to the ADG Code takes effect; and</w:t>
      </w:r>
    </w:p>
    <w:p>
      <w:pPr>
        <w:pStyle w:val="Indenta"/>
      </w:pPr>
      <w:r>
        <w:tab/>
        <w:t>(c)</w:t>
      </w:r>
      <w:r>
        <w:tab/>
        <w:t>the person transports the goods in accordance with the ADG Code as in force immediately before that day.</w:t>
      </w:r>
    </w:p>
    <w:p>
      <w:pPr>
        <w:pStyle w:val="Footnotesection"/>
      </w:pPr>
      <w:r>
        <w:tab/>
        <w:t>[Regulation 272A inserted: SL 2020/193 r. 25.]</w:t>
      </w:r>
    </w:p>
    <w:p>
      <w:pPr>
        <w:pStyle w:val="Heading2"/>
      </w:pPr>
      <w:bookmarkStart w:id="1274" w:name="_Toc54596679"/>
      <w:bookmarkStart w:id="1275" w:name="_Toc54597047"/>
      <w:bookmarkStart w:id="1276" w:name="_Toc54599745"/>
      <w:bookmarkStart w:id="1277" w:name="_Toc54600114"/>
      <w:bookmarkStart w:id="1278" w:name="_Toc54607439"/>
      <w:bookmarkStart w:id="1279" w:name="_Toc52961759"/>
      <w:bookmarkStart w:id="1280" w:name="_Toc52974023"/>
      <w:bookmarkStart w:id="1281" w:name="_Toc52975452"/>
      <w:r>
        <w:rPr>
          <w:rStyle w:val="CharPartNo"/>
        </w:rPr>
        <w:t>Part 23</w:t>
      </w:r>
      <w:r>
        <w:t> — </w:t>
      </w:r>
      <w:r>
        <w:rPr>
          <w:rStyle w:val="CharPartText"/>
        </w:rPr>
        <w:t>Transitional</w:t>
      </w:r>
      <w:bookmarkEnd w:id="1274"/>
      <w:bookmarkEnd w:id="1275"/>
      <w:bookmarkEnd w:id="1276"/>
      <w:bookmarkEnd w:id="1277"/>
      <w:bookmarkEnd w:id="1278"/>
      <w:bookmarkEnd w:id="1271"/>
      <w:bookmarkEnd w:id="1279"/>
      <w:bookmarkEnd w:id="1280"/>
      <w:bookmarkEnd w:id="1281"/>
    </w:p>
    <w:p>
      <w:pPr>
        <w:pStyle w:val="Heading3"/>
      </w:pPr>
      <w:bookmarkStart w:id="1282" w:name="_Toc54596680"/>
      <w:bookmarkStart w:id="1283" w:name="_Toc54597048"/>
      <w:bookmarkStart w:id="1284" w:name="_Toc54599746"/>
      <w:bookmarkStart w:id="1285" w:name="_Toc54600115"/>
      <w:bookmarkStart w:id="1286" w:name="_Toc54607440"/>
      <w:bookmarkStart w:id="1287" w:name="_Toc52959974"/>
      <w:bookmarkStart w:id="1288" w:name="_Toc52961760"/>
      <w:bookmarkStart w:id="1289" w:name="_Toc52974024"/>
      <w:bookmarkStart w:id="1290" w:name="_Toc52975453"/>
      <w:r>
        <w:rPr>
          <w:rStyle w:val="CharDivNo"/>
        </w:rPr>
        <w:t>Division 1</w:t>
      </w:r>
      <w:r>
        <w:t> — </w:t>
      </w:r>
      <w:r>
        <w:rPr>
          <w:rStyle w:val="CharDivText"/>
        </w:rPr>
        <w:t xml:space="preserve">Provisions for </w:t>
      </w:r>
      <w:r>
        <w:rPr>
          <w:rStyle w:val="CharDivText"/>
          <w:i/>
        </w:rPr>
        <w:t>Dangerous Goods (Transport) Act 1998</w:t>
      </w:r>
      <w:bookmarkEnd w:id="1282"/>
      <w:bookmarkEnd w:id="1283"/>
      <w:bookmarkEnd w:id="1284"/>
      <w:bookmarkEnd w:id="1285"/>
      <w:bookmarkEnd w:id="1286"/>
      <w:bookmarkEnd w:id="1287"/>
      <w:bookmarkEnd w:id="1288"/>
      <w:bookmarkEnd w:id="1289"/>
      <w:bookmarkEnd w:id="1290"/>
    </w:p>
    <w:p>
      <w:pPr>
        <w:pStyle w:val="Footnoteheading"/>
      </w:pPr>
      <w:r>
        <w:tab/>
        <w:t>[Heading inserted: Gazette 3 Aug 2012 p. 3759.]</w:t>
      </w:r>
    </w:p>
    <w:p>
      <w:pPr>
        <w:pStyle w:val="Heading5"/>
      </w:pPr>
      <w:bookmarkStart w:id="1291" w:name="_Toc54607441"/>
      <w:bookmarkStart w:id="1292" w:name="_Toc52975454"/>
      <w:r>
        <w:rPr>
          <w:rStyle w:val="CharSectno"/>
        </w:rPr>
        <w:t>273</w:t>
      </w:r>
      <w:r>
        <w:t>.</w:t>
      </w:r>
      <w:r>
        <w:tab/>
        <w:t>Terms used</w:t>
      </w:r>
      <w:bookmarkEnd w:id="1291"/>
      <w:bookmarkEnd w:id="1292"/>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r>
        <w:rPr>
          <w:vertAlign w:val="superscript"/>
        </w:rPr>
        <w:t>1</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Gazette 3 Aug 2012 p. 3759.]</w:t>
      </w:r>
    </w:p>
    <w:p>
      <w:pPr>
        <w:pStyle w:val="Heading5"/>
        <w:rPr>
          <w:color w:val="000000"/>
        </w:rPr>
      </w:pPr>
      <w:bookmarkStart w:id="1293" w:name="_Toc54607442"/>
      <w:bookmarkStart w:id="1294" w:name="_Toc52975455"/>
      <w:r>
        <w:rPr>
          <w:rStyle w:val="CharSectno"/>
          <w:color w:val="000000"/>
        </w:rPr>
        <w:t>274</w:t>
      </w:r>
      <w:r>
        <w:rPr>
          <w:color w:val="000000"/>
        </w:rPr>
        <w:t>.</w:t>
      </w:r>
      <w:r>
        <w:rPr>
          <w:color w:val="000000"/>
        </w:rPr>
        <w:tab/>
        <w:t>Lawful conduct under repealed regulations</w:t>
      </w:r>
      <w:bookmarkEnd w:id="1293"/>
      <w:bookmarkEnd w:id="1294"/>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Gazette 23 Jan 2009 p. 157.]</w:t>
      </w:r>
    </w:p>
    <w:p>
      <w:pPr>
        <w:pStyle w:val="Heading5"/>
        <w:keepNext w:val="0"/>
        <w:keepLines w:val="0"/>
        <w:pageBreakBefore/>
        <w:spacing w:before="0"/>
      </w:pPr>
      <w:bookmarkStart w:id="1295" w:name="_Toc54607443"/>
      <w:bookmarkStart w:id="1296" w:name="_Toc52975456"/>
      <w:r>
        <w:rPr>
          <w:rStyle w:val="CharSectno"/>
        </w:rPr>
        <w:t>275</w:t>
      </w:r>
      <w:r>
        <w:t>.</w:t>
      </w:r>
      <w:r>
        <w:tab/>
        <w:t>Continuing effect of certain determinations</w:t>
      </w:r>
      <w:bookmarkEnd w:id="1295"/>
      <w:bookmarkEnd w:id="1296"/>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1297" w:name="_Toc54607444"/>
      <w:bookmarkStart w:id="1298" w:name="_Toc52975457"/>
      <w:r>
        <w:rPr>
          <w:rStyle w:val="CharSectno"/>
        </w:rPr>
        <w:t>276</w:t>
      </w:r>
      <w:r>
        <w:t>.</w:t>
      </w:r>
      <w:r>
        <w:tab/>
        <w:t>Continuing effect of certain corresponding determinations</w:t>
      </w:r>
      <w:bookmarkEnd w:id="1297"/>
      <w:bookmarkEnd w:id="1298"/>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1299" w:name="_Toc54607445"/>
      <w:bookmarkStart w:id="1300" w:name="_Toc52975458"/>
      <w:r>
        <w:rPr>
          <w:rStyle w:val="CharSectno"/>
          <w:color w:val="000000"/>
        </w:rPr>
        <w:t>277</w:t>
      </w:r>
      <w:r>
        <w:rPr>
          <w:color w:val="000000"/>
        </w:rPr>
        <w:t>.</w:t>
      </w:r>
      <w:r>
        <w:rPr>
          <w:color w:val="000000"/>
        </w:rPr>
        <w:tab/>
        <w:t>Continuing effect of certain exemptions</w:t>
      </w:r>
      <w:bookmarkEnd w:id="1299"/>
      <w:bookmarkEnd w:id="1300"/>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1301" w:name="_Toc54607446"/>
      <w:bookmarkStart w:id="1302" w:name="_Toc52975459"/>
      <w:r>
        <w:t>278.</w:t>
      </w:r>
      <w:r>
        <w:tab/>
        <w:t>Continuing effect of certain corresponding exemptions</w:t>
      </w:r>
      <w:bookmarkEnd w:id="1301"/>
      <w:bookmarkEnd w:id="1302"/>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1303" w:name="_Toc54607447"/>
      <w:bookmarkStart w:id="1304" w:name="_Toc52975460"/>
      <w:r>
        <w:rPr>
          <w:rStyle w:val="CharSectno"/>
        </w:rPr>
        <w:t>279</w:t>
      </w:r>
      <w:r>
        <w:t>.</w:t>
      </w:r>
      <w:r>
        <w:tab/>
        <w:t>Continuing effect of certain approvals</w:t>
      </w:r>
      <w:bookmarkEnd w:id="1303"/>
      <w:bookmarkEnd w:id="1304"/>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1305" w:name="_Toc54607448"/>
      <w:bookmarkStart w:id="1306" w:name="_Toc52975461"/>
      <w:r>
        <w:rPr>
          <w:rStyle w:val="CharSectno"/>
        </w:rPr>
        <w:t>280</w:t>
      </w:r>
      <w:r>
        <w:t>.</w:t>
      </w:r>
      <w:r>
        <w:tab/>
        <w:t>Continuing effect of certain corresponding approvals</w:t>
      </w:r>
      <w:bookmarkEnd w:id="1305"/>
      <w:bookmarkEnd w:id="1306"/>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1307" w:name="_Toc54607449"/>
      <w:bookmarkStart w:id="1308" w:name="_Toc52975462"/>
      <w:r>
        <w:rPr>
          <w:rStyle w:val="CharSectno"/>
        </w:rPr>
        <w:t>281</w:t>
      </w:r>
      <w:r>
        <w:t>.</w:t>
      </w:r>
      <w:r>
        <w:tab/>
        <w:t>Continuing effect of certain licences</w:t>
      </w:r>
      <w:bookmarkEnd w:id="1307"/>
      <w:bookmarkEnd w:id="1308"/>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1309" w:name="_Toc54607450"/>
      <w:bookmarkStart w:id="1310" w:name="_Toc52975463"/>
      <w:r>
        <w:rPr>
          <w:rStyle w:val="CharSectno"/>
        </w:rPr>
        <w:t>282</w:t>
      </w:r>
      <w:r>
        <w:t>.</w:t>
      </w:r>
      <w:r>
        <w:tab/>
        <w:t>Continuing effect of certain corresponding licences</w:t>
      </w:r>
      <w:bookmarkEnd w:id="1309"/>
      <w:bookmarkEnd w:id="1310"/>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1311" w:name="_Toc54596691"/>
      <w:bookmarkStart w:id="1312" w:name="_Toc54597059"/>
      <w:bookmarkStart w:id="1313" w:name="_Toc54599757"/>
      <w:bookmarkStart w:id="1314" w:name="_Toc54600126"/>
      <w:bookmarkStart w:id="1315" w:name="_Toc54607451"/>
      <w:bookmarkStart w:id="1316" w:name="_Toc52959985"/>
      <w:bookmarkStart w:id="1317" w:name="_Toc52961771"/>
      <w:bookmarkStart w:id="1318" w:name="_Toc52974035"/>
      <w:bookmarkStart w:id="1319" w:name="_Toc52975464"/>
      <w:r>
        <w:rPr>
          <w:rStyle w:val="CharDivNo"/>
        </w:rPr>
        <w:t>Division 2</w:t>
      </w:r>
      <w:r>
        <w:t> — </w:t>
      </w:r>
      <w:r>
        <w:rPr>
          <w:rStyle w:val="CharDivText"/>
        </w:rPr>
        <w:t>Other provisions</w:t>
      </w:r>
      <w:bookmarkEnd w:id="1311"/>
      <w:bookmarkEnd w:id="1312"/>
      <w:bookmarkEnd w:id="1313"/>
      <w:bookmarkEnd w:id="1314"/>
      <w:bookmarkEnd w:id="1315"/>
      <w:bookmarkEnd w:id="1316"/>
      <w:bookmarkEnd w:id="1317"/>
      <w:bookmarkEnd w:id="1318"/>
      <w:bookmarkEnd w:id="1319"/>
    </w:p>
    <w:p>
      <w:pPr>
        <w:pStyle w:val="Footnoteheading"/>
      </w:pPr>
      <w:r>
        <w:tab/>
        <w:t>[Heading inserted: Gazette 3 Aug 2012 p. 3759.]</w:t>
      </w:r>
    </w:p>
    <w:p>
      <w:pPr>
        <w:pStyle w:val="Heading5"/>
      </w:pPr>
      <w:bookmarkStart w:id="1320" w:name="_Toc54607452"/>
      <w:bookmarkStart w:id="1321" w:name="_Toc52975465"/>
      <w:r>
        <w:rPr>
          <w:rStyle w:val="CharSectno"/>
        </w:rPr>
        <w:t>283</w:t>
      </w:r>
      <w:r>
        <w:t>.</w:t>
      </w:r>
      <w:r>
        <w:tab/>
        <w:t>Assessing fitness to drive</w:t>
      </w:r>
      <w:bookmarkEnd w:id="1320"/>
      <w:bookmarkEnd w:id="1321"/>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Gazette 3 Aug 2012 p. 3759</w:t>
      </w:r>
      <w:r>
        <w:noBreakHyphen/>
        <w:t>60.]</w:t>
      </w:r>
    </w:p>
    <w:p>
      <w:pPr>
        <w:pStyle w:val="Heading3"/>
        <w:rPr>
          <w:i/>
        </w:rPr>
      </w:pPr>
      <w:bookmarkStart w:id="1322" w:name="_Toc54596693"/>
      <w:bookmarkStart w:id="1323" w:name="_Toc54597061"/>
      <w:bookmarkStart w:id="1324" w:name="_Toc54599759"/>
      <w:bookmarkStart w:id="1325" w:name="_Toc54600128"/>
      <w:bookmarkStart w:id="1326" w:name="_Toc54607453"/>
      <w:bookmarkStart w:id="1327" w:name="_Toc52959987"/>
      <w:bookmarkStart w:id="1328" w:name="_Toc52961773"/>
      <w:bookmarkStart w:id="1329" w:name="_Toc52974037"/>
      <w:bookmarkStart w:id="1330" w:name="_Toc52975466"/>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1322"/>
      <w:bookmarkEnd w:id="1323"/>
      <w:bookmarkEnd w:id="1324"/>
      <w:bookmarkEnd w:id="1325"/>
      <w:bookmarkEnd w:id="1326"/>
      <w:bookmarkEnd w:id="1327"/>
      <w:bookmarkEnd w:id="1328"/>
      <w:bookmarkEnd w:id="1329"/>
      <w:bookmarkEnd w:id="1330"/>
    </w:p>
    <w:p>
      <w:pPr>
        <w:pStyle w:val="Footnoteheading"/>
      </w:pPr>
      <w:r>
        <w:tab/>
        <w:t>[Heading inserted: Gazette 13 Jun 2014 p. 1949.]</w:t>
      </w:r>
    </w:p>
    <w:p>
      <w:pPr>
        <w:pStyle w:val="Heading5"/>
      </w:pPr>
      <w:bookmarkStart w:id="1331" w:name="_Toc54607454"/>
      <w:bookmarkStart w:id="1332" w:name="_Toc52975467"/>
      <w:r>
        <w:rPr>
          <w:rStyle w:val="CharSectno"/>
        </w:rPr>
        <w:t>284</w:t>
      </w:r>
      <w:r>
        <w:t>.</w:t>
      </w:r>
      <w:r>
        <w:tab/>
        <w:t>Transitional provision for offence involving compliance with ADG Code</w:t>
      </w:r>
      <w:bookmarkEnd w:id="1331"/>
      <w:bookmarkEnd w:id="1332"/>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p>
    <w:p>
      <w:pPr>
        <w:pStyle w:val="Footnotesection"/>
        <w:spacing w:before="100"/>
        <w:ind w:left="890" w:hanging="890"/>
      </w:pPr>
      <w:r>
        <w:tab/>
        <w:t>[Regulation 284 inserted: Gazette 13 Jun 2014 p. 1949.]</w:t>
      </w:r>
    </w:p>
    <w:p>
      <w:pPr>
        <w:pStyle w:val="Heading3"/>
      </w:pPr>
      <w:bookmarkStart w:id="1333" w:name="_Toc54596695"/>
      <w:bookmarkStart w:id="1334" w:name="_Toc54597063"/>
      <w:bookmarkStart w:id="1335" w:name="_Toc54599761"/>
      <w:bookmarkStart w:id="1336" w:name="_Toc54600130"/>
      <w:bookmarkStart w:id="1337" w:name="_Toc54607455"/>
      <w:bookmarkStart w:id="1338" w:name="_Toc52959989"/>
      <w:bookmarkStart w:id="1339" w:name="_Toc52961775"/>
      <w:bookmarkStart w:id="1340" w:name="_Toc52974039"/>
      <w:bookmarkStart w:id="1341" w:name="_Toc52975468"/>
      <w:r>
        <w:rPr>
          <w:rStyle w:val="CharDivNo"/>
        </w:rPr>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1333"/>
      <w:bookmarkEnd w:id="1334"/>
      <w:bookmarkEnd w:id="1335"/>
      <w:bookmarkEnd w:id="1336"/>
      <w:bookmarkEnd w:id="1337"/>
      <w:bookmarkEnd w:id="1338"/>
      <w:bookmarkEnd w:id="1339"/>
      <w:bookmarkEnd w:id="1340"/>
      <w:bookmarkEnd w:id="1341"/>
    </w:p>
    <w:p>
      <w:pPr>
        <w:pStyle w:val="Footnoteheading"/>
        <w:keepNext/>
      </w:pPr>
      <w:r>
        <w:tab/>
        <w:t>[Heading inserted: Gazette 17 Nov 2015 p. 4701.]</w:t>
      </w:r>
    </w:p>
    <w:p>
      <w:pPr>
        <w:pStyle w:val="Heading5"/>
      </w:pPr>
      <w:bookmarkStart w:id="1342" w:name="_Toc54607456"/>
      <w:bookmarkStart w:id="1343" w:name="_Toc52975469"/>
      <w:r>
        <w:rPr>
          <w:rStyle w:val="CharSectno"/>
        </w:rPr>
        <w:t>285</w:t>
      </w:r>
      <w:r>
        <w:t>.</w:t>
      </w:r>
      <w:r>
        <w:tab/>
        <w:t>Transitional provision for offence involving compliance with ADG Code</w:t>
      </w:r>
      <w:bookmarkEnd w:id="1342"/>
      <w:bookmarkEnd w:id="1343"/>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Gazette 17 Nov 2015 p. 4701.]</w:t>
      </w:r>
    </w:p>
    <w:p>
      <w:pPr>
        <w:pStyle w:val="Heading3"/>
      </w:pPr>
      <w:bookmarkStart w:id="1344" w:name="_Toc54596697"/>
      <w:bookmarkStart w:id="1345" w:name="_Toc54597065"/>
      <w:bookmarkStart w:id="1346" w:name="_Toc54599763"/>
      <w:bookmarkStart w:id="1347" w:name="_Toc54600132"/>
      <w:bookmarkStart w:id="1348" w:name="_Toc54607457"/>
      <w:bookmarkStart w:id="1349" w:name="_Toc52959991"/>
      <w:bookmarkStart w:id="1350" w:name="_Toc52961777"/>
      <w:bookmarkStart w:id="1351" w:name="_Toc52974041"/>
      <w:bookmarkStart w:id="1352" w:name="_Toc52975470"/>
      <w:r>
        <w:rPr>
          <w:rStyle w:val="CharDivNo"/>
        </w:rPr>
        <w:t>Division 5</w:t>
      </w:r>
      <w:r>
        <w:t> — </w:t>
      </w:r>
      <w:r>
        <w:rPr>
          <w:rStyle w:val="CharDivText"/>
        </w:rPr>
        <w:t xml:space="preserve">Provisions for </w:t>
      </w:r>
      <w:r>
        <w:rPr>
          <w:rStyle w:val="CharDivText"/>
          <w:i/>
        </w:rPr>
        <w:t>Dangerous Goods Safety (Road and Rail Transport of Non</w:t>
      </w:r>
      <w:r>
        <w:rPr>
          <w:rStyle w:val="CharDivText"/>
          <w:i/>
        </w:rPr>
        <w:noBreakHyphen/>
        <w:t>explosives) Amendment Regulations 2017</w:t>
      </w:r>
      <w:bookmarkEnd w:id="1344"/>
      <w:bookmarkEnd w:id="1345"/>
      <w:bookmarkEnd w:id="1346"/>
      <w:bookmarkEnd w:id="1347"/>
      <w:bookmarkEnd w:id="1348"/>
      <w:bookmarkEnd w:id="1349"/>
      <w:bookmarkEnd w:id="1350"/>
      <w:bookmarkEnd w:id="1351"/>
      <w:bookmarkEnd w:id="1352"/>
    </w:p>
    <w:p>
      <w:pPr>
        <w:pStyle w:val="Footnoteheading"/>
      </w:pPr>
      <w:r>
        <w:tab/>
        <w:t>[Heading inserted: Gazette 11 Jul 2017 p. 3832.]</w:t>
      </w:r>
    </w:p>
    <w:p>
      <w:pPr>
        <w:pStyle w:val="Heading5"/>
      </w:pPr>
      <w:bookmarkStart w:id="1353" w:name="_Toc54607458"/>
      <w:bookmarkStart w:id="1354" w:name="_Toc52975471"/>
      <w:r>
        <w:rPr>
          <w:rStyle w:val="CharSectno"/>
        </w:rPr>
        <w:t>286</w:t>
      </w:r>
      <w:r>
        <w:t>.</w:t>
      </w:r>
      <w:r>
        <w:tab/>
        <w:t>Term used: commencement day</w:t>
      </w:r>
      <w:bookmarkEnd w:id="1353"/>
      <w:bookmarkEnd w:id="1354"/>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2017</w:t>
      </w:r>
      <w:r>
        <w:t xml:space="preserve"> regulation 3 comes into operation.</w:t>
      </w:r>
    </w:p>
    <w:p>
      <w:pPr>
        <w:pStyle w:val="Footnotesection"/>
      </w:pPr>
      <w:r>
        <w:tab/>
        <w:t>[Regulation 286 inserted: Gazette 11 Jul 2017 p. 3832.]</w:t>
      </w:r>
    </w:p>
    <w:p>
      <w:pPr>
        <w:pStyle w:val="Heading5"/>
      </w:pPr>
      <w:bookmarkStart w:id="1355" w:name="_Toc54607459"/>
      <w:bookmarkStart w:id="1356" w:name="_Toc52975472"/>
      <w:r>
        <w:rPr>
          <w:rStyle w:val="CharSectno"/>
        </w:rPr>
        <w:t>287</w:t>
      </w:r>
      <w:r>
        <w:t>.</w:t>
      </w:r>
      <w:r>
        <w:tab/>
        <w:t>Assessing fitness to drive</w:t>
      </w:r>
      <w:bookmarkEnd w:id="1355"/>
      <w:bookmarkEnd w:id="1356"/>
    </w:p>
    <w:p>
      <w:pPr>
        <w:pStyle w:val="Subsection"/>
      </w:pPr>
      <w:r>
        <w:tab/>
        <w:t>(1)</w:t>
      </w:r>
      <w:r>
        <w:tab/>
        <w:t xml:space="preserve">In this regulation — </w:t>
      </w:r>
    </w:p>
    <w:p>
      <w:pPr>
        <w:pStyle w:val="Defstart"/>
      </w:pPr>
      <w:r>
        <w:tab/>
      </w:r>
      <w:r>
        <w:rPr>
          <w:rStyle w:val="CharDefText"/>
        </w:rPr>
        <w:t>previous regulation 221(c)</w:t>
      </w:r>
      <w:r>
        <w:t xml:space="preserve"> means regulation 221(c) as in force immediately before commencement day.</w:t>
      </w:r>
    </w:p>
    <w:p>
      <w:pPr>
        <w:pStyle w:val="Subsection"/>
      </w:pPr>
      <w:r>
        <w:tab/>
        <w:t>(2)</w:t>
      </w:r>
      <w:r>
        <w:tab/>
        <w:t>A certificate that complies with previous regulation 221(c) and issued within 1 year after commencement day is taken to be a certificate that complies with regulation 221(c).</w:t>
      </w:r>
    </w:p>
    <w:p>
      <w:pPr>
        <w:pStyle w:val="Footnotesection"/>
      </w:pPr>
      <w:r>
        <w:tab/>
        <w:t>[Regulation 287 inserted: Gazette 11 Jul 2017 p. 3832.]</w:t>
      </w:r>
    </w:p>
    <w:p>
      <w:pPr>
        <w:pStyle w:val="Heading5"/>
      </w:pPr>
      <w:bookmarkStart w:id="1357" w:name="_Toc54607460"/>
      <w:bookmarkStart w:id="1358" w:name="_Toc52975473"/>
      <w:r>
        <w:rPr>
          <w:rStyle w:val="CharSectno"/>
        </w:rPr>
        <w:t>288</w:t>
      </w:r>
      <w:r>
        <w:t>.</w:t>
      </w:r>
      <w:r>
        <w:tab/>
        <w:t>Transitional provision for offence involving compliance with ADG Code</w:t>
      </w:r>
      <w:bookmarkEnd w:id="1357"/>
      <w:bookmarkEnd w:id="1358"/>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1 March 2018; and</w:t>
      </w:r>
    </w:p>
    <w:p>
      <w:pPr>
        <w:pStyle w:val="Indenta"/>
      </w:pPr>
      <w:r>
        <w:tab/>
        <w:t>(c)</w:t>
      </w:r>
      <w:r>
        <w:tab/>
        <w:t>the person transports the goods in accordance with the ADG Code as it was defined in regulation 4 immediately before commencement day.</w:t>
      </w:r>
    </w:p>
    <w:p>
      <w:pPr>
        <w:pStyle w:val="Footnotesection"/>
      </w:pPr>
      <w:r>
        <w:tab/>
        <w:t>[Regulation 288 inserted: Gazette 11 Jul 2017 p. 3832.]</w:t>
      </w:r>
    </w:p>
    <w:p>
      <w:pPr>
        <w:pStyle w:val="Heading3"/>
        <w:rPr>
          <w:i/>
        </w:rPr>
      </w:pPr>
      <w:bookmarkStart w:id="1359" w:name="_Toc54596701"/>
      <w:bookmarkStart w:id="1360" w:name="_Toc54597069"/>
      <w:bookmarkStart w:id="1361" w:name="_Toc54599767"/>
      <w:bookmarkStart w:id="1362" w:name="_Toc54600136"/>
      <w:bookmarkStart w:id="1363" w:name="_Toc54607461"/>
      <w:bookmarkStart w:id="1364" w:name="_Toc52959995"/>
      <w:bookmarkStart w:id="1365" w:name="_Toc52961781"/>
      <w:bookmarkStart w:id="1366" w:name="_Toc52974045"/>
      <w:bookmarkStart w:id="1367" w:name="_Toc52975474"/>
      <w:r>
        <w:rPr>
          <w:rStyle w:val="CharDivNo"/>
        </w:rPr>
        <w:t>Division 6</w:t>
      </w:r>
      <w:r>
        <w:t> — </w:t>
      </w:r>
      <w:r>
        <w:rPr>
          <w:rStyle w:val="CharDivText"/>
        </w:rPr>
        <w:t>Provisions for Dangerous Goods Safety (Road and Rail Transport of Non</w:t>
      </w:r>
      <w:r>
        <w:rPr>
          <w:rStyle w:val="CharDivText"/>
        </w:rPr>
        <w:noBreakHyphen/>
        <w:t>explosives) Amendment Regulations 2018</w:t>
      </w:r>
      <w:bookmarkEnd w:id="1359"/>
      <w:bookmarkEnd w:id="1360"/>
      <w:bookmarkEnd w:id="1361"/>
      <w:bookmarkEnd w:id="1362"/>
      <w:bookmarkEnd w:id="1363"/>
      <w:bookmarkEnd w:id="1364"/>
      <w:bookmarkEnd w:id="1365"/>
      <w:bookmarkEnd w:id="1366"/>
      <w:bookmarkEnd w:id="1367"/>
    </w:p>
    <w:p>
      <w:pPr>
        <w:pStyle w:val="Footnoteheading"/>
      </w:pPr>
      <w:r>
        <w:tab/>
        <w:t xml:space="preserve">[Heading inserted: Gazette </w:t>
      </w:r>
      <w:r>
        <w:rPr>
          <w:rStyle w:val="CharSectno"/>
        </w:rPr>
        <w:t>31 Aug 2018 p. 3046</w:t>
      </w:r>
      <w:r>
        <w:t>.]</w:t>
      </w:r>
    </w:p>
    <w:p>
      <w:pPr>
        <w:pStyle w:val="Heading5"/>
      </w:pPr>
      <w:bookmarkStart w:id="1368" w:name="_Toc54607462"/>
      <w:bookmarkStart w:id="1369" w:name="_Toc52975475"/>
      <w:r>
        <w:rPr>
          <w:rStyle w:val="CharSectno"/>
        </w:rPr>
        <w:t>289</w:t>
      </w:r>
      <w:r>
        <w:t>.</w:t>
      </w:r>
      <w:r>
        <w:tab/>
        <w:t>Term used: commencement day</w:t>
      </w:r>
      <w:bookmarkEnd w:id="1368"/>
      <w:bookmarkEnd w:id="1369"/>
    </w:p>
    <w:p>
      <w:pPr>
        <w:pStyle w:val="Subsection"/>
      </w:pPr>
      <w:r>
        <w:tab/>
      </w:r>
      <w:r>
        <w:tab/>
        <w:t>In this Division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2018</w:t>
      </w:r>
      <w:r>
        <w:t xml:space="preserve"> regulation 3 comes into operation.</w:t>
      </w:r>
    </w:p>
    <w:p>
      <w:pPr>
        <w:pStyle w:val="Footnotesection"/>
        <w:rPr>
          <w:szCs w:val="24"/>
        </w:rPr>
      </w:pPr>
      <w:r>
        <w:rPr>
          <w:szCs w:val="24"/>
        </w:rPr>
        <w:tab/>
        <w:t>[Regulation 289 inserted: Gazette 31 Aug 2018 p. 3046.]</w:t>
      </w:r>
    </w:p>
    <w:p>
      <w:pPr>
        <w:pStyle w:val="Heading5"/>
      </w:pPr>
      <w:bookmarkStart w:id="1370" w:name="_Toc54607463"/>
      <w:bookmarkStart w:id="1371" w:name="_Toc52975476"/>
      <w:r>
        <w:rPr>
          <w:rStyle w:val="CharSectno"/>
        </w:rPr>
        <w:t>290</w:t>
      </w:r>
      <w:r>
        <w:t>.</w:t>
      </w:r>
      <w:r>
        <w:tab/>
        <w:t>Transitional provision for offence involving compliance with ADG Code</w:t>
      </w:r>
      <w:bookmarkEnd w:id="1370"/>
      <w:bookmarkEnd w:id="1371"/>
    </w:p>
    <w:p>
      <w:pPr>
        <w:pStyle w:val="Subsection"/>
        <w:keepNext/>
      </w:pPr>
      <w:r>
        <w:tab/>
      </w:r>
      <w:r>
        <w:tab/>
        <w:t>A person does not commit an offence against these regulations in relation to the transport of dangerous goods by road or rail if —</w:t>
      </w:r>
    </w:p>
    <w:p>
      <w:pPr>
        <w:pStyle w:val="Indenta"/>
        <w:keepNext/>
      </w:pPr>
      <w:r>
        <w:tab/>
        <w:t>(a)</w:t>
      </w:r>
      <w:r>
        <w:tab/>
        <w:t>the offence relates to non</w:t>
      </w:r>
      <w:r>
        <w:noBreakHyphen/>
        <w:t>compliance with the ADG Code; and</w:t>
      </w:r>
    </w:p>
    <w:p>
      <w:pPr>
        <w:pStyle w:val="Indenta"/>
      </w:pPr>
      <w:r>
        <w:tab/>
        <w:t>(b)</w:t>
      </w:r>
      <w:r>
        <w:tab/>
        <w:t>the transport takes place during the period that begins on the commencement day and ends on 30 June 2019;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2018</w:t>
      </w:r>
      <w:r>
        <w:t xml:space="preserve"> regulation 3 came into operation.</w:t>
      </w:r>
    </w:p>
    <w:p>
      <w:pPr>
        <w:pStyle w:val="Footnotesection"/>
        <w:rPr>
          <w:szCs w:val="24"/>
        </w:rPr>
      </w:pPr>
      <w:r>
        <w:rPr>
          <w:szCs w:val="24"/>
        </w:rPr>
        <w:tab/>
        <w:t>[Regulation 290 inserted: Gazette 31 Aug 2018 p. 3046</w:t>
      </w:r>
      <w:r>
        <w:rPr>
          <w:szCs w:val="24"/>
        </w:rPr>
        <w:noBreakHyphen/>
        <w:t>7.]</w:t>
      </w:r>
    </w:p>
    <w:p>
      <w:pPr>
        <w:pStyle w:val="Heading3"/>
        <w:rPr>
          <w:i/>
        </w:rPr>
      </w:pPr>
      <w:bookmarkStart w:id="1372" w:name="_Toc54596704"/>
      <w:bookmarkStart w:id="1373" w:name="_Toc54597072"/>
      <w:bookmarkStart w:id="1374" w:name="_Toc54599770"/>
      <w:bookmarkStart w:id="1375" w:name="_Toc54600139"/>
      <w:bookmarkStart w:id="1376" w:name="_Toc54607464"/>
      <w:bookmarkStart w:id="1377" w:name="_Toc52961784"/>
      <w:bookmarkStart w:id="1378" w:name="_Toc52974048"/>
      <w:bookmarkStart w:id="1379" w:name="_Toc52975477"/>
      <w:r>
        <w:rPr>
          <w:rStyle w:val="CharDivNo"/>
        </w:rPr>
        <w:t>Division 7 </w:t>
      </w:r>
      <w:r>
        <w:t>—</w:t>
      </w:r>
      <w:r>
        <w:rPr>
          <w:rStyle w:val="CharDivNo"/>
        </w:rPr>
        <w:t> </w:t>
      </w:r>
      <w:r>
        <w:rPr>
          <w:rStyle w:val="CharDivText"/>
        </w:rPr>
        <w:t xml:space="preserve">Provision for </w:t>
      </w:r>
      <w:r>
        <w:rPr>
          <w:rStyle w:val="CharDivText"/>
          <w:i/>
        </w:rPr>
        <w:t>Dangerous Goods Safety Regulations Amendment Regulations 2020</w:t>
      </w:r>
      <w:bookmarkEnd w:id="1372"/>
      <w:bookmarkEnd w:id="1373"/>
      <w:bookmarkEnd w:id="1374"/>
      <w:bookmarkEnd w:id="1375"/>
      <w:bookmarkEnd w:id="1376"/>
      <w:bookmarkEnd w:id="1377"/>
      <w:bookmarkEnd w:id="1378"/>
      <w:bookmarkEnd w:id="1379"/>
    </w:p>
    <w:p>
      <w:pPr>
        <w:pStyle w:val="Footnoteheading"/>
      </w:pPr>
      <w:r>
        <w:tab/>
        <w:t>[Heading inserted: SL 2020/193 r. 26.]</w:t>
      </w:r>
    </w:p>
    <w:p>
      <w:pPr>
        <w:pStyle w:val="Heading5"/>
      </w:pPr>
      <w:bookmarkStart w:id="1380" w:name="_Toc54607465"/>
      <w:bookmarkStart w:id="1381" w:name="_Toc52975478"/>
      <w:r>
        <w:rPr>
          <w:rStyle w:val="CharSectno"/>
        </w:rPr>
        <w:t>291</w:t>
      </w:r>
      <w:r>
        <w:t>.</w:t>
      </w:r>
      <w:r>
        <w:tab/>
        <w:t>Transitional provision for offence involving compliance with ADG Code</w:t>
      </w:r>
      <w:bookmarkEnd w:id="1380"/>
      <w:bookmarkEnd w:id="138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Dangerous Goods Safety Regulations Amendment Regulations 2020</w:t>
      </w:r>
      <w:r>
        <w:t xml:space="preserve"> regulation 26 comes into operation.</w:t>
      </w:r>
    </w:p>
    <w:p>
      <w:pPr>
        <w:pStyle w:val="Subsection"/>
        <w:keepNext/>
      </w:pPr>
      <w:r>
        <w:tab/>
        <w:t>(2)</w:t>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30 September 2021; and</w:t>
      </w:r>
    </w:p>
    <w:p>
      <w:pPr>
        <w:pStyle w:val="Indenta"/>
      </w:pPr>
      <w:r>
        <w:tab/>
        <w:t>(c)</w:t>
      </w:r>
      <w:r>
        <w:tab/>
        <w:t>the person transports the goods in accordance with the ADG Code as it was defined in regulation 4 immediately before commencement day.</w:t>
      </w:r>
    </w:p>
    <w:p>
      <w:pPr>
        <w:pStyle w:val="Footnotesection"/>
      </w:pPr>
      <w:r>
        <w:tab/>
        <w:t>[Regulation 291 inserted: SL 2020/193 r. 26.]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1382" w:name="_Toc54596706"/>
      <w:bookmarkStart w:id="1383" w:name="_Toc54597074"/>
      <w:bookmarkStart w:id="1384" w:name="_Toc54599772"/>
      <w:bookmarkStart w:id="1385" w:name="_Toc54600141"/>
      <w:bookmarkStart w:id="1386" w:name="_Toc54607466"/>
      <w:bookmarkStart w:id="1387" w:name="_Toc52959998"/>
      <w:bookmarkStart w:id="1388" w:name="_Toc52961786"/>
      <w:bookmarkStart w:id="1389" w:name="_Toc52974050"/>
      <w:bookmarkStart w:id="1390" w:name="_Toc52975479"/>
      <w:r>
        <w:rPr>
          <w:rStyle w:val="CharSchNo"/>
        </w:rPr>
        <w:t>Schedule 1</w:t>
      </w:r>
      <w:r>
        <w:rPr>
          <w:rStyle w:val="CharSDivNo"/>
        </w:rPr>
        <w:t> </w:t>
      </w:r>
      <w:r>
        <w:t>—</w:t>
      </w:r>
      <w:r>
        <w:rPr>
          <w:rStyle w:val="CharSDivText"/>
        </w:rPr>
        <w:t> </w:t>
      </w:r>
      <w:r>
        <w:rPr>
          <w:rStyle w:val="CharSchText"/>
        </w:rPr>
        <w:t>Infringement notice offences and modified penalties</w:t>
      </w:r>
      <w:bookmarkEnd w:id="1382"/>
      <w:bookmarkEnd w:id="1383"/>
      <w:bookmarkEnd w:id="1384"/>
      <w:bookmarkEnd w:id="1385"/>
      <w:bookmarkEnd w:id="1386"/>
      <w:bookmarkEnd w:id="1387"/>
      <w:bookmarkEnd w:id="1388"/>
      <w:bookmarkEnd w:id="1389"/>
      <w:bookmarkEnd w:id="1390"/>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color w:val="000000"/>
              </w:rPr>
            </w:pPr>
            <w:r>
              <w:t>Regulation 13B(3)</w:t>
            </w:r>
          </w:p>
        </w:tc>
        <w:tc>
          <w:tcPr>
            <w:tcW w:w="1843" w:type="dxa"/>
          </w:tcPr>
          <w:p>
            <w:pPr>
              <w:pStyle w:val="yTableNAm"/>
              <w:rPr>
                <w:color w:val="000000"/>
              </w:rPr>
            </w:pPr>
            <w:r>
              <w:t>100</w:t>
            </w:r>
          </w:p>
        </w:tc>
        <w:tc>
          <w:tcPr>
            <w:tcW w:w="1843" w:type="dxa"/>
          </w:tcPr>
          <w:p>
            <w:pPr>
              <w:pStyle w:val="yTableNAm"/>
              <w:rPr>
                <w:color w:val="000000"/>
              </w:rPr>
            </w:pPr>
            <w:r>
              <w:t>500</w:t>
            </w:r>
          </w:p>
        </w:tc>
      </w:tr>
      <w:tr>
        <w:trPr>
          <w:cantSplit/>
        </w:trPr>
        <w:tc>
          <w:tcPr>
            <w:tcW w:w="850" w:type="dxa"/>
          </w:tcPr>
          <w:p>
            <w:pPr>
              <w:pStyle w:val="yTableNAm"/>
              <w:rPr>
                <w:color w:val="000000"/>
              </w:rPr>
            </w:pPr>
            <w:r>
              <w:t>1A.</w:t>
            </w:r>
          </w:p>
        </w:tc>
        <w:tc>
          <w:tcPr>
            <w:tcW w:w="2268" w:type="dxa"/>
          </w:tcPr>
          <w:p>
            <w:pPr>
              <w:pStyle w:val="yTableNAm"/>
            </w:pPr>
            <w:r>
              <w:t>Regulation 13B(4)</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1B.</w:t>
            </w:r>
          </w:p>
        </w:tc>
        <w:tc>
          <w:tcPr>
            <w:tcW w:w="2268" w:type="dxa"/>
          </w:tcPr>
          <w:p>
            <w:pPr>
              <w:pStyle w:val="yTableNAm"/>
            </w:pPr>
            <w:r>
              <w:t>Regulation 20(2)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21A.</w:t>
            </w:r>
          </w:p>
        </w:tc>
        <w:tc>
          <w:tcPr>
            <w:tcW w:w="2268" w:type="dxa"/>
          </w:tcPr>
          <w:p>
            <w:pPr>
              <w:pStyle w:val="yTableNAm"/>
            </w:pPr>
            <w:r>
              <w:t>Regulation 109A(1)</w:t>
            </w:r>
          </w:p>
        </w:tc>
        <w:tc>
          <w:tcPr>
            <w:tcW w:w="1843" w:type="dxa"/>
          </w:tcPr>
          <w:p>
            <w:pPr>
              <w:pStyle w:val="yTableNAm"/>
              <w:tabs>
                <w:tab w:val="clear" w:pos="567"/>
                <w:tab w:val="left" w:pos="450"/>
              </w:tabs>
              <w:ind w:left="450" w:hanging="450"/>
            </w:pPr>
            <w:r>
              <w:t>300</w:t>
            </w:r>
          </w:p>
        </w:tc>
        <w:tc>
          <w:tcPr>
            <w:tcW w:w="1843" w:type="dxa"/>
          </w:tcPr>
          <w:p>
            <w:pPr>
              <w:pStyle w:val="yTableNAm"/>
              <w:tabs>
                <w:tab w:val="clear" w:pos="567"/>
                <w:tab w:val="left" w:pos="407"/>
              </w:tabs>
              <w:ind w:left="407" w:hanging="407"/>
            </w:pPr>
            <w:r>
              <w:t>1 500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25A.</w:t>
            </w:r>
          </w:p>
        </w:tc>
        <w:tc>
          <w:tcPr>
            <w:tcW w:w="2268" w:type="dxa"/>
          </w:tcPr>
          <w:p>
            <w:pPr>
              <w:pStyle w:val="yTableNAm"/>
            </w:pPr>
            <w:r>
              <w:t>Regulation 123(2)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i/>
                <w:color w:val="000000"/>
              </w:rPr>
            </w:pPr>
            <w:r>
              <w:rPr>
                <w:i/>
                <w:color w:val="000000"/>
              </w:rPr>
              <w:t>[28</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49A.</w:t>
            </w:r>
          </w:p>
        </w:tc>
        <w:tc>
          <w:tcPr>
            <w:tcW w:w="2268" w:type="dxa"/>
          </w:tcPr>
          <w:p>
            <w:pPr>
              <w:pStyle w:val="yTableNAm"/>
            </w:pPr>
            <w:r>
              <w:t>Regulation 162A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49B.</w:t>
            </w:r>
          </w:p>
        </w:tc>
        <w:tc>
          <w:tcPr>
            <w:tcW w:w="2268" w:type="dxa"/>
          </w:tcPr>
          <w:p>
            <w:pPr>
              <w:pStyle w:val="yTableNAm"/>
            </w:pPr>
            <w:r>
              <w:t>Regulation 162B</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59A.</w:t>
            </w:r>
          </w:p>
        </w:tc>
        <w:tc>
          <w:tcPr>
            <w:tcW w:w="2268" w:type="dxa"/>
          </w:tcPr>
          <w:p>
            <w:pPr>
              <w:pStyle w:val="yTableNAm"/>
            </w:pPr>
            <w:r>
              <w:t>Regulation 174A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59B.</w:t>
            </w:r>
          </w:p>
        </w:tc>
        <w:tc>
          <w:tcPr>
            <w:tcW w:w="2268" w:type="dxa"/>
          </w:tcPr>
          <w:p>
            <w:pPr>
              <w:pStyle w:val="yTableNAm"/>
            </w:pPr>
            <w:r>
              <w:t>Regulation 174B</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59C.</w:t>
            </w:r>
          </w:p>
        </w:tc>
        <w:tc>
          <w:tcPr>
            <w:tcW w:w="2268" w:type="dxa"/>
          </w:tcPr>
          <w:p>
            <w:pPr>
              <w:pStyle w:val="yTableNAm"/>
            </w:pPr>
            <w:r>
              <w:t>Regulation 174C</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59D.</w:t>
            </w:r>
          </w:p>
        </w:tc>
        <w:tc>
          <w:tcPr>
            <w:tcW w:w="2268" w:type="dxa"/>
          </w:tcPr>
          <w:p>
            <w:pPr>
              <w:pStyle w:val="yTableNAm"/>
            </w:pPr>
            <w:r>
              <w:t>Regulation 174D</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i/>
                <w:color w:val="000000"/>
              </w:rPr>
            </w:pPr>
            <w:r>
              <w:rPr>
                <w:i/>
                <w:color w:val="000000"/>
              </w:rPr>
              <w:t>[64</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71A.</w:t>
            </w:r>
          </w:p>
        </w:tc>
        <w:tc>
          <w:tcPr>
            <w:tcW w:w="2268" w:type="dxa"/>
          </w:tcPr>
          <w:p>
            <w:pPr>
              <w:pStyle w:val="yTableNAm"/>
            </w:pPr>
            <w:r>
              <w:t>Regulation 244(3)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Gazette 22 Jun 2010 p. 2740; </w:t>
      </w:r>
      <w:r>
        <w:rPr>
          <w:sz w:val="24"/>
        </w:rPr>
        <w:t>13 Jun 2014 p. </w:t>
      </w:r>
      <w:r>
        <w:t>1949</w:t>
      </w:r>
      <w:r>
        <w:noBreakHyphen/>
        <w:t>50; 17 Nov 2015 p. 4701; 11 Jul 2017 p. 3833; 31 Aug 2018 p. 3047; SL 2020/193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78"/>
        </w:sectPr>
      </w:pPr>
    </w:p>
    <w:p>
      <w:pPr>
        <w:pStyle w:val="nHeading2"/>
      </w:pPr>
      <w:bookmarkStart w:id="1392" w:name="_Toc54596707"/>
      <w:bookmarkStart w:id="1393" w:name="_Toc54597075"/>
      <w:bookmarkStart w:id="1394" w:name="_Toc54599773"/>
      <w:bookmarkStart w:id="1395" w:name="_Toc54600142"/>
      <w:bookmarkStart w:id="1396" w:name="_Toc54607467"/>
      <w:bookmarkStart w:id="1397" w:name="_Toc52959999"/>
      <w:bookmarkStart w:id="1398" w:name="_Toc52961787"/>
      <w:bookmarkStart w:id="1399" w:name="_Toc52974051"/>
      <w:bookmarkStart w:id="1400" w:name="_Toc52975480"/>
      <w:r>
        <w:t>Notes</w:t>
      </w:r>
      <w:bookmarkEnd w:id="1392"/>
      <w:bookmarkEnd w:id="1393"/>
      <w:bookmarkEnd w:id="1394"/>
      <w:bookmarkEnd w:id="1395"/>
      <w:bookmarkEnd w:id="1396"/>
      <w:bookmarkEnd w:id="1397"/>
      <w:bookmarkEnd w:id="1398"/>
      <w:bookmarkEnd w:id="1399"/>
      <w:bookmarkEnd w:id="1400"/>
    </w:p>
    <w:p>
      <w:pPr>
        <w:pStyle w:val="nStatement"/>
      </w:pPr>
      <w:r>
        <w:t xml:space="preserve">This is a compilation of the </w:t>
      </w:r>
      <w:r>
        <w:rPr>
          <w:i/>
          <w:noProof/>
        </w:rPr>
        <w:t>Dangerous Goods Safety (Road and Rail Transport of Non-explosives) Regulations 2007</w:t>
      </w:r>
      <w:r>
        <w:t xml:space="preserve"> and includes amendments made by other written laws </w:t>
      </w:r>
      <w:r>
        <w:rPr>
          <w:vertAlign w:val="superscript"/>
        </w:rPr>
        <w:t>2</w:t>
      </w:r>
      <w:r>
        <w:t>. For provisions that have come into operation, and for information about any reprints, see the compilation table. For provisions that have not yet come into operation see the uncommenced provisions table.</w:t>
      </w:r>
    </w:p>
    <w:p>
      <w:pPr>
        <w:pStyle w:val="nHeading3"/>
      </w:pPr>
      <w:bookmarkStart w:id="1401" w:name="_Toc54607468"/>
      <w:bookmarkStart w:id="1402" w:name="_Toc52975481"/>
      <w:r>
        <w:t>Compilation table</w:t>
      </w:r>
      <w:bookmarkEnd w:id="1401"/>
      <w:bookmarkEnd w:id="140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rPr>
                <w:iCs/>
              </w:rPr>
            </w:pPr>
            <w:r>
              <w:rPr>
                <w:i/>
              </w:rPr>
              <w:t>Dangerous Goods Safety (Road and Rail Transport of Non</w:t>
            </w:r>
            <w:r>
              <w:rPr>
                <w:i/>
              </w:rPr>
              <w:noBreakHyphen/>
              <w:t>explosives) Regulations 2007</w:t>
            </w:r>
          </w:p>
        </w:tc>
        <w:tc>
          <w:tcPr>
            <w:tcW w:w="1276" w:type="dxa"/>
            <w:tcBorders>
              <w:top w:val="single" w:sz="8" w:space="0" w:color="auto"/>
              <w:bottom w:val="nil"/>
            </w:tcBorders>
          </w:tcPr>
          <w:p>
            <w:pPr>
              <w:pStyle w:val="nTable"/>
              <w:spacing w:after="40"/>
            </w:pPr>
            <w:r>
              <w:t>31 Dec 2007 p. 6893</w:t>
            </w:r>
            <w:r>
              <w:noBreakHyphen/>
              <w:t>7056</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2008</w:t>
            </w:r>
          </w:p>
        </w:tc>
        <w:tc>
          <w:tcPr>
            <w:tcW w:w="1276" w:type="dxa"/>
            <w:tcBorders>
              <w:top w:val="nil"/>
              <w:bottom w:val="nil"/>
            </w:tcBorders>
          </w:tcPr>
          <w:p>
            <w:pPr>
              <w:pStyle w:val="nTable"/>
              <w:spacing w:after="40"/>
            </w:pPr>
            <w:r>
              <w:t>30 Jun 2008 p. 3129</w:t>
            </w:r>
            <w:r>
              <w:noBreakHyphen/>
              <w:t>30</w:t>
            </w:r>
          </w:p>
        </w:tc>
        <w:tc>
          <w:tcPr>
            <w:tcW w:w="2693" w:type="dxa"/>
            <w:tcBorders>
              <w:top w:val="nil"/>
              <w:bottom w:val="nil"/>
            </w:tcBorders>
          </w:tcPr>
          <w:p>
            <w:pPr>
              <w:pStyle w:val="nTable"/>
              <w:spacing w:after="40"/>
            </w:pPr>
            <w:r>
              <w:rPr>
                <w:snapToGrid w:val="0"/>
              </w:rPr>
              <w:t>r. 1 and 2: 30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2008</w:t>
            </w:r>
          </w:p>
        </w:tc>
        <w:tc>
          <w:tcPr>
            <w:tcW w:w="1276" w:type="dxa"/>
            <w:tcBorders>
              <w:top w:val="nil"/>
              <w:bottom w:val="nil"/>
            </w:tcBorders>
          </w:tcPr>
          <w:p>
            <w:pPr>
              <w:pStyle w:val="nTable"/>
              <w:spacing w:after="40"/>
            </w:pPr>
            <w:r>
              <w:t>23 Jan 2009 p. 157</w:t>
            </w:r>
          </w:p>
        </w:tc>
        <w:tc>
          <w:tcPr>
            <w:tcW w:w="2693" w:type="dxa"/>
            <w:tcBorders>
              <w:top w:val="nil"/>
              <w:bottom w:val="nil"/>
            </w:tcBorders>
          </w:tcPr>
          <w:p>
            <w:pPr>
              <w:pStyle w:val="nTable"/>
              <w:spacing w:after="40"/>
              <w:rPr>
                <w:snapToGrid w:val="0"/>
              </w:rPr>
            </w:pPr>
            <w:r>
              <w:rPr>
                <w:snapToGrid w:val="0"/>
              </w:rPr>
              <w:t xml:space="preserve">r. 1 </w:t>
            </w:r>
            <w:r>
              <w:t>and</w:t>
            </w:r>
            <w:r>
              <w:rPr>
                <w:snapToGrid w:val="0"/>
              </w:rPr>
              <w:t xml:space="preserve"> 2: </w:t>
            </w:r>
            <w:r>
              <w:t>23 Jan 2009 (see r. 2(a));</w:t>
            </w:r>
            <w:r>
              <w:br/>
              <w:t>Regulations other than r. 1 and 2: 24 Jan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2009</w:t>
            </w:r>
            <w:r>
              <w:rPr>
                <w:iCs/>
              </w:rPr>
              <w:t xml:space="preserve"> </w:t>
            </w:r>
          </w:p>
        </w:tc>
        <w:tc>
          <w:tcPr>
            <w:tcW w:w="1276" w:type="dxa"/>
            <w:tcBorders>
              <w:top w:val="nil"/>
              <w:bottom w:val="nil"/>
            </w:tcBorders>
          </w:tcPr>
          <w:p>
            <w:pPr>
              <w:pStyle w:val="nTable"/>
              <w:spacing w:after="40"/>
            </w:pPr>
            <w:r>
              <w:t>16 Jun 2009 p. 2193</w:t>
            </w:r>
            <w:r>
              <w:noBreakHyphen/>
              <w:t>4</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2010</w:t>
            </w:r>
          </w:p>
        </w:tc>
        <w:tc>
          <w:tcPr>
            <w:tcW w:w="1276" w:type="dxa"/>
            <w:tcBorders>
              <w:top w:val="nil"/>
              <w:bottom w:val="nil"/>
            </w:tcBorders>
          </w:tcPr>
          <w:p>
            <w:pPr>
              <w:pStyle w:val="nTable"/>
              <w:spacing w:after="40"/>
            </w:pPr>
            <w:r>
              <w:t>22 Jun 2010 p. 2715</w:t>
            </w:r>
            <w:r>
              <w:noBreakHyphen/>
              <w:t>40</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Non-explosives) Amendment Regulations (No. 2) 2010</w:t>
            </w:r>
          </w:p>
        </w:tc>
        <w:tc>
          <w:tcPr>
            <w:tcW w:w="1276" w:type="dxa"/>
            <w:tcBorders>
              <w:top w:val="nil"/>
              <w:bottom w:val="nil"/>
            </w:tcBorders>
          </w:tcPr>
          <w:p>
            <w:pPr>
              <w:pStyle w:val="nTable"/>
              <w:spacing w:after="40"/>
            </w:pPr>
            <w:r>
              <w:t>20 Aug 2010 p. 4070</w:t>
            </w:r>
            <w:r>
              <w:noBreakHyphen/>
              <w:t>1</w:t>
            </w:r>
          </w:p>
        </w:tc>
        <w:tc>
          <w:tcPr>
            <w:tcW w:w="2693" w:type="dxa"/>
            <w:tcBorders>
              <w:top w:val="nil"/>
              <w:bottom w:val="nil"/>
            </w:tcBorders>
          </w:tcPr>
          <w:p>
            <w:pPr>
              <w:pStyle w:val="nTable"/>
              <w:spacing w:after="40"/>
              <w:rPr>
                <w:snapToGrid w:val="0"/>
              </w:rPr>
            </w:pPr>
            <w:r>
              <w:rPr>
                <w:snapToGrid w:val="0"/>
              </w:rPr>
              <w:t>r. 1 and 2: 20 Aug 2010 (see r. 2(a));</w:t>
            </w:r>
            <w:r>
              <w:rPr>
                <w:snapToGrid w:val="0"/>
              </w:rPr>
              <w:br/>
              <w:t>Regulations other than r. 1 and 2: 1 Sep 2010 (see r. 2(b))</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(Road and Rail Transport of Non-explosives) Amendment Regulations 2012</w:t>
            </w:r>
          </w:p>
        </w:tc>
        <w:tc>
          <w:tcPr>
            <w:tcW w:w="1276" w:type="dxa"/>
            <w:tcBorders>
              <w:top w:val="nil"/>
              <w:bottom w:val="nil"/>
            </w:tcBorders>
          </w:tcPr>
          <w:p>
            <w:pPr>
              <w:pStyle w:val="nTable"/>
              <w:spacing w:after="40"/>
            </w:pPr>
            <w:r>
              <w:t>3 Aug 2012 p. 3757</w:t>
            </w:r>
            <w:r>
              <w:noBreakHyphen/>
              <w:t>60</w:t>
            </w:r>
          </w:p>
        </w:tc>
        <w:tc>
          <w:tcPr>
            <w:tcW w:w="2693" w:type="dxa"/>
            <w:tcBorders>
              <w:top w:val="nil"/>
              <w:bottom w:val="nil"/>
            </w:tcBorders>
          </w:tcPr>
          <w:p>
            <w:pPr>
              <w:pStyle w:val="nTable"/>
              <w:spacing w:after="40"/>
              <w:rPr>
                <w:snapToGrid w:val="0"/>
              </w:rPr>
            </w:pPr>
            <w:r>
              <w:rPr>
                <w:snapToGrid w:val="0"/>
              </w:rPr>
              <w:t>r. 1 and 2: 3 Aug 2012 (see r. 2(a));</w:t>
            </w:r>
            <w:r>
              <w:rPr>
                <w:snapToGrid w:val="0"/>
              </w:rPr>
              <w:br/>
              <w:t>Regulations other than r. 1, 2, 8 and 10: 4 Aug 2012 (see r. 2(c));</w:t>
            </w:r>
            <w:r>
              <w:rPr>
                <w:snapToGrid w:val="0"/>
              </w:rPr>
              <w:br/>
              <w:t>r. 8 and 10: 3 Dec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DGS (Road and Rail Transport of Non-explosives) Amendment Regulations (No. 2) 2012</w:t>
            </w:r>
          </w:p>
        </w:tc>
        <w:tc>
          <w:tcPr>
            <w:tcW w:w="1276" w:type="dxa"/>
            <w:tcBorders>
              <w:top w:val="nil"/>
              <w:bottom w:val="nil"/>
            </w:tcBorders>
          </w:tcPr>
          <w:p>
            <w:pPr>
              <w:pStyle w:val="nTable"/>
              <w:spacing w:after="40"/>
            </w:pPr>
            <w:r>
              <w:t>19 Feb 2013 p. 988-9</w:t>
            </w:r>
          </w:p>
        </w:tc>
        <w:tc>
          <w:tcPr>
            <w:tcW w:w="2693" w:type="dxa"/>
            <w:tcBorders>
              <w:top w:val="nil"/>
              <w:bottom w:val="nil"/>
            </w:tcBorders>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 explosives) Amendment Regulations 2013</w:t>
            </w:r>
          </w:p>
        </w:tc>
        <w:tc>
          <w:tcPr>
            <w:tcW w:w="1276" w:type="dxa"/>
            <w:tcBorders>
              <w:top w:val="nil"/>
              <w:bottom w:val="nil"/>
            </w:tcBorders>
          </w:tcPr>
          <w:p>
            <w:pPr>
              <w:pStyle w:val="nTable"/>
              <w:spacing w:after="40"/>
            </w:pPr>
            <w:r>
              <w:t>2 Dec 2013 p. 5497</w:t>
            </w:r>
            <w:r>
              <w:noBreakHyphen/>
              <w:t>8</w:t>
            </w:r>
          </w:p>
        </w:tc>
        <w:tc>
          <w:tcPr>
            <w:tcW w:w="2693" w:type="dxa"/>
            <w:tcBorders>
              <w:top w:val="nil"/>
              <w:bottom w:val="nil"/>
            </w:tcBorders>
          </w:tcPr>
          <w:p>
            <w:pPr>
              <w:pStyle w:val="nTable"/>
              <w:spacing w:after="40"/>
              <w:rPr>
                <w:snapToGrid w:val="0"/>
              </w:rPr>
            </w:pPr>
            <w:r>
              <w:rPr>
                <w:bCs/>
                <w:snapToGrid w:val="0"/>
              </w:rPr>
              <w:t>r. 1 and 2: 2 Dec 2013 (see r. 2(a));</w:t>
            </w:r>
            <w:r>
              <w:rPr>
                <w:bCs/>
                <w:snapToGrid w:val="0"/>
              </w:rPr>
              <w:br/>
              <w:t>Regulations other than r. 1 and 2: 3 Dec 2013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Dangerous Goods Safety (Road and Rail Transport of Non</w:t>
            </w:r>
            <w:r>
              <w:rPr>
                <w:i/>
              </w:rPr>
              <w:noBreakHyphen/>
              <w:t xml:space="preserve">explosives) Amendment Regulations 2014 </w:t>
            </w:r>
          </w:p>
        </w:tc>
        <w:tc>
          <w:tcPr>
            <w:tcW w:w="1276" w:type="dxa"/>
            <w:tcBorders>
              <w:top w:val="nil"/>
              <w:left w:val="nil"/>
              <w:bottom w:val="nil"/>
              <w:right w:val="nil"/>
            </w:tcBorders>
          </w:tcPr>
          <w:p>
            <w:pPr>
              <w:pStyle w:val="nTable"/>
              <w:spacing w:after="40"/>
            </w:pPr>
            <w:r>
              <w:t>13 Jun 2014 p. 1929</w:t>
            </w:r>
            <w:r>
              <w:noBreakHyphen/>
              <w:t>50</w:t>
            </w:r>
          </w:p>
        </w:tc>
        <w:tc>
          <w:tcPr>
            <w:tcW w:w="2693" w:type="dxa"/>
            <w:tcBorders>
              <w:top w:val="nil"/>
              <w:left w:val="nil"/>
              <w:bottom w:val="nil"/>
            </w:tcBorders>
          </w:tcPr>
          <w:p>
            <w:pPr>
              <w:pStyle w:val="nTable"/>
              <w:spacing w:after="40"/>
              <w:rPr>
                <w:bCs/>
                <w:snapToGrid w:val="0"/>
              </w:rPr>
            </w:pPr>
            <w:r>
              <w:rPr>
                <w:bCs/>
                <w:snapToGrid w:val="0"/>
              </w:rPr>
              <w:t>r. 1 and 2: 13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pPr>
            <w:r>
              <w:t>8 Jan 2015 p. 131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8 Jan 2015 (see r. 2(a));</w:t>
            </w:r>
            <w:r>
              <w:rPr>
                <w:bCs/>
                <w:snapToGrid w:val="0"/>
              </w:rPr>
              <w:br/>
              <w:t>Regulations other than r. 1 and 2: 27 Apr 2015 (see r. 2(b) and Gazette 17 Apr 2015 p. 1371)</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Dangerous Goods Safety (Road and Rail Transport of Non-explosives) Regulations 2007</w:t>
            </w:r>
            <w:r>
              <w:rPr>
                <w:b/>
                <w:bCs/>
                <w:snapToGrid w:val="0"/>
              </w:rPr>
              <w:t xml:space="preserve"> as at 7 Aug 2015</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17 Nov 2015</w:t>
            </w:r>
            <w:r>
              <w:rPr>
                <w:bCs/>
                <w:snapToGrid w:val="0"/>
              </w:rPr>
              <w:t xml:space="preserve"> (see r. 2(a));</w:t>
            </w:r>
            <w:r>
              <w:rPr>
                <w:bCs/>
                <w:snapToGrid w:val="0"/>
              </w:rPr>
              <w:br/>
              <w:t>Regulations other than r. 1 and 2: 1 Jan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pPr>
              <w:pStyle w:val="nTable"/>
              <w:spacing w:after="40"/>
            </w:pPr>
            <w:r>
              <w:t>24 Jun 2016 p. 2325-34</w:t>
            </w:r>
          </w:p>
        </w:tc>
        <w:tc>
          <w:tcPr>
            <w:tcW w:w="2693" w:type="dxa"/>
            <w:tcBorders>
              <w:top w:val="nil"/>
              <w:left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2017</w:t>
            </w:r>
          </w:p>
        </w:tc>
        <w:tc>
          <w:tcPr>
            <w:tcW w:w="1276" w:type="dxa"/>
            <w:tcBorders>
              <w:top w:val="nil"/>
              <w:bottom w:val="nil"/>
            </w:tcBorders>
          </w:tcPr>
          <w:p>
            <w:pPr>
              <w:pStyle w:val="nTable"/>
              <w:spacing w:after="40"/>
            </w:pPr>
            <w:r>
              <w:t>11 Jul 2017 p. 3820</w:t>
            </w:r>
            <w:r>
              <w:noBreakHyphen/>
              <w:t>33</w:t>
            </w:r>
          </w:p>
        </w:tc>
        <w:tc>
          <w:tcPr>
            <w:tcW w:w="2693" w:type="dxa"/>
            <w:tcBorders>
              <w:top w:val="nil"/>
              <w:bottom w:val="nil"/>
            </w:tcBorders>
          </w:tcPr>
          <w:p>
            <w:pPr>
              <w:pStyle w:val="nTable"/>
              <w:spacing w:after="40"/>
              <w:rPr>
                <w:bCs/>
                <w:snapToGrid w:val="0"/>
                <w:spacing w:val="-2"/>
              </w:rPr>
            </w:pPr>
            <w:r>
              <w:rPr>
                <w:bCs/>
                <w:snapToGrid w:val="0"/>
              </w:rPr>
              <w:t xml:space="preserve">r. 1 and 2: </w:t>
            </w:r>
            <w:r>
              <w:t>11 Jul 2017</w:t>
            </w:r>
            <w:r>
              <w:rPr>
                <w:bCs/>
                <w:snapToGrid w:val="0"/>
              </w:rPr>
              <w:t xml:space="preserve"> (see r. 2(a));</w:t>
            </w:r>
            <w:r>
              <w:rPr>
                <w:bCs/>
                <w:snapToGrid w:val="0"/>
              </w:rPr>
              <w:br/>
              <w:t>Regulations other than r. 1 and 2: 12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4</w:t>
            </w:r>
          </w:p>
        </w:tc>
        <w:tc>
          <w:tcPr>
            <w:tcW w:w="1276" w:type="dxa"/>
            <w:tcBorders>
              <w:top w:val="nil"/>
              <w:bottom w:val="nil"/>
            </w:tcBorders>
          </w:tcPr>
          <w:p>
            <w:pPr>
              <w:pStyle w:val="nTable"/>
              <w:keepNext/>
              <w:spacing w:after="40"/>
            </w:pPr>
            <w:r>
              <w:t>25 Jun 2018 p. 2297</w:t>
            </w:r>
            <w:r>
              <w:noBreakHyphen/>
              <w:t>324</w:t>
            </w:r>
          </w:p>
        </w:tc>
        <w:tc>
          <w:tcPr>
            <w:tcW w:w="2693" w:type="dxa"/>
            <w:tcBorders>
              <w:top w:val="nil"/>
              <w:bottom w:val="nil"/>
            </w:tcBorders>
          </w:tcPr>
          <w:p>
            <w:pPr>
              <w:pStyle w:val="nTable"/>
              <w:keepNext/>
              <w:spacing w:after="40"/>
              <w:rPr>
                <w:bCs/>
                <w:snapToGrid w:val="0"/>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Dangerous Goods Safety (Road and Rail Transport of Non</w:t>
            </w:r>
            <w:r>
              <w:rPr>
                <w:i/>
              </w:rPr>
              <w:noBreakHyphen/>
              <w:t>explosives) Amendment Regulations 2018</w:t>
            </w:r>
          </w:p>
        </w:tc>
        <w:tc>
          <w:tcPr>
            <w:tcW w:w="1276" w:type="dxa"/>
            <w:tcBorders>
              <w:top w:val="nil"/>
              <w:bottom w:val="nil"/>
            </w:tcBorders>
          </w:tcPr>
          <w:p>
            <w:pPr>
              <w:pStyle w:val="nTable"/>
              <w:keepNext/>
              <w:spacing w:after="40"/>
            </w:pPr>
            <w:r>
              <w:t>31 Aug 2018 p. 3043</w:t>
            </w:r>
            <w:r>
              <w:noBreakHyphen/>
              <w:t>7</w:t>
            </w:r>
          </w:p>
        </w:tc>
        <w:tc>
          <w:tcPr>
            <w:tcW w:w="2693" w:type="dxa"/>
            <w:tcBorders>
              <w:top w:val="nil"/>
              <w:bottom w:val="nil"/>
            </w:tcBorders>
          </w:tcPr>
          <w:p>
            <w:pPr>
              <w:pStyle w:val="nTable"/>
              <w:rPr>
                <w:bCs/>
                <w:snapToGrid w:val="0"/>
                <w:spacing w:val="-2"/>
              </w:rPr>
            </w:pPr>
            <w:r>
              <w:rPr>
                <w:bCs/>
                <w:snapToGrid w:val="0"/>
                <w:spacing w:val="-2"/>
              </w:rPr>
              <w:t>r. 1 and 2: 31 Aug 2018 (see r. 2(a));</w:t>
            </w:r>
            <w:r>
              <w:rPr>
                <w:bCs/>
                <w:snapToGrid w:val="0"/>
                <w:spacing w:val="-2"/>
              </w:rPr>
              <w:br/>
              <w:t>Regulations other than r. 1 , 2 and 10: 1 Sep 2018 (see r. 2(c));</w:t>
            </w:r>
            <w:r>
              <w:rPr>
                <w:bCs/>
                <w:snapToGrid w:val="0"/>
                <w:spacing w:val="-2"/>
              </w:rPr>
              <w:br/>
              <w:t xml:space="preserve">r. 10: </w:t>
            </w: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2019</w:t>
            </w:r>
            <w:r>
              <w:t xml:space="preserve"> Pt. 4</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Mines and Petroleum Regulations Amendment (COVID</w:t>
            </w:r>
            <w:r>
              <w:rPr>
                <w:i/>
              </w:rPr>
              <w:noBreakHyphen/>
              <w:t>19 Response) Regulations 2020</w:t>
            </w:r>
            <w:r>
              <w:t xml:space="preserve"> Pt. 3</w:t>
            </w:r>
          </w:p>
        </w:tc>
        <w:tc>
          <w:tcPr>
            <w:tcW w:w="1276" w:type="dxa"/>
            <w:tcBorders>
              <w:top w:val="nil"/>
              <w:bottom w:val="nil"/>
            </w:tcBorders>
          </w:tcPr>
          <w:p>
            <w:pPr>
              <w:pStyle w:val="nTable"/>
              <w:keepNext/>
              <w:spacing w:after="40"/>
            </w:pPr>
            <w:r>
              <w:t xml:space="preserve">SL 2020/103 29 Jun 2020 </w:t>
            </w:r>
          </w:p>
        </w:tc>
        <w:tc>
          <w:tcPr>
            <w:tcW w:w="2693" w:type="dxa"/>
            <w:tcBorders>
              <w:top w:val="nil"/>
              <w:bottom w:val="nil"/>
            </w:tcBorders>
          </w:tcPr>
          <w:p>
            <w:pPr>
              <w:pStyle w:val="nTable"/>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keepNext/>
              <w:spacing w:after="40"/>
            </w:pPr>
            <w:r>
              <w:t>SL 2020/104 29 Jun 2020</w:t>
            </w:r>
          </w:p>
        </w:tc>
        <w:tc>
          <w:tcPr>
            <w:tcW w:w="2693" w:type="dxa"/>
            <w:tcBorders>
              <w:top w:val="nil"/>
              <w:bottom w:val="nil"/>
            </w:tcBorders>
          </w:tcPr>
          <w:p>
            <w:pPr>
              <w:pStyle w:val="nTable"/>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Dangerous Goods Safety Regulations Amendment Regulations 2020</w:t>
            </w:r>
            <w:r>
              <w:t xml:space="preserve"> Pt. 4 (other than r. 10(2))</w:t>
            </w:r>
          </w:p>
        </w:tc>
        <w:tc>
          <w:tcPr>
            <w:tcW w:w="1276" w:type="dxa"/>
            <w:tcBorders>
              <w:top w:val="nil"/>
              <w:bottom w:val="nil"/>
            </w:tcBorders>
          </w:tcPr>
          <w:p>
            <w:pPr>
              <w:pStyle w:val="nTable"/>
              <w:keepNext/>
              <w:spacing w:after="40"/>
            </w:pPr>
            <w:r>
              <w:t>SL 2020/193 9 Oct 2020</w:t>
            </w:r>
          </w:p>
        </w:tc>
        <w:tc>
          <w:tcPr>
            <w:tcW w:w="2693" w:type="dxa"/>
            <w:tcBorders>
              <w:top w:val="nil"/>
              <w:bottom w:val="nil"/>
            </w:tcBorders>
          </w:tcPr>
          <w:p>
            <w:pPr>
              <w:pStyle w:val="nTable"/>
            </w:pPr>
            <w:r>
              <w:t>10 Oct 2020 (see r. 2(c))</w:t>
            </w:r>
          </w:p>
        </w:tc>
      </w:tr>
      <w:tr>
        <w:tblPrEx>
          <w:tblBorders>
            <w:top w:val="single" w:sz="4" w:space="0" w:color="auto"/>
            <w:insideH w:val="single" w:sz="4" w:space="0" w:color="auto"/>
          </w:tblBorders>
        </w:tblPrEx>
        <w:trPr>
          <w:ins w:id="1403" w:author="Master Repository Process" w:date="2021-08-01T05:23:00Z"/>
        </w:trPr>
        <w:tc>
          <w:tcPr>
            <w:tcW w:w="3119" w:type="dxa"/>
            <w:tcBorders>
              <w:top w:val="nil"/>
              <w:bottom w:val="single" w:sz="4" w:space="0" w:color="auto"/>
            </w:tcBorders>
          </w:tcPr>
          <w:p>
            <w:pPr>
              <w:pStyle w:val="nTable"/>
              <w:rPr>
                <w:ins w:id="1404" w:author="Master Repository Process" w:date="2021-08-01T05:23:00Z"/>
                <w:i/>
              </w:rPr>
            </w:pPr>
            <w:ins w:id="1405" w:author="Master Repository Process" w:date="2021-08-01T05:23:00Z">
              <w:r>
                <w:rPr>
                  <w:i/>
                </w:rPr>
                <w:t>Mines and Petroleum Regulations Amendment (COVID</w:t>
              </w:r>
              <w:r>
                <w:rPr>
                  <w:i/>
                </w:rPr>
                <w:noBreakHyphen/>
                <w:t xml:space="preserve">19 Response) Regulations (No. 2) 2020 </w:t>
              </w:r>
              <w:r>
                <w:t>Pt. 3</w:t>
              </w:r>
            </w:ins>
          </w:p>
        </w:tc>
        <w:tc>
          <w:tcPr>
            <w:tcW w:w="1276" w:type="dxa"/>
            <w:tcBorders>
              <w:top w:val="nil"/>
              <w:bottom w:val="single" w:sz="4" w:space="0" w:color="auto"/>
            </w:tcBorders>
          </w:tcPr>
          <w:p>
            <w:pPr>
              <w:pStyle w:val="nTable"/>
              <w:keepNext/>
              <w:spacing w:after="40"/>
              <w:rPr>
                <w:ins w:id="1406" w:author="Master Repository Process" w:date="2021-08-01T05:23:00Z"/>
              </w:rPr>
            </w:pPr>
            <w:ins w:id="1407" w:author="Master Repository Process" w:date="2021-08-01T05:23:00Z">
              <w:r>
                <w:t>SL 2020/197 27 Oct 2020</w:t>
              </w:r>
            </w:ins>
          </w:p>
        </w:tc>
        <w:tc>
          <w:tcPr>
            <w:tcW w:w="2693" w:type="dxa"/>
            <w:tcBorders>
              <w:top w:val="nil"/>
              <w:bottom w:val="single" w:sz="4" w:space="0" w:color="auto"/>
            </w:tcBorders>
          </w:tcPr>
          <w:p>
            <w:pPr>
              <w:pStyle w:val="nTable"/>
              <w:rPr>
                <w:ins w:id="1408" w:author="Master Repository Process" w:date="2021-08-01T05:23:00Z"/>
              </w:rPr>
            </w:pPr>
            <w:ins w:id="1409" w:author="Master Repository Process" w:date="2021-08-01T05:23:00Z">
              <w:r>
                <w:t>28 Oct 2020 (see r. 2(b))</w:t>
              </w:r>
            </w:ins>
          </w:p>
        </w:tc>
      </w:tr>
    </w:tbl>
    <w:p>
      <w:pPr>
        <w:pStyle w:val="nHeading3"/>
      </w:pPr>
      <w:bookmarkStart w:id="1410" w:name="_Toc54607469"/>
      <w:bookmarkStart w:id="1411" w:name="_Toc52975482"/>
      <w:r>
        <w:t>Uncommenced provisions table</w:t>
      </w:r>
      <w:bookmarkEnd w:id="1410"/>
      <w:bookmarkEnd w:id="141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Dangerous Goods Safety Regulations Amendment Regulations 2020</w:t>
            </w:r>
            <w:r>
              <w:t xml:space="preserve"> r. 10(2)</w:t>
            </w:r>
          </w:p>
        </w:tc>
        <w:tc>
          <w:tcPr>
            <w:tcW w:w="1276" w:type="dxa"/>
          </w:tcPr>
          <w:p>
            <w:pPr>
              <w:pStyle w:val="nTable"/>
              <w:spacing w:after="40"/>
            </w:pPr>
            <w:r>
              <w:t>SL 2020/193 9 Oct 2020</w:t>
            </w:r>
          </w:p>
        </w:tc>
        <w:tc>
          <w:tcPr>
            <w:tcW w:w="2693" w:type="dxa"/>
          </w:tcPr>
          <w:p>
            <w:pPr>
              <w:pStyle w:val="nTable"/>
              <w:spacing w:after="40"/>
            </w:pPr>
            <w:r>
              <w:t>1 Jan 2021 (see r. 2(b))</w:t>
            </w:r>
          </w:p>
        </w:tc>
      </w:tr>
    </w:tbl>
    <w:p>
      <w:pPr>
        <w:pStyle w:val="nHeading3"/>
      </w:pPr>
      <w:bookmarkStart w:id="1412" w:name="_Toc54607470"/>
      <w:bookmarkStart w:id="1413" w:name="_Toc52975483"/>
      <w:r>
        <w:t>Other notes</w:t>
      </w:r>
      <w:bookmarkEnd w:id="1412"/>
      <w:bookmarkEnd w:id="1413"/>
    </w:p>
    <w:p>
      <w:pPr>
        <w:pStyle w:val="nNote"/>
        <w:spacing w:before="160"/>
        <w:rPr>
          <w:vertAlign w:val="superscript"/>
        </w:rPr>
      </w:pPr>
      <w:r>
        <w:rPr>
          <w:vertAlign w:val="superscript"/>
        </w:rPr>
        <w:t>1</w:t>
      </w:r>
      <w:r>
        <w:tab/>
      </w:r>
      <w:r>
        <w:rPr>
          <w:i/>
          <w:iCs/>
        </w:rPr>
        <w:t>The Dangerous Goods Safety Act 2004</w:t>
      </w:r>
      <w:r>
        <w:rPr>
          <w:iCs/>
        </w:rPr>
        <w:t xml:space="preserve"> Pt. 3 commenced 1 Mar 2008.</w:t>
      </w:r>
    </w:p>
    <w:p>
      <w:pPr>
        <w:pStyle w:val="nNote"/>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14" w:name="Compilation"/>
    <w:bookmarkEnd w:id="14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15" w:name="Coversheet"/>
    <w:bookmarkEnd w:id="14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Interpretation</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2</w: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91" w:name="Schedule"/>
    <w:bookmarkEnd w:id="13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26090242"/>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 w:name="WAFER_20180830122924" w:val="RemoveTocBookmarks,RemoveUnusedBookmarks,RemoveLanguageTags,UsedStyles,ResetPageSize"/>
    <w:docVar w:name="WAFER_20180830122924_GUID" w:val="014723f6-636c-4602-9bf1-8870c7df3307"/>
    <w:docVar w:name="WAFER_20190617112532" w:val="RemoveTocBookmarks,RemoveUnusedBookmarks,RemoveLanguageTags,ResetPageSize,RunningHeaders,UpdateStyles,UsedStyles"/>
    <w:docVar w:name="WAFER_20190617112532_GUID" w:val="63c7fc4a-6e1b-4461-b0f7-fdc6b50e57ce"/>
    <w:docVar w:name="WAFER_20200629122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559_GUID" w:val="fc70907e-2f82-4f10-a28d-9aa5360a87af"/>
    <w:docVar w:name="WAFER_2020071414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36_GUID" w:val="1e42f315-252f-40b7-978b-eba834413f69"/>
    <w:docVar w:name="WAFER_2020100710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03647_GUID" w:val="f8f8434b-5680-42d1-a802-94f4466a7661"/>
    <w:docVar w:name="WAFER_2020102609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42_GUID" w:val="a939c822-fd18-4cc5-8b17-563b11168c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955F69C-D406-4AEE-AD24-A2EC327B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uiPriority w:val="9"/>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14B2A-FC19-488F-A613-21F97A9D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38244</Words>
  <Characters>187016</Characters>
  <Application>Microsoft Office Word</Application>
  <DocSecurity>0</DocSecurity>
  <Lines>5500</Lines>
  <Paragraphs>3362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02-l0-00 - 02-m0-00</dc:title>
  <dc:subject/>
  <dc:creator/>
  <cp:keywords/>
  <dc:description/>
  <cp:lastModifiedBy>Master Repository Process</cp:lastModifiedBy>
  <cp:revision>2</cp:revision>
  <cp:lastPrinted>2015-08-13T04:23:00Z</cp:lastPrinted>
  <dcterms:created xsi:type="dcterms:W3CDTF">2021-07-31T21:22:00Z</dcterms:created>
  <dcterms:modified xsi:type="dcterms:W3CDTF">2021-07-31T21:23:00Z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CommencementDate">
    <vt:lpwstr>20201028</vt:lpwstr>
  </property>
  <property fmtid="{D5CDD505-2E9C-101B-9397-08002B2CF9AE}" pid="8" name="FromSuffix">
    <vt:lpwstr>02-l0-00</vt:lpwstr>
  </property>
  <property fmtid="{D5CDD505-2E9C-101B-9397-08002B2CF9AE}" pid="9" name="FromAsAtDate">
    <vt:lpwstr>10 Oct 2020</vt:lpwstr>
  </property>
  <property fmtid="{D5CDD505-2E9C-101B-9397-08002B2CF9AE}" pid="10" name="ToSuffix">
    <vt:lpwstr>02-m0-00</vt:lpwstr>
  </property>
  <property fmtid="{D5CDD505-2E9C-101B-9397-08002B2CF9AE}" pid="11" name="ToAsAtDate">
    <vt:lpwstr>28 Oct 2020</vt:lpwstr>
  </property>
</Properties>
</file>