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10 Nov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55895406"/>
      <w:bookmarkStart w:id="2" w:name="_Toc55895678"/>
      <w:bookmarkStart w:id="3" w:name="_Toc55903331"/>
      <w:bookmarkStart w:id="4" w:name="_Toc55903401"/>
      <w:bookmarkStart w:id="5" w:name="_Toc377108652"/>
      <w:bookmarkStart w:id="6" w:name="_Toc423414766"/>
      <w:bookmarkStart w:id="7" w:name="_Toc423506922"/>
      <w:bookmarkStart w:id="8" w:name="_Toc11753454"/>
      <w:bookmarkStart w:id="9" w:name="_Toc11753813"/>
      <w:bookmarkStart w:id="10" w:name="_Toc12003824"/>
      <w:bookmarkStart w:id="11" w:name="_Toc12003866"/>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55903402"/>
      <w:bookmarkStart w:id="14" w:name="_Toc377108653"/>
      <w:bookmarkStart w:id="15" w:name="_Toc12003867"/>
      <w:r>
        <w:rPr>
          <w:rStyle w:val="CharSectno"/>
        </w:rPr>
        <w:t>1</w:t>
      </w:r>
      <w:r>
        <w:t>.</w:t>
      </w:r>
      <w:r>
        <w:tab/>
        <w:t>Citation</w:t>
      </w:r>
      <w:bookmarkEnd w:id="13"/>
      <w:bookmarkEnd w:id="14"/>
      <w:bookmarkEnd w:id="15"/>
    </w:p>
    <w:p>
      <w:pPr>
        <w:pStyle w:val="Subsection"/>
        <w:rPr>
          <w:i/>
        </w:rPr>
      </w:pPr>
      <w:r>
        <w:tab/>
      </w:r>
      <w:r>
        <w:tab/>
      </w:r>
      <w:bookmarkStart w:id="16" w:name="Start_Cursor"/>
      <w:bookmarkEnd w:id="16"/>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7" w:name="_Toc55903403"/>
      <w:bookmarkStart w:id="18" w:name="_Toc377108654"/>
      <w:bookmarkStart w:id="19" w:name="_Toc12003868"/>
      <w:r>
        <w:rPr>
          <w:rStyle w:val="CharSectno"/>
        </w:rPr>
        <w:t>2</w:t>
      </w:r>
      <w:r>
        <w:rPr>
          <w:spacing w:val="-2"/>
        </w:rPr>
        <w:t>.</w:t>
      </w:r>
      <w:r>
        <w:rPr>
          <w:spacing w:val="-2"/>
        </w:rPr>
        <w:tab/>
        <w:t>Commencement</w:t>
      </w:r>
      <w:bookmarkEnd w:id="17"/>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20" w:name="_Toc55903404"/>
      <w:bookmarkStart w:id="21" w:name="_Toc377108655"/>
      <w:bookmarkStart w:id="22" w:name="_Toc12003869"/>
      <w:r>
        <w:rPr>
          <w:rStyle w:val="CharSectno"/>
        </w:rPr>
        <w:t>3</w:t>
      </w:r>
      <w:r>
        <w:t>.</w:t>
      </w:r>
      <w:r>
        <w:tab/>
        <w:t>Terms used</w:t>
      </w:r>
      <w:bookmarkEnd w:id="20"/>
      <w:bookmarkEnd w:id="21"/>
      <w:bookmarkEnd w:id="22"/>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keepNex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23" w:name="_Toc55895410"/>
      <w:bookmarkStart w:id="24" w:name="_Toc55895682"/>
      <w:bookmarkStart w:id="25" w:name="_Toc55903335"/>
      <w:bookmarkStart w:id="26" w:name="_Toc55903405"/>
      <w:bookmarkStart w:id="27" w:name="_Toc377108656"/>
      <w:bookmarkStart w:id="28" w:name="_Toc423414770"/>
      <w:bookmarkStart w:id="29" w:name="_Toc423506926"/>
      <w:bookmarkStart w:id="30" w:name="_Toc11753458"/>
      <w:bookmarkStart w:id="31" w:name="_Toc11753817"/>
      <w:bookmarkStart w:id="32" w:name="_Toc12003828"/>
      <w:bookmarkStart w:id="33" w:name="_Toc12003870"/>
      <w:r>
        <w:rPr>
          <w:rStyle w:val="CharPartNo"/>
        </w:rPr>
        <w:t>Part 2</w:t>
      </w:r>
      <w:r>
        <w:rPr>
          <w:rStyle w:val="CharDivNo"/>
        </w:rPr>
        <w:t> </w:t>
      </w:r>
      <w:r>
        <w:t>—</w:t>
      </w:r>
      <w:r>
        <w:rPr>
          <w:rStyle w:val="CharDivText"/>
        </w:rPr>
        <w:t> </w:t>
      </w:r>
      <w:r>
        <w:rPr>
          <w:rStyle w:val="CharPartText"/>
        </w:rPr>
        <w:t>Levy period and levy amount</w:t>
      </w:r>
      <w:bookmarkEnd w:id="23"/>
      <w:bookmarkEnd w:id="24"/>
      <w:bookmarkEnd w:id="25"/>
      <w:bookmarkEnd w:id="26"/>
      <w:bookmarkEnd w:id="27"/>
      <w:bookmarkEnd w:id="28"/>
      <w:bookmarkEnd w:id="29"/>
      <w:bookmarkEnd w:id="30"/>
      <w:bookmarkEnd w:id="31"/>
      <w:bookmarkEnd w:id="32"/>
      <w:bookmarkEnd w:id="33"/>
    </w:p>
    <w:p>
      <w:pPr>
        <w:pStyle w:val="Heading5"/>
      </w:pPr>
      <w:bookmarkStart w:id="34" w:name="_Toc55903406"/>
      <w:bookmarkStart w:id="35" w:name="_Toc377108657"/>
      <w:bookmarkStart w:id="36" w:name="_Toc12003871"/>
      <w:r>
        <w:rPr>
          <w:rStyle w:val="CharSectno"/>
        </w:rPr>
        <w:t>4</w:t>
      </w:r>
      <w:r>
        <w:t>.</w:t>
      </w:r>
      <w:r>
        <w:tab/>
        <w:t>Levy period</w:t>
      </w:r>
      <w:bookmarkEnd w:id="34"/>
      <w:bookmarkEnd w:id="35"/>
      <w:bookmarkEnd w:id="36"/>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37" w:name="_Toc55903407"/>
      <w:bookmarkStart w:id="38" w:name="_Toc377108658"/>
      <w:bookmarkStart w:id="39" w:name="_Toc12003872"/>
      <w:r>
        <w:rPr>
          <w:rStyle w:val="CharSectno"/>
        </w:rPr>
        <w:t>5</w:t>
      </w:r>
      <w:r>
        <w:t>.</w:t>
      </w:r>
      <w:r>
        <w:tab/>
        <w:t>Levy amount</w:t>
      </w:r>
      <w:bookmarkEnd w:id="37"/>
      <w:bookmarkEnd w:id="38"/>
      <w:bookmarkEnd w:id="39"/>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lang w:val="en-US" w:eastAsia="en-US"/>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$8 500;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keepNext/>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lang w:val="en-US" w:eastAsia="en-US"/>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$8 500;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 18 Jun 2019 p. 2055.]</w:t>
      </w:r>
    </w:p>
    <w:p>
      <w:pPr>
        <w:pStyle w:val="Heading2"/>
      </w:pPr>
      <w:bookmarkStart w:id="40" w:name="_Toc55895413"/>
      <w:bookmarkStart w:id="41" w:name="_Toc55895685"/>
      <w:bookmarkStart w:id="42" w:name="_Toc55903338"/>
      <w:bookmarkStart w:id="43" w:name="_Toc55903408"/>
      <w:bookmarkStart w:id="44" w:name="_Toc377108659"/>
      <w:bookmarkStart w:id="45" w:name="_Toc423414773"/>
      <w:bookmarkStart w:id="46" w:name="_Toc423506929"/>
      <w:bookmarkStart w:id="47" w:name="_Toc11753461"/>
      <w:bookmarkStart w:id="48" w:name="_Toc11753820"/>
      <w:bookmarkStart w:id="49" w:name="_Toc12003831"/>
      <w:bookmarkStart w:id="50" w:name="_Toc12003873"/>
      <w:r>
        <w:rPr>
          <w:rStyle w:val="CharPartNo"/>
        </w:rPr>
        <w:t>Part 3</w:t>
      </w:r>
      <w:r>
        <w:rPr>
          <w:rStyle w:val="CharDivNo"/>
        </w:rPr>
        <w:t> </w:t>
      </w:r>
      <w:r>
        <w:t>—</w:t>
      </w:r>
      <w:r>
        <w:rPr>
          <w:rStyle w:val="CharDivText"/>
        </w:rPr>
        <w:t> </w:t>
      </w:r>
      <w:r>
        <w:rPr>
          <w:rStyle w:val="CharPartText"/>
        </w:rPr>
        <w:t>Classification of safety systems</w:t>
      </w:r>
      <w:bookmarkEnd w:id="40"/>
      <w:bookmarkEnd w:id="41"/>
      <w:bookmarkEnd w:id="42"/>
      <w:bookmarkEnd w:id="43"/>
      <w:bookmarkEnd w:id="44"/>
      <w:bookmarkEnd w:id="45"/>
      <w:bookmarkEnd w:id="46"/>
      <w:bookmarkEnd w:id="47"/>
      <w:bookmarkEnd w:id="48"/>
      <w:bookmarkEnd w:id="49"/>
      <w:bookmarkEnd w:id="50"/>
    </w:p>
    <w:p>
      <w:pPr>
        <w:pStyle w:val="Heading5"/>
      </w:pPr>
      <w:bookmarkStart w:id="51" w:name="_Toc55903409"/>
      <w:bookmarkStart w:id="52" w:name="_Toc377108660"/>
      <w:bookmarkStart w:id="53" w:name="_Toc12003874"/>
      <w:r>
        <w:rPr>
          <w:rStyle w:val="CharSectno"/>
        </w:rPr>
        <w:t>6</w:t>
      </w:r>
      <w:r>
        <w:t>.</w:t>
      </w:r>
      <w:r>
        <w:tab/>
        <w:t>Classes of safety system</w:t>
      </w:r>
      <w:bookmarkEnd w:id="51"/>
      <w:bookmarkEnd w:id="52"/>
      <w:bookmarkEnd w:id="53"/>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54" w:name="_Toc55903410"/>
      <w:bookmarkStart w:id="55" w:name="_Toc377108661"/>
      <w:bookmarkStart w:id="56" w:name="_Toc12003875"/>
      <w:r>
        <w:rPr>
          <w:rStyle w:val="CharSectno"/>
        </w:rPr>
        <w:t>7</w:t>
      </w:r>
      <w:r>
        <w:t>.</w:t>
      </w:r>
      <w:r>
        <w:tab/>
        <w:t>CEO to determine classification of safety system</w:t>
      </w:r>
      <w:bookmarkEnd w:id="54"/>
      <w:bookmarkEnd w:id="55"/>
      <w:bookmarkEnd w:id="56"/>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57" w:name="_Toc55895416"/>
      <w:bookmarkStart w:id="58" w:name="_Toc55895688"/>
      <w:bookmarkStart w:id="59" w:name="_Toc55903341"/>
      <w:bookmarkStart w:id="60" w:name="_Toc55903411"/>
      <w:bookmarkStart w:id="61" w:name="_Toc377108662"/>
      <w:bookmarkStart w:id="62" w:name="_Toc423414776"/>
      <w:bookmarkStart w:id="63" w:name="_Toc423506932"/>
      <w:bookmarkStart w:id="64" w:name="_Toc11753464"/>
      <w:bookmarkStart w:id="65" w:name="_Toc11753823"/>
      <w:bookmarkStart w:id="66" w:name="_Toc12003834"/>
      <w:bookmarkStart w:id="67" w:name="_Toc12003876"/>
      <w:r>
        <w:rPr>
          <w:rStyle w:val="CharPartNo"/>
        </w:rPr>
        <w:t>Part 4</w:t>
      </w:r>
      <w:r>
        <w:rPr>
          <w:rStyle w:val="CharDivNo"/>
        </w:rPr>
        <w:t> </w:t>
      </w:r>
      <w:r>
        <w:t>—</w:t>
      </w:r>
      <w:r>
        <w:rPr>
          <w:rStyle w:val="CharDivText"/>
        </w:rPr>
        <w:t> </w:t>
      </w:r>
      <w:r>
        <w:rPr>
          <w:rStyle w:val="CharPartText"/>
        </w:rPr>
        <w:t>Assessment and reassessment of safety levies</w:t>
      </w:r>
      <w:bookmarkEnd w:id="57"/>
      <w:bookmarkEnd w:id="58"/>
      <w:bookmarkEnd w:id="59"/>
      <w:bookmarkEnd w:id="60"/>
      <w:bookmarkEnd w:id="61"/>
      <w:bookmarkEnd w:id="62"/>
      <w:bookmarkEnd w:id="63"/>
      <w:bookmarkEnd w:id="64"/>
      <w:bookmarkEnd w:id="65"/>
      <w:bookmarkEnd w:id="66"/>
      <w:bookmarkEnd w:id="67"/>
    </w:p>
    <w:p>
      <w:pPr>
        <w:pStyle w:val="Heading5"/>
      </w:pPr>
      <w:bookmarkStart w:id="68" w:name="_Toc55903412"/>
      <w:bookmarkStart w:id="69" w:name="_Toc377108663"/>
      <w:bookmarkStart w:id="70" w:name="_Toc12003877"/>
      <w:r>
        <w:rPr>
          <w:rStyle w:val="CharSectno"/>
        </w:rPr>
        <w:t>8</w:t>
      </w:r>
      <w:r>
        <w:t>.</w:t>
      </w:r>
      <w:r>
        <w:tab/>
        <w:t>Assessment</w:t>
      </w:r>
      <w:bookmarkEnd w:id="68"/>
      <w:bookmarkEnd w:id="69"/>
      <w:bookmarkEnd w:id="70"/>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71" w:name="_Toc55903413"/>
      <w:bookmarkStart w:id="72" w:name="_Toc377108664"/>
      <w:bookmarkStart w:id="73" w:name="_Toc12003878"/>
      <w:r>
        <w:rPr>
          <w:rStyle w:val="CharSectno"/>
        </w:rPr>
        <w:t>9</w:t>
      </w:r>
      <w:r>
        <w:t>.</w:t>
      </w:r>
      <w:r>
        <w:tab/>
        <w:t>CEO may make reassessment</w:t>
      </w:r>
      <w:bookmarkEnd w:id="71"/>
      <w:bookmarkEnd w:id="72"/>
      <w:bookmarkEnd w:id="73"/>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74" w:name="_Toc55903414"/>
      <w:bookmarkStart w:id="75" w:name="_Toc377108665"/>
      <w:bookmarkStart w:id="76" w:name="_Toc12003879"/>
      <w:r>
        <w:rPr>
          <w:rStyle w:val="CharSectno"/>
        </w:rPr>
        <w:t>10</w:t>
      </w:r>
      <w:r>
        <w:t>.</w:t>
      </w:r>
      <w:r>
        <w:tab/>
        <w:t>Notice of reassessment</w:t>
      </w:r>
      <w:bookmarkEnd w:id="74"/>
      <w:bookmarkEnd w:id="75"/>
      <w:bookmarkEnd w:id="76"/>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77" w:name="_Toc55895420"/>
      <w:bookmarkStart w:id="78" w:name="_Toc55895692"/>
      <w:bookmarkStart w:id="79" w:name="_Toc55903345"/>
      <w:bookmarkStart w:id="80" w:name="_Toc55903415"/>
      <w:bookmarkStart w:id="81" w:name="_Toc377108666"/>
      <w:bookmarkStart w:id="82" w:name="_Toc423414780"/>
      <w:bookmarkStart w:id="83" w:name="_Toc423506936"/>
      <w:bookmarkStart w:id="84" w:name="_Toc11753468"/>
      <w:bookmarkStart w:id="85" w:name="_Toc11753827"/>
      <w:bookmarkStart w:id="86" w:name="_Toc12003838"/>
      <w:bookmarkStart w:id="87" w:name="_Toc12003880"/>
      <w:r>
        <w:rPr>
          <w:rStyle w:val="CharPartNo"/>
        </w:rPr>
        <w:t>Part 5</w:t>
      </w:r>
      <w:r>
        <w:rPr>
          <w:rStyle w:val="CharDivNo"/>
        </w:rPr>
        <w:t> </w:t>
      </w:r>
      <w:r>
        <w:t>—</w:t>
      </w:r>
      <w:r>
        <w:rPr>
          <w:rStyle w:val="CharDivText"/>
        </w:rPr>
        <w:t> </w:t>
      </w:r>
      <w:r>
        <w:rPr>
          <w:rStyle w:val="CharPartText"/>
        </w:rPr>
        <w:t>Objections and review</w:t>
      </w:r>
      <w:bookmarkEnd w:id="77"/>
      <w:bookmarkEnd w:id="78"/>
      <w:bookmarkEnd w:id="79"/>
      <w:bookmarkEnd w:id="80"/>
      <w:bookmarkEnd w:id="81"/>
      <w:bookmarkEnd w:id="82"/>
      <w:bookmarkEnd w:id="83"/>
      <w:bookmarkEnd w:id="84"/>
      <w:bookmarkEnd w:id="85"/>
      <w:bookmarkEnd w:id="86"/>
      <w:bookmarkEnd w:id="87"/>
    </w:p>
    <w:p>
      <w:pPr>
        <w:pStyle w:val="Heading5"/>
      </w:pPr>
      <w:bookmarkStart w:id="88" w:name="_Toc55903416"/>
      <w:bookmarkStart w:id="89" w:name="_Toc377108667"/>
      <w:bookmarkStart w:id="90" w:name="_Toc12003881"/>
      <w:r>
        <w:rPr>
          <w:rStyle w:val="CharSectno"/>
        </w:rPr>
        <w:t>11</w:t>
      </w:r>
      <w:r>
        <w:t>.</w:t>
      </w:r>
      <w:r>
        <w:tab/>
        <w:t>Prescribed ground of objection</w:t>
      </w:r>
      <w:bookmarkEnd w:id="88"/>
      <w:bookmarkEnd w:id="89"/>
      <w:bookmarkEnd w:id="90"/>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91" w:name="_Toc55903417"/>
      <w:bookmarkStart w:id="92" w:name="_Toc377108668"/>
      <w:bookmarkStart w:id="93" w:name="_Toc12003882"/>
      <w:r>
        <w:rPr>
          <w:rStyle w:val="CharSectno"/>
        </w:rPr>
        <w:t>12</w:t>
      </w:r>
      <w:r>
        <w:t>.</w:t>
      </w:r>
      <w:r>
        <w:tab/>
        <w:t>Time for making objection</w:t>
      </w:r>
      <w:bookmarkEnd w:id="91"/>
      <w:bookmarkEnd w:id="92"/>
      <w:bookmarkEnd w:id="93"/>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94" w:name="_Toc55903418"/>
      <w:bookmarkStart w:id="95" w:name="_Toc377108669"/>
      <w:bookmarkStart w:id="96" w:name="_Toc12003883"/>
      <w:r>
        <w:rPr>
          <w:rStyle w:val="CharSectno"/>
        </w:rPr>
        <w:t>13</w:t>
      </w:r>
      <w:r>
        <w:t>.</w:t>
      </w:r>
      <w:r>
        <w:tab/>
        <w:t>Form of objection</w:t>
      </w:r>
      <w:bookmarkEnd w:id="94"/>
      <w:bookmarkEnd w:id="95"/>
      <w:bookmarkEnd w:id="96"/>
    </w:p>
    <w:p>
      <w:pPr>
        <w:pStyle w:val="Subsection"/>
      </w:pPr>
      <w:r>
        <w:tab/>
      </w:r>
      <w:r>
        <w:tab/>
        <w:t>In addition to the requirements of section 14(3)(a) and (b), an objection must have attached to it the assessment notice to which the objection relates.</w:t>
      </w:r>
    </w:p>
    <w:p>
      <w:pPr>
        <w:pStyle w:val="Heading5"/>
      </w:pPr>
      <w:bookmarkStart w:id="97" w:name="_Toc55903419"/>
      <w:bookmarkStart w:id="98" w:name="_Toc377108670"/>
      <w:bookmarkStart w:id="99" w:name="_Toc12003884"/>
      <w:r>
        <w:rPr>
          <w:rStyle w:val="CharSectno"/>
        </w:rPr>
        <w:t>14</w:t>
      </w:r>
      <w:r>
        <w:t>.</w:t>
      </w:r>
      <w:r>
        <w:tab/>
        <w:t>Determination of objection</w:t>
      </w:r>
      <w:bookmarkEnd w:id="97"/>
      <w:bookmarkEnd w:id="98"/>
      <w:bookmarkEnd w:id="99"/>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100" w:name="_Toc55903420"/>
      <w:bookmarkStart w:id="101" w:name="_Toc377108671"/>
      <w:bookmarkStart w:id="102" w:name="_Toc12003885"/>
      <w:r>
        <w:rPr>
          <w:rStyle w:val="CharSectno"/>
        </w:rPr>
        <w:t>15</w:t>
      </w:r>
      <w:r>
        <w:t>.</w:t>
      </w:r>
      <w:r>
        <w:tab/>
        <w:t>Notice of adjusted safety levy following objection</w:t>
      </w:r>
      <w:bookmarkEnd w:id="100"/>
      <w:bookmarkEnd w:id="101"/>
      <w:bookmarkEnd w:id="102"/>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103" w:name="_Toc55903421"/>
      <w:bookmarkStart w:id="104" w:name="_Toc377108672"/>
      <w:bookmarkStart w:id="105" w:name="_Toc12003886"/>
      <w:r>
        <w:rPr>
          <w:rStyle w:val="CharSectno"/>
        </w:rPr>
        <w:t>16</w:t>
      </w:r>
      <w:r>
        <w:t>.</w:t>
      </w:r>
      <w:r>
        <w:tab/>
        <w:t>Notice of withdrawal of safety levy following objection</w:t>
      </w:r>
      <w:bookmarkEnd w:id="103"/>
      <w:bookmarkEnd w:id="104"/>
      <w:bookmarkEnd w:id="105"/>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106" w:name="_Toc55903422"/>
      <w:bookmarkStart w:id="107" w:name="_Toc377108673"/>
      <w:bookmarkStart w:id="108" w:name="_Toc12003887"/>
      <w:r>
        <w:rPr>
          <w:rStyle w:val="CharSectno"/>
        </w:rPr>
        <w:t>17</w:t>
      </w:r>
      <w:r>
        <w:t>.</w:t>
      </w:r>
      <w:r>
        <w:tab/>
        <w:t>Review of decision on objection</w:t>
      </w:r>
      <w:bookmarkEnd w:id="106"/>
      <w:bookmarkEnd w:id="107"/>
      <w:bookmarkEnd w:id="108"/>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109" w:name="_Toc55895428"/>
      <w:bookmarkStart w:id="110" w:name="_Toc55895700"/>
      <w:bookmarkStart w:id="111" w:name="_Toc55903353"/>
      <w:bookmarkStart w:id="112" w:name="_Toc55903423"/>
      <w:bookmarkStart w:id="113" w:name="_Toc377108674"/>
      <w:bookmarkStart w:id="114" w:name="_Toc423414788"/>
      <w:bookmarkStart w:id="115" w:name="_Toc423506944"/>
      <w:bookmarkStart w:id="116" w:name="_Toc11753476"/>
      <w:bookmarkStart w:id="117" w:name="_Toc11753835"/>
      <w:bookmarkStart w:id="118" w:name="_Toc12003846"/>
      <w:bookmarkStart w:id="119" w:name="_Toc12003888"/>
      <w:r>
        <w:rPr>
          <w:rStyle w:val="CharPartNo"/>
        </w:rPr>
        <w:t>Part 6</w:t>
      </w:r>
      <w:r>
        <w:rPr>
          <w:rStyle w:val="CharDivNo"/>
        </w:rPr>
        <w:t> </w:t>
      </w:r>
      <w:r>
        <w:t>—</w:t>
      </w:r>
      <w:r>
        <w:rPr>
          <w:rStyle w:val="CharDivText"/>
        </w:rPr>
        <w:t> </w:t>
      </w:r>
      <w:r>
        <w:rPr>
          <w:rStyle w:val="CharPartText"/>
        </w:rPr>
        <w:t>Other matters</w:t>
      </w:r>
      <w:bookmarkEnd w:id="109"/>
      <w:bookmarkEnd w:id="110"/>
      <w:bookmarkEnd w:id="111"/>
      <w:bookmarkEnd w:id="112"/>
      <w:bookmarkEnd w:id="113"/>
      <w:bookmarkEnd w:id="114"/>
      <w:bookmarkEnd w:id="115"/>
      <w:bookmarkEnd w:id="116"/>
      <w:bookmarkEnd w:id="117"/>
      <w:bookmarkEnd w:id="118"/>
      <w:bookmarkEnd w:id="119"/>
    </w:p>
    <w:p>
      <w:pPr>
        <w:pStyle w:val="Heading5"/>
      </w:pPr>
      <w:bookmarkStart w:id="120" w:name="_Toc55903424"/>
      <w:bookmarkStart w:id="121" w:name="_Toc377108675"/>
      <w:bookmarkStart w:id="122" w:name="_Toc12003889"/>
      <w:r>
        <w:rPr>
          <w:rStyle w:val="CharSectno"/>
        </w:rPr>
        <w:t>18</w:t>
      </w:r>
      <w:r>
        <w:t>.</w:t>
      </w:r>
      <w:r>
        <w:tab/>
        <w:t>Penalty amount: prescribed rate of interest</w:t>
      </w:r>
      <w:bookmarkEnd w:id="120"/>
      <w:bookmarkEnd w:id="121"/>
      <w:bookmarkEnd w:id="122"/>
    </w:p>
    <w:p>
      <w:pPr>
        <w:pStyle w:val="Subsection"/>
      </w:pPr>
      <w:r>
        <w:tab/>
      </w:r>
      <w:r>
        <w:tab/>
        <w:t>For the purposes of section 12(1), the rate of 20% per annum is prescribed.</w:t>
      </w:r>
    </w:p>
    <w:p>
      <w:pPr>
        <w:pStyle w:val="Heading5"/>
      </w:pPr>
      <w:bookmarkStart w:id="123" w:name="_Toc55903425"/>
      <w:bookmarkStart w:id="124" w:name="_Toc377108676"/>
      <w:bookmarkStart w:id="125" w:name="_Toc12003890"/>
      <w:r>
        <w:rPr>
          <w:rStyle w:val="CharSectno"/>
        </w:rPr>
        <w:t>19</w:t>
      </w:r>
      <w:r>
        <w:t>.</w:t>
      </w:r>
      <w:r>
        <w:tab/>
        <w:t>When levy amount becomes due and payable</w:t>
      </w:r>
      <w:bookmarkEnd w:id="123"/>
      <w:bookmarkEnd w:id="124"/>
      <w:bookmarkEnd w:id="125"/>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126" w:name="_Toc55895431"/>
      <w:bookmarkStart w:id="127" w:name="_Toc55895703"/>
      <w:bookmarkStart w:id="128" w:name="_Toc55903356"/>
      <w:bookmarkStart w:id="129" w:name="_Toc55903426"/>
      <w:bookmarkStart w:id="130" w:name="_Toc377108677"/>
      <w:bookmarkStart w:id="131" w:name="_Toc423414791"/>
      <w:bookmarkStart w:id="132" w:name="_Toc423506947"/>
      <w:bookmarkStart w:id="133" w:name="_Toc11753479"/>
      <w:bookmarkStart w:id="134" w:name="_Toc11753838"/>
      <w:bookmarkStart w:id="135" w:name="_Toc12003849"/>
      <w:bookmarkStart w:id="136" w:name="_Toc12003891"/>
      <w:r>
        <w:rPr>
          <w:rStyle w:val="CharPartNo"/>
        </w:rPr>
        <w:t>Part 7</w:t>
      </w:r>
      <w:r>
        <w:rPr>
          <w:rStyle w:val="CharDivNo"/>
        </w:rPr>
        <w:t> </w:t>
      </w:r>
      <w:r>
        <w:t>—</w:t>
      </w:r>
      <w:r>
        <w:rPr>
          <w:rStyle w:val="CharDivText"/>
        </w:rPr>
        <w:t> </w:t>
      </w:r>
      <w:r>
        <w:rPr>
          <w:rStyle w:val="CharPartText"/>
        </w:rPr>
        <w:t>Transitional provisions</w:t>
      </w:r>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Gazette 28 Sep 2012 p. 4658.]</w:t>
      </w:r>
    </w:p>
    <w:p>
      <w:pPr>
        <w:pStyle w:val="Heading5"/>
      </w:pPr>
      <w:bookmarkStart w:id="137" w:name="_Toc55903427"/>
      <w:bookmarkStart w:id="138" w:name="_Toc377108678"/>
      <w:bookmarkStart w:id="139" w:name="_Toc12003892"/>
      <w:r>
        <w:rPr>
          <w:rStyle w:val="CharSectno"/>
        </w:rPr>
        <w:t>20</w:t>
      </w:r>
      <w:r>
        <w:t>.</w:t>
      </w:r>
      <w:r>
        <w:tab/>
        <w:t xml:space="preserve">Transitional provision for </w:t>
      </w:r>
      <w:r>
        <w:rPr>
          <w:i/>
        </w:rPr>
        <w:t>Petroleum and Geothermal Energy Safety Levies Amendment Regulations 2012</w:t>
      </w:r>
      <w:bookmarkEnd w:id="137"/>
      <w:bookmarkEnd w:id="138"/>
      <w:bookmarkEnd w:id="139"/>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40" w:name="_Toc55895433"/>
      <w:bookmarkStart w:id="141" w:name="_Toc55895705"/>
      <w:bookmarkStart w:id="142" w:name="_Toc55903358"/>
      <w:bookmarkStart w:id="143" w:name="_Toc55903428"/>
      <w:bookmarkStart w:id="144" w:name="_Toc377108679"/>
      <w:bookmarkStart w:id="145" w:name="_Toc423414793"/>
      <w:bookmarkStart w:id="146" w:name="_Toc423506949"/>
      <w:bookmarkStart w:id="147" w:name="_Toc11753481"/>
      <w:bookmarkStart w:id="148" w:name="_Toc11753840"/>
      <w:bookmarkStart w:id="149" w:name="_Toc12003851"/>
      <w:bookmarkStart w:id="150" w:name="_Toc12003893"/>
      <w:r>
        <w:rPr>
          <w:rStyle w:val="CharSchNo"/>
        </w:rPr>
        <w:t>Schedule 1</w:t>
      </w:r>
      <w:r>
        <w:rPr>
          <w:rStyle w:val="CharSDivNo"/>
        </w:rPr>
        <w:t> </w:t>
      </w:r>
      <w:r>
        <w:t>—</w:t>
      </w:r>
      <w:r>
        <w:rPr>
          <w:rStyle w:val="CharSDivText"/>
        </w:rPr>
        <w:t> </w:t>
      </w:r>
      <w:r>
        <w:rPr>
          <w:rStyle w:val="CharSchText"/>
        </w:rPr>
        <w:t>Complexity ratings</w:t>
      </w:r>
      <w:bookmarkEnd w:id="140"/>
      <w:bookmarkEnd w:id="141"/>
      <w:bookmarkEnd w:id="142"/>
      <w:bookmarkEnd w:id="143"/>
      <w:bookmarkEnd w:id="144"/>
      <w:bookmarkEnd w:id="145"/>
      <w:bookmarkEnd w:id="146"/>
      <w:bookmarkEnd w:id="147"/>
      <w:bookmarkEnd w:id="148"/>
      <w:bookmarkEnd w:id="149"/>
      <w:bookmarkEnd w:id="150"/>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2" w:name="_Toc55895706"/>
      <w:bookmarkStart w:id="153" w:name="_Toc55903359"/>
      <w:bookmarkStart w:id="154" w:name="_Toc55903429"/>
      <w:bookmarkStart w:id="155" w:name="_Toc377108680"/>
      <w:bookmarkStart w:id="156" w:name="_Toc423414794"/>
      <w:bookmarkStart w:id="157" w:name="_Toc423506950"/>
      <w:bookmarkStart w:id="158" w:name="_Toc11753482"/>
      <w:bookmarkStart w:id="159" w:name="_Toc11753841"/>
      <w:bookmarkStart w:id="160" w:name="_Toc12003852"/>
      <w:bookmarkStart w:id="161" w:name="_Toc12003894"/>
      <w:bookmarkStart w:id="162" w:name="_Toc55895436"/>
      <w:r>
        <w:t>Notes</w:t>
      </w:r>
      <w:bookmarkEnd w:id="152"/>
      <w:bookmarkEnd w:id="153"/>
      <w:bookmarkEnd w:id="154"/>
      <w:bookmarkEnd w:id="155"/>
      <w:bookmarkEnd w:id="156"/>
      <w:bookmarkEnd w:id="157"/>
      <w:bookmarkEnd w:id="158"/>
      <w:bookmarkEnd w:id="159"/>
      <w:bookmarkEnd w:id="160"/>
      <w:bookmarkEnd w:id="161"/>
    </w:p>
    <w:p>
      <w:pPr>
        <w:pStyle w:val="nStatement"/>
      </w:pPr>
      <w:del w:id="163" w:author="Master Repository Process" w:date="2021-09-11T16:26:00Z">
        <w:r>
          <w:rPr>
            <w:snapToGrid w:val="0"/>
            <w:vertAlign w:val="superscript"/>
          </w:rPr>
          <w:delText>1</w:delText>
        </w:r>
        <w:r>
          <w:rPr>
            <w:snapToGrid w:val="0"/>
          </w:rPr>
          <w:tab/>
        </w:r>
      </w:del>
      <w:r>
        <w:t xml:space="preserve">This is a compilation of the </w:t>
      </w:r>
      <w:r>
        <w:rPr>
          <w:i/>
          <w:noProof/>
        </w:rPr>
        <w:t>Petroleum and Geothermal Energy Safety Levies Regulations</w:t>
      </w:r>
      <w:del w:id="164" w:author="Master Repository Process" w:date="2021-09-11T16:26:00Z">
        <w:r>
          <w:rPr>
            <w:i/>
          </w:rPr>
          <w:delText> </w:delText>
        </w:r>
      </w:del>
      <w:ins w:id="165" w:author="Master Repository Process" w:date="2021-09-11T16:26:00Z">
        <w:r>
          <w:rPr>
            <w:i/>
            <w:noProof/>
          </w:rPr>
          <w:t xml:space="preserve"> </w:t>
        </w:r>
      </w:ins>
      <w:r>
        <w:rPr>
          <w:i/>
          <w:noProof/>
        </w:rPr>
        <w:t>2011</w:t>
      </w:r>
      <w:r>
        <w:t xml:space="preserve"> and includes </w:t>
      </w:r>
      <w:del w:id="166" w:author="Master Repository Process" w:date="2021-09-11T16:26:00Z">
        <w:r>
          <w:delText xml:space="preserve">the </w:delText>
        </w:r>
      </w:del>
      <w:r>
        <w:t xml:space="preserve">amendments made by </w:t>
      </w:r>
      <w:del w:id="167" w:author="Master Repository Process" w:date="2021-09-11T16:26:00Z">
        <w:r>
          <w:delText xml:space="preserve">the </w:delText>
        </w:r>
      </w:del>
      <w:r>
        <w:t>other written laws</w:t>
      </w:r>
      <w:del w:id="168" w:author="Master Repository Process" w:date="2021-09-11T16:26:00Z">
        <w:r>
          <w:delText xml:space="preserve"> referred to in the following</w:delText>
        </w:r>
      </w:del>
      <w:ins w:id="169" w:author="Master Repository Process" w:date="2021-09-11T16:26:00Z">
        <w:r>
          <w:t>. For provisions that have come into operation see the compilation</w:t>
        </w:r>
      </w:ins>
      <w:r>
        <w:t xml:space="preserve"> table. </w:t>
      </w:r>
      <w:ins w:id="170" w:author="Master Repository Process" w:date="2021-09-11T16:26:00Z">
        <w:r>
          <w:t>For provisions that have not yet come into operation see the uncommenced provisions table.</w:t>
        </w:r>
      </w:ins>
    </w:p>
    <w:p>
      <w:pPr>
        <w:pStyle w:val="nSubsection"/>
        <w:rPr>
          <w:del w:id="171" w:author="Master Repository Process" w:date="2021-09-11T16:26:00Z"/>
          <w:snapToGrid w:val="0"/>
        </w:rPr>
      </w:pPr>
    </w:p>
    <w:p>
      <w:pPr>
        <w:pStyle w:val="nHeading3"/>
      </w:pPr>
      <w:bookmarkStart w:id="172" w:name="_Toc55903430"/>
      <w:bookmarkStart w:id="173" w:name="_Toc377108681"/>
      <w:bookmarkStart w:id="174" w:name="_Toc12003895"/>
      <w:r>
        <w:t>Compilation table</w:t>
      </w:r>
      <w:bookmarkEnd w:id="172"/>
      <w:bookmarkEnd w:id="173"/>
      <w:bookmarkEnd w:id="1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75" w:author="Master Repository Process" w:date="2021-09-11T16:26:00Z">
              <w:r>
                <w:rPr>
                  <w:b/>
                </w:rPr>
                <w:delText>Gazettal</w:delText>
              </w:r>
            </w:del>
            <w:ins w:id="176" w:author="Master Repository Process" w:date="2021-09-11T16:26: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nil"/>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pPr>
              <w:pStyle w:val="nTable"/>
              <w:spacing w:after="40"/>
            </w:pPr>
            <w:r>
              <w:t>26 Jun 2015 p. 2260</w:t>
            </w:r>
            <w:r>
              <w:noBreakHyphen/>
              <w:t>1</w:t>
            </w:r>
          </w:p>
        </w:tc>
        <w:tc>
          <w:tcPr>
            <w:tcW w:w="2693" w:type="dxa"/>
            <w:tcBorders>
              <w:top w:val="nil"/>
              <w:left w:val="nil"/>
              <w:bottom w:val="nil"/>
            </w:tcBorders>
          </w:tcPr>
          <w:p>
            <w:pPr>
              <w:pStyle w:val="nTable"/>
              <w:spacing w:after="40"/>
            </w:pPr>
            <w:r>
              <w:t>r. 1 and 2: 26 Jun 2015 (see r. 2(a));</w:t>
            </w:r>
            <w:r>
              <w:br/>
              <w:t>Regulations other than r. 1 and 2: 1 Jul 2015 (see r. 2(b))</w:t>
            </w:r>
          </w:p>
        </w:tc>
      </w:tr>
      <w:tr>
        <w:tc>
          <w:tcPr>
            <w:tcW w:w="3118" w:type="dxa"/>
            <w:tcBorders>
              <w:top w:val="nil"/>
              <w:bottom w:val="single" w:sz="4" w:space="0" w:color="auto"/>
              <w:right w:val="nil"/>
            </w:tcBorders>
          </w:tcPr>
          <w:p>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single" w:sz="4" w:space="0" w:color="auto"/>
              <w:right w:val="nil"/>
            </w:tcBorders>
          </w:tcPr>
          <w:p>
            <w:pPr>
              <w:pStyle w:val="nTable"/>
              <w:spacing w:after="40"/>
            </w:pPr>
            <w:r>
              <w:t>18 Jun 2019 p. 2040</w:t>
            </w:r>
            <w:r>
              <w:noBreakHyphen/>
              <w:t>56</w:t>
            </w:r>
          </w:p>
        </w:tc>
        <w:tc>
          <w:tcPr>
            <w:tcW w:w="2693" w:type="dxa"/>
            <w:tcBorders>
              <w:top w:val="nil"/>
              <w:left w:val="nil"/>
              <w:bottom w:val="single" w:sz="4" w:space="0" w:color="auto"/>
            </w:tcBorders>
          </w:tcPr>
          <w:p>
            <w:pPr>
              <w:pStyle w:val="nTable"/>
              <w:spacing w:after="40"/>
            </w:pPr>
            <w:r>
              <w:t>1 Jul 2019 (see r. 2(b))</w:t>
            </w:r>
          </w:p>
        </w:tc>
      </w:tr>
    </w:tbl>
    <w:p>
      <w:pPr>
        <w:pStyle w:val="nHeading3"/>
        <w:rPr>
          <w:ins w:id="177" w:author="Master Repository Process" w:date="2021-09-11T16:26:00Z"/>
        </w:rPr>
      </w:pPr>
      <w:bookmarkStart w:id="178" w:name="_Toc55903431"/>
      <w:ins w:id="179" w:author="Master Repository Process" w:date="2021-09-11T16:26:00Z">
        <w:r>
          <w:t>Uncommenced provisions table</w:t>
        </w:r>
        <w:bookmarkEnd w:id="178"/>
      </w:ins>
    </w:p>
    <w:p>
      <w:pPr>
        <w:pStyle w:val="nStatement"/>
        <w:keepNext/>
        <w:spacing w:after="240"/>
        <w:rPr>
          <w:ins w:id="180" w:author="Master Repository Process" w:date="2021-09-11T16:26:00Z"/>
        </w:rPr>
      </w:pPr>
      <w:ins w:id="181" w:author="Master Repository Process" w:date="2021-09-11T16:26:00Z">
        <w:r>
          <w:t xml:space="preserve">To view the text of the uncommenced provisions see </w:t>
        </w:r>
        <w:r>
          <w:rPr>
            <w:i/>
          </w:rPr>
          <w:t xml:space="preserve">Acts as passed </w:t>
        </w:r>
        <w:r>
          <w:t>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2" w:author="Master Repository Process" w:date="2021-09-11T16:26:00Z"/>
        </w:trPr>
        <w:tc>
          <w:tcPr>
            <w:tcW w:w="3118" w:type="dxa"/>
          </w:tcPr>
          <w:p>
            <w:pPr>
              <w:pStyle w:val="nTable"/>
              <w:spacing w:after="40"/>
              <w:rPr>
                <w:ins w:id="183" w:author="Master Repository Process" w:date="2021-09-11T16:26:00Z"/>
                <w:b/>
              </w:rPr>
            </w:pPr>
            <w:ins w:id="184" w:author="Master Repository Process" w:date="2021-09-11T16:26:00Z">
              <w:r>
                <w:rPr>
                  <w:b/>
                </w:rPr>
                <w:t>Citation</w:t>
              </w:r>
            </w:ins>
          </w:p>
        </w:tc>
        <w:tc>
          <w:tcPr>
            <w:tcW w:w="1276" w:type="dxa"/>
          </w:tcPr>
          <w:p>
            <w:pPr>
              <w:pStyle w:val="nTable"/>
              <w:spacing w:after="40"/>
              <w:rPr>
                <w:ins w:id="185" w:author="Master Repository Process" w:date="2021-09-11T16:26:00Z"/>
                <w:b/>
              </w:rPr>
            </w:pPr>
            <w:ins w:id="186" w:author="Master Repository Process" w:date="2021-09-11T16:26:00Z">
              <w:r>
                <w:rPr>
                  <w:b/>
                </w:rPr>
                <w:t>Published</w:t>
              </w:r>
            </w:ins>
          </w:p>
        </w:tc>
        <w:tc>
          <w:tcPr>
            <w:tcW w:w="2693" w:type="dxa"/>
          </w:tcPr>
          <w:p>
            <w:pPr>
              <w:pStyle w:val="nTable"/>
              <w:spacing w:after="40"/>
              <w:rPr>
                <w:ins w:id="187" w:author="Master Repository Process" w:date="2021-09-11T16:26:00Z"/>
                <w:b/>
              </w:rPr>
            </w:pPr>
            <w:ins w:id="188" w:author="Master Repository Process" w:date="2021-09-11T16:26:00Z">
              <w:r>
                <w:rPr>
                  <w:b/>
                </w:rPr>
                <w:t>Commencement</w:t>
              </w:r>
            </w:ins>
          </w:p>
        </w:tc>
      </w:tr>
      <w:tr>
        <w:trPr>
          <w:ins w:id="189" w:author="Master Repository Process" w:date="2021-09-11T16:26:00Z"/>
        </w:trPr>
        <w:tc>
          <w:tcPr>
            <w:tcW w:w="4394" w:type="dxa"/>
            <w:gridSpan w:val="2"/>
          </w:tcPr>
          <w:p>
            <w:pPr>
              <w:pStyle w:val="nTable"/>
              <w:spacing w:after="40"/>
              <w:rPr>
                <w:ins w:id="190" w:author="Master Repository Process" w:date="2021-09-11T16:26:00Z"/>
              </w:rPr>
            </w:pPr>
            <w:ins w:id="191" w:author="Master Repository Process" w:date="2021-09-11T16:26:00Z">
              <w:r>
                <w:rPr>
                  <w:i/>
                </w:rPr>
                <w:t>Work Health and Safety Act 2020</w:t>
              </w:r>
              <w:r>
                <w:t xml:space="preserve"> s. 346 assented to 10 Nov 2020</w:t>
              </w:r>
            </w:ins>
          </w:p>
        </w:tc>
        <w:tc>
          <w:tcPr>
            <w:tcW w:w="2693" w:type="dxa"/>
          </w:tcPr>
          <w:p>
            <w:pPr>
              <w:pStyle w:val="nTable"/>
              <w:spacing w:after="40"/>
              <w:rPr>
                <w:ins w:id="192" w:author="Master Repository Process" w:date="2021-09-11T16:26:00Z"/>
              </w:rPr>
            </w:pPr>
            <w:ins w:id="193" w:author="Master Repository Process" w:date="2021-09-11T16:26:00Z">
              <w:r>
                <w:rPr>
                  <w:snapToGrid w:val="0"/>
                </w:rPr>
                <w:t>To be proclaimed (see s. 2(1)(c))</w:t>
              </w:r>
            </w:ins>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162"/>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1" w:name="Schedule"/>
    <w:bookmarkEnd w:id="1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110100900"/>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F4BC6B-059C-4FD6-B994-E159F788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3241</Words>
  <Characters>15267</Characters>
  <Application>Microsoft Office Word</Application>
  <DocSecurity>0</DocSecurity>
  <Lines>492</Lines>
  <Paragraphs>319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00-f0-00 - 00-g0-00</dc:title>
  <dc:subject/>
  <dc:creator/>
  <cp:keywords/>
  <dc:description/>
  <cp:lastModifiedBy>Master Repository Process</cp:lastModifiedBy>
  <cp:revision>2</cp:revision>
  <cp:lastPrinted>2019-06-18T04:28:00Z</cp:lastPrinted>
  <dcterms:created xsi:type="dcterms:W3CDTF">2021-09-11T08:26:00Z</dcterms:created>
  <dcterms:modified xsi:type="dcterms:W3CDTF">2021-09-11T08:26:00Z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CommencementDate">
    <vt:lpwstr>20201110</vt:lpwstr>
  </property>
  <property fmtid="{D5CDD505-2E9C-101B-9397-08002B2CF9AE}" pid="5" name="FromSuffix">
    <vt:lpwstr>00-f0-00</vt:lpwstr>
  </property>
  <property fmtid="{D5CDD505-2E9C-101B-9397-08002B2CF9AE}" pid="6" name="FromAsAtDate">
    <vt:lpwstr>01 Jul 2019</vt:lpwstr>
  </property>
  <property fmtid="{D5CDD505-2E9C-101B-9397-08002B2CF9AE}" pid="7" name="ToSuffix">
    <vt:lpwstr>00-g0-00</vt:lpwstr>
  </property>
  <property fmtid="{D5CDD505-2E9C-101B-9397-08002B2CF9AE}" pid="8" name="ToAsAtDate">
    <vt:lpwstr>10 Nov 2020</vt:lpwstr>
  </property>
</Properties>
</file>