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05 Dec 2020</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1" w:name="_Toc57705698"/>
      <w:bookmarkStart w:id="2" w:name="_Toc57713468"/>
      <w:bookmarkStart w:id="3" w:name="_Toc57882372"/>
      <w:bookmarkStart w:id="4" w:name="_Toc51756485"/>
      <w:bookmarkStart w:id="5" w:name="_Toc51768288"/>
      <w:bookmarkStart w:id="6" w:name="_Toc5183218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7882373"/>
      <w:bookmarkStart w:id="9" w:name="_Toc51832190"/>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11" w:name="_Toc57882374"/>
      <w:bookmarkStart w:id="12" w:name="_Toc5183219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3" w:name="_Toc57882375"/>
      <w:bookmarkStart w:id="14" w:name="_Toc51832192"/>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rPr>
          <w:ins w:id="15" w:author="Master Repository Process" w:date="2021-09-18T21:19:00Z"/>
        </w:rPr>
      </w:pPr>
      <w:ins w:id="16" w:author="Master Repository Process" w:date="2021-09-18T21:19:00Z">
        <w:r>
          <w:tab/>
        </w:r>
        <w:r>
          <w:rPr>
            <w:rStyle w:val="CharDefText"/>
          </w:rPr>
          <w:t>family violence</w:t>
        </w:r>
        <w:r>
          <w:t xml:space="preserve"> has the meaning given in the </w:t>
        </w:r>
        <w:r>
          <w:rPr>
            <w:i/>
          </w:rPr>
          <w:t>Restraining Orders Act 1997</w:t>
        </w:r>
        <w:r>
          <w:t xml:space="preserve"> section 5A;</w:t>
        </w:r>
      </w:ins>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a lot in a strata scheme and a lot in a survey</w:t>
      </w:r>
      <w:r>
        <w:noBreakHyphen/>
        <w:t xml:space="preserve">strata scheme as those terms are defined in the </w:t>
      </w:r>
      <w:r>
        <w:rPr>
          <w:i/>
        </w:rPr>
        <w:t>Strata Titles Act 1985</w:t>
      </w:r>
      <w:r>
        <w:t xml:space="preserve"> section 3(1);</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w:t>
      </w:r>
      <w:ins w:id="17" w:author="Master Repository Process" w:date="2021-09-18T21:19:00Z">
        <w:r>
          <w:t>; SL 2020/240 r. 4</w:t>
        </w:r>
      </w:ins>
      <w:r>
        <w:t>.]</w:t>
      </w:r>
    </w:p>
    <w:p>
      <w:pPr>
        <w:pStyle w:val="Heading5"/>
      </w:pPr>
      <w:bookmarkStart w:id="18" w:name="_Toc57882376"/>
      <w:bookmarkStart w:id="19" w:name="_Toc51832193"/>
      <w:r>
        <w:rPr>
          <w:rStyle w:val="CharSectno"/>
        </w:rPr>
        <w:t>4</w:t>
      </w:r>
      <w:r>
        <w:t>.</w:t>
      </w:r>
      <w:r>
        <w:tab/>
        <w:t>Notes and examples</w:t>
      </w:r>
      <w:bookmarkEnd w:id="18"/>
      <w:bookmarkEnd w:id="19"/>
    </w:p>
    <w:p>
      <w:pPr>
        <w:pStyle w:val="Subsection"/>
      </w:pPr>
      <w:r>
        <w:tab/>
      </w:r>
      <w:r>
        <w:tab/>
        <w:t>A note or example in these regulations is explanatory and is not part of these regulations.</w:t>
      </w:r>
    </w:p>
    <w:p>
      <w:pPr>
        <w:pStyle w:val="Heading2"/>
      </w:pPr>
      <w:bookmarkStart w:id="20" w:name="_Toc57705703"/>
      <w:bookmarkStart w:id="21" w:name="_Toc57713473"/>
      <w:bookmarkStart w:id="22" w:name="_Toc57882377"/>
      <w:bookmarkStart w:id="23" w:name="_Toc51756490"/>
      <w:bookmarkStart w:id="24" w:name="_Toc51768293"/>
      <w:bookmarkStart w:id="25" w:name="_Toc51832194"/>
      <w:r>
        <w:rPr>
          <w:rStyle w:val="CharPartNo"/>
        </w:rPr>
        <w:t>Part 2</w:t>
      </w:r>
      <w:r>
        <w:rPr>
          <w:rStyle w:val="CharDivNo"/>
        </w:rPr>
        <w:t> </w:t>
      </w:r>
      <w:r>
        <w:t>—</w:t>
      </w:r>
      <w:r>
        <w:rPr>
          <w:rStyle w:val="CharDivText"/>
        </w:rPr>
        <w:t> </w:t>
      </w:r>
      <w:r>
        <w:rPr>
          <w:rStyle w:val="CharPartText"/>
        </w:rPr>
        <w:t>Licensing of water service providers</w:t>
      </w:r>
      <w:bookmarkEnd w:id="20"/>
      <w:bookmarkEnd w:id="21"/>
      <w:bookmarkEnd w:id="22"/>
      <w:bookmarkEnd w:id="23"/>
      <w:bookmarkEnd w:id="24"/>
      <w:bookmarkEnd w:id="25"/>
    </w:p>
    <w:p>
      <w:pPr>
        <w:pStyle w:val="Heading5"/>
      </w:pPr>
      <w:bookmarkStart w:id="26" w:name="_Toc57882378"/>
      <w:bookmarkStart w:id="27" w:name="_Toc51832195"/>
      <w:r>
        <w:rPr>
          <w:rStyle w:val="CharSectno"/>
        </w:rPr>
        <w:t>5</w:t>
      </w:r>
      <w:r>
        <w:t>.</w:t>
      </w:r>
      <w:r>
        <w:tab/>
        <w:t>Activities that are or are not water services</w:t>
      </w:r>
      <w:bookmarkEnd w:id="26"/>
      <w:bookmarkEnd w:id="27"/>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8" w:name="_Toc57882379"/>
      <w:bookmarkStart w:id="29" w:name="_Toc51832196"/>
      <w:r>
        <w:rPr>
          <w:rStyle w:val="CharSectno"/>
        </w:rPr>
        <w:t>6</w:t>
      </w:r>
      <w:r>
        <w:t>.</w:t>
      </w:r>
      <w:r>
        <w:tab/>
        <w:t>Exemptions: notice of decision</w:t>
      </w:r>
      <w:bookmarkEnd w:id="28"/>
      <w:bookmarkEnd w:id="29"/>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30" w:name="_Toc57882380"/>
      <w:bookmarkStart w:id="31" w:name="_Toc51832197"/>
      <w:r>
        <w:rPr>
          <w:rStyle w:val="CharSectno"/>
        </w:rPr>
        <w:t>7</w:t>
      </w:r>
      <w:r>
        <w:t>.</w:t>
      </w:r>
      <w:r>
        <w:tab/>
        <w:t>Asset management systems reports and operational audits</w:t>
      </w:r>
      <w:bookmarkEnd w:id="30"/>
      <w:bookmarkEnd w:id="31"/>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rPr>
          <w:ins w:id="32" w:author="Master Repository Process" w:date="2021-09-18T21:19:00Z"/>
        </w:rPr>
      </w:pPr>
      <w:bookmarkStart w:id="33" w:name="_Toc53131904"/>
      <w:bookmarkStart w:id="34" w:name="_Toc53131999"/>
      <w:bookmarkStart w:id="35" w:name="_Toc57882381"/>
      <w:ins w:id="36" w:author="Master Repository Process" w:date="2021-09-18T21:19:00Z">
        <w:r>
          <w:rPr>
            <w:rStyle w:val="CharSectno"/>
          </w:rPr>
          <w:t>7A</w:t>
        </w:r>
        <w:r>
          <w:t>.</w:t>
        </w:r>
        <w:r>
          <w:tab/>
          <w:t>Codes of practice: family violence</w:t>
        </w:r>
        <w:bookmarkEnd w:id="33"/>
        <w:bookmarkEnd w:id="34"/>
        <w:bookmarkEnd w:id="35"/>
      </w:ins>
    </w:p>
    <w:p>
      <w:pPr>
        <w:pStyle w:val="Subsection"/>
        <w:rPr>
          <w:ins w:id="37" w:author="Master Repository Process" w:date="2021-09-18T21:19:00Z"/>
        </w:rPr>
      </w:pPr>
      <w:ins w:id="38" w:author="Master Repository Process" w:date="2021-09-18T21:19:00Z">
        <w:r>
          <w:tab/>
        </w:r>
        <w:r>
          <w:tab/>
          <w:t>For the purposes of section 26(2) of the Act, matters relating to customers who are directly or indirectly affected by family violence are prescribed.</w:t>
        </w:r>
      </w:ins>
    </w:p>
    <w:p>
      <w:pPr>
        <w:pStyle w:val="Footnotesection"/>
        <w:rPr>
          <w:ins w:id="39" w:author="Master Repository Process" w:date="2021-09-18T21:19:00Z"/>
        </w:rPr>
      </w:pPr>
      <w:ins w:id="40" w:author="Master Repository Process" w:date="2021-09-18T21:19:00Z">
        <w:r>
          <w:tab/>
          <w:t>[Regulation 7A inserted: SL 2020/240 r. 5.]</w:t>
        </w:r>
      </w:ins>
    </w:p>
    <w:p>
      <w:pPr>
        <w:pStyle w:val="Heading5"/>
      </w:pPr>
      <w:bookmarkStart w:id="41" w:name="_Toc57882382"/>
      <w:bookmarkStart w:id="42" w:name="_Toc51832198"/>
      <w:r>
        <w:rPr>
          <w:rStyle w:val="CharSectno"/>
        </w:rPr>
        <w:t>8</w:t>
      </w:r>
      <w:r>
        <w:t>.</w:t>
      </w:r>
      <w:r>
        <w:tab/>
        <w:t>Codes of practice: consultation</w:t>
      </w:r>
      <w:bookmarkEnd w:id="41"/>
      <w:bookmarkEnd w:id="42"/>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43" w:name="_Toc57882383"/>
      <w:bookmarkStart w:id="44" w:name="_Toc51832199"/>
      <w:r>
        <w:rPr>
          <w:rStyle w:val="CharSectno"/>
        </w:rPr>
        <w:t>9</w:t>
      </w:r>
      <w:r>
        <w:t>.</w:t>
      </w:r>
      <w:r>
        <w:tab/>
        <w:t>Codes of practice and code of conduct: publication and notification</w:t>
      </w:r>
      <w:bookmarkEnd w:id="43"/>
      <w:bookmarkEnd w:id="44"/>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45" w:name="_Toc57882384"/>
      <w:bookmarkStart w:id="46" w:name="_Toc51832200"/>
      <w:r>
        <w:rPr>
          <w:rStyle w:val="CharSectno"/>
        </w:rPr>
        <w:t>10</w:t>
      </w:r>
      <w:r>
        <w:t>.</w:t>
      </w:r>
      <w:r>
        <w:tab/>
        <w:t>Notice of decision concerning licence</w:t>
      </w:r>
      <w:bookmarkEnd w:id="45"/>
      <w:bookmarkEnd w:id="46"/>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47" w:name="_Toc57882385"/>
      <w:bookmarkStart w:id="48" w:name="_Toc51832201"/>
      <w:r>
        <w:rPr>
          <w:rStyle w:val="CharSectno"/>
        </w:rPr>
        <w:t>11</w:t>
      </w:r>
      <w:r>
        <w:t>.</w:t>
      </w:r>
      <w:r>
        <w:tab/>
        <w:t>Public availability of licences, maps and plans</w:t>
      </w:r>
      <w:bookmarkEnd w:id="47"/>
      <w:bookmarkEnd w:id="48"/>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49" w:name="_Toc57705711"/>
      <w:bookmarkStart w:id="50" w:name="_Toc57713482"/>
      <w:bookmarkStart w:id="51" w:name="_Toc57882386"/>
      <w:bookmarkStart w:id="52" w:name="_Toc51756498"/>
      <w:bookmarkStart w:id="53" w:name="_Toc51768301"/>
      <w:bookmarkStart w:id="54" w:name="_Toc51832202"/>
      <w:r>
        <w:rPr>
          <w:rStyle w:val="CharPartNo"/>
        </w:rPr>
        <w:t>Part 3</w:t>
      </w:r>
      <w:r>
        <w:rPr>
          <w:rStyle w:val="CharDivNo"/>
        </w:rPr>
        <w:t> </w:t>
      </w:r>
      <w:r>
        <w:t>—</w:t>
      </w:r>
      <w:r>
        <w:rPr>
          <w:rStyle w:val="CharDivText"/>
        </w:rPr>
        <w:t> </w:t>
      </w:r>
      <w:r>
        <w:rPr>
          <w:rStyle w:val="CharPartText"/>
        </w:rPr>
        <w:t>Water Services Ombudsman Scheme</w:t>
      </w:r>
      <w:bookmarkEnd w:id="49"/>
      <w:bookmarkEnd w:id="50"/>
      <w:bookmarkEnd w:id="51"/>
      <w:bookmarkEnd w:id="52"/>
      <w:bookmarkEnd w:id="53"/>
      <w:bookmarkEnd w:id="54"/>
    </w:p>
    <w:p>
      <w:pPr>
        <w:pStyle w:val="Heading5"/>
      </w:pPr>
      <w:bookmarkStart w:id="55" w:name="_Toc57882387"/>
      <w:bookmarkStart w:id="56" w:name="_Toc51832203"/>
      <w:r>
        <w:rPr>
          <w:rStyle w:val="CharSectno"/>
        </w:rPr>
        <w:t>12</w:t>
      </w:r>
      <w:r>
        <w:t>.</w:t>
      </w:r>
      <w:r>
        <w:tab/>
        <w:t>Terms used</w:t>
      </w:r>
      <w:bookmarkEnd w:id="55"/>
      <w:bookmarkEnd w:id="56"/>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57" w:name="_Toc57882388"/>
      <w:bookmarkStart w:id="58" w:name="_Toc51832204"/>
      <w:r>
        <w:rPr>
          <w:rStyle w:val="CharSectno"/>
        </w:rPr>
        <w:t>13</w:t>
      </w:r>
      <w:r>
        <w:t>.</w:t>
      </w:r>
      <w:r>
        <w:tab/>
        <w:t>Scheme to have governing body</w:t>
      </w:r>
      <w:bookmarkEnd w:id="57"/>
      <w:bookmarkEnd w:id="58"/>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59" w:name="_Toc57882389"/>
      <w:bookmarkStart w:id="60" w:name="_Toc51832205"/>
      <w:r>
        <w:rPr>
          <w:rStyle w:val="CharSectno"/>
        </w:rPr>
        <w:t>14</w:t>
      </w:r>
      <w:r>
        <w:t>.</w:t>
      </w:r>
      <w:r>
        <w:tab/>
        <w:t>Additional jurisdiction of ombudsman</w:t>
      </w:r>
      <w:bookmarkEnd w:id="59"/>
      <w:bookmarkEnd w:id="60"/>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61" w:name="_Toc57882390"/>
      <w:bookmarkStart w:id="62" w:name="_Toc51832206"/>
      <w:r>
        <w:rPr>
          <w:rStyle w:val="CharSectno"/>
        </w:rPr>
        <w:t>15</w:t>
      </w:r>
      <w:r>
        <w:t>.</w:t>
      </w:r>
      <w:r>
        <w:tab/>
        <w:t>Functions of ombudsman</w:t>
      </w:r>
      <w:bookmarkEnd w:id="61"/>
      <w:bookmarkEnd w:id="62"/>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63" w:name="_Toc57882391"/>
      <w:bookmarkStart w:id="64" w:name="_Toc51832207"/>
      <w:r>
        <w:rPr>
          <w:rStyle w:val="CharSectno"/>
        </w:rPr>
        <w:t>16</w:t>
      </w:r>
      <w:r>
        <w:t>.</w:t>
      </w:r>
      <w:r>
        <w:tab/>
        <w:t>Powers of ombudsman</w:t>
      </w:r>
      <w:bookmarkEnd w:id="63"/>
      <w:bookmarkEnd w:id="64"/>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65" w:name="_Toc57882392"/>
      <w:bookmarkStart w:id="66" w:name="_Toc51832208"/>
      <w:r>
        <w:rPr>
          <w:rStyle w:val="CharSectno"/>
        </w:rPr>
        <w:t>17</w:t>
      </w:r>
      <w:r>
        <w:t>.</w:t>
      </w:r>
      <w:r>
        <w:tab/>
        <w:t>Reasons for decisions</w:t>
      </w:r>
      <w:bookmarkEnd w:id="65"/>
      <w:bookmarkEnd w:id="66"/>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67" w:name="_Toc57882393"/>
      <w:bookmarkStart w:id="68" w:name="_Toc51832209"/>
      <w:r>
        <w:rPr>
          <w:rStyle w:val="CharSectno"/>
        </w:rPr>
        <w:t>18</w:t>
      </w:r>
      <w:r>
        <w:t>.</w:t>
      </w:r>
      <w:r>
        <w:tab/>
        <w:t>Review of schemes</w:t>
      </w:r>
      <w:bookmarkEnd w:id="67"/>
      <w:bookmarkEnd w:id="68"/>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69" w:name="_Toc57882394"/>
      <w:bookmarkStart w:id="70" w:name="_Toc51832210"/>
      <w:r>
        <w:rPr>
          <w:rStyle w:val="CharSectno"/>
        </w:rPr>
        <w:t>19</w:t>
      </w:r>
      <w:r>
        <w:t>.</w:t>
      </w:r>
      <w:r>
        <w:tab/>
        <w:t>Revocation of scheme’s approval</w:t>
      </w:r>
      <w:bookmarkEnd w:id="69"/>
      <w:bookmarkEnd w:id="70"/>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71" w:name="_Toc57705720"/>
      <w:bookmarkStart w:id="72" w:name="_Toc57713491"/>
      <w:bookmarkStart w:id="73" w:name="_Toc57882395"/>
      <w:bookmarkStart w:id="74" w:name="_Toc51756507"/>
      <w:bookmarkStart w:id="75" w:name="_Toc51768310"/>
      <w:bookmarkStart w:id="76" w:name="_Toc51832211"/>
      <w:r>
        <w:rPr>
          <w:rStyle w:val="CharPartNo"/>
        </w:rPr>
        <w:t>Part 4</w:t>
      </w:r>
      <w:r>
        <w:t> — </w:t>
      </w:r>
      <w:r>
        <w:rPr>
          <w:rStyle w:val="CharPartText"/>
        </w:rPr>
        <w:t>Water services</w:t>
      </w:r>
      <w:bookmarkEnd w:id="71"/>
      <w:bookmarkEnd w:id="72"/>
      <w:bookmarkEnd w:id="73"/>
      <w:bookmarkEnd w:id="74"/>
      <w:bookmarkEnd w:id="75"/>
      <w:bookmarkEnd w:id="76"/>
    </w:p>
    <w:p>
      <w:pPr>
        <w:pStyle w:val="Heading3"/>
      </w:pPr>
      <w:bookmarkStart w:id="77" w:name="_Toc57705721"/>
      <w:bookmarkStart w:id="78" w:name="_Toc57713492"/>
      <w:bookmarkStart w:id="79" w:name="_Toc57882396"/>
      <w:bookmarkStart w:id="80" w:name="_Toc51756508"/>
      <w:bookmarkStart w:id="81" w:name="_Toc51768311"/>
      <w:bookmarkStart w:id="82" w:name="_Toc51832212"/>
      <w:r>
        <w:rPr>
          <w:rStyle w:val="CharDivNo"/>
        </w:rPr>
        <w:t>Division 1</w:t>
      </w:r>
      <w:r>
        <w:t> — </w:t>
      </w:r>
      <w:r>
        <w:rPr>
          <w:rStyle w:val="CharDivText"/>
        </w:rPr>
        <w:t>Preliminary</w:t>
      </w:r>
      <w:bookmarkEnd w:id="77"/>
      <w:bookmarkEnd w:id="78"/>
      <w:bookmarkEnd w:id="79"/>
      <w:bookmarkEnd w:id="80"/>
      <w:bookmarkEnd w:id="81"/>
      <w:bookmarkEnd w:id="82"/>
    </w:p>
    <w:p>
      <w:pPr>
        <w:pStyle w:val="Heading5"/>
      </w:pPr>
      <w:bookmarkStart w:id="83" w:name="_Toc57882397"/>
      <w:bookmarkStart w:id="84" w:name="_Toc51832213"/>
      <w:r>
        <w:rPr>
          <w:rStyle w:val="CharSectno"/>
        </w:rPr>
        <w:t>20</w:t>
      </w:r>
      <w:r>
        <w:t>.</w:t>
      </w:r>
      <w:r>
        <w:tab/>
        <w:t>Terms used</w:t>
      </w:r>
      <w:bookmarkEnd w:id="83"/>
      <w:bookmarkEnd w:id="84"/>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Footnotesection"/>
      </w:pPr>
      <w:r>
        <w:tab/>
        <w:t>[Regulation 20 inserted: Gazette 13 Dec 2016 p. 5661.]</w:t>
      </w:r>
    </w:p>
    <w:p>
      <w:pPr>
        <w:pStyle w:val="Heading3"/>
      </w:pPr>
      <w:bookmarkStart w:id="85" w:name="_Toc57705723"/>
      <w:bookmarkStart w:id="86" w:name="_Toc57713494"/>
      <w:bookmarkStart w:id="87" w:name="_Toc57882398"/>
      <w:bookmarkStart w:id="88" w:name="_Toc51756510"/>
      <w:bookmarkStart w:id="89" w:name="_Toc51768313"/>
      <w:bookmarkStart w:id="90" w:name="_Toc51832214"/>
      <w:r>
        <w:rPr>
          <w:rStyle w:val="CharDivNo"/>
        </w:rPr>
        <w:t>Division 2</w:t>
      </w:r>
      <w:r>
        <w:t> — </w:t>
      </w:r>
      <w:r>
        <w:rPr>
          <w:rStyle w:val="CharDivText"/>
        </w:rPr>
        <w:t>Meters and associated fittings</w:t>
      </w:r>
      <w:bookmarkEnd w:id="85"/>
      <w:bookmarkEnd w:id="86"/>
      <w:bookmarkEnd w:id="87"/>
      <w:bookmarkEnd w:id="88"/>
      <w:bookmarkEnd w:id="89"/>
      <w:bookmarkEnd w:id="90"/>
    </w:p>
    <w:p>
      <w:pPr>
        <w:pStyle w:val="Footnoteheading"/>
      </w:pPr>
      <w:r>
        <w:tab/>
        <w:t>[Heading amended: Gazette 13 Dec 2016 p. 5661.]</w:t>
      </w:r>
    </w:p>
    <w:p>
      <w:pPr>
        <w:pStyle w:val="Heading5"/>
      </w:pPr>
      <w:bookmarkStart w:id="91" w:name="_Toc57882399"/>
      <w:bookmarkStart w:id="92" w:name="_Toc51832215"/>
      <w:r>
        <w:rPr>
          <w:rStyle w:val="CharSectno"/>
        </w:rPr>
        <w:t>20A</w:t>
      </w:r>
      <w:r>
        <w:t>.</w:t>
      </w:r>
      <w:r>
        <w:tab/>
        <w:t>This Division does not apply to all licensees</w:t>
      </w:r>
      <w:bookmarkEnd w:id="91"/>
      <w:bookmarkEnd w:id="92"/>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93" w:name="_Toc57882400"/>
      <w:bookmarkStart w:id="94" w:name="_Toc51832216"/>
      <w:r>
        <w:rPr>
          <w:rStyle w:val="CharSectno"/>
        </w:rPr>
        <w:t>21</w:t>
      </w:r>
      <w:r>
        <w:t>.</w:t>
      </w:r>
      <w:r>
        <w:tab/>
        <w:t>Licensee may determine size of meter and, if required, type of associated fittings</w:t>
      </w:r>
      <w:bookmarkEnd w:id="93"/>
      <w:bookmarkEnd w:id="94"/>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95" w:name="_Toc57882401"/>
      <w:bookmarkStart w:id="96" w:name="_Toc51832217"/>
      <w:r>
        <w:rPr>
          <w:rStyle w:val="CharSectno"/>
        </w:rPr>
        <w:t>22</w:t>
      </w:r>
      <w:r>
        <w:t>.</w:t>
      </w:r>
      <w:r>
        <w:tab/>
        <w:t>Housings for meters</w:t>
      </w:r>
      <w:bookmarkEnd w:id="95"/>
      <w:bookmarkEnd w:id="96"/>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97" w:name="_Toc57882402"/>
      <w:bookmarkStart w:id="98" w:name="_Toc51832218"/>
      <w:r>
        <w:rPr>
          <w:rStyle w:val="CharSectno"/>
        </w:rPr>
        <w:t>23</w:t>
      </w:r>
      <w:r>
        <w:t>.</w:t>
      </w:r>
      <w:r>
        <w:tab/>
        <w:t>Meters in multi</w:t>
      </w:r>
      <w:r>
        <w:noBreakHyphen/>
        <w:t>unit developments</w:t>
      </w:r>
      <w:bookmarkEnd w:id="97"/>
      <w:bookmarkEnd w:id="98"/>
    </w:p>
    <w:p>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pPr>
        <w:pStyle w:val="Subsection"/>
      </w:pPr>
      <w:r>
        <w:tab/>
        <w:t>(3)</w:t>
      </w:r>
      <w:r>
        <w:tab/>
        <w:t xml:space="preserve">If, as a result of a request under subregulation (2), the licensee determines that the meter is satisfactory, the person who made the request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pPr>
        <w:pStyle w:val="Subsection"/>
      </w:pPr>
      <w:r>
        <w:tab/>
        <w:t>(5)</w:t>
      </w:r>
      <w:r>
        <w:tab/>
        <w:t xml:space="preserve">If a meter is installed under subregulation (1) or (4), the person who requested the meter, or requested that the meter be assessed, as is relevant,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pPr>
        <w:pStyle w:val="Footnotesection"/>
      </w:pPr>
      <w:r>
        <w:tab/>
        <w:t>[Regulation 23 inserted: Gazette 13 Dec 2016 p. 5662</w:t>
      </w:r>
      <w:r>
        <w:noBreakHyphen/>
        <w:t>3.]</w:t>
      </w:r>
    </w:p>
    <w:p>
      <w:pPr>
        <w:pStyle w:val="Heading5"/>
      </w:pPr>
      <w:bookmarkStart w:id="99" w:name="_Toc57882403"/>
      <w:bookmarkStart w:id="100" w:name="_Toc51832219"/>
      <w:r>
        <w:rPr>
          <w:rStyle w:val="CharSectno"/>
        </w:rPr>
        <w:t>24</w:t>
      </w:r>
      <w:r>
        <w:t>.</w:t>
      </w:r>
      <w:r>
        <w:tab/>
      </w:r>
      <w:r>
        <w:rPr>
          <w:snapToGrid w:val="0"/>
        </w:rPr>
        <w:t>Access to meters and their associated fittings</w:t>
      </w:r>
      <w:bookmarkEnd w:id="99"/>
      <w:bookmarkEnd w:id="100"/>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101" w:name="_Toc57882404"/>
      <w:bookmarkStart w:id="102" w:name="_Toc51832220"/>
      <w:r>
        <w:rPr>
          <w:rStyle w:val="CharSectno"/>
        </w:rPr>
        <w:t>25</w:t>
      </w:r>
      <w:r>
        <w:t>.</w:t>
      </w:r>
      <w:r>
        <w:tab/>
        <w:t>Damage to, and malfunction of, meters and their associated fittings</w:t>
      </w:r>
      <w:bookmarkEnd w:id="101"/>
      <w:bookmarkEnd w:id="102"/>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103" w:name="_Toc57882405"/>
      <w:bookmarkStart w:id="104" w:name="_Toc51832221"/>
      <w:r>
        <w:rPr>
          <w:rStyle w:val="CharSectno"/>
        </w:rPr>
        <w:t>26</w:t>
      </w:r>
      <w:r>
        <w:t>.</w:t>
      </w:r>
      <w:r>
        <w:tab/>
        <w:t>Testing water meters</w:t>
      </w:r>
      <w:bookmarkEnd w:id="103"/>
      <w:bookmarkEnd w:id="104"/>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pPr>
        <w:pStyle w:val="Ednotepara"/>
      </w:pPr>
      <w:r>
        <w:tab/>
        <w:t>[(b)</w:t>
      </w:r>
      <w:r>
        <w:tab/>
        <w:t>deleted]</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w:t>
      </w:r>
    </w:p>
    <w:p>
      <w:pPr>
        <w:pStyle w:val="Heading3"/>
      </w:pPr>
      <w:bookmarkStart w:id="105" w:name="_Toc57705731"/>
      <w:bookmarkStart w:id="106" w:name="_Toc57713502"/>
      <w:bookmarkStart w:id="107" w:name="_Toc57882406"/>
      <w:bookmarkStart w:id="108" w:name="_Toc51756518"/>
      <w:bookmarkStart w:id="109" w:name="_Toc51768321"/>
      <w:bookmarkStart w:id="110" w:name="_Toc51832222"/>
      <w:r>
        <w:rPr>
          <w:rStyle w:val="CharDivNo"/>
        </w:rPr>
        <w:t>Division 3</w:t>
      </w:r>
      <w:r>
        <w:t> — </w:t>
      </w:r>
      <w:r>
        <w:rPr>
          <w:rStyle w:val="CharDivText"/>
        </w:rPr>
        <w:t>Development and building control, and infrastructure contributions</w:t>
      </w:r>
      <w:bookmarkEnd w:id="105"/>
      <w:bookmarkEnd w:id="106"/>
      <w:bookmarkEnd w:id="107"/>
      <w:bookmarkEnd w:id="108"/>
      <w:bookmarkEnd w:id="109"/>
      <w:bookmarkEnd w:id="110"/>
    </w:p>
    <w:p>
      <w:pPr>
        <w:pStyle w:val="Heading4"/>
      </w:pPr>
      <w:bookmarkStart w:id="111" w:name="_Toc57705732"/>
      <w:bookmarkStart w:id="112" w:name="_Toc57713503"/>
      <w:bookmarkStart w:id="113" w:name="_Toc57882407"/>
      <w:bookmarkStart w:id="114" w:name="_Toc51756519"/>
      <w:bookmarkStart w:id="115" w:name="_Toc51768322"/>
      <w:bookmarkStart w:id="116" w:name="_Toc51832223"/>
      <w:r>
        <w:t>Subdivision 1 — Land to which duty to give notice of proposed building work does not apply</w:t>
      </w:r>
      <w:bookmarkEnd w:id="111"/>
      <w:bookmarkEnd w:id="112"/>
      <w:bookmarkEnd w:id="113"/>
      <w:bookmarkEnd w:id="114"/>
      <w:bookmarkEnd w:id="115"/>
      <w:bookmarkEnd w:id="116"/>
    </w:p>
    <w:p>
      <w:pPr>
        <w:pStyle w:val="Footnoteheading"/>
      </w:pPr>
      <w:r>
        <w:tab/>
        <w:t>[Heading inserted: Gazette 13 Dec 2016 p. 5665.]</w:t>
      </w:r>
    </w:p>
    <w:p>
      <w:pPr>
        <w:pStyle w:val="Heading5"/>
      </w:pPr>
      <w:bookmarkStart w:id="117" w:name="_Toc57882408"/>
      <w:bookmarkStart w:id="118" w:name="_Toc51832224"/>
      <w:r>
        <w:rPr>
          <w:rStyle w:val="CharSectno"/>
        </w:rPr>
        <w:t>27</w:t>
      </w:r>
      <w:r>
        <w:t>.</w:t>
      </w:r>
      <w:r>
        <w:tab/>
        <w:t>Terms used</w:t>
      </w:r>
      <w:bookmarkEnd w:id="117"/>
      <w:bookmarkEnd w:id="118"/>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119" w:name="_Toc57882409"/>
      <w:bookmarkStart w:id="120" w:name="_Toc51832225"/>
      <w:r>
        <w:rPr>
          <w:rStyle w:val="CharSectno"/>
        </w:rPr>
        <w:t>28</w:t>
      </w:r>
      <w:r>
        <w:t>.</w:t>
      </w:r>
      <w:r>
        <w:tab/>
        <w:t>Notification of building work: excluded land</w:t>
      </w:r>
      <w:bookmarkEnd w:id="119"/>
      <w:bookmarkEnd w:id="120"/>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121" w:name="_Toc57705735"/>
      <w:bookmarkStart w:id="122" w:name="_Toc57713506"/>
      <w:bookmarkStart w:id="123" w:name="_Toc57882410"/>
      <w:bookmarkStart w:id="124" w:name="_Toc51756522"/>
      <w:bookmarkStart w:id="125" w:name="_Toc51768325"/>
      <w:bookmarkStart w:id="126" w:name="_Toc51832226"/>
      <w:r>
        <w:t>Subdivision 2 — Subdividing lots: deferring infrastructure contributions and concessions on water service charges</w:t>
      </w:r>
      <w:bookmarkEnd w:id="121"/>
      <w:bookmarkEnd w:id="122"/>
      <w:bookmarkEnd w:id="123"/>
      <w:bookmarkEnd w:id="124"/>
      <w:bookmarkEnd w:id="125"/>
      <w:bookmarkEnd w:id="126"/>
    </w:p>
    <w:p>
      <w:pPr>
        <w:pStyle w:val="Footnoteheading"/>
      </w:pPr>
      <w:r>
        <w:tab/>
        <w:t>[Heading inserted: Gazette 13 Dec 2016 p. 5666.]</w:t>
      </w:r>
    </w:p>
    <w:p>
      <w:pPr>
        <w:pStyle w:val="Heading5"/>
      </w:pPr>
      <w:bookmarkStart w:id="127" w:name="_Toc57882411"/>
      <w:bookmarkStart w:id="128" w:name="_Toc51832227"/>
      <w:r>
        <w:rPr>
          <w:rStyle w:val="CharSectno"/>
        </w:rPr>
        <w:t>28A</w:t>
      </w:r>
      <w:r>
        <w:t>.</w:t>
      </w:r>
      <w:r>
        <w:tab/>
        <w:t>This Subdivision applies to water corporation licensees only</w:t>
      </w:r>
      <w:bookmarkEnd w:id="127"/>
      <w:bookmarkEnd w:id="128"/>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129" w:name="_Toc57882412"/>
      <w:bookmarkStart w:id="130" w:name="_Toc51832228"/>
      <w:r>
        <w:rPr>
          <w:rStyle w:val="CharSectno"/>
        </w:rPr>
        <w:t>28B</w:t>
      </w:r>
      <w:r>
        <w:t>.</w:t>
      </w:r>
      <w:r>
        <w:tab/>
        <w:t>Terms used</w:t>
      </w:r>
      <w:bookmarkEnd w:id="129"/>
      <w:bookmarkEnd w:id="130"/>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a lot in relation to a strata scheme, unless the lot is a vacant lot;</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Defstart"/>
      </w:pPr>
      <w:r>
        <w:tab/>
      </w:r>
      <w:r>
        <w:rPr>
          <w:rStyle w:val="CharDefText"/>
        </w:rPr>
        <w:t>vacant lot</w:t>
      </w:r>
      <w:r>
        <w:t xml:space="preserve"> has the meaning given in the </w:t>
      </w:r>
      <w:r>
        <w:rPr>
          <w:i/>
        </w:rPr>
        <w:t>Strata Titles Act 1985</w:t>
      </w:r>
      <w:r>
        <w:t xml:space="preserve"> section 3(1).</w:t>
      </w:r>
    </w:p>
    <w:p>
      <w:pPr>
        <w:pStyle w:val="Footnotesection"/>
      </w:pPr>
      <w:r>
        <w:tab/>
        <w:t>[Regulation 28B inserted: Gazette 13 Dec 2016 p. 5666</w:t>
      </w:r>
      <w:r>
        <w:noBreakHyphen/>
        <w:t>7; amended: Gazette 31 Dec 2019 p. 4664.]</w:t>
      </w:r>
    </w:p>
    <w:p>
      <w:pPr>
        <w:pStyle w:val="Heading5"/>
      </w:pPr>
      <w:bookmarkStart w:id="131" w:name="_Toc57882413"/>
      <w:bookmarkStart w:id="132" w:name="_Toc51832229"/>
      <w:r>
        <w:rPr>
          <w:rStyle w:val="CharSectno"/>
        </w:rPr>
        <w:t>29</w:t>
      </w:r>
      <w:r>
        <w:t>.</w:t>
      </w:r>
      <w:r>
        <w:tab/>
        <w:t>Subdivision: deferring infrastructure contributions</w:t>
      </w:r>
      <w:bookmarkEnd w:id="131"/>
      <w:bookmarkEnd w:id="132"/>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133" w:name="_Toc57882414"/>
      <w:bookmarkStart w:id="134" w:name="_Toc51832230"/>
      <w:r>
        <w:rPr>
          <w:rStyle w:val="CharSectno"/>
        </w:rPr>
        <w:t>30</w:t>
      </w:r>
      <w:r>
        <w:t>.</w:t>
      </w:r>
      <w:r>
        <w:tab/>
        <w:t>Subdivision: concession on water service charges</w:t>
      </w:r>
      <w:bookmarkEnd w:id="133"/>
      <w:bookmarkEnd w:id="134"/>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135" w:name="_Toc57705740"/>
      <w:bookmarkStart w:id="136" w:name="_Toc57713511"/>
      <w:bookmarkStart w:id="137" w:name="_Toc57882415"/>
      <w:bookmarkStart w:id="138" w:name="_Toc51756527"/>
      <w:bookmarkStart w:id="139" w:name="_Toc51768330"/>
      <w:bookmarkStart w:id="140" w:name="_Toc51832231"/>
      <w:r>
        <w:rPr>
          <w:rStyle w:val="CharDivNo"/>
        </w:rPr>
        <w:t>Division 4</w:t>
      </w:r>
      <w:r>
        <w:t> — </w:t>
      </w:r>
      <w:r>
        <w:rPr>
          <w:rStyle w:val="CharDivText"/>
        </w:rPr>
        <w:t>Protection of water service works and water quality</w:t>
      </w:r>
      <w:bookmarkEnd w:id="135"/>
      <w:bookmarkEnd w:id="136"/>
      <w:bookmarkEnd w:id="137"/>
      <w:bookmarkEnd w:id="138"/>
      <w:bookmarkEnd w:id="139"/>
      <w:bookmarkEnd w:id="140"/>
    </w:p>
    <w:p>
      <w:pPr>
        <w:pStyle w:val="Heading4"/>
      </w:pPr>
      <w:bookmarkStart w:id="141" w:name="_Toc57705741"/>
      <w:bookmarkStart w:id="142" w:name="_Toc57713512"/>
      <w:bookmarkStart w:id="143" w:name="_Toc57882416"/>
      <w:bookmarkStart w:id="144" w:name="_Toc51756528"/>
      <w:bookmarkStart w:id="145" w:name="_Toc51768331"/>
      <w:bookmarkStart w:id="146" w:name="_Toc51832232"/>
      <w:r>
        <w:t>Subdivision 1 — Preliminary</w:t>
      </w:r>
      <w:bookmarkEnd w:id="141"/>
      <w:bookmarkEnd w:id="142"/>
      <w:bookmarkEnd w:id="143"/>
      <w:bookmarkEnd w:id="144"/>
      <w:bookmarkEnd w:id="145"/>
      <w:bookmarkEnd w:id="146"/>
    </w:p>
    <w:p>
      <w:pPr>
        <w:pStyle w:val="Heading5"/>
      </w:pPr>
      <w:bookmarkStart w:id="147" w:name="_Toc57882417"/>
      <w:bookmarkStart w:id="148" w:name="_Toc51832233"/>
      <w:r>
        <w:rPr>
          <w:rStyle w:val="CharSectno"/>
        </w:rPr>
        <w:t>31</w:t>
      </w:r>
      <w:r>
        <w:t>.</w:t>
      </w:r>
      <w:r>
        <w:tab/>
        <w:t>Terms used</w:t>
      </w:r>
      <w:bookmarkEnd w:id="147"/>
      <w:bookmarkEnd w:id="148"/>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149" w:name="_Toc57882418"/>
      <w:bookmarkStart w:id="150" w:name="_Toc51832234"/>
      <w:r>
        <w:rPr>
          <w:rStyle w:val="CharSectno"/>
        </w:rPr>
        <w:t>32</w:t>
      </w:r>
      <w:r>
        <w:t>.</w:t>
      </w:r>
      <w:r>
        <w:tab/>
        <w:t>Lawful authority</w:t>
      </w:r>
      <w:bookmarkEnd w:id="149"/>
      <w:bookmarkEnd w:id="150"/>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51" w:name="_Toc57882419"/>
      <w:bookmarkStart w:id="152" w:name="_Toc51832235"/>
      <w:r>
        <w:rPr>
          <w:rStyle w:val="CharSectno"/>
        </w:rPr>
        <w:t>33</w:t>
      </w:r>
      <w:r>
        <w:t>.</w:t>
      </w:r>
      <w:r>
        <w:tab/>
        <w:t>Land not open to the public</w:t>
      </w:r>
      <w:bookmarkEnd w:id="151"/>
      <w:bookmarkEnd w:id="152"/>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53" w:name="_Toc57882420"/>
      <w:bookmarkStart w:id="154" w:name="_Toc51832236"/>
      <w:r>
        <w:rPr>
          <w:rStyle w:val="CharSectno"/>
        </w:rPr>
        <w:t>34</w:t>
      </w:r>
      <w:r>
        <w:t>.</w:t>
      </w:r>
      <w:r>
        <w:tab/>
        <w:t>Signs and other barriers: presumption</w:t>
      </w:r>
      <w:bookmarkEnd w:id="153"/>
      <w:bookmarkEnd w:id="154"/>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55" w:name="_Toc57705746"/>
      <w:bookmarkStart w:id="156" w:name="_Toc57713517"/>
      <w:bookmarkStart w:id="157" w:name="_Toc57882421"/>
      <w:bookmarkStart w:id="158" w:name="_Toc51756533"/>
      <w:bookmarkStart w:id="159" w:name="_Toc51768336"/>
      <w:bookmarkStart w:id="160" w:name="_Toc51832237"/>
      <w:r>
        <w:t>Subdivision 2 — Protection of water service works</w:t>
      </w:r>
      <w:bookmarkEnd w:id="155"/>
      <w:bookmarkEnd w:id="156"/>
      <w:bookmarkEnd w:id="157"/>
      <w:bookmarkEnd w:id="158"/>
      <w:bookmarkEnd w:id="159"/>
      <w:bookmarkEnd w:id="160"/>
    </w:p>
    <w:p>
      <w:pPr>
        <w:pStyle w:val="Heading5"/>
      </w:pPr>
      <w:bookmarkStart w:id="161" w:name="_Toc57882422"/>
      <w:bookmarkStart w:id="162" w:name="_Toc51832238"/>
      <w:r>
        <w:rPr>
          <w:rStyle w:val="CharSectno"/>
        </w:rPr>
        <w:t>34A</w:t>
      </w:r>
      <w:r>
        <w:t>.</w:t>
      </w:r>
      <w:r>
        <w:tab/>
        <w:t>This Subdivision does not apply to all licensees</w:t>
      </w:r>
      <w:bookmarkEnd w:id="161"/>
      <w:bookmarkEnd w:id="162"/>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163" w:name="_Toc57882423"/>
      <w:bookmarkStart w:id="164" w:name="_Toc51832239"/>
      <w:r>
        <w:rPr>
          <w:rStyle w:val="CharSectno"/>
        </w:rPr>
        <w:t>35</w:t>
      </w:r>
      <w:r>
        <w:t>.</w:t>
      </w:r>
      <w:r>
        <w:tab/>
        <w:t>Controlling entry to land</w:t>
      </w:r>
      <w:bookmarkEnd w:id="163"/>
      <w:bookmarkEnd w:id="164"/>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65" w:name="_Toc57882424"/>
      <w:bookmarkStart w:id="166" w:name="_Toc51832240"/>
      <w:r>
        <w:rPr>
          <w:rStyle w:val="CharSectno"/>
        </w:rPr>
        <w:t>36</w:t>
      </w:r>
      <w:r>
        <w:t>.</w:t>
      </w:r>
      <w:r>
        <w:tab/>
        <w:t>Parking vehicles etc.</w:t>
      </w:r>
      <w:bookmarkEnd w:id="165"/>
      <w:bookmarkEnd w:id="166"/>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67" w:name="_Toc57882425"/>
      <w:bookmarkStart w:id="168" w:name="_Toc51832241"/>
      <w:r>
        <w:rPr>
          <w:rStyle w:val="CharSectno"/>
        </w:rPr>
        <w:t>37</w:t>
      </w:r>
      <w:r>
        <w:t>.</w:t>
      </w:r>
      <w:r>
        <w:tab/>
        <w:t>Crossing over conduits of licensee</w:t>
      </w:r>
      <w:bookmarkEnd w:id="167"/>
      <w:bookmarkEnd w:id="168"/>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69" w:name="_Toc57882426"/>
      <w:bookmarkStart w:id="170" w:name="_Toc51832242"/>
      <w:r>
        <w:rPr>
          <w:rStyle w:val="CharSectno"/>
        </w:rPr>
        <w:t>38</w:t>
      </w:r>
      <w:r>
        <w:t>.</w:t>
      </w:r>
      <w:r>
        <w:tab/>
        <w:t>Boating on Lakes Kununurra and Argyle</w:t>
      </w:r>
      <w:bookmarkEnd w:id="169"/>
      <w:bookmarkEnd w:id="170"/>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keepNext/>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71" w:name="_Toc57705752"/>
      <w:bookmarkStart w:id="172" w:name="_Toc57713523"/>
      <w:bookmarkStart w:id="173" w:name="_Toc57882427"/>
      <w:bookmarkStart w:id="174" w:name="_Toc51756539"/>
      <w:bookmarkStart w:id="175" w:name="_Toc51768342"/>
      <w:bookmarkStart w:id="176" w:name="_Toc51832243"/>
      <w:r>
        <w:t>Subdivision 3 — Protection of water quality</w:t>
      </w:r>
      <w:bookmarkEnd w:id="171"/>
      <w:bookmarkEnd w:id="172"/>
      <w:bookmarkEnd w:id="173"/>
      <w:bookmarkEnd w:id="174"/>
      <w:bookmarkEnd w:id="175"/>
      <w:bookmarkEnd w:id="176"/>
    </w:p>
    <w:p>
      <w:pPr>
        <w:pStyle w:val="Heading5"/>
      </w:pPr>
      <w:bookmarkStart w:id="177" w:name="_Toc57882428"/>
      <w:bookmarkStart w:id="178" w:name="_Toc51832244"/>
      <w:r>
        <w:rPr>
          <w:rStyle w:val="CharSectno"/>
        </w:rPr>
        <w:t>38A</w:t>
      </w:r>
      <w:r>
        <w:t>.</w:t>
      </w:r>
      <w:r>
        <w:tab/>
        <w:t>This Subdivision does not apply to all licensees</w:t>
      </w:r>
      <w:bookmarkEnd w:id="177"/>
      <w:bookmarkEnd w:id="178"/>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179" w:name="_Toc57882429"/>
      <w:bookmarkStart w:id="180" w:name="_Toc51832245"/>
      <w:r>
        <w:rPr>
          <w:rStyle w:val="CharSectno"/>
        </w:rPr>
        <w:t>39</w:t>
      </w:r>
      <w:r>
        <w:t>.</w:t>
      </w:r>
      <w:r>
        <w:tab/>
        <w:t>Contamination of water supply</w:t>
      </w:r>
      <w:bookmarkEnd w:id="179"/>
      <w:bookmarkEnd w:id="180"/>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keepNext/>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81" w:name="_Toc57882430"/>
      <w:bookmarkStart w:id="182" w:name="_Toc51832246"/>
      <w:r>
        <w:rPr>
          <w:rStyle w:val="CharSectno"/>
        </w:rPr>
        <w:t>40</w:t>
      </w:r>
      <w:r>
        <w:t>.</w:t>
      </w:r>
      <w:r>
        <w:tab/>
        <w:t>Camping and lighting fires</w:t>
      </w:r>
      <w:bookmarkEnd w:id="181"/>
      <w:bookmarkEnd w:id="182"/>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83" w:name="_Toc57882431"/>
      <w:bookmarkStart w:id="184" w:name="_Toc51832247"/>
      <w:r>
        <w:rPr>
          <w:rStyle w:val="CharSectno"/>
        </w:rPr>
        <w:t>40A</w:t>
      </w:r>
      <w:r>
        <w:t>.</w:t>
      </w:r>
      <w:r>
        <w:tab/>
        <w:t>Protecting potable water supply reservoirs</w:t>
      </w:r>
      <w:bookmarkEnd w:id="183"/>
      <w:bookmarkEnd w:id="184"/>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185" w:name="_Toc57882432"/>
      <w:bookmarkStart w:id="186" w:name="_Toc51832248"/>
      <w:r>
        <w:rPr>
          <w:rStyle w:val="CharSectno"/>
        </w:rPr>
        <w:t>41</w:t>
      </w:r>
      <w:r>
        <w:t>.</w:t>
      </w:r>
      <w:r>
        <w:tab/>
        <w:t>Littering and refuse</w:t>
      </w:r>
      <w:bookmarkEnd w:id="185"/>
      <w:bookmarkEnd w:id="186"/>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87" w:name="_Toc57882433"/>
      <w:bookmarkStart w:id="188" w:name="_Toc51832249"/>
      <w:r>
        <w:rPr>
          <w:rStyle w:val="CharSectno"/>
        </w:rPr>
        <w:t>42</w:t>
      </w:r>
      <w:r>
        <w:t>.</w:t>
      </w:r>
      <w:r>
        <w:tab/>
        <w:t>Backflow prevention devices: installation</w:t>
      </w:r>
      <w:bookmarkEnd w:id="187"/>
      <w:bookmarkEnd w:id="188"/>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keepLines/>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89" w:name="_Toc57882434"/>
      <w:bookmarkStart w:id="190" w:name="_Toc51832250"/>
      <w:r>
        <w:rPr>
          <w:rStyle w:val="CharSectno"/>
        </w:rPr>
        <w:t>43</w:t>
      </w:r>
      <w:r>
        <w:t>.</w:t>
      </w:r>
      <w:r>
        <w:tab/>
        <w:t>Backflow prevention devices: testing and maintenance</w:t>
      </w:r>
      <w:bookmarkEnd w:id="189"/>
      <w:bookmarkEnd w:id="190"/>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191" w:name="_Toc57882435"/>
      <w:bookmarkStart w:id="192" w:name="_Toc51832251"/>
      <w:r>
        <w:rPr>
          <w:rStyle w:val="CharSectno"/>
        </w:rPr>
        <w:t>44</w:t>
      </w:r>
      <w:r>
        <w:t>.</w:t>
      </w:r>
      <w:r>
        <w:tab/>
        <w:t>No connection of pumps to water supply without approval</w:t>
      </w:r>
      <w:bookmarkEnd w:id="191"/>
      <w:bookmarkEnd w:id="192"/>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keepNext/>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93" w:name="_Toc57705761"/>
      <w:bookmarkStart w:id="194" w:name="_Toc57713532"/>
      <w:bookmarkStart w:id="195" w:name="_Toc57882436"/>
      <w:bookmarkStart w:id="196" w:name="_Toc51756548"/>
      <w:bookmarkStart w:id="197" w:name="_Toc51768351"/>
      <w:bookmarkStart w:id="198" w:name="_Toc51832252"/>
      <w:r>
        <w:t>Subdivision 4 — Obstructions and activities over or in vicinity of water service works</w:t>
      </w:r>
      <w:bookmarkEnd w:id="193"/>
      <w:bookmarkEnd w:id="194"/>
      <w:bookmarkEnd w:id="195"/>
      <w:bookmarkEnd w:id="196"/>
      <w:bookmarkEnd w:id="197"/>
      <w:bookmarkEnd w:id="198"/>
    </w:p>
    <w:p>
      <w:pPr>
        <w:pStyle w:val="Ednotesection"/>
      </w:pPr>
      <w:r>
        <w:t>[</w:t>
      </w:r>
      <w:r>
        <w:rPr>
          <w:b/>
        </w:rPr>
        <w:t>45.</w:t>
      </w:r>
      <w:r>
        <w:tab/>
        <w:t>Deleted: Gazette 13 Dec 2016 p. 5671.]</w:t>
      </w:r>
    </w:p>
    <w:p>
      <w:pPr>
        <w:pStyle w:val="Heading5"/>
      </w:pPr>
      <w:bookmarkStart w:id="199" w:name="_Toc57882437"/>
      <w:bookmarkStart w:id="200" w:name="_Toc51832253"/>
      <w:r>
        <w:rPr>
          <w:rStyle w:val="CharSectno"/>
        </w:rPr>
        <w:t>46</w:t>
      </w:r>
      <w:r>
        <w:t>.</w:t>
      </w:r>
      <w:r>
        <w:tab/>
        <w:t>Prescribed proximity to water service works generally: s. 90(1)</w:t>
      </w:r>
      <w:bookmarkEnd w:id="199"/>
      <w:bookmarkEnd w:id="200"/>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keepNext/>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201" w:name="_Toc57882438"/>
      <w:bookmarkStart w:id="202" w:name="_Toc51832254"/>
      <w:r>
        <w:rPr>
          <w:rStyle w:val="CharSectno"/>
        </w:rPr>
        <w:t>47</w:t>
      </w:r>
      <w:r>
        <w:t>.</w:t>
      </w:r>
      <w:r>
        <w:tab/>
        <w:t>Prescribed proximity to prescribed water service works: s. 90(2)</w:t>
      </w:r>
      <w:bookmarkEnd w:id="201"/>
      <w:bookmarkEnd w:id="202"/>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203" w:name="_Toc57705764"/>
      <w:bookmarkStart w:id="204" w:name="_Toc57713535"/>
      <w:bookmarkStart w:id="205" w:name="_Toc57882439"/>
      <w:bookmarkStart w:id="206" w:name="_Toc51756551"/>
      <w:bookmarkStart w:id="207" w:name="_Toc51768354"/>
      <w:bookmarkStart w:id="208" w:name="_Toc51832255"/>
      <w:r>
        <w:t>Subdivision 5 — Approval and prohibition of fittings, fixtures, pipes, materials and methods</w:t>
      </w:r>
      <w:bookmarkEnd w:id="203"/>
      <w:bookmarkEnd w:id="204"/>
      <w:bookmarkEnd w:id="205"/>
      <w:bookmarkEnd w:id="206"/>
      <w:bookmarkEnd w:id="207"/>
      <w:bookmarkEnd w:id="208"/>
    </w:p>
    <w:p>
      <w:pPr>
        <w:pStyle w:val="Ednotesection"/>
      </w:pPr>
      <w:r>
        <w:t>[</w:t>
      </w:r>
      <w:r>
        <w:rPr>
          <w:b/>
        </w:rPr>
        <w:t>48.</w:t>
      </w:r>
      <w:r>
        <w:tab/>
        <w:t>Deleted: Gazette 13 Dec 2016 p. 5672.]</w:t>
      </w:r>
    </w:p>
    <w:p>
      <w:pPr>
        <w:pStyle w:val="Heading5"/>
      </w:pPr>
      <w:bookmarkStart w:id="209" w:name="_Toc57882440"/>
      <w:bookmarkStart w:id="210" w:name="_Toc51832256"/>
      <w:r>
        <w:rPr>
          <w:rStyle w:val="CharSectno"/>
        </w:rPr>
        <w:t>49</w:t>
      </w:r>
      <w:r>
        <w:t>.</w:t>
      </w:r>
      <w:r>
        <w:tab/>
        <w:t>Approval and prohibition of fittings, fixtures, pipes, materials and methods</w:t>
      </w:r>
      <w:bookmarkEnd w:id="209"/>
      <w:bookmarkEnd w:id="210"/>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11" w:name="_Toc57705766"/>
      <w:bookmarkStart w:id="212" w:name="_Toc57713537"/>
      <w:bookmarkStart w:id="213" w:name="_Toc57882441"/>
      <w:bookmarkStart w:id="214" w:name="_Toc51756553"/>
      <w:bookmarkStart w:id="215" w:name="_Toc51768356"/>
      <w:bookmarkStart w:id="216" w:name="_Toc51832257"/>
      <w:r>
        <w:t>Subdivision 6 — Licensed plumbers</w:t>
      </w:r>
      <w:bookmarkEnd w:id="211"/>
      <w:bookmarkEnd w:id="212"/>
      <w:bookmarkEnd w:id="213"/>
      <w:bookmarkEnd w:id="214"/>
      <w:bookmarkEnd w:id="215"/>
      <w:bookmarkEnd w:id="216"/>
    </w:p>
    <w:p>
      <w:pPr>
        <w:pStyle w:val="Ednotesection"/>
      </w:pPr>
      <w:r>
        <w:t>[</w:t>
      </w:r>
      <w:r>
        <w:rPr>
          <w:b/>
        </w:rPr>
        <w:t>50.</w:t>
      </w:r>
      <w:r>
        <w:tab/>
        <w:t>Deleted: Gazette 13 Dec 2016 p. 5672.]</w:t>
      </w:r>
    </w:p>
    <w:p>
      <w:pPr>
        <w:pStyle w:val="Heading5"/>
      </w:pPr>
      <w:bookmarkStart w:id="217" w:name="_Toc57882442"/>
      <w:bookmarkStart w:id="218" w:name="_Toc51832258"/>
      <w:r>
        <w:rPr>
          <w:rStyle w:val="CharSectno"/>
        </w:rPr>
        <w:t>51</w:t>
      </w:r>
      <w:r>
        <w:t>.</w:t>
      </w:r>
      <w:r>
        <w:tab/>
        <w:t>Licensed plumbers</w:t>
      </w:r>
      <w:bookmarkEnd w:id="217"/>
      <w:bookmarkEnd w:id="218"/>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19" w:name="_Toc57705768"/>
      <w:bookmarkStart w:id="220" w:name="_Toc57713539"/>
      <w:bookmarkStart w:id="221" w:name="_Toc57882443"/>
      <w:bookmarkStart w:id="222" w:name="_Toc51756555"/>
      <w:bookmarkStart w:id="223" w:name="_Toc51768358"/>
      <w:bookmarkStart w:id="224" w:name="_Toc51832259"/>
      <w:r>
        <w:rPr>
          <w:rStyle w:val="CharDivNo"/>
        </w:rPr>
        <w:t>Division 5</w:t>
      </w:r>
      <w:r>
        <w:t> — </w:t>
      </w:r>
      <w:r>
        <w:rPr>
          <w:rStyle w:val="CharDivText"/>
        </w:rPr>
        <w:t>Fire service connections and fire hydrants</w:t>
      </w:r>
      <w:bookmarkEnd w:id="219"/>
      <w:bookmarkEnd w:id="220"/>
      <w:bookmarkEnd w:id="221"/>
      <w:bookmarkEnd w:id="222"/>
      <w:bookmarkEnd w:id="223"/>
      <w:bookmarkEnd w:id="224"/>
    </w:p>
    <w:p>
      <w:pPr>
        <w:pStyle w:val="Footnoteheading"/>
      </w:pPr>
      <w:r>
        <w:tab/>
        <w:t>[Heading inserted: Gazette 13 Dec 2016 p. 5672.]</w:t>
      </w:r>
    </w:p>
    <w:p>
      <w:pPr>
        <w:pStyle w:val="Heading4"/>
      </w:pPr>
      <w:bookmarkStart w:id="225" w:name="_Toc57705769"/>
      <w:bookmarkStart w:id="226" w:name="_Toc57713540"/>
      <w:bookmarkStart w:id="227" w:name="_Toc57882444"/>
      <w:bookmarkStart w:id="228" w:name="_Toc51756556"/>
      <w:bookmarkStart w:id="229" w:name="_Toc51768359"/>
      <w:bookmarkStart w:id="230" w:name="_Toc51832260"/>
      <w:r>
        <w:t>Subdivision 1 — Fire service connections</w:t>
      </w:r>
      <w:bookmarkEnd w:id="225"/>
      <w:bookmarkEnd w:id="226"/>
      <w:bookmarkEnd w:id="227"/>
      <w:bookmarkEnd w:id="228"/>
      <w:bookmarkEnd w:id="229"/>
      <w:bookmarkEnd w:id="230"/>
    </w:p>
    <w:p>
      <w:pPr>
        <w:pStyle w:val="Footnoteheading"/>
      </w:pPr>
      <w:r>
        <w:tab/>
        <w:t>[Heading inserted: Gazette 13 Dec 2016 p. 5672.]</w:t>
      </w:r>
    </w:p>
    <w:p>
      <w:pPr>
        <w:pStyle w:val="Heading5"/>
      </w:pPr>
      <w:bookmarkStart w:id="231" w:name="_Toc57882445"/>
      <w:bookmarkStart w:id="232" w:name="_Toc51832261"/>
      <w:r>
        <w:rPr>
          <w:rStyle w:val="CharSectno"/>
        </w:rPr>
        <w:t>51A</w:t>
      </w:r>
      <w:r>
        <w:t>.</w:t>
      </w:r>
      <w:r>
        <w:tab/>
        <w:t>This Subdivision applies to water corporation licensees only</w:t>
      </w:r>
      <w:bookmarkEnd w:id="231"/>
      <w:bookmarkEnd w:id="232"/>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233" w:name="_Toc57882446"/>
      <w:bookmarkStart w:id="234" w:name="_Toc51832262"/>
      <w:r>
        <w:rPr>
          <w:rStyle w:val="CharSectno"/>
        </w:rPr>
        <w:t>51B</w:t>
      </w:r>
      <w:r>
        <w:t>.</w:t>
      </w:r>
      <w:r>
        <w:tab/>
        <w:t>Water supplied through fire service connection to be used only for emergency purposes</w:t>
      </w:r>
      <w:bookmarkEnd w:id="233"/>
      <w:bookmarkEnd w:id="234"/>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235" w:name="_Toc57882447"/>
      <w:bookmarkStart w:id="236" w:name="_Toc51832263"/>
      <w:r>
        <w:rPr>
          <w:rStyle w:val="CharSectno"/>
        </w:rPr>
        <w:t>51C</w:t>
      </w:r>
      <w:r>
        <w:t>.</w:t>
      </w:r>
      <w:r>
        <w:tab/>
        <w:t>Seals on water service connections</w:t>
      </w:r>
      <w:bookmarkEnd w:id="235"/>
      <w:bookmarkEnd w:id="236"/>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237" w:name="_Toc57705773"/>
      <w:bookmarkStart w:id="238" w:name="_Toc57713544"/>
      <w:bookmarkStart w:id="239" w:name="_Toc57882448"/>
      <w:bookmarkStart w:id="240" w:name="_Toc51756560"/>
      <w:bookmarkStart w:id="241" w:name="_Toc51768363"/>
      <w:bookmarkStart w:id="242" w:name="_Toc51832264"/>
      <w:r>
        <w:t>Subdivision 2 — Fire hydrants</w:t>
      </w:r>
      <w:bookmarkEnd w:id="237"/>
      <w:bookmarkEnd w:id="238"/>
      <w:bookmarkEnd w:id="239"/>
      <w:bookmarkEnd w:id="240"/>
      <w:bookmarkEnd w:id="241"/>
      <w:bookmarkEnd w:id="242"/>
    </w:p>
    <w:p>
      <w:pPr>
        <w:pStyle w:val="Footnoteheading"/>
      </w:pPr>
      <w:r>
        <w:tab/>
        <w:t>[Heading inserted: Gazette 13 Dec 2016 p. 5673.]</w:t>
      </w:r>
    </w:p>
    <w:p>
      <w:pPr>
        <w:pStyle w:val="Heading5"/>
        <w:spacing w:before="180"/>
      </w:pPr>
      <w:bookmarkStart w:id="243" w:name="_Toc57882449"/>
      <w:bookmarkStart w:id="244" w:name="_Toc51832265"/>
      <w:r>
        <w:rPr>
          <w:rStyle w:val="CharSectno"/>
        </w:rPr>
        <w:t>52</w:t>
      </w:r>
      <w:r>
        <w:t>.</w:t>
      </w:r>
      <w:r>
        <w:tab/>
        <w:t>Taking water from fire hydrants: emergency purposes</w:t>
      </w:r>
      <w:bookmarkEnd w:id="243"/>
      <w:bookmarkEnd w:id="244"/>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245" w:name="_Toc57705775"/>
      <w:bookmarkStart w:id="246" w:name="_Toc57713546"/>
      <w:bookmarkStart w:id="247" w:name="_Toc57882450"/>
      <w:bookmarkStart w:id="248" w:name="_Toc51756562"/>
      <w:bookmarkStart w:id="249" w:name="_Toc51768365"/>
      <w:bookmarkStart w:id="250" w:name="_Toc51832266"/>
      <w:r>
        <w:rPr>
          <w:rStyle w:val="CharDivNo"/>
        </w:rPr>
        <w:t>Division 6</w:t>
      </w:r>
      <w:r>
        <w:t> — </w:t>
      </w:r>
      <w:r>
        <w:rPr>
          <w:rStyle w:val="CharDivText"/>
        </w:rPr>
        <w:t>Discharge of trade waste</w:t>
      </w:r>
      <w:bookmarkEnd w:id="245"/>
      <w:bookmarkEnd w:id="246"/>
      <w:bookmarkEnd w:id="247"/>
      <w:bookmarkEnd w:id="248"/>
      <w:bookmarkEnd w:id="249"/>
      <w:bookmarkEnd w:id="250"/>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251" w:name="_Toc57882451"/>
      <w:bookmarkStart w:id="252" w:name="_Toc51832267"/>
      <w:r>
        <w:rPr>
          <w:rStyle w:val="CharSectno"/>
        </w:rPr>
        <w:t>54</w:t>
      </w:r>
      <w:r>
        <w:t>.</w:t>
      </w:r>
      <w:r>
        <w:tab/>
        <w:t>Meaning of trade waste</w:t>
      </w:r>
      <w:bookmarkEnd w:id="251"/>
      <w:bookmarkEnd w:id="252"/>
    </w:p>
    <w:p>
      <w:pPr>
        <w:pStyle w:val="Subsection"/>
      </w:pPr>
      <w:r>
        <w:tab/>
      </w:r>
      <w:r>
        <w:tab/>
        <w:t>For the purposes of Part 5 Division 6 Subdivision 2 of the Act, water discharged from a domestic swimming pool is not trade waste.</w:t>
      </w:r>
    </w:p>
    <w:p>
      <w:pPr>
        <w:pStyle w:val="Heading5"/>
        <w:spacing w:before="180"/>
      </w:pPr>
      <w:bookmarkStart w:id="253" w:name="_Toc57882452"/>
      <w:bookmarkStart w:id="254" w:name="_Toc51832268"/>
      <w:r>
        <w:rPr>
          <w:rStyle w:val="CharSectno"/>
        </w:rPr>
        <w:t>55</w:t>
      </w:r>
      <w:r>
        <w:t>.</w:t>
      </w:r>
      <w:r>
        <w:tab/>
        <w:t>Application of s. 102: approval required to discharge trade waste</w:t>
      </w:r>
      <w:bookmarkEnd w:id="253"/>
      <w:bookmarkEnd w:id="254"/>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255" w:name="_Toc57705778"/>
      <w:bookmarkStart w:id="256" w:name="_Toc57713549"/>
      <w:bookmarkStart w:id="257" w:name="_Toc57882453"/>
      <w:bookmarkStart w:id="258" w:name="_Toc51756565"/>
      <w:bookmarkStart w:id="259" w:name="_Toc51768368"/>
      <w:bookmarkStart w:id="260" w:name="_Toc51832269"/>
      <w:r>
        <w:rPr>
          <w:rStyle w:val="CharDivNo"/>
        </w:rPr>
        <w:t>Division 7</w:t>
      </w:r>
      <w:r>
        <w:t> — </w:t>
      </w:r>
      <w:r>
        <w:rPr>
          <w:rStyle w:val="CharDivText"/>
        </w:rPr>
        <w:t>Water supply or irrigation services in the Ord Irrigation District</w:t>
      </w:r>
      <w:bookmarkEnd w:id="255"/>
      <w:bookmarkEnd w:id="256"/>
      <w:bookmarkEnd w:id="257"/>
      <w:bookmarkEnd w:id="258"/>
      <w:bookmarkEnd w:id="259"/>
      <w:bookmarkEnd w:id="260"/>
    </w:p>
    <w:p>
      <w:pPr>
        <w:pStyle w:val="Heading5"/>
      </w:pPr>
      <w:bookmarkStart w:id="261" w:name="_Toc57882454"/>
      <w:bookmarkStart w:id="262" w:name="_Toc51832270"/>
      <w:r>
        <w:rPr>
          <w:rStyle w:val="CharSectno"/>
        </w:rPr>
        <w:t>56</w:t>
      </w:r>
      <w:r>
        <w:t>.</w:t>
      </w:r>
      <w:r>
        <w:tab/>
        <w:t>Terms used</w:t>
      </w:r>
      <w:bookmarkEnd w:id="261"/>
      <w:bookmarkEnd w:id="262"/>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Lines w:val="0"/>
        <w:widowControl w:val="0"/>
      </w:pPr>
      <w:bookmarkStart w:id="263" w:name="_Toc57882455"/>
      <w:bookmarkStart w:id="264" w:name="_Toc51832271"/>
      <w:r>
        <w:rPr>
          <w:rStyle w:val="CharSectno"/>
        </w:rPr>
        <w:t>57</w:t>
      </w:r>
      <w:r>
        <w:t>.</w:t>
      </w:r>
      <w:r>
        <w:tab/>
        <w:t>Water supply or irrigation services in Ord Irrigation District</w:t>
      </w:r>
      <w:bookmarkEnd w:id="263"/>
      <w:bookmarkEnd w:id="264"/>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265" w:name="_Toc57882456"/>
      <w:bookmarkStart w:id="266" w:name="_Toc51832272"/>
      <w:r>
        <w:rPr>
          <w:rStyle w:val="CharSectno"/>
        </w:rPr>
        <w:t>58</w:t>
      </w:r>
      <w:r>
        <w:t>.</w:t>
      </w:r>
      <w:r>
        <w:tab/>
        <w:t>Removing means of supply</w:t>
      </w:r>
      <w:bookmarkEnd w:id="265"/>
      <w:bookmarkEnd w:id="266"/>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267" w:name="_Toc57705782"/>
      <w:bookmarkStart w:id="268" w:name="_Toc57713553"/>
      <w:bookmarkStart w:id="269" w:name="_Toc57882457"/>
      <w:bookmarkStart w:id="270" w:name="_Toc51756569"/>
      <w:bookmarkStart w:id="271" w:name="_Toc51768372"/>
      <w:bookmarkStart w:id="272" w:name="_Toc51832273"/>
      <w:r>
        <w:rPr>
          <w:rStyle w:val="CharDivNo"/>
        </w:rPr>
        <w:t>Division 8</w:t>
      </w:r>
      <w:r>
        <w:t> — </w:t>
      </w:r>
      <w:r>
        <w:rPr>
          <w:rStyle w:val="CharDivText"/>
        </w:rPr>
        <w:t>Works in roads</w:t>
      </w:r>
      <w:bookmarkEnd w:id="267"/>
      <w:bookmarkEnd w:id="268"/>
      <w:bookmarkEnd w:id="269"/>
      <w:bookmarkEnd w:id="270"/>
      <w:bookmarkEnd w:id="271"/>
      <w:bookmarkEnd w:id="272"/>
    </w:p>
    <w:p>
      <w:pPr>
        <w:pStyle w:val="Ednotesection"/>
      </w:pPr>
      <w:r>
        <w:t>[</w:t>
      </w:r>
      <w:r>
        <w:rPr>
          <w:b/>
        </w:rPr>
        <w:t>59.</w:t>
      </w:r>
      <w:r>
        <w:tab/>
        <w:t>Deleted: Gazette 13 Dec 2016 p. 5674.]</w:t>
      </w:r>
    </w:p>
    <w:p>
      <w:pPr>
        <w:pStyle w:val="Heading5"/>
        <w:keepLines w:val="0"/>
        <w:widowControl w:val="0"/>
      </w:pPr>
      <w:bookmarkStart w:id="273" w:name="_Toc57882458"/>
      <w:bookmarkStart w:id="274" w:name="_Toc51832274"/>
      <w:r>
        <w:rPr>
          <w:rStyle w:val="CharSectno"/>
        </w:rPr>
        <w:t>60</w:t>
      </w:r>
      <w:r>
        <w:t>.</w:t>
      </w:r>
      <w:r>
        <w:tab/>
        <w:t>Altering position of service infrastructure in roads</w:t>
      </w:r>
      <w:bookmarkEnd w:id="273"/>
      <w:bookmarkEnd w:id="274"/>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75" w:name="_Toc57882459"/>
      <w:bookmarkStart w:id="276" w:name="_Toc51832275"/>
      <w:r>
        <w:rPr>
          <w:rStyle w:val="CharSectno"/>
        </w:rPr>
        <w:t>61</w:t>
      </w:r>
      <w:r>
        <w:t>.</w:t>
      </w:r>
      <w:r>
        <w:tab/>
        <w:t>Levels and widths of roads: works by licensees</w:t>
      </w:r>
      <w:bookmarkEnd w:id="275"/>
      <w:bookmarkEnd w:id="276"/>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Lines w:val="0"/>
        <w:widowControl w:val="0"/>
      </w:pPr>
      <w:bookmarkStart w:id="277" w:name="_Toc57882460"/>
      <w:bookmarkStart w:id="278" w:name="_Toc51832276"/>
      <w:r>
        <w:rPr>
          <w:rStyle w:val="CharSectno"/>
        </w:rPr>
        <w:t>62</w:t>
      </w:r>
      <w:r>
        <w:t>.</w:t>
      </w:r>
      <w:r>
        <w:tab/>
        <w:t>Altering levels and widths of roads</w:t>
      </w:r>
      <w:bookmarkEnd w:id="277"/>
      <w:bookmarkEnd w:id="278"/>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79" w:name="_Toc57882461"/>
      <w:bookmarkStart w:id="280" w:name="_Toc51832277"/>
      <w:r>
        <w:rPr>
          <w:rStyle w:val="CharSectno"/>
        </w:rPr>
        <w:t>63</w:t>
      </w:r>
      <w:r>
        <w:t>.</w:t>
      </w:r>
      <w:r>
        <w:tab/>
        <w:t>Roads broken up to be reinstated</w:t>
      </w:r>
      <w:bookmarkEnd w:id="279"/>
      <w:bookmarkEnd w:id="280"/>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281" w:name="_Toc57705787"/>
      <w:bookmarkStart w:id="282" w:name="_Toc57713558"/>
      <w:bookmarkStart w:id="283" w:name="_Toc57882462"/>
      <w:bookmarkStart w:id="284" w:name="_Toc51756574"/>
      <w:bookmarkStart w:id="285" w:name="_Toc51768377"/>
      <w:bookmarkStart w:id="286" w:name="_Toc51832278"/>
      <w:r>
        <w:rPr>
          <w:rStyle w:val="CharDivNo"/>
        </w:rPr>
        <w:t>Division 9</w:t>
      </w:r>
      <w:r>
        <w:t> — </w:t>
      </w:r>
      <w:r>
        <w:rPr>
          <w:rStyle w:val="CharDivText"/>
        </w:rPr>
        <w:t>Water service charges: information and records, objections and review</w:t>
      </w:r>
      <w:bookmarkEnd w:id="281"/>
      <w:bookmarkEnd w:id="282"/>
      <w:bookmarkEnd w:id="283"/>
      <w:bookmarkEnd w:id="284"/>
      <w:bookmarkEnd w:id="285"/>
      <w:bookmarkEnd w:id="286"/>
    </w:p>
    <w:p>
      <w:pPr>
        <w:pStyle w:val="Heading5"/>
      </w:pPr>
      <w:bookmarkStart w:id="287" w:name="_Toc57882463"/>
      <w:bookmarkStart w:id="288" w:name="_Toc51832279"/>
      <w:r>
        <w:rPr>
          <w:rStyle w:val="CharSectno"/>
        </w:rPr>
        <w:t>63A</w:t>
      </w:r>
      <w:r>
        <w:t>.</w:t>
      </w:r>
      <w:r>
        <w:tab/>
        <w:t>This Division applies to water corporation licensees only</w:t>
      </w:r>
      <w:bookmarkEnd w:id="287"/>
      <w:bookmarkEnd w:id="288"/>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289" w:name="_Toc57882464"/>
      <w:bookmarkStart w:id="290" w:name="_Toc51832280"/>
      <w:r>
        <w:rPr>
          <w:rStyle w:val="CharSectno"/>
        </w:rPr>
        <w:t>64</w:t>
      </w:r>
      <w:r>
        <w:t>.</w:t>
      </w:r>
      <w:r>
        <w:tab/>
        <w:t>Provision of information about owner or occupier of land, or agent</w:t>
      </w:r>
      <w:bookmarkEnd w:id="289"/>
      <w:bookmarkEnd w:id="290"/>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291" w:name="_Toc57882465"/>
      <w:bookmarkStart w:id="292" w:name="_Toc51832281"/>
      <w:r>
        <w:rPr>
          <w:rStyle w:val="CharSectno"/>
        </w:rPr>
        <w:t>65</w:t>
      </w:r>
      <w:r>
        <w:t>.</w:t>
      </w:r>
      <w:r>
        <w:tab/>
        <w:t>Records</w:t>
      </w:r>
      <w:bookmarkEnd w:id="291"/>
      <w:bookmarkEnd w:id="292"/>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r>
      <w:del w:id="293" w:author="Master Repository Process" w:date="2021-09-18T21:19:00Z">
        <w:r>
          <w:delText>The</w:delText>
        </w:r>
      </w:del>
      <w:ins w:id="294" w:author="Master Repository Process" w:date="2021-09-18T21:19:00Z">
        <w:r>
          <w:t>Unless subregulation (5) applies, the</w:t>
        </w:r>
      </w:ins>
      <w:r>
        <w:t xml:space="preserve"> licensee must — </w:t>
      </w:r>
    </w:p>
    <w:p>
      <w:pPr>
        <w:pStyle w:val="Indenta"/>
      </w:pPr>
      <w:r>
        <w:tab/>
        <w:t>(a)</w:t>
      </w:r>
      <w:r>
        <w:tab/>
        <w:t>make the records available for inspection by any person, without charge; and</w:t>
      </w:r>
    </w:p>
    <w:p>
      <w:pPr>
        <w:pStyle w:val="Indenta"/>
        <w:keepNext/>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and </w:t>
      </w:r>
    </w:p>
    <w:p>
      <w:pPr>
        <w:pStyle w:val="Ednotesubpara"/>
      </w:pPr>
      <w:r>
        <w:tab/>
        <w:t>[(ii)</w:t>
      </w:r>
      <w:r>
        <w:tab/>
        <w:t>deleted]</w:t>
      </w:r>
    </w:p>
    <w:p>
      <w:pPr>
        <w:pStyle w:val="Indenti"/>
      </w:pPr>
      <w:r>
        <w:tab/>
        <w:t>(iii)</w:t>
      </w:r>
      <w:r>
        <w:tab/>
        <w:t xml:space="preserve">if the licensee is the Water Corporation — the </w:t>
      </w:r>
      <w:r>
        <w:rPr>
          <w:i/>
        </w:rPr>
        <w:t>Water Services (Water Corporations Charges) Regulations 2014</w:t>
      </w:r>
      <w:r>
        <w:t xml:space="preserve"> Schedule 7 item 16.</w:t>
      </w:r>
    </w:p>
    <w:p>
      <w:pPr>
        <w:pStyle w:val="Subsection"/>
        <w:rPr>
          <w:ins w:id="295" w:author="Master Repository Process" w:date="2021-09-18T21:19:00Z"/>
        </w:rPr>
      </w:pPr>
      <w:ins w:id="296" w:author="Master Repository Process" w:date="2021-09-18T21:19:00Z">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ins>
    </w:p>
    <w:p>
      <w:pPr>
        <w:pStyle w:val="Subsection"/>
        <w:rPr>
          <w:ins w:id="297" w:author="Master Repository Process" w:date="2021-09-18T21:19:00Z"/>
        </w:rPr>
      </w:pPr>
      <w:ins w:id="298" w:author="Master Repository Process" w:date="2021-09-18T21:19:00Z">
        <w:r>
          <w:tab/>
          <w:t>(6)</w:t>
        </w:r>
        <w:r>
          <w:tab/>
          <w:t>Subregulation (5) does not apply if the customer consents to the information being disclosed to the person.</w:t>
        </w:r>
      </w:ins>
    </w:p>
    <w:p>
      <w:pPr>
        <w:pStyle w:val="Footnotesection"/>
      </w:pPr>
      <w:r>
        <w:tab/>
        <w:t>[Regulation 65 amended: Gazette 27 Jun 2014 p. 2360; 13 Dec 2016 p. 5675; 14 Jun 2019 p. 2006</w:t>
      </w:r>
      <w:ins w:id="299" w:author="Master Repository Process" w:date="2021-09-18T21:19:00Z">
        <w:r>
          <w:t>; SL 2020/240 r. 6</w:t>
        </w:r>
      </w:ins>
      <w:r>
        <w:t>.]</w:t>
      </w:r>
    </w:p>
    <w:p>
      <w:pPr>
        <w:pStyle w:val="Heading5"/>
      </w:pPr>
      <w:bookmarkStart w:id="300" w:name="_Toc57882466"/>
      <w:bookmarkStart w:id="301" w:name="_Toc51832282"/>
      <w:r>
        <w:rPr>
          <w:rStyle w:val="CharSectno"/>
        </w:rPr>
        <w:t>66</w:t>
      </w:r>
      <w:r>
        <w:t>.</w:t>
      </w:r>
      <w:r>
        <w:tab/>
        <w:t>Valuation and rating records of local governments</w:t>
      </w:r>
      <w:bookmarkEnd w:id="300"/>
      <w:bookmarkEnd w:id="301"/>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302" w:name="_Toc57882467"/>
      <w:bookmarkStart w:id="303" w:name="_Toc51832283"/>
      <w:r>
        <w:rPr>
          <w:rStyle w:val="CharSectno"/>
        </w:rPr>
        <w:t>67</w:t>
      </w:r>
      <w:r>
        <w:t>.</w:t>
      </w:r>
      <w:r>
        <w:tab/>
        <w:t>Records to be basis for water service charges</w:t>
      </w:r>
      <w:bookmarkEnd w:id="302"/>
      <w:bookmarkEnd w:id="303"/>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304" w:name="_Toc57882468"/>
      <w:bookmarkStart w:id="305" w:name="_Toc51832284"/>
      <w:r>
        <w:rPr>
          <w:rStyle w:val="CharSectno"/>
        </w:rPr>
        <w:t>68</w:t>
      </w:r>
      <w:r>
        <w:t>.</w:t>
      </w:r>
      <w:r>
        <w:tab/>
        <w:t>Objections to entries in records</w:t>
      </w:r>
      <w:bookmarkEnd w:id="304"/>
      <w:bookmarkEnd w:id="305"/>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keepLines/>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306" w:name="_Toc57882469"/>
      <w:bookmarkStart w:id="307" w:name="_Toc51832285"/>
      <w:r>
        <w:rPr>
          <w:rStyle w:val="CharSectno"/>
        </w:rPr>
        <w:t>69</w:t>
      </w:r>
      <w:r>
        <w:t>.</w:t>
      </w:r>
      <w:r>
        <w:tab/>
        <w:t>SAT review of licensee’s decision on objection</w:t>
      </w:r>
      <w:bookmarkEnd w:id="306"/>
      <w:bookmarkEnd w:id="307"/>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308" w:name="_Toc57882470"/>
      <w:bookmarkStart w:id="309" w:name="_Toc51832286"/>
      <w:r>
        <w:rPr>
          <w:rStyle w:val="CharSectno"/>
        </w:rPr>
        <w:t>70</w:t>
      </w:r>
      <w:r>
        <w:t>.</w:t>
      </w:r>
      <w:r>
        <w:tab/>
        <w:t>SAT review of licensee’s decision not to extend time for objection or review</w:t>
      </w:r>
      <w:bookmarkEnd w:id="308"/>
      <w:bookmarkEnd w:id="309"/>
    </w:p>
    <w:p>
      <w:pPr>
        <w:pStyle w:val="Subsection"/>
        <w:keepNext/>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310" w:name="_Toc57882471"/>
      <w:bookmarkStart w:id="311" w:name="_Toc51832287"/>
      <w:r>
        <w:rPr>
          <w:rStyle w:val="CharSectno"/>
        </w:rPr>
        <w:t>71</w:t>
      </w:r>
      <w:r>
        <w:t>.</w:t>
      </w:r>
      <w:r>
        <w:tab/>
        <w:t>SAT may consider additional matters</w:t>
      </w:r>
      <w:bookmarkEnd w:id="310"/>
      <w:bookmarkEnd w:id="311"/>
    </w:p>
    <w:p>
      <w:pPr>
        <w:pStyle w:val="Subsection"/>
        <w:keepNext/>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312" w:name="_Toc57882472"/>
      <w:bookmarkStart w:id="313" w:name="_Toc51832288"/>
      <w:r>
        <w:rPr>
          <w:rStyle w:val="CharSectno"/>
        </w:rPr>
        <w:t>72</w:t>
      </w:r>
      <w:r>
        <w:t>.</w:t>
      </w:r>
      <w:r>
        <w:tab/>
        <w:t xml:space="preserve">Objections to or reviews of land valuations to be under </w:t>
      </w:r>
      <w:r>
        <w:rPr>
          <w:i/>
        </w:rPr>
        <w:t>Valuation of Land Act 1978</w:t>
      </w:r>
      <w:bookmarkEnd w:id="312"/>
      <w:bookmarkEnd w:id="313"/>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314" w:name="_Toc57882473"/>
      <w:bookmarkStart w:id="315" w:name="_Toc51832289"/>
      <w:r>
        <w:rPr>
          <w:rStyle w:val="CharSectno"/>
        </w:rPr>
        <w:t>73</w:t>
      </w:r>
      <w:r>
        <w:t>.</w:t>
      </w:r>
      <w:r>
        <w:tab/>
        <w:t>Objection not to affect liability to pay charges</w:t>
      </w:r>
      <w:bookmarkEnd w:id="314"/>
      <w:bookmarkEnd w:id="315"/>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316" w:name="_Toc57882474"/>
      <w:bookmarkStart w:id="317" w:name="_Toc51832290"/>
      <w:r>
        <w:rPr>
          <w:rStyle w:val="CharSectno"/>
        </w:rPr>
        <w:t>74</w:t>
      </w:r>
      <w:r>
        <w:t>.</w:t>
      </w:r>
      <w:r>
        <w:tab/>
        <w:t>Amending records after objection or review</w:t>
      </w:r>
      <w:bookmarkEnd w:id="316"/>
      <w:bookmarkEnd w:id="317"/>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318" w:name="_Toc57882475"/>
      <w:bookmarkStart w:id="319" w:name="_Toc51832291"/>
      <w:r>
        <w:rPr>
          <w:rStyle w:val="CharSectno"/>
        </w:rPr>
        <w:t>75</w:t>
      </w:r>
      <w:r>
        <w:t>.</w:t>
      </w:r>
      <w:r>
        <w:tab/>
        <w:t>Certain information to be available to tenants and others</w:t>
      </w:r>
      <w:bookmarkEnd w:id="318"/>
      <w:bookmarkEnd w:id="319"/>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20" w:name="_Toc57705801"/>
      <w:bookmarkStart w:id="321" w:name="_Toc57713572"/>
      <w:bookmarkStart w:id="322" w:name="_Toc57882476"/>
      <w:bookmarkStart w:id="323" w:name="_Toc51756588"/>
      <w:bookmarkStart w:id="324" w:name="_Toc51768391"/>
      <w:bookmarkStart w:id="325" w:name="_Toc51832292"/>
      <w:r>
        <w:rPr>
          <w:rStyle w:val="CharPartNo"/>
        </w:rPr>
        <w:t>Part 5</w:t>
      </w:r>
      <w:r>
        <w:t> — </w:t>
      </w:r>
      <w:r>
        <w:rPr>
          <w:rStyle w:val="CharPartText"/>
        </w:rPr>
        <w:t>Water use restrictions and water management efficiency plans</w:t>
      </w:r>
      <w:bookmarkEnd w:id="320"/>
      <w:bookmarkEnd w:id="321"/>
      <w:bookmarkEnd w:id="322"/>
      <w:bookmarkEnd w:id="323"/>
      <w:bookmarkEnd w:id="324"/>
      <w:bookmarkEnd w:id="325"/>
    </w:p>
    <w:p>
      <w:pPr>
        <w:pStyle w:val="Footnoteheading"/>
      </w:pPr>
      <w:r>
        <w:tab/>
        <w:t>[Heading amended: Gazette 13 Dec 2016 p. 5675.]</w:t>
      </w:r>
    </w:p>
    <w:p>
      <w:pPr>
        <w:pStyle w:val="Heading3"/>
      </w:pPr>
      <w:bookmarkStart w:id="326" w:name="_Toc57705802"/>
      <w:bookmarkStart w:id="327" w:name="_Toc57713573"/>
      <w:bookmarkStart w:id="328" w:name="_Toc57882477"/>
      <w:bookmarkStart w:id="329" w:name="_Toc51756589"/>
      <w:bookmarkStart w:id="330" w:name="_Toc51768392"/>
      <w:bookmarkStart w:id="331" w:name="_Toc51832293"/>
      <w:r>
        <w:rPr>
          <w:rStyle w:val="CharDivNo"/>
        </w:rPr>
        <w:t>Division 1</w:t>
      </w:r>
      <w:r>
        <w:t> — </w:t>
      </w:r>
      <w:r>
        <w:rPr>
          <w:rStyle w:val="CharDivText"/>
        </w:rPr>
        <w:t>Water use restrictions for scheme water</w:t>
      </w:r>
      <w:bookmarkEnd w:id="326"/>
      <w:bookmarkEnd w:id="327"/>
      <w:bookmarkEnd w:id="328"/>
      <w:bookmarkEnd w:id="329"/>
      <w:bookmarkEnd w:id="330"/>
      <w:bookmarkEnd w:id="331"/>
    </w:p>
    <w:p>
      <w:pPr>
        <w:pStyle w:val="Footnoteheading"/>
      </w:pPr>
      <w:r>
        <w:tab/>
        <w:t>[Heading inserted: Gazette 13 Dec 2016 p. 5675.]</w:t>
      </w:r>
    </w:p>
    <w:p>
      <w:pPr>
        <w:pStyle w:val="Heading5"/>
      </w:pPr>
      <w:bookmarkStart w:id="332" w:name="_Toc57882478"/>
      <w:bookmarkStart w:id="333" w:name="_Toc51832294"/>
      <w:r>
        <w:rPr>
          <w:rStyle w:val="CharSectno"/>
        </w:rPr>
        <w:t>76</w:t>
      </w:r>
      <w:r>
        <w:t>.</w:t>
      </w:r>
      <w:r>
        <w:tab/>
        <w:t>Terms used</w:t>
      </w:r>
      <w:bookmarkEnd w:id="332"/>
      <w:bookmarkEnd w:id="333"/>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334" w:name="_Toc57882479"/>
      <w:bookmarkStart w:id="335" w:name="_Toc51832295"/>
      <w:r>
        <w:rPr>
          <w:rStyle w:val="CharSectno"/>
        </w:rPr>
        <w:t>77</w:t>
      </w:r>
      <w:r>
        <w:t>.</w:t>
      </w:r>
      <w:r>
        <w:tab/>
        <w:t>Use of scheme water restricted</w:t>
      </w:r>
      <w:bookmarkEnd w:id="334"/>
      <w:bookmarkEnd w:id="335"/>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36" w:name="_Toc57882480"/>
      <w:bookmarkStart w:id="337" w:name="_Toc51832296"/>
      <w:r>
        <w:rPr>
          <w:rStyle w:val="CharSectno"/>
        </w:rPr>
        <w:t>78</w:t>
      </w:r>
      <w:r>
        <w:t>.</w:t>
      </w:r>
      <w:r>
        <w:tab/>
        <w:t>Stages of restrictions applicable to Areas</w:t>
      </w:r>
      <w:bookmarkEnd w:id="336"/>
      <w:bookmarkEnd w:id="337"/>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38" w:name="_Toc57882481"/>
      <w:bookmarkStart w:id="339" w:name="_Toc51832297"/>
      <w:r>
        <w:rPr>
          <w:rStyle w:val="CharSectno"/>
        </w:rPr>
        <w:t>79</w:t>
      </w:r>
      <w:r>
        <w:t>.</w:t>
      </w:r>
      <w:r>
        <w:tab/>
        <w:t>Exceptions</w:t>
      </w:r>
      <w:bookmarkEnd w:id="338"/>
      <w:bookmarkEnd w:id="339"/>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340" w:name="_Toc57882482"/>
      <w:bookmarkStart w:id="341" w:name="_Toc51832298"/>
      <w:r>
        <w:rPr>
          <w:rStyle w:val="CharSectno"/>
        </w:rPr>
        <w:t>80</w:t>
      </w:r>
      <w:r>
        <w:t>.</w:t>
      </w:r>
      <w:r>
        <w:tab/>
        <w:t>Minister may impose further restrictions</w:t>
      </w:r>
      <w:bookmarkEnd w:id="340"/>
      <w:bookmarkEnd w:id="341"/>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342" w:name="_Toc57705808"/>
      <w:bookmarkStart w:id="343" w:name="_Toc57713579"/>
      <w:bookmarkStart w:id="344" w:name="_Toc57882483"/>
      <w:bookmarkStart w:id="345" w:name="_Toc51756595"/>
      <w:bookmarkStart w:id="346" w:name="_Toc51768398"/>
      <w:bookmarkStart w:id="347" w:name="_Toc51832299"/>
      <w:r>
        <w:rPr>
          <w:rStyle w:val="CharDivNo"/>
        </w:rPr>
        <w:t>Division 2</w:t>
      </w:r>
      <w:r>
        <w:t> — </w:t>
      </w:r>
      <w:r>
        <w:rPr>
          <w:rStyle w:val="CharDivText"/>
        </w:rPr>
        <w:t>Water efficiency management plans for water supplied by certain licensees</w:t>
      </w:r>
      <w:bookmarkEnd w:id="342"/>
      <w:bookmarkEnd w:id="343"/>
      <w:bookmarkEnd w:id="344"/>
      <w:bookmarkEnd w:id="345"/>
      <w:bookmarkEnd w:id="346"/>
      <w:bookmarkEnd w:id="347"/>
    </w:p>
    <w:p>
      <w:pPr>
        <w:pStyle w:val="Footnoteheading"/>
      </w:pPr>
      <w:r>
        <w:tab/>
        <w:t>[Heading inserted: Gazette 13 Dec 2016 p. 5676.]</w:t>
      </w:r>
    </w:p>
    <w:p>
      <w:pPr>
        <w:pStyle w:val="Heading4"/>
      </w:pPr>
      <w:bookmarkStart w:id="348" w:name="_Toc57705809"/>
      <w:bookmarkStart w:id="349" w:name="_Toc57713580"/>
      <w:bookmarkStart w:id="350" w:name="_Toc57882484"/>
      <w:bookmarkStart w:id="351" w:name="_Toc51756596"/>
      <w:bookmarkStart w:id="352" w:name="_Toc51768399"/>
      <w:bookmarkStart w:id="353" w:name="_Toc51832300"/>
      <w:r>
        <w:t>Subdivision 1 — Preliminary</w:t>
      </w:r>
      <w:bookmarkEnd w:id="348"/>
      <w:bookmarkEnd w:id="349"/>
      <w:bookmarkEnd w:id="350"/>
      <w:bookmarkEnd w:id="351"/>
      <w:bookmarkEnd w:id="352"/>
      <w:bookmarkEnd w:id="353"/>
    </w:p>
    <w:p>
      <w:pPr>
        <w:pStyle w:val="Footnoteheading"/>
      </w:pPr>
      <w:r>
        <w:tab/>
        <w:t>[Heading inserted: Gazette 13 Dec 2016 p. 5676.]</w:t>
      </w:r>
    </w:p>
    <w:p>
      <w:pPr>
        <w:pStyle w:val="Heading5"/>
      </w:pPr>
      <w:bookmarkStart w:id="354" w:name="_Toc57882485"/>
      <w:bookmarkStart w:id="355" w:name="_Toc51832301"/>
      <w:r>
        <w:rPr>
          <w:rStyle w:val="CharSectno"/>
        </w:rPr>
        <w:t>80A</w:t>
      </w:r>
      <w:r>
        <w:t>.</w:t>
      </w:r>
      <w:r>
        <w:tab/>
        <w:t>This Subdivision does not apply to all licensees</w:t>
      </w:r>
      <w:bookmarkEnd w:id="354"/>
      <w:bookmarkEnd w:id="355"/>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356" w:name="_Toc57882486"/>
      <w:bookmarkStart w:id="357" w:name="_Toc51832302"/>
      <w:r>
        <w:rPr>
          <w:rStyle w:val="CharSectno"/>
        </w:rPr>
        <w:t>80B</w:t>
      </w:r>
      <w:r>
        <w:t>.</w:t>
      </w:r>
      <w:r>
        <w:tab/>
        <w:t>Terms used</w:t>
      </w:r>
      <w:bookmarkEnd w:id="356"/>
      <w:bookmarkEnd w:id="357"/>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358" w:name="_Toc57882487"/>
      <w:bookmarkStart w:id="359" w:name="_Toc51832303"/>
      <w:r>
        <w:rPr>
          <w:rStyle w:val="CharSectno"/>
        </w:rPr>
        <w:t>80C</w:t>
      </w:r>
      <w:r>
        <w:t>.</w:t>
      </w:r>
      <w:r>
        <w:tab/>
        <w:t>What is a water efficiency management plan</w:t>
      </w:r>
      <w:bookmarkEnd w:id="358"/>
      <w:bookmarkEnd w:id="359"/>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360" w:name="_Toc57882488"/>
      <w:bookmarkStart w:id="361" w:name="_Toc51832304"/>
      <w:r>
        <w:rPr>
          <w:rStyle w:val="CharSectno"/>
        </w:rPr>
        <w:t>80D</w:t>
      </w:r>
      <w:r>
        <w:t>.</w:t>
      </w:r>
      <w:r>
        <w:tab/>
        <w:t>Extension of time to comply with certain provisions</w:t>
      </w:r>
      <w:bookmarkEnd w:id="360"/>
      <w:bookmarkEnd w:id="361"/>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362" w:name="_Toc57705814"/>
      <w:bookmarkStart w:id="363" w:name="_Toc57713585"/>
      <w:bookmarkStart w:id="364" w:name="_Toc57882489"/>
      <w:bookmarkStart w:id="365" w:name="_Toc51756601"/>
      <w:bookmarkStart w:id="366" w:name="_Toc51768404"/>
      <w:bookmarkStart w:id="367" w:name="_Toc51832305"/>
      <w:r>
        <w:t>Subdivision 2 — Requirements to provide water efficiency management plans</w:t>
      </w:r>
      <w:bookmarkEnd w:id="362"/>
      <w:bookmarkEnd w:id="363"/>
      <w:bookmarkEnd w:id="364"/>
      <w:bookmarkEnd w:id="365"/>
      <w:bookmarkEnd w:id="366"/>
      <w:bookmarkEnd w:id="367"/>
    </w:p>
    <w:p>
      <w:pPr>
        <w:pStyle w:val="Footnoteheading"/>
      </w:pPr>
      <w:r>
        <w:tab/>
        <w:t>[Heading inserted: Gazette 13 Dec 2016 p. 5679.]</w:t>
      </w:r>
    </w:p>
    <w:p>
      <w:pPr>
        <w:pStyle w:val="Heading5"/>
      </w:pPr>
      <w:bookmarkStart w:id="368" w:name="_Toc57882490"/>
      <w:bookmarkStart w:id="369" w:name="_Toc51832306"/>
      <w:r>
        <w:rPr>
          <w:rStyle w:val="CharSectno"/>
        </w:rPr>
        <w:t>80E</w:t>
      </w:r>
      <w:r>
        <w:t>.</w:t>
      </w:r>
      <w:r>
        <w:tab/>
        <w:t>Licensee may require water efficiency management plan</w:t>
      </w:r>
      <w:bookmarkEnd w:id="368"/>
      <w:bookmarkEnd w:id="369"/>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370" w:name="_Toc57882491"/>
      <w:bookmarkStart w:id="371" w:name="_Toc51832307"/>
      <w:r>
        <w:rPr>
          <w:rStyle w:val="CharSectno"/>
        </w:rPr>
        <w:t>80F</w:t>
      </w:r>
      <w:r>
        <w:t>.</w:t>
      </w:r>
      <w:r>
        <w:tab/>
        <w:t>Revised plans</w:t>
      </w:r>
      <w:bookmarkEnd w:id="370"/>
      <w:bookmarkEnd w:id="371"/>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372" w:name="_Toc57882492"/>
      <w:bookmarkStart w:id="373" w:name="_Toc51832308"/>
      <w:r>
        <w:rPr>
          <w:rStyle w:val="CharSectno"/>
        </w:rPr>
        <w:t>80G</w:t>
      </w:r>
      <w:r>
        <w:t>.</w:t>
      </w:r>
      <w:r>
        <w:tab/>
        <w:t>Licensee may require revised plan in some circumstances</w:t>
      </w:r>
      <w:bookmarkEnd w:id="372"/>
      <w:bookmarkEnd w:id="373"/>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374" w:name="_Toc57705818"/>
      <w:bookmarkStart w:id="375" w:name="_Toc57713589"/>
      <w:bookmarkStart w:id="376" w:name="_Toc57882493"/>
      <w:bookmarkStart w:id="377" w:name="_Toc51756605"/>
      <w:bookmarkStart w:id="378" w:name="_Toc51768408"/>
      <w:bookmarkStart w:id="379" w:name="_Toc51832309"/>
      <w:r>
        <w:t>Subdivision 3 — Approval of water efficiency management plans</w:t>
      </w:r>
      <w:bookmarkEnd w:id="374"/>
      <w:bookmarkEnd w:id="375"/>
      <w:bookmarkEnd w:id="376"/>
      <w:bookmarkEnd w:id="377"/>
      <w:bookmarkEnd w:id="378"/>
      <w:bookmarkEnd w:id="379"/>
    </w:p>
    <w:p>
      <w:pPr>
        <w:pStyle w:val="Footnoteheading"/>
        <w:keepNext/>
      </w:pPr>
      <w:r>
        <w:tab/>
        <w:t>[Heading inserted: Gazette 13 Dec 2016 p. 5681.]</w:t>
      </w:r>
    </w:p>
    <w:p>
      <w:pPr>
        <w:pStyle w:val="Heading5"/>
      </w:pPr>
      <w:bookmarkStart w:id="380" w:name="_Toc57882494"/>
      <w:bookmarkStart w:id="381" w:name="_Toc51832310"/>
      <w:r>
        <w:rPr>
          <w:rStyle w:val="CharSectno"/>
        </w:rPr>
        <w:t>80H</w:t>
      </w:r>
      <w:r>
        <w:t>.</w:t>
      </w:r>
      <w:r>
        <w:tab/>
        <w:t>Approval of water efficiency management plan</w:t>
      </w:r>
      <w:bookmarkEnd w:id="380"/>
      <w:bookmarkEnd w:id="381"/>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382" w:name="_Toc57882495"/>
      <w:bookmarkStart w:id="383" w:name="_Toc51832311"/>
      <w:r>
        <w:rPr>
          <w:rStyle w:val="CharSectno"/>
        </w:rPr>
        <w:t>80I</w:t>
      </w:r>
      <w:r>
        <w:t>.</w:t>
      </w:r>
      <w:r>
        <w:tab/>
        <w:t>Period for which approval has effect</w:t>
      </w:r>
      <w:bookmarkEnd w:id="382"/>
      <w:bookmarkEnd w:id="383"/>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384" w:name="_Toc57882496"/>
      <w:bookmarkStart w:id="385" w:name="_Toc51832312"/>
      <w:r>
        <w:rPr>
          <w:rStyle w:val="CharSectno"/>
        </w:rPr>
        <w:t>80J</w:t>
      </w:r>
      <w:r>
        <w:t>.</w:t>
      </w:r>
      <w:r>
        <w:tab/>
        <w:t>Revocation of approval of plan</w:t>
      </w:r>
      <w:bookmarkEnd w:id="384"/>
      <w:bookmarkEnd w:id="385"/>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386" w:name="_Toc57705822"/>
      <w:bookmarkStart w:id="387" w:name="_Toc57713593"/>
      <w:bookmarkStart w:id="388" w:name="_Toc57882497"/>
      <w:bookmarkStart w:id="389" w:name="_Toc51756609"/>
      <w:bookmarkStart w:id="390" w:name="_Toc51768412"/>
      <w:bookmarkStart w:id="391" w:name="_Toc51832313"/>
      <w:r>
        <w:t>Subdivision 4 — Consumer to comply with approved plan and to report to licensee</w:t>
      </w:r>
      <w:bookmarkEnd w:id="386"/>
      <w:bookmarkEnd w:id="387"/>
      <w:bookmarkEnd w:id="388"/>
      <w:bookmarkEnd w:id="389"/>
      <w:bookmarkEnd w:id="390"/>
      <w:bookmarkEnd w:id="391"/>
    </w:p>
    <w:p>
      <w:pPr>
        <w:pStyle w:val="Footnoteheading"/>
      </w:pPr>
      <w:r>
        <w:tab/>
        <w:t>[Heading inserted: Gazette 13 Dec 2016 p. 5683.]</w:t>
      </w:r>
    </w:p>
    <w:p>
      <w:pPr>
        <w:pStyle w:val="Heading5"/>
      </w:pPr>
      <w:bookmarkStart w:id="392" w:name="_Toc57882498"/>
      <w:bookmarkStart w:id="393" w:name="_Toc51832314"/>
      <w:r>
        <w:rPr>
          <w:rStyle w:val="CharSectno"/>
        </w:rPr>
        <w:t>80K</w:t>
      </w:r>
      <w:r>
        <w:t>.</w:t>
      </w:r>
      <w:r>
        <w:tab/>
        <w:t>Consumer must comply with approved plan</w:t>
      </w:r>
      <w:bookmarkEnd w:id="392"/>
      <w:bookmarkEnd w:id="393"/>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394" w:name="_Toc57882499"/>
      <w:bookmarkStart w:id="395" w:name="_Toc51832315"/>
      <w:r>
        <w:rPr>
          <w:rStyle w:val="CharSectno"/>
        </w:rPr>
        <w:t>80L</w:t>
      </w:r>
      <w:r>
        <w:t>.</w:t>
      </w:r>
      <w:r>
        <w:tab/>
        <w:t>Annual report on approved plan</w:t>
      </w:r>
      <w:bookmarkEnd w:id="394"/>
      <w:bookmarkEnd w:id="395"/>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396" w:name="_Toc57882500"/>
      <w:bookmarkStart w:id="397" w:name="_Toc51832316"/>
      <w:r>
        <w:rPr>
          <w:rStyle w:val="CharSectno"/>
        </w:rPr>
        <w:t>80M</w:t>
      </w:r>
      <w:r>
        <w:t>.</w:t>
      </w:r>
      <w:r>
        <w:tab/>
        <w:t>Other reports on approved plan may be required by licensee</w:t>
      </w:r>
      <w:bookmarkEnd w:id="396"/>
      <w:bookmarkEnd w:id="397"/>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398" w:name="_Toc57705826"/>
      <w:bookmarkStart w:id="399" w:name="_Toc57713597"/>
      <w:bookmarkStart w:id="400" w:name="_Toc57882501"/>
      <w:bookmarkStart w:id="401" w:name="_Toc51756613"/>
      <w:bookmarkStart w:id="402" w:name="_Toc51768416"/>
      <w:bookmarkStart w:id="403" w:name="_Toc51832317"/>
      <w:r>
        <w:rPr>
          <w:rStyle w:val="CharPartNo"/>
        </w:rPr>
        <w:t>Part 6</w:t>
      </w:r>
      <w:r>
        <w:rPr>
          <w:rStyle w:val="CharDivNo"/>
        </w:rPr>
        <w:t> </w:t>
      </w:r>
      <w:r>
        <w:t>—</w:t>
      </w:r>
      <w:r>
        <w:rPr>
          <w:rStyle w:val="CharDivText"/>
        </w:rPr>
        <w:t> </w:t>
      </w:r>
      <w:r>
        <w:rPr>
          <w:rStyle w:val="CharPartText"/>
        </w:rPr>
        <w:t>Miscellaneous provisions</w:t>
      </w:r>
      <w:bookmarkEnd w:id="398"/>
      <w:bookmarkEnd w:id="399"/>
      <w:bookmarkEnd w:id="400"/>
      <w:bookmarkEnd w:id="401"/>
      <w:bookmarkEnd w:id="402"/>
      <w:bookmarkEnd w:id="403"/>
    </w:p>
    <w:p>
      <w:pPr>
        <w:pStyle w:val="Heading5"/>
      </w:pPr>
      <w:bookmarkStart w:id="404" w:name="_Toc57882502"/>
      <w:bookmarkStart w:id="405" w:name="_Toc51832318"/>
      <w:r>
        <w:rPr>
          <w:rStyle w:val="CharSectno"/>
        </w:rPr>
        <w:t>81</w:t>
      </w:r>
      <w:r>
        <w:t>.</w:t>
      </w:r>
      <w:r>
        <w:tab/>
        <w:t>Form and manner of applications</w:t>
      </w:r>
      <w:bookmarkEnd w:id="404"/>
      <w:bookmarkEnd w:id="405"/>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406" w:name="_Toc57882503"/>
      <w:bookmarkStart w:id="407" w:name="_Toc51832319"/>
      <w:r>
        <w:rPr>
          <w:rStyle w:val="CharSectno"/>
        </w:rPr>
        <w:t>82</w:t>
      </w:r>
      <w:r>
        <w:t>.</w:t>
      </w:r>
      <w:r>
        <w:tab/>
        <w:t>Interest accruing on unpaid amounts</w:t>
      </w:r>
      <w:bookmarkEnd w:id="406"/>
      <w:bookmarkEnd w:id="407"/>
    </w:p>
    <w:p>
      <w:pPr>
        <w:pStyle w:val="Subsection"/>
      </w:pPr>
      <w:r>
        <w:tab/>
      </w:r>
      <w:r>
        <w:tab/>
        <w:t>If a provision of these regulations refers to interest accruing on an unpaid amount, interest accrues daily, on any part of the amount while it remains unpaid, at the rate of 11.33% per annum.</w:t>
      </w:r>
    </w:p>
    <w:p>
      <w:pPr>
        <w:pStyle w:val="yFootnotesection"/>
      </w:pPr>
      <w:r>
        <w:tab/>
        <w:t>[Regulation 82 amended: Gazette 27 Jun 2016 p. 2616; 23 Jun 2017 p. 3402; SL 2020/95 r. 12.]</w:t>
      </w:r>
    </w:p>
    <w:p>
      <w:pPr>
        <w:pStyle w:val="Heading5"/>
      </w:pPr>
      <w:bookmarkStart w:id="408" w:name="_Toc57882504"/>
      <w:bookmarkStart w:id="409" w:name="_Toc51832320"/>
      <w:r>
        <w:rPr>
          <w:rStyle w:val="CharSectno"/>
        </w:rPr>
        <w:t>83</w:t>
      </w:r>
      <w:r>
        <w:t>.</w:t>
      </w:r>
      <w:r>
        <w:tab/>
        <w:t>Recovery of costs in relation to lodging memorials under s. 128</w:t>
      </w:r>
      <w:bookmarkEnd w:id="408"/>
      <w:bookmarkEnd w:id="409"/>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w:t>
      </w:r>
    </w:p>
    <w:p>
      <w:pPr>
        <w:pStyle w:val="Heading5"/>
      </w:pPr>
      <w:bookmarkStart w:id="410" w:name="_Toc57882505"/>
      <w:bookmarkStart w:id="411" w:name="_Toc51832321"/>
      <w:r>
        <w:rPr>
          <w:rStyle w:val="CharSectno"/>
        </w:rPr>
        <w:t>83A</w:t>
      </w:r>
      <w:r>
        <w:t>.</w:t>
      </w:r>
      <w:r>
        <w:tab/>
        <w:t>Exempt works</w:t>
      </w:r>
      <w:bookmarkEnd w:id="410"/>
      <w:bookmarkEnd w:id="411"/>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412" w:name="_Toc57882506"/>
      <w:bookmarkStart w:id="413" w:name="_Toc51832322"/>
      <w:r>
        <w:rPr>
          <w:rStyle w:val="CharSectno"/>
        </w:rPr>
        <w:t>84</w:t>
      </w:r>
      <w:r>
        <w:t>.</w:t>
      </w:r>
      <w:r>
        <w:tab/>
        <w:t>Fees</w:t>
      </w:r>
      <w:bookmarkEnd w:id="412"/>
      <w:bookmarkEnd w:id="413"/>
    </w:p>
    <w:p>
      <w:pPr>
        <w:pStyle w:val="Subsection"/>
      </w:pPr>
      <w:r>
        <w:tab/>
      </w:r>
      <w:r>
        <w:tab/>
        <w:t>Schedule 4 sets out various fees for the purposes of the Act.</w:t>
      </w:r>
    </w:p>
    <w:p>
      <w:pPr>
        <w:pStyle w:val="Heading5"/>
      </w:pPr>
      <w:bookmarkStart w:id="414" w:name="_Toc57882507"/>
      <w:bookmarkStart w:id="415" w:name="_Toc51832323"/>
      <w:r>
        <w:rPr>
          <w:rStyle w:val="CharSectno"/>
        </w:rPr>
        <w:t>85</w:t>
      </w:r>
      <w:r>
        <w:t>.</w:t>
      </w:r>
      <w:r>
        <w:tab/>
        <w:t>Compliance notices</w:t>
      </w:r>
      <w:bookmarkEnd w:id="414"/>
      <w:bookmarkEnd w:id="415"/>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416" w:name="_Toc57882508"/>
      <w:bookmarkStart w:id="417" w:name="_Toc51832324"/>
      <w:r>
        <w:rPr>
          <w:rStyle w:val="CharSectno"/>
        </w:rPr>
        <w:t>86</w:t>
      </w:r>
      <w:r>
        <w:t>.</w:t>
      </w:r>
      <w:r>
        <w:tab/>
        <w:t>Infringement notices</w:t>
      </w:r>
      <w:bookmarkEnd w:id="416"/>
      <w:bookmarkEnd w:id="417"/>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418" w:name="_Toc57882509"/>
      <w:bookmarkStart w:id="419" w:name="_Toc51832325"/>
      <w:r>
        <w:rPr>
          <w:rStyle w:val="CharSectno"/>
        </w:rPr>
        <w:t>87</w:t>
      </w:r>
      <w:r>
        <w:t>.</w:t>
      </w:r>
      <w:r>
        <w:tab/>
        <w:t>Giving notices or demands to unknown owner or occupier of land</w:t>
      </w:r>
      <w:bookmarkEnd w:id="418"/>
      <w:bookmarkEnd w:id="419"/>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420" w:name="_Toc57882510"/>
      <w:bookmarkStart w:id="421" w:name="_Toc51832326"/>
      <w:r>
        <w:rPr>
          <w:rStyle w:val="CharSectno"/>
        </w:rPr>
        <w:t>88</w:t>
      </w:r>
      <w:r>
        <w:t>.</w:t>
      </w:r>
      <w:r>
        <w:tab/>
        <w:t>Form of warrants to enter</w:t>
      </w:r>
      <w:bookmarkEnd w:id="420"/>
      <w:bookmarkEnd w:id="421"/>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422" w:name="_Toc57705836"/>
      <w:bookmarkStart w:id="423" w:name="_Toc57713607"/>
      <w:bookmarkStart w:id="424" w:name="_Toc57882511"/>
      <w:bookmarkStart w:id="425" w:name="_Toc51756623"/>
      <w:bookmarkStart w:id="426" w:name="_Toc51768426"/>
      <w:bookmarkStart w:id="427" w:name="_Toc51832327"/>
      <w:r>
        <w:rPr>
          <w:rStyle w:val="CharPartNo"/>
        </w:rPr>
        <w:t>Part 7</w:t>
      </w:r>
      <w:r>
        <w:t> — </w:t>
      </w:r>
      <w:r>
        <w:rPr>
          <w:rStyle w:val="CharPartText"/>
        </w:rPr>
        <w:t>Transitional provisions</w:t>
      </w:r>
      <w:bookmarkEnd w:id="422"/>
      <w:bookmarkEnd w:id="423"/>
      <w:bookmarkEnd w:id="424"/>
      <w:bookmarkEnd w:id="425"/>
      <w:bookmarkEnd w:id="426"/>
      <w:bookmarkEnd w:id="427"/>
    </w:p>
    <w:p>
      <w:pPr>
        <w:pStyle w:val="Heading3"/>
      </w:pPr>
      <w:bookmarkStart w:id="428" w:name="_Toc57705837"/>
      <w:bookmarkStart w:id="429" w:name="_Toc57713608"/>
      <w:bookmarkStart w:id="430" w:name="_Toc57882512"/>
      <w:bookmarkStart w:id="431" w:name="_Toc51756624"/>
      <w:bookmarkStart w:id="432" w:name="_Toc51768427"/>
      <w:bookmarkStart w:id="433" w:name="_Toc51832328"/>
      <w:r>
        <w:rPr>
          <w:rStyle w:val="CharDivNo"/>
        </w:rPr>
        <w:t>Division 1</w:t>
      </w:r>
      <w:r>
        <w:t> — </w:t>
      </w:r>
      <w:r>
        <w:rPr>
          <w:rStyle w:val="CharDivText"/>
        </w:rPr>
        <w:t xml:space="preserve">Provisions for the </w:t>
      </w:r>
      <w:r>
        <w:rPr>
          <w:rStyle w:val="CharDivText"/>
          <w:i/>
        </w:rPr>
        <w:t>Water Services Act 2012</w:t>
      </w:r>
      <w:bookmarkEnd w:id="428"/>
      <w:bookmarkEnd w:id="429"/>
      <w:bookmarkEnd w:id="430"/>
      <w:bookmarkEnd w:id="431"/>
      <w:bookmarkEnd w:id="432"/>
      <w:bookmarkEnd w:id="433"/>
    </w:p>
    <w:p>
      <w:pPr>
        <w:pStyle w:val="Heading5"/>
      </w:pPr>
      <w:bookmarkStart w:id="434" w:name="_Toc57882513"/>
      <w:bookmarkStart w:id="435" w:name="_Toc51832329"/>
      <w:r>
        <w:rPr>
          <w:rStyle w:val="CharSectno"/>
        </w:rPr>
        <w:t>90</w:t>
      </w:r>
      <w:r>
        <w:t>.</w:t>
      </w:r>
      <w:r>
        <w:tab/>
        <w:t>Term used: commencement day</w:t>
      </w:r>
      <w:bookmarkEnd w:id="434"/>
      <w:bookmarkEnd w:id="43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436" w:name="_Toc57882514"/>
      <w:bookmarkStart w:id="437" w:name="_Toc51832330"/>
      <w:r>
        <w:rPr>
          <w:rStyle w:val="CharSectno"/>
        </w:rPr>
        <w:t>91</w:t>
      </w:r>
      <w:r>
        <w:t>.</w:t>
      </w:r>
      <w:r>
        <w:tab/>
        <w:t>Permits to discharge industrial waste</w:t>
      </w:r>
      <w:bookmarkEnd w:id="436"/>
      <w:bookmarkEnd w:id="437"/>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Lines w:val="0"/>
        <w:widowControl w:val="0"/>
      </w:pPr>
      <w:bookmarkStart w:id="438" w:name="_Toc57882515"/>
      <w:bookmarkStart w:id="439" w:name="_Toc51832331"/>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438"/>
      <w:bookmarkEnd w:id="439"/>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440" w:name="_Toc57882516"/>
      <w:bookmarkStart w:id="441" w:name="_Toc51832332"/>
      <w:r>
        <w:rPr>
          <w:rStyle w:val="CharSectno"/>
        </w:rPr>
        <w:t>93</w:t>
      </w:r>
      <w:r>
        <w:t>.</w:t>
      </w:r>
      <w:r>
        <w:tab/>
        <w:t>Entitlement to supply of or to take water under irrigation by</w:t>
      </w:r>
      <w:r>
        <w:noBreakHyphen/>
        <w:t>laws</w:t>
      </w:r>
      <w:bookmarkEnd w:id="440"/>
      <w:bookmarkEnd w:id="441"/>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442" w:name="_Toc57882517"/>
      <w:bookmarkStart w:id="443" w:name="_Toc51832333"/>
      <w:r>
        <w:rPr>
          <w:rStyle w:val="CharSectno"/>
        </w:rPr>
        <w:t>94</w:t>
      </w:r>
      <w:r>
        <w:t>.</w:t>
      </w:r>
      <w:r>
        <w:tab/>
        <w:t>Agreements under old provisions</w:t>
      </w:r>
      <w:bookmarkEnd w:id="442"/>
      <w:bookmarkEnd w:id="443"/>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444" w:name="_Toc57882518"/>
      <w:bookmarkStart w:id="445" w:name="_Toc51832334"/>
      <w:r>
        <w:rPr>
          <w:rStyle w:val="CharSectno"/>
        </w:rPr>
        <w:t>95</w:t>
      </w:r>
      <w:r>
        <w:t>.</w:t>
      </w:r>
      <w:r>
        <w:tab/>
        <w:t>Objections and reviews under Part 4 Division 8</w:t>
      </w:r>
      <w:bookmarkEnd w:id="444"/>
      <w:bookmarkEnd w:id="445"/>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446" w:name="_Toc57882519"/>
      <w:bookmarkStart w:id="447" w:name="_Toc51832335"/>
      <w:r>
        <w:rPr>
          <w:rStyle w:val="CharSectno"/>
        </w:rPr>
        <w:t>96</w:t>
      </w:r>
      <w:r>
        <w:t>.</w:t>
      </w:r>
      <w:r>
        <w:tab/>
        <w:t>Plans for drainage works of Water Corporation</w:t>
      </w:r>
      <w:bookmarkEnd w:id="446"/>
      <w:bookmarkEnd w:id="447"/>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448" w:name="_Toc57705845"/>
      <w:bookmarkStart w:id="449" w:name="_Toc57713616"/>
      <w:bookmarkStart w:id="450" w:name="_Toc57882520"/>
      <w:bookmarkStart w:id="451" w:name="_Toc51756632"/>
      <w:bookmarkStart w:id="452" w:name="_Toc51768435"/>
      <w:bookmarkStart w:id="453" w:name="_Toc51832336"/>
      <w:r>
        <w:rPr>
          <w:rStyle w:val="CharDivNo"/>
        </w:rPr>
        <w:t>Division 2</w:t>
      </w:r>
      <w:r>
        <w:t> — </w:t>
      </w:r>
      <w:r>
        <w:rPr>
          <w:rStyle w:val="CharDivText"/>
        </w:rPr>
        <w:t xml:space="preserve">Provisions for the </w:t>
      </w:r>
      <w:r>
        <w:rPr>
          <w:rStyle w:val="CharDivText"/>
          <w:i/>
        </w:rPr>
        <w:t>Water Services Legislation Amendment Regulations 2016</w:t>
      </w:r>
      <w:bookmarkEnd w:id="448"/>
      <w:bookmarkEnd w:id="449"/>
      <w:bookmarkEnd w:id="450"/>
      <w:bookmarkEnd w:id="451"/>
      <w:bookmarkEnd w:id="452"/>
      <w:bookmarkEnd w:id="453"/>
    </w:p>
    <w:p>
      <w:pPr>
        <w:pStyle w:val="Footnoteheading"/>
      </w:pPr>
      <w:r>
        <w:tab/>
        <w:t>[Heading inserted: Gazette 13 Dec 2016 p. 5685.]</w:t>
      </w:r>
    </w:p>
    <w:p>
      <w:pPr>
        <w:pStyle w:val="Heading5"/>
      </w:pPr>
      <w:bookmarkStart w:id="454" w:name="_Toc57882521"/>
      <w:bookmarkStart w:id="455" w:name="_Toc51832337"/>
      <w:r>
        <w:rPr>
          <w:rStyle w:val="CharSectno"/>
        </w:rPr>
        <w:t>97</w:t>
      </w:r>
      <w:r>
        <w:t>.</w:t>
      </w:r>
      <w:r>
        <w:tab/>
        <w:t>Terms used</w:t>
      </w:r>
      <w:bookmarkEnd w:id="454"/>
      <w:bookmarkEnd w:id="45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456" w:name="_Toc57882522"/>
      <w:bookmarkStart w:id="457" w:name="_Toc51832338"/>
      <w:r>
        <w:rPr>
          <w:rStyle w:val="CharSectno"/>
        </w:rPr>
        <w:t>98</w:t>
      </w:r>
      <w:r>
        <w:t>.</w:t>
      </w:r>
      <w:r>
        <w:tab/>
        <w:t>Scheme water efficiency management plans</w:t>
      </w:r>
      <w:bookmarkEnd w:id="456"/>
      <w:bookmarkEnd w:id="457"/>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458" w:name="_Toc57705848"/>
      <w:bookmarkStart w:id="459" w:name="_Toc57713619"/>
      <w:bookmarkStart w:id="460" w:name="_Toc57882523"/>
      <w:bookmarkStart w:id="461" w:name="_Toc51756635"/>
      <w:bookmarkStart w:id="462" w:name="_Toc51768438"/>
      <w:bookmarkStart w:id="463" w:name="_Toc51832339"/>
      <w:r>
        <w:rPr>
          <w:rStyle w:val="CharSchNo"/>
        </w:rPr>
        <w:t>Schedule 1</w:t>
      </w:r>
      <w:r>
        <w:rPr>
          <w:rStyle w:val="CharSDivNo"/>
        </w:rPr>
        <w:t> </w:t>
      </w:r>
      <w:r>
        <w:t>—</w:t>
      </w:r>
      <w:r>
        <w:rPr>
          <w:rStyle w:val="CharSDivText"/>
        </w:rPr>
        <w:t> </w:t>
      </w:r>
      <w:r>
        <w:rPr>
          <w:rStyle w:val="CharSchText"/>
        </w:rPr>
        <w:t>Water use restrictions: maps showing Areas 1, 2, 3 and 4</w:t>
      </w:r>
      <w:bookmarkEnd w:id="458"/>
      <w:bookmarkEnd w:id="459"/>
      <w:bookmarkEnd w:id="460"/>
      <w:bookmarkEnd w:id="461"/>
      <w:bookmarkEnd w:id="462"/>
      <w:bookmarkEnd w:id="463"/>
    </w:p>
    <w:p>
      <w:pPr>
        <w:pStyle w:val="yShoulderClause"/>
      </w:pPr>
      <w:r>
        <w:t>[r. 76]</w:t>
      </w:r>
    </w:p>
    <w:p>
      <w:pPr>
        <w:pStyle w:val="ySubsection"/>
        <w:jc w:val="center"/>
      </w:pPr>
      <w:r>
        <w:rPr>
          <w:noProof/>
          <w:lang w:val="en-US" w:eastAsia="en-US"/>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lang w:val="en-US" w:eastAsia="en-US"/>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465" w:name="_Toc57705849"/>
      <w:bookmarkStart w:id="466" w:name="_Toc57713620"/>
      <w:bookmarkStart w:id="467" w:name="_Toc57882524"/>
      <w:bookmarkStart w:id="468" w:name="_Toc51756636"/>
      <w:bookmarkStart w:id="469" w:name="_Toc51768439"/>
      <w:bookmarkStart w:id="470" w:name="_Toc51832340"/>
      <w:r>
        <w:rPr>
          <w:rStyle w:val="CharSchNo"/>
        </w:rPr>
        <w:t>Schedule 2</w:t>
      </w:r>
      <w:r>
        <w:rPr>
          <w:rStyle w:val="CharSDivNo"/>
        </w:rPr>
        <w:t> </w:t>
      </w:r>
      <w:r>
        <w:t>—</w:t>
      </w:r>
      <w:r>
        <w:rPr>
          <w:rStyle w:val="CharSDivText"/>
        </w:rPr>
        <w:t> </w:t>
      </w:r>
      <w:r>
        <w:rPr>
          <w:rStyle w:val="CharSchText"/>
        </w:rPr>
        <w:t>Water use restrictions: stages of restrictions</w:t>
      </w:r>
      <w:bookmarkEnd w:id="465"/>
      <w:bookmarkEnd w:id="466"/>
      <w:bookmarkEnd w:id="467"/>
      <w:bookmarkEnd w:id="468"/>
      <w:bookmarkEnd w:id="469"/>
      <w:bookmarkEnd w:id="470"/>
    </w:p>
    <w:p>
      <w:pPr>
        <w:pStyle w:val="yShoulderClause"/>
      </w:pPr>
      <w:r>
        <w:t>[r. 76]</w:t>
      </w:r>
    </w:p>
    <w:p>
      <w:pPr>
        <w:pStyle w:val="yHeading5"/>
      </w:pPr>
      <w:bookmarkStart w:id="471" w:name="_Toc57882525"/>
      <w:bookmarkStart w:id="472" w:name="_Toc51832341"/>
      <w:r>
        <w:rPr>
          <w:rStyle w:val="CharSClsNo"/>
        </w:rPr>
        <w:t>1</w:t>
      </w:r>
      <w:r>
        <w:t>.</w:t>
      </w:r>
      <w:r>
        <w:tab/>
        <w:t>Stage 1</w:t>
      </w:r>
      <w:bookmarkEnd w:id="471"/>
      <w:bookmarkEnd w:id="472"/>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473" w:name="_Toc57882526"/>
      <w:bookmarkStart w:id="474" w:name="_Toc51832342"/>
      <w:r>
        <w:rPr>
          <w:rStyle w:val="CharSClsNo"/>
        </w:rPr>
        <w:t>2</w:t>
      </w:r>
      <w:r>
        <w:t>.</w:t>
      </w:r>
      <w:r>
        <w:tab/>
        <w:t>Stage 2</w:t>
      </w:r>
      <w:bookmarkEnd w:id="473"/>
      <w:bookmarkEnd w:id="474"/>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75" w:name="_Toc57882527"/>
      <w:bookmarkStart w:id="476" w:name="_Toc51832343"/>
      <w:r>
        <w:rPr>
          <w:rStyle w:val="CharSClsNo"/>
        </w:rPr>
        <w:t>3</w:t>
      </w:r>
      <w:r>
        <w:t>.</w:t>
      </w:r>
      <w:r>
        <w:tab/>
        <w:t>Stage 3</w:t>
      </w:r>
      <w:bookmarkEnd w:id="475"/>
      <w:bookmarkEnd w:id="476"/>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77" w:name="_Toc57882528"/>
      <w:bookmarkStart w:id="478" w:name="_Toc51832344"/>
      <w:r>
        <w:rPr>
          <w:rStyle w:val="CharSClsNo"/>
        </w:rPr>
        <w:t>4</w:t>
      </w:r>
      <w:r>
        <w:t>.</w:t>
      </w:r>
      <w:r>
        <w:tab/>
        <w:t>Stage 4</w:t>
      </w:r>
      <w:bookmarkEnd w:id="477"/>
      <w:bookmarkEnd w:id="478"/>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79" w:name="_Toc57882529"/>
      <w:bookmarkStart w:id="480" w:name="_Toc51832345"/>
      <w:r>
        <w:rPr>
          <w:rStyle w:val="CharSClsNo"/>
        </w:rPr>
        <w:t>5</w:t>
      </w:r>
      <w:r>
        <w:t>.</w:t>
      </w:r>
      <w:r>
        <w:tab/>
        <w:t>Stage 5</w:t>
      </w:r>
      <w:bookmarkEnd w:id="479"/>
      <w:bookmarkEnd w:id="480"/>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81" w:name="_Toc57882530"/>
      <w:bookmarkStart w:id="482" w:name="_Toc51832346"/>
      <w:r>
        <w:rPr>
          <w:rStyle w:val="CharSClsNo"/>
        </w:rPr>
        <w:t>6</w:t>
      </w:r>
      <w:r>
        <w:t>.</w:t>
      </w:r>
      <w:r>
        <w:tab/>
        <w:t>Stage 6</w:t>
      </w:r>
      <w:bookmarkEnd w:id="481"/>
      <w:bookmarkEnd w:id="482"/>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483" w:name="_Toc57882531"/>
      <w:bookmarkStart w:id="484" w:name="_Toc51832347"/>
      <w:r>
        <w:rPr>
          <w:rStyle w:val="CharSClsNo"/>
        </w:rPr>
        <w:t>7</w:t>
      </w:r>
      <w:r>
        <w:t>.</w:t>
      </w:r>
      <w:r>
        <w:tab/>
        <w:t>Stage 7</w:t>
      </w:r>
      <w:bookmarkEnd w:id="483"/>
      <w:bookmarkEnd w:id="484"/>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485" w:name="_Toc57705857"/>
      <w:bookmarkStart w:id="486" w:name="_Toc57713628"/>
      <w:bookmarkStart w:id="487" w:name="_Toc57882532"/>
      <w:bookmarkStart w:id="488" w:name="_Toc51756644"/>
      <w:bookmarkStart w:id="489" w:name="_Toc51768447"/>
      <w:bookmarkStart w:id="490" w:name="_Toc51832348"/>
      <w:r>
        <w:rPr>
          <w:rStyle w:val="CharSchNo"/>
        </w:rPr>
        <w:t>Schedule 3</w:t>
      </w:r>
      <w:r>
        <w:t> — </w:t>
      </w:r>
      <w:r>
        <w:rPr>
          <w:rStyle w:val="CharSchText"/>
        </w:rPr>
        <w:t>Water use restrictions: specified days for watering by reticulation</w:t>
      </w:r>
      <w:bookmarkEnd w:id="485"/>
      <w:bookmarkEnd w:id="486"/>
      <w:bookmarkEnd w:id="487"/>
      <w:bookmarkEnd w:id="488"/>
      <w:bookmarkEnd w:id="489"/>
      <w:bookmarkEnd w:id="490"/>
    </w:p>
    <w:p>
      <w:pPr>
        <w:pStyle w:val="yShoulderClause"/>
      </w:pPr>
      <w:r>
        <w:t>[r. 76 and Sch. 2 cl. 3, 4, 5 and 6]</w:t>
      </w:r>
    </w:p>
    <w:p>
      <w:pPr>
        <w:pStyle w:val="yHeading5"/>
      </w:pPr>
      <w:bookmarkStart w:id="491" w:name="_Toc57882533"/>
      <w:bookmarkStart w:id="492" w:name="_Toc51832349"/>
      <w:r>
        <w:rPr>
          <w:rStyle w:val="CharSClsNo"/>
        </w:rPr>
        <w:t>1</w:t>
      </w:r>
      <w:r>
        <w:t>.</w:t>
      </w:r>
      <w:r>
        <w:tab/>
        <w:t>Specified days for Schedule 2: 3 watering days per week</w:t>
      </w:r>
      <w:bookmarkEnd w:id="491"/>
      <w:bookmarkEnd w:id="492"/>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493" w:name="_Toc57882534"/>
      <w:bookmarkStart w:id="494" w:name="_Toc51832350"/>
      <w:r>
        <w:rPr>
          <w:rStyle w:val="CharSClsNo"/>
        </w:rPr>
        <w:t>2</w:t>
      </w:r>
      <w:r>
        <w:t>.</w:t>
      </w:r>
      <w:r>
        <w:tab/>
        <w:t>Specified days for Schedule 2: 2 watering days per week</w:t>
      </w:r>
      <w:bookmarkEnd w:id="493"/>
      <w:bookmarkEnd w:id="494"/>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495" w:name="_Toc57882535"/>
      <w:bookmarkStart w:id="496" w:name="_Toc51832351"/>
      <w:r>
        <w:rPr>
          <w:rStyle w:val="CharSClsNo"/>
        </w:rPr>
        <w:t>3</w:t>
      </w:r>
      <w:r>
        <w:t>.</w:t>
      </w:r>
      <w:r>
        <w:tab/>
        <w:t>Specified days for Schedule 2: 1 watering day per week</w:t>
      </w:r>
      <w:bookmarkEnd w:id="495"/>
      <w:bookmarkEnd w:id="496"/>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497" w:name="_Toc57705861"/>
      <w:bookmarkStart w:id="498" w:name="_Toc57713632"/>
      <w:bookmarkStart w:id="499" w:name="_Toc57882536"/>
      <w:bookmarkStart w:id="500" w:name="_Toc51756648"/>
      <w:bookmarkStart w:id="501" w:name="_Toc51768451"/>
      <w:bookmarkStart w:id="502" w:name="_Toc51832352"/>
      <w:r>
        <w:rPr>
          <w:rStyle w:val="CharSchNo"/>
        </w:rPr>
        <w:t>Schedule 4</w:t>
      </w:r>
      <w:r>
        <w:t> — </w:t>
      </w:r>
      <w:r>
        <w:rPr>
          <w:rStyle w:val="CharSchText"/>
        </w:rPr>
        <w:t>Fees</w:t>
      </w:r>
      <w:bookmarkEnd w:id="497"/>
      <w:bookmarkEnd w:id="498"/>
      <w:bookmarkEnd w:id="499"/>
      <w:bookmarkEnd w:id="500"/>
      <w:bookmarkEnd w:id="501"/>
      <w:bookmarkEnd w:id="502"/>
    </w:p>
    <w:p>
      <w:pPr>
        <w:pStyle w:val="yShoulderClause"/>
      </w:pPr>
      <w:r>
        <w:t>[r. 84]</w:t>
      </w:r>
    </w:p>
    <w:p>
      <w:pPr>
        <w:pStyle w:val="yFootnoteheading"/>
      </w:pPr>
      <w:r>
        <w:tab/>
        <w:t>[Heading inserted: SL 2020/95 r. 13.]</w:t>
      </w:r>
    </w:p>
    <w:p>
      <w:pPr>
        <w:pStyle w:val="yHeading5"/>
      </w:pPr>
      <w:bookmarkStart w:id="503" w:name="_Toc57882537"/>
      <w:bookmarkStart w:id="504" w:name="_Toc51832353"/>
      <w:r>
        <w:rPr>
          <w:rStyle w:val="CharSClsNo"/>
        </w:rPr>
        <w:t>1</w:t>
      </w:r>
      <w:r>
        <w:t>.</w:t>
      </w:r>
      <w:r>
        <w:tab/>
        <w:t>General fees applicable in relation to all licensees</w:t>
      </w:r>
      <w:bookmarkEnd w:id="503"/>
      <w:bookmarkEnd w:id="504"/>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keepNext/>
              <w:jc w:val="center"/>
              <w:rPr>
                <w:b/>
              </w:rPr>
            </w:pPr>
            <w:r>
              <w:rPr>
                <w:b/>
              </w:rPr>
              <w:t>Item</w:t>
            </w:r>
          </w:p>
        </w:tc>
        <w:tc>
          <w:tcPr>
            <w:tcW w:w="4536" w:type="dxa"/>
            <w:noWrap/>
          </w:tcPr>
          <w:p>
            <w:pPr>
              <w:pStyle w:val="yTableNAm"/>
              <w:keepNext/>
              <w:jc w:val="center"/>
              <w:rPr>
                <w:b/>
              </w:rPr>
            </w:pPr>
            <w:r>
              <w:rPr>
                <w:b/>
              </w:rPr>
              <w:t>Description</w:t>
            </w:r>
          </w:p>
        </w:tc>
        <w:tc>
          <w:tcPr>
            <w:tcW w:w="1559" w:type="dxa"/>
            <w:noWrap/>
          </w:tcPr>
          <w:p>
            <w:pPr>
              <w:pStyle w:val="yTableNAm"/>
              <w:keepNext/>
              <w:jc w:val="center"/>
              <w:rPr>
                <w:b/>
              </w:rPr>
            </w:pPr>
            <w:r>
              <w:rPr>
                <w:b/>
              </w:rPr>
              <w:t>Fee</w:t>
            </w:r>
          </w:p>
        </w:tc>
      </w:tr>
      <w:tr>
        <w:trPr>
          <w:cantSplit/>
        </w:trPr>
        <w:tc>
          <w:tcPr>
            <w:tcW w:w="709" w:type="dxa"/>
            <w:tcBorders>
              <w:bottom w:val="nil"/>
            </w:tcBorders>
            <w:noWrap/>
          </w:tcPr>
          <w:p>
            <w:pPr>
              <w:pStyle w:val="yTableNAm"/>
              <w:keepNext/>
            </w:pPr>
            <w:r>
              <w:t>1.</w:t>
            </w:r>
          </w:p>
        </w:tc>
        <w:tc>
          <w:tcPr>
            <w:tcW w:w="4536" w:type="dxa"/>
            <w:tcBorders>
              <w:bottom w:val="nil"/>
            </w:tcBorders>
            <w:noWrap/>
          </w:tcPr>
          <w:p>
            <w:pPr>
              <w:pStyle w:val="yTableNAm"/>
              <w:keepNext/>
            </w:pPr>
            <w:r>
              <w:t xml:space="preserve">Dealing with a notice of proposed construction or alteration under section 82 of the Act, in relation to land in the metropolitan area — </w:t>
            </w:r>
          </w:p>
        </w:tc>
        <w:tc>
          <w:tcPr>
            <w:tcW w:w="1559" w:type="dxa"/>
            <w:tcBorders>
              <w:bottom w:val="nil"/>
            </w:tcBorders>
            <w:noWrap/>
            <w:vAlign w:val="bottom"/>
          </w:tcPr>
          <w:p>
            <w:pPr>
              <w:pStyle w:val="yTableNAm"/>
              <w:keepNext/>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pPr>
            <w:r>
              <w:t>(a)</w:t>
            </w:r>
            <w:r>
              <w:tab/>
              <w:t xml:space="preserve">to construct or alter a dwelling </w:t>
            </w:r>
            <w:r>
              <w:tab/>
            </w:r>
          </w:p>
        </w:tc>
        <w:tc>
          <w:tcPr>
            <w:tcW w:w="1559" w:type="dxa"/>
            <w:tcBorders>
              <w:top w:val="nil"/>
              <w:bottom w:val="nil"/>
            </w:tcBorders>
            <w:noWrap/>
            <w:vAlign w:val="bottom"/>
          </w:tcPr>
          <w:p>
            <w:pPr>
              <w:pStyle w:val="yTableNAm"/>
            </w:pPr>
            <w:r>
              <w:rPr>
                <w:szCs w:val="22"/>
              </w:rPr>
              <w:t>$125.99 per dwelling unit</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pPr>
              <w:pStyle w:val="yTableNAm"/>
            </w:pPr>
            <w:r>
              <w:rPr>
                <w:szCs w:val="22"/>
              </w:rPr>
              <w:br/>
            </w:r>
            <w:r>
              <w:rPr>
                <w:szCs w:val="22"/>
              </w:rPr>
              <w:br/>
              <w:t>$36.78 per building</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up to $22 500 </w:t>
            </w:r>
            <w:r>
              <w:tab/>
            </w:r>
          </w:p>
        </w:tc>
        <w:tc>
          <w:tcPr>
            <w:tcW w:w="1559" w:type="dxa"/>
            <w:tcBorders>
              <w:top w:val="nil"/>
              <w:bottom w:val="nil"/>
            </w:tcBorders>
            <w:noWrap/>
            <w:vAlign w:val="bottom"/>
          </w:tcPr>
          <w:p>
            <w:pPr>
              <w:pStyle w:val="yTableNAm"/>
            </w:pPr>
            <w:r>
              <w:t>$31.00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over $22 500 but not more than $200 000 </w:t>
            </w:r>
          </w:p>
        </w:tc>
        <w:tc>
          <w:tcPr>
            <w:tcW w:w="1559" w:type="dxa"/>
            <w:tcBorders>
              <w:top w:val="nil"/>
              <w:bottom w:val="nil"/>
            </w:tcBorders>
            <w:noWrap/>
            <w:vAlign w:val="bottom"/>
          </w:tcPr>
          <w:p>
            <w:pPr>
              <w:pStyle w:val="yTableNAm"/>
            </w:pPr>
            <w:r>
              <w:t>$106.00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pPr>
              <w:pStyle w:val="yTableNAm"/>
            </w:pPr>
            <w:r>
              <w:t>$420.00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pPr>
              <w:pStyle w:val="yTableNAm"/>
            </w:pPr>
            <w:r>
              <w:t>$680.00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pPr>
              <w:pStyle w:val="yTableNAm"/>
            </w:pPr>
            <w:r>
              <w:rPr>
                <w:szCs w:val="22"/>
              </w:rPr>
              <w:br/>
              <w:t>$1.10 per $1 000 (or part $1 000) of construction costs</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right" w:leader="dot" w:pos="4321"/>
              </w:tabs>
              <w:ind w:left="601" w:hanging="601"/>
            </w:pPr>
            <w:r>
              <w:tab/>
              <w:t xml:space="preserve">over $10 000 000 </w:t>
            </w:r>
            <w:r>
              <w:tab/>
            </w:r>
          </w:p>
        </w:tc>
        <w:tc>
          <w:tcPr>
            <w:tcW w:w="1559" w:type="dxa"/>
            <w:tcBorders>
              <w:top w:val="nil"/>
            </w:tcBorders>
            <w:noWrap/>
            <w:vAlign w:val="bottom"/>
          </w:tcPr>
          <w:p>
            <w:pPr>
              <w:pStyle w:val="yTableNAm"/>
            </w:pPr>
            <w:r>
              <w:rPr>
                <w:szCs w:val="22"/>
              </w:rPr>
              <w:t>$11 000 + $0.30 per $1 000 (or part $1 000) of construction costs above $10 000 000</w:t>
            </w:r>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w:t>
            </w:r>
            <w:r>
              <w:tab/>
              <w:t xml:space="preserve">to construct or alter a dwelling </w:t>
            </w:r>
            <w:r>
              <w:tab/>
            </w:r>
          </w:p>
        </w:tc>
        <w:tc>
          <w:tcPr>
            <w:tcW w:w="1559" w:type="dxa"/>
            <w:tcBorders>
              <w:top w:val="nil"/>
              <w:bottom w:val="nil"/>
            </w:tcBorders>
            <w:noWrap/>
            <w:vAlign w:val="bottom"/>
          </w:tcPr>
          <w:p>
            <w:pPr>
              <w:pStyle w:val="yTableNAm"/>
            </w:pPr>
            <w:r>
              <w:rPr>
                <w:szCs w:val="22"/>
              </w:rPr>
              <w:t>$125.99 per dwelling unit</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pPr>
              <w:pStyle w:val="yTableNAm"/>
            </w:pPr>
            <w:r>
              <w:rPr>
                <w:szCs w:val="22"/>
              </w:rPr>
              <w:br/>
            </w:r>
            <w:r>
              <w:rPr>
                <w:szCs w:val="22"/>
              </w:rPr>
              <w:br/>
              <w:t>$36.78 per building</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up to $22 500 </w:t>
            </w:r>
            <w:r>
              <w:tab/>
            </w:r>
          </w:p>
        </w:tc>
        <w:tc>
          <w:tcPr>
            <w:tcW w:w="1559" w:type="dxa"/>
            <w:tcBorders>
              <w:top w:val="nil"/>
              <w:bottom w:val="nil"/>
            </w:tcBorders>
            <w:noWrap/>
            <w:vAlign w:val="bottom"/>
          </w:tcPr>
          <w:p>
            <w:pPr>
              <w:pStyle w:val="yTableNAm"/>
            </w:pPr>
            <w:r>
              <w:rPr>
                <w:szCs w:val="22"/>
              </w:rPr>
              <w:t>$25.00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over $22 500 but not more than $200 000 </w:t>
            </w:r>
          </w:p>
        </w:tc>
        <w:tc>
          <w:tcPr>
            <w:tcW w:w="1559" w:type="dxa"/>
            <w:tcBorders>
              <w:top w:val="nil"/>
              <w:bottom w:val="nil"/>
            </w:tcBorders>
            <w:noWrap/>
            <w:vAlign w:val="bottom"/>
          </w:tcPr>
          <w:p>
            <w:pPr>
              <w:pStyle w:val="yTableNAm"/>
            </w:pPr>
            <w:r>
              <w:rPr>
                <w:szCs w:val="22"/>
              </w:rPr>
              <w:t>$85.00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pPr>
              <w:pStyle w:val="yTableNAm"/>
            </w:pPr>
            <w:r>
              <w:rPr>
                <w:szCs w:val="22"/>
              </w:rPr>
              <w:t>$330.00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pPr>
              <w:pStyle w:val="yTableNAm"/>
            </w:pPr>
            <w:r>
              <w:rPr>
                <w:szCs w:val="22"/>
              </w:rPr>
              <w:t>$550.00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pPr>
              <w:pStyle w:val="yTableNAm"/>
            </w:pPr>
            <w:r>
              <w:rPr>
                <w:kern w:val="22"/>
                <w:szCs w:val="22"/>
              </w:rPr>
              <w:br/>
              <w:t>$0.90 per $1 000 (or part $1 000) of construction costs</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right" w:leader="dot" w:pos="4321"/>
              </w:tabs>
              <w:ind w:left="601" w:hanging="601"/>
            </w:pPr>
            <w:r>
              <w:tab/>
              <w:t xml:space="preserve">over $10 000 000 </w:t>
            </w:r>
            <w:r>
              <w:tab/>
            </w:r>
          </w:p>
        </w:tc>
        <w:tc>
          <w:tcPr>
            <w:tcW w:w="1559" w:type="dxa"/>
            <w:tcBorders>
              <w:top w:val="nil"/>
            </w:tcBorders>
            <w:noWrap/>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items 1 and 2 in the Table to subclause (1), land is sewered if a wastewater inlet on the land is connected to a sewer of a licensee, or could be connected if the owner or occupier of the land chose to.</w:t>
      </w:r>
    </w:p>
    <w:p>
      <w:pPr>
        <w:pStyle w:val="yFootnotesection"/>
      </w:pPr>
      <w:r>
        <w:tab/>
        <w:t>[Clause 1 inserted: SL 2020/95 r. 13.]</w:t>
      </w:r>
    </w:p>
    <w:p>
      <w:pPr>
        <w:pStyle w:val="yHeading5"/>
      </w:pPr>
      <w:bookmarkStart w:id="505" w:name="_Toc57882538"/>
      <w:bookmarkStart w:id="506" w:name="_Toc51832354"/>
      <w:r>
        <w:rPr>
          <w:rStyle w:val="CharSClsNo"/>
        </w:rPr>
        <w:t>2</w:t>
      </w:r>
      <w:r>
        <w:t>.</w:t>
      </w:r>
      <w:r>
        <w:tab/>
        <w:t>Fees applicable in relation to water corporations (s. 95)</w:t>
      </w:r>
      <w:bookmarkEnd w:id="505"/>
      <w:bookmarkEnd w:id="506"/>
    </w:p>
    <w:p>
      <w:pPr>
        <w:pStyle w:val="ySubsection"/>
      </w:pPr>
      <w:r>
        <w:tab/>
      </w:r>
      <w:r>
        <w:tab/>
        <w:t>The fees for the purposes of section 95 of the Act are as set out in the Table.</w:t>
      </w:r>
    </w:p>
    <w:p>
      <w:pPr>
        <w:pStyle w:val="yTHeadingNAm"/>
        <w:keepLine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keepNext/>
              <w:keepLines/>
              <w:jc w:val="center"/>
              <w:rPr>
                <w:b/>
              </w:rPr>
            </w:pPr>
            <w:r>
              <w:rPr>
                <w:b/>
              </w:rPr>
              <w:t>Item</w:t>
            </w:r>
          </w:p>
        </w:tc>
        <w:tc>
          <w:tcPr>
            <w:tcW w:w="4536" w:type="dxa"/>
            <w:noWrap/>
          </w:tcPr>
          <w:p>
            <w:pPr>
              <w:pStyle w:val="yTableNAm"/>
              <w:keepNext/>
              <w:keepLines/>
              <w:jc w:val="center"/>
              <w:rPr>
                <w:b/>
              </w:rPr>
            </w:pPr>
            <w:r>
              <w:rPr>
                <w:b/>
              </w:rPr>
              <w:t>Description</w:t>
            </w:r>
          </w:p>
        </w:tc>
        <w:tc>
          <w:tcPr>
            <w:tcW w:w="1559" w:type="dxa"/>
            <w:noWrap/>
          </w:tcPr>
          <w:p>
            <w:pPr>
              <w:pStyle w:val="yTableNAm"/>
              <w:keepNext/>
              <w:keepLines/>
              <w:jc w:val="center"/>
              <w:rPr>
                <w:b/>
              </w:rPr>
            </w:pPr>
            <w:r>
              <w:rPr>
                <w:b/>
              </w:rPr>
              <w:t>Fee</w:t>
            </w:r>
          </w:p>
        </w:tc>
      </w:tr>
      <w:tr>
        <w:trPr>
          <w:cantSplit/>
        </w:trPr>
        <w:tc>
          <w:tcPr>
            <w:tcW w:w="6804" w:type="dxa"/>
            <w:gridSpan w:val="3"/>
            <w:noWrap/>
          </w:tcPr>
          <w:p>
            <w:pPr>
              <w:pStyle w:val="yTableNAm"/>
              <w:keepNext/>
              <w:keepLines/>
              <w:rPr>
                <w:b/>
              </w:rPr>
            </w:pPr>
            <w:r>
              <w:rPr>
                <w:b/>
              </w:rPr>
              <w:t>In relation to the Water Corporation</w:t>
            </w:r>
          </w:p>
        </w:tc>
      </w:tr>
      <w:tr>
        <w:trPr>
          <w:cantSplit/>
        </w:trPr>
        <w:tc>
          <w:tcPr>
            <w:tcW w:w="709" w:type="dxa"/>
            <w:noWrap/>
          </w:tcPr>
          <w:p>
            <w:pPr>
              <w:pStyle w:val="yTableNAm"/>
              <w:keepLines/>
            </w:pPr>
            <w:r>
              <w:t>1.</w:t>
            </w:r>
          </w:p>
        </w:tc>
        <w:tc>
          <w:tcPr>
            <w:tcW w:w="4536" w:type="dxa"/>
            <w:noWrap/>
          </w:tcPr>
          <w:p>
            <w:pPr>
              <w:pStyle w:val="yTableNAm"/>
              <w:keepLines/>
              <w:tabs>
                <w:tab w:val="clear" w:pos="567"/>
                <w:tab w:val="right" w:leader="dot" w:pos="4141"/>
              </w:tabs>
            </w:pPr>
            <w:r>
              <w:t xml:space="preserve">Restoring a supply of water to land after it has been cut off </w:t>
            </w:r>
            <w:r>
              <w:tab/>
            </w:r>
          </w:p>
        </w:tc>
        <w:tc>
          <w:tcPr>
            <w:tcW w:w="1559" w:type="dxa"/>
            <w:noWrap/>
            <w:vAlign w:val="bottom"/>
          </w:tcPr>
          <w:p>
            <w:pPr>
              <w:pStyle w:val="yTableNAm"/>
              <w:keepLines/>
            </w:pPr>
            <w:r>
              <w:rPr>
                <w:szCs w:val="22"/>
              </w:rPr>
              <w:t>$179.59</w:t>
            </w:r>
          </w:p>
        </w:tc>
      </w:tr>
      <w:tr>
        <w:trPr>
          <w:cantSplit/>
        </w:trPr>
        <w:tc>
          <w:tcPr>
            <w:tcW w:w="709" w:type="dxa"/>
            <w:tcBorders>
              <w:bottom w:val="nil"/>
            </w:tcBorders>
            <w:noWrap/>
          </w:tcPr>
          <w:p>
            <w:pPr>
              <w:pStyle w:val="yTableNAm"/>
              <w:keepLines/>
            </w:pPr>
            <w:r>
              <w:t>2.</w:t>
            </w:r>
          </w:p>
        </w:tc>
        <w:tc>
          <w:tcPr>
            <w:tcW w:w="4536" w:type="dxa"/>
            <w:tcBorders>
              <w:bottom w:val="nil"/>
            </w:tcBorders>
            <w:noWrap/>
          </w:tcPr>
          <w:p>
            <w:pPr>
              <w:pStyle w:val="yTableNAm"/>
              <w:keepLines/>
            </w:pPr>
            <w:r>
              <w:t xml:space="preserve">Restoring a supply of water to land after the rate of flow has been reduced — </w:t>
            </w:r>
          </w:p>
          <w:p>
            <w:pPr>
              <w:pStyle w:val="yTableNAm"/>
              <w:keepLines/>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noWrap/>
            <w:vAlign w:val="bottom"/>
          </w:tcPr>
          <w:p>
            <w:pPr>
              <w:pStyle w:val="yTableNAm"/>
              <w:keepLines/>
            </w:pPr>
            <w:r>
              <w:rPr>
                <w:szCs w:val="22"/>
              </w:rPr>
              <w:t>$179.59</w:t>
            </w:r>
          </w:p>
        </w:tc>
      </w:tr>
      <w:tr>
        <w:trPr>
          <w:cantSplit/>
        </w:trPr>
        <w:tc>
          <w:tcPr>
            <w:tcW w:w="709" w:type="dxa"/>
            <w:tcBorders>
              <w:top w:val="nil"/>
            </w:tcBorders>
            <w:noWrap/>
          </w:tcPr>
          <w:p>
            <w:pPr>
              <w:pStyle w:val="yTableNAm"/>
              <w:keepLines/>
            </w:pPr>
          </w:p>
        </w:tc>
        <w:tc>
          <w:tcPr>
            <w:tcW w:w="4536" w:type="dxa"/>
            <w:tcBorders>
              <w:top w:val="nil"/>
            </w:tcBorders>
            <w:noWrap/>
          </w:tcPr>
          <w:p>
            <w:pPr>
              <w:pStyle w:val="yTableNAm"/>
              <w:keepLines/>
              <w:tabs>
                <w:tab w:val="right" w:leader="dot" w:pos="4096"/>
              </w:tabs>
              <w:ind w:left="601" w:hanging="601"/>
            </w:pPr>
            <w:r>
              <w:t>(b)</w:t>
            </w:r>
            <w:r>
              <w:tab/>
              <w:t xml:space="preserve">at any other time </w:t>
            </w:r>
            <w:r>
              <w:tab/>
            </w:r>
          </w:p>
        </w:tc>
        <w:tc>
          <w:tcPr>
            <w:tcW w:w="1559" w:type="dxa"/>
            <w:tcBorders>
              <w:top w:val="nil"/>
            </w:tcBorders>
            <w:noWrap/>
            <w:vAlign w:val="bottom"/>
          </w:tcPr>
          <w:p>
            <w:pPr>
              <w:pStyle w:val="yTableNAm"/>
              <w:keepLines/>
            </w:pPr>
            <w:r>
              <w:rPr>
                <w:szCs w:val="22"/>
              </w:rPr>
              <w:t>$285.38</w:t>
            </w:r>
          </w:p>
        </w:tc>
      </w:tr>
      <w:tr>
        <w:trPr>
          <w:cantSplit/>
        </w:trPr>
        <w:tc>
          <w:tcPr>
            <w:tcW w:w="6804" w:type="dxa"/>
            <w:gridSpan w:val="3"/>
            <w:noWrap/>
          </w:tcPr>
          <w:p>
            <w:pPr>
              <w:pStyle w:val="yTableNAm"/>
              <w:keepLines/>
              <w:rPr>
                <w:b/>
              </w:rPr>
            </w:pPr>
            <w:r>
              <w:rPr>
                <w:b/>
              </w:rPr>
              <w:t>In relation to the Bunbury Water Corporation</w:t>
            </w:r>
          </w:p>
        </w:tc>
      </w:tr>
      <w:tr>
        <w:trPr>
          <w:cantSplit/>
        </w:trPr>
        <w:tc>
          <w:tcPr>
            <w:tcW w:w="709" w:type="dxa"/>
            <w:tcBorders>
              <w:bottom w:val="single" w:sz="4" w:space="0" w:color="auto"/>
            </w:tcBorders>
            <w:noWrap/>
          </w:tcPr>
          <w:p>
            <w:pPr>
              <w:pStyle w:val="yTableNAm"/>
              <w:keepLines/>
            </w:pPr>
            <w:r>
              <w:t>3.</w:t>
            </w:r>
          </w:p>
        </w:tc>
        <w:tc>
          <w:tcPr>
            <w:tcW w:w="4536" w:type="dxa"/>
            <w:tcBorders>
              <w:bottom w:val="single" w:sz="4" w:space="0" w:color="auto"/>
            </w:tcBorders>
            <w:noWrap/>
          </w:tcPr>
          <w:p>
            <w:pPr>
              <w:pStyle w:val="yTableNAm"/>
              <w:keepLines/>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noWrap/>
            <w:vAlign w:val="bottom"/>
          </w:tcPr>
          <w:p>
            <w:pPr>
              <w:pStyle w:val="yTableNAm"/>
              <w:keepLines/>
            </w:pPr>
            <w:r>
              <w:t>$175.00</w:t>
            </w:r>
          </w:p>
        </w:tc>
      </w:tr>
      <w:tr>
        <w:trPr>
          <w:cantSplit/>
        </w:trPr>
        <w:tc>
          <w:tcPr>
            <w:tcW w:w="709" w:type="dxa"/>
            <w:tcBorders>
              <w:bottom w:val="single" w:sz="4" w:space="0" w:color="auto"/>
            </w:tcBorders>
            <w:noWrap/>
          </w:tcPr>
          <w:p>
            <w:pPr>
              <w:pStyle w:val="yTableNAm"/>
              <w:keepLines/>
            </w:pPr>
            <w:r>
              <w:t>4.</w:t>
            </w:r>
          </w:p>
        </w:tc>
        <w:tc>
          <w:tcPr>
            <w:tcW w:w="4536" w:type="dxa"/>
            <w:tcBorders>
              <w:bottom w:val="single" w:sz="4" w:space="0" w:color="auto"/>
            </w:tcBorders>
            <w:noWrap/>
          </w:tcPr>
          <w:p>
            <w:pPr>
              <w:pStyle w:val="yTableNAm"/>
              <w:keepLines/>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noWrap/>
            <w:vAlign w:val="bottom"/>
          </w:tcPr>
          <w:p>
            <w:pPr>
              <w:pStyle w:val="yTableNAm"/>
              <w:keepLines/>
            </w:pPr>
            <w:r>
              <w:t>$175.00</w:t>
            </w:r>
          </w:p>
        </w:tc>
      </w:tr>
      <w:tr>
        <w:trPr>
          <w:cantSplit/>
        </w:trPr>
        <w:tc>
          <w:tcPr>
            <w:tcW w:w="6804" w:type="dxa"/>
            <w:gridSpan w:val="3"/>
            <w:noWrap/>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$272.50</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$34.90</w:t>
            </w:r>
          </w:p>
        </w:tc>
      </w:tr>
    </w:tbl>
    <w:p>
      <w:pPr>
        <w:pStyle w:val="yFootnotesection"/>
      </w:pPr>
      <w:r>
        <w:tab/>
        <w:t>[Clause 2 inserted: SL 2020/95 r. 13.]</w:t>
      </w:r>
    </w:p>
    <w:p>
      <w:pPr>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507" w:name="_Toc57705864"/>
      <w:bookmarkStart w:id="508" w:name="_Toc57713635"/>
      <w:bookmarkStart w:id="509" w:name="_Toc57882539"/>
      <w:bookmarkStart w:id="510" w:name="_Toc51756651"/>
      <w:bookmarkStart w:id="511" w:name="_Toc51768454"/>
      <w:bookmarkStart w:id="512" w:name="_Toc51832355"/>
      <w:r>
        <w:rPr>
          <w:rStyle w:val="CharSchNo"/>
        </w:rPr>
        <w:t>Schedule 5</w:t>
      </w:r>
      <w:r>
        <w:t> — </w:t>
      </w:r>
      <w:r>
        <w:rPr>
          <w:rStyle w:val="CharSchText"/>
        </w:rPr>
        <w:t xml:space="preserve">Prescribed offences and modified </w:t>
      </w:r>
      <w:r>
        <w:t>penalties</w:t>
      </w:r>
      <w:bookmarkEnd w:id="507"/>
      <w:bookmarkEnd w:id="508"/>
      <w:bookmarkEnd w:id="509"/>
      <w:bookmarkEnd w:id="510"/>
      <w:bookmarkEnd w:id="511"/>
      <w:bookmarkEnd w:id="512"/>
    </w:p>
    <w:p>
      <w:pPr>
        <w:pStyle w:val="yShoulderClause"/>
      </w:pPr>
      <w:r>
        <w:t>[r. 86]</w:t>
      </w:r>
    </w:p>
    <w:p>
      <w:pPr>
        <w:pStyle w:val="yHeading3"/>
      </w:pPr>
      <w:bookmarkStart w:id="513" w:name="_Toc57705865"/>
      <w:bookmarkStart w:id="514" w:name="_Toc57713636"/>
      <w:bookmarkStart w:id="515" w:name="_Toc57882540"/>
      <w:bookmarkStart w:id="516" w:name="_Toc51756652"/>
      <w:bookmarkStart w:id="517" w:name="_Toc51768455"/>
      <w:bookmarkStart w:id="518" w:name="_Toc51832356"/>
      <w:r>
        <w:rPr>
          <w:rStyle w:val="CharSDivNo"/>
        </w:rPr>
        <w:t>Division 1</w:t>
      </w:r>
      <w:r>
        <w:t> — </w:t>
      </w:r>
      <w:r>
        <w:rPr>
          <w:rStyle w:val="CharSDivText"/>
        </w:rPr>
        <w:t>Prescribed offences and modified penalties</w:t>
      </w:r>
      <w:bookmarkEnd w:id="513"/>
      <w:bookmarkEnd w:id="514"/>
      <w:bookmarkEnd w:id="515"/>
      <w:bookmarkEnd w:id="516"/>
      <w:bookmarkEnd w:id="517"/>
      <w:bookmarkEnd w:id="518"/>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Heading3"/>
        <w:spacing w:before="0"/>
      </w:pPr>
      <w:bookmarkStart w:id="519" w:name="_Toc57705866"/>
      <w:bookmarkStart w:id="520" w:name="_Toc57713637"/>
      <w:bookmarkStart w:id="521" w:name="_Toc57882541"/>
      <w:bookmarkStart w:id="522" w:name="_Toc51756653"/>
      <w:bookmarkStart w:id="523" w:name="_Toc51768456"/>
      <w:bookmarkStart w:id="524" w:name="_Toc51832357"/>
      <w:r>
        <w:rPr>
          <w:rStyle w:val="CharSDivNo"/>
        </w:rPr>
        <w:t>Division 2</w:t>
      </w:r>
      <w:r>
        <w:t> — </w:t>
      </w:r>
      <w:r>
        <w:rPr>
          <w:rStyle w:val="CharSDivText"/>
        </w:rPr>
        <w:t>Prescribed offences and modified penalties: forms</w:t>
      </w:r>
      <w:bookmarkEnd w:id="519"/>
      <w:bookmarkEnd w:id="520"/>
      <w:bookmarkEnd w:id="521"/>
      <w:bookmarkEnd w:id="522"/>
      <w:bookmarkEnd w:id="523"/>
      <w:bookmarkEnd w:id="524"/>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 SL 2020/173 r. 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525" w:name="_Toc57705867"/>
      <w:bookmarkStart w:id="526" w:name="_Toc57713638"/>
      <w:bookmarkStart w:id="527" w:name="_Toc57882542"/>
      <w:bookmarkStart w:id="528" w:name="_Toc51756654"/>
      <w:bookmarkStart w:id="529" w:name="_Toc51768457"/>
      <w:bookmarkStart w:id="530" w:name="_Toc51832358"/>
      <w:r>
        <w:rPr>
          <w:rStyle w:val="CharSchNo"/>
        </w:rPr>
        <w:t>Schedule 6</w:t>
      </w:r>
      <w:r>
        <w:rPr>
          <w:rStyle w:val="CharSDivNo"/>
        </w:rPr>
        <w:t> </w:t>
      </w:r>
      <w:r>
        <w:t>—</w:t>
      </w:r>
      <w:r>
        <w:rPr>
          <w:rStyle w:val="CharSDivText"/>
        </w:rPr>
        <w:t> </w:t>
      </w:r>
      <w:r>
        <w:rPr>
          <w:rStyle w:val="CharSchText"/>
        </w:rPr>
        <w:t>Form of warrant to enter</w:t>
      </w:r>
      <w:bookmarkEnd w:id="525"/>
      <w:bookmarkEnd w:id="526"/>
      <w:bookmarkEnd w:id="527"/>
      <w:bookmarkEnd w:id="528"/>
      <w:bookmarkEnd w:id="529"/>
      <w:bookmarkEnd w:id="530"/>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tc>
          <w:tcPr>
            <w:tcW w:w="3969" w:type="dxa"/>
            <w:gridSpan w:val="4"/>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5"/>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gridSpan w:val="2"/>
          </w:tcPr>
          <w:p>
            <w:pPr>
              <w:pStyle w:val="yTable"/>
              <w:spacing w:before="0" w:after="40"/>
              <w:rPr>
                <w:szCs w:val="22"/>
              </w:rPr>
            </w:pPr>
            <w:r>
              <w:rPr>
                <w:szCs w:val="22"/>
              </w:rPr>
              <w:t xml:space="preserve">Name </w:t>
            </w:r>
          </w:p>
        </w:tc>
        <w:tc>
          <w:tcPr>
            <w:tcW w:w="4253" w:type="dxa"/>
            <w:gridSpan w:val="6"/>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gridSpan w:val="2"/>
          </w:tcPr>
          <w:p>
            <w:pPr>
              <w:pStyle w:val="yTable"/>
              <w:spacing w:before="0" w:after="40"/>
              <w:rPr>
                <w:szCs w:val="22"/>
              </w:rPr>
            </w:pPr>
            <w:r>
              <w:rPr>
                <w:szCs w:val="22"/>
              </w:rPr>
              <w:t>Official title</w:t>
            </w:r>
          </w:p>
        </w:tc>
        <w:tc>
          <w:tcPr>
            <w:tcW w:w="4253" w:type="dxa"/>
            <w:gridSpan w:val="6"/>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8"/>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8"/>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8"/>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gridSpan w:val="2"/>
          </w:tcPr>
          <w:p>
            <w:pPr>
              <w:pStyle w:val="yTable"/>
              <w:spacing w:before="0" w:after="40"/>
              <w:rPr>
                <w:szCs w:val="22"/>
              </w:rPr>
            </w:pPr>
            <w:r>
              <w:rPr>
                <w:szCs w:val="22"/>
              </w:rPr>
              <w:t>Name of JP</w:t>
            </w:r>
          </w:p>
        </w:tc>
        <w:tc>
          <w:tcPr>
            <w:tcW w:w="4253" w:type="dxa"/>
            <w:gridSpan w:val="6"/>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Date</w:t>
            </w:r>
          </w:p>
        </w:tc>
        <w:tc>
          <w:tcPr>
            <w:tcW w:w="2127" w:type="dxa"/>
            <w:gridSpan w:val="4"/>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8"/>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r>
        <w:trPr>
          <w:cantSplit/>
          <w:trHeight w:val="222"/>
        </w:trPr>
        <w:tc>
          <w:tcPr>
            <w:tcW w:w="1418" w:type="dxa"/>
            <w:vMerge w:val="restart"/>
          </w:tcPr>
          <w:p>
            <w:pPr>
              <w:pStyle w:val="yTable"/>
              <w:keepNext/>
              <w:keepLines/>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3"/>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gridSpan w:val="3"/>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8"/>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6"/>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6"/>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81" w:right="2410" w:bottom="3544" w:left="2410" w:header="720" w:footer="3380" w:gutter="0"/>
          <w:cols w:space="720"/>
          <w:docGrid w:linePitch="326"/>
        </w:sectPr>
      </w:pPr>
    </w:p>
    <w:p>
      <w:pPr>
        <w:pStyle w:val="nHeading2"/>
      </w:pPr>
      <w:bookmarkStart w:id="531" w:name="_Toc57705868"/>
      <w:bookmarkStart w:id="532" w:name="_Toc57713639"/>
      <w:bookmarkStart w:id="533" w:name="_Toc57882543"/>
      <w:bookmarkStart w:id="534" w:name="_Toc51756655"/>
      <w:bookmarkStart w:id="535" w:name="_Toc51768458"/>
      <w:bookmarkStart w:id="536" w:name="_Toc51832359"/>
      <w:r>
        <w:t>Notes</w:t>
      </w:r>
      <w:bookmarkEnd w:id="531"/>
      <w:bookmarkEnd w:id="532"/>
      <w:bookmarkEnd w:id="533"/>
      <w:bookmarkEnd w:id="534"/>
      <w:bookmarkEnd w:id="535"/>
      <w:bookmarkEnd w:id="536"/>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w:t>
      </w:r>
    </w:p>
    <w:p>
      <w:pPr>
        <w:pStyle w:val="nHeading3"/>
      </w:pPr>
      <w:bookmarkStart w:id="537" w:name="_Toc57882544"/>
      <w:bookmarkStart w:id="538" w:name="_Toc51832360"/>
      <w:r>
        <w:t>Compilation table</w:t>
      </w:r>
      <w:bookmarkEnd w:id="537"/>
      <w:bookmarkEnd w:id="5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pPr>
              <w:pStyle w:val="nTable"/>
              <w:spacing w:after="40"/>
            </w:pPr>
            <w:r>
              <w:t>SL 2020/95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pPr>
            <w:r>
              <w:rPr>
                <w:bCs/>
                <w:snapToGrid w:val="0"/>
                <w:spacing w:val="-2"/>
              </w:rPr>
              <w:t>29 Sep 2020 (see r. 2(b) and SL 2020/159 cl. 2(a))</w:t>
            </w:r>
          </w:p>
        </w:tc>
      </w:tr>
      <w:tr>
        <w:trPr>
          <w:cantSplit/>
          <w:ins w:id="539" w:author="Master Repository Process" w:date="2021-09-18T21:19:00Z"/>
        </w:trPr>
        <w:tc>
          <w:tcPr>
            <w:tcW w:w="3118" w:type="dxa"/>
            <w:tcBorders>
              <w:top w:val="nil"/>
              <w:bottom w:val="single" w:sz="4" w:space="0" w:color="auto"/>
            </w:tcBorders>
            <w:shd w:val="clear" w:color="auto" w:fill="auto"/>
          </w:tcPr>
          <w:p>
            <w:pPr>
              <w:pStyle w:val="nTable"/>
              <w:spacing w:after="40"/>
              <w:ind w:right="113"/>
              <w:rPr>
                <w:ins w:id="540" w:author="Master Repository Process" w:date="2021-09-18T21:19:00Z"/>
                <w:i/>
              </w:rPr>
            </w:pPr>
            <w:ins w:id="541" w:author="Master Repository Process" w:date="2021-09-18T21:19:00Z">
              <w:r>
                <w:rPr>
                  <w:i/>
                </w:rPr>
                <w:t>Water Services Amendment Regulations 2020</w:t>
              </w:r>
            </w:ins>
          </w:p>
        </w:tc>
        <w:tc>
          <w:tcPr>
            <w:tcW w:w="1276" w:type="dxa"/>
            <w:tcBorders>
              <w:top w:val="nil"/>
              <w:bottom w:val="single" w:sz="4" w:space="0" w:color="auto"/>
            </w:tcBorders>
            <w:shd w:val="clear" w:color="auto" w:fill="auto"/>
          </w:tcPr>
          <w:p>
            <w:pPr>
              <w:pStyle w:val="nTable"/>
              <w:spacing w:after="40"/>
              <w:rPr>
                <w:ins w:id="542" w:author="Master Repository Process" w:date="2021-09-18T21:19:00Z"/>
              </w:rPr>
            </w:pPr>
            <w:ins w:id="543" w:author="Master Repository Process" w:date="2021-09-18T21:19:00Z">
              <w:r>
                <w:t>SL 2020/240 4 Dec 2020</w:t>
              </w:r>
            </w:ins>
          </w:p>
        </w:tc>
        <w:tc>
          <w:tcPr>
            <w:tcW w:w="2693" w:type="dxa"/>
            <w:tcBorders>
              <w:top w:val="nil"/>
              <w:bottom w:val="single" w:sz="4" w:space="0" w:color="auto"/>
            </w:tcBorders>
            <w:shd w:val="clear" w:color="auto" w:fill="auto"/>
          </w:tcPr>
          <w:p>
            <w:pPr>
              <w:pStyle w:val="nTable"/>
              <w:spacing w:after="40"/>
              <w:rPr>
                <w:ins w:id="544" w:author="Master Repository Process" w:date="2021-09-18T21:19:00Z"/>
                <w:bCs/>
                <w:snapToGrid w:val="0"/>
                <w:spacing w:val="-2"/>
              </w:rPr>
            </w:pPr>
            <w:ins w:id="545" w:author="Master Repository Process" w:date="2021-09-18T21:19:00Z">
              <w:r>
                <w:rPr>
                  <w:bCs/>
                  <w:snapToGrid w:val="0"/>
                  <w:spacing w:val="-2"/>
                </w:rPr>
                <w:t>r. 1 and 2: 4 Dec 2020 (see r. 2(a));</w:t>
              </w:r>
              <w:r>
                <w:rPr>
                  <w:bCs/>
                  <w:snapToGrid w:val="0"/>
                  <w:spacing w:val="-2"/>
                </w:rPr>
                <w:br/>
                <w:t>Regulations other than r. 1 and 2: 5 Dec 2020 (see r. 2(b))</w:t>
              </w:r>
            </w:ins>
          </w:p>
        </w:tc>
      </w:tr>
    </w:tbl>
    <w:p>
      <w:pPr>
        <w:pStyle w:val="nHeading3"/>
      </w:pPr>
      <w:bookmarkStart w:id="546" w:name="_Toc57882545"/>
      <w:bookmarkStart w:id="547" w:name="_Toc51832361"/>
      <w:r>
        <w:t>Other notes</w:t>
      </w:r>
      <w:bookmarkEnd w:id="546"/>
      <w:bookmarkEnd w:id="547"/>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8" w:name="Compilation"/>
    <w:bookmarkEnd w:id="54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9" w:name="Coversheet"/>
    <w:bookmarkEnd w:id="5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64" w:name="Schedule"/>
    <w:bookmarkEnd w:id="4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01085851"/>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BFE346-8EC0-4729-89BA-6C308773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1D2E-6B2D-41F3-B03E-C835AF95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23331</Words>
  <Characters>111292</Characters>
  <Application>Microsoft Office Word</Application>
  <DocSecurity>0</DocSecurity>
  <Lines>3477</Lines>
  <Paragraphs>1979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01-i0-00 - 01-j0-00</dc:title>
  <dc:subject/>
  <dc:creator/>
  <cp:keywords/>
  <dc:description/>
  <cp:lastModifiedBy>Master Repository Process</cp:lastModifiedBy>
  <cp:revision>2</cp:revision>
  <cp:lastPrinted>2017-08-03T04:02:00Z</cp:lastPrinted>
  <dcterms:created xsi:type="dcterms:W3CDTF">2021-09-18T13:18:00Z</dcterms:created>
  <dcterms:modified xsi:type="dcterms:W3CDTF">2021-09-18T13:19:00Z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20201205</vt:lpwstr>
  </property>
  <property fmtid="{D5CDD505-2E9C-101B-9397-08002B2CF9AE}" pid="7" name="FromSuffix">
    <vt:lpwstr>01-i0-00</vt:lpwstr>
  </property>
  <property fmtid="{D5CDD505-2E9C-101B-9397-08002B2CF9AE}" pid="8" name="FromAsAtDate">
    <vt:lpwstr>29 Sep 2020</vt:lpwstr>
  </property>
  <property fmtid="{D5CDD505-2E9C-101B-9397-08002B2CF9AE}" pid="9" name="ToSuffix">
    <vt:lpwstr>01-j0-00</vt:lpwstr>
  </property>
  <property fmtid="{D5CDD505-2E9C-101B-9397-08002B2CF9AE}" pid="10" name="ToAsAtDate">
    <vt:lpwstr>05 Dec 2020</vt:lpwstr>
  </property>
</Properties>
</file>