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2019</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18 Dec 2020</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1T20:02:00Z"/>
        </w:rPr>
      </w:pPr>
      <w:del w:id="2" w:author="Master Repository Process" w:date="2021-09-11T20:02:00Z">
        <w:r>
          <w:lastRenderedPageBreak/>
          <w:delText>Western Australia</w:delText>
        </w:r>
      </w:del>
    </w:p>
    <w:p>
      <w:pPr>
        <w:pStyle w:val="PrincipalActReg"/>
      </w:pPr>
      <w:r>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3" w:name="_Toc58937187"/>
      <w:bookmarkStart w:id="4" w:name="_Toc58937587"/>
      <w:bookmarkStart w:id="5" w:name="_Toc58943732"/>
      <w:bookmarkStart w:id="6" w:name="_Toc377133761"/>
      <w:bookmarkStart w:id="7" w:name="_Toc412552999"/>
      <w:bookmarkStart w:id="8" w:name="_Toc412553047"/>
      <w:bookmarkStart w:id="9" w:name="_Toc455147011"/>
      <w:bookmarkStart w:id="10" w:name="_Toc16582417"/>
      <w:bookmarkStart w:id="11" w:name="_Toc16582509"/>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p>
    <w:p>
      <w:pPr>
        <w:pStyle w:val="Heading5"/>
      </w:pPr>
      <w:bookmarkStart w:id="13" w:name="_Toc58943733"/>
      <w:bookmarkStart w:id="14" w:name="_Toc377133762"/>
      <w:bookmarkStart w:id="15" w:name="_Toc16582510"/>
      <w:r>
        <w:rPr>
          <w:rStyle w:val="CharSectno"/>
        </w:rPr>
        <w:t>1</w:t>
      </w:r>
      <w:r>
        <w:t>.</w:t>
      </w:r>
      <w:r>
        <w:tab/>
        <w:t>Citation</w:t>
      </w:r>
      <w:bookmarkEnd w:id="13"/>
      <w:bookmarkEnd w:id="14"/>
      <w:bookmarkEnd w:id="15"/>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del w:id="16" w:author="Master Repository Process" w:date="2021-09-11T20:02:00Z">
        <w:r>
          <w:rPr>
            <w:iCs/>
            <w:vertAlign w:val="superscript"/>
          </w:rPr>
          <w:delText> 1</w:delText>
        </w:r>
      </w:del>
      <w:r>
        <w:t>.</w:t>
      </w:r>
    </w:p>
    <w:p>
      <w:pPr>
        <w:pStyle w:val="Heading5"/>
        <w:rPr>
          <w:spacing w:val="-2"/>
        </w:rPr>
      </w:pPr>
      <w:bookmarkStart w:id="17" w:name="_Toc58943734"/>
      <w:bookmarkStart w:id="18" w:name="_Toc377133763"/>
      <w:bookmarkStart w:id="19" w:name="_Toc16582511"/>
      <w:r>
        <w:rPr>
          <w:rStyle w:val="CharSectno"/>
        </w:rPr>
        <w:t>2</w:t>
      </w:r>
      <w:r>
        <w:rPr>
          <w:spacing w:val="-2"/>
        </w:rPr>
        <w:t>.</w:t>
      </w:r>
      <w:r>
        <w:rPr>
          <w:spacing w:val="-2"/>
        </w:rPr>
        <w:tab/>
        <w:t>Commencement</w:t>
      </w:r>
      <w:bookmarkEnd w:id="17"/>
      <w:bookmarkEnd w:id="18"/>
      <w:bookmarkEnd w:id="19"/>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del w:id="20" w:author="Master Repository Process" w:date="2021-09-11T20:02:00Z">
        <w:r>
          <w:rPr>
            <w:iCs/>
            <w:vertAlign w:val="superscript"/>
          </w:rPr>
          <w:delText> 1</w:delText>
        </w:r>
      </w:del>
      <w:r>
        <w:t>.</w:t>
      </w:r>
    </w:p>
    <w:p>
      <w:pPr>
        <w:pStyle w:val="Heading5"/>
      </w:pPr>
      <w:bookmarkStart w:id="21" w:name="_Toc58943735"/>
      <w:bookmarkStart w:id="22" w:name="_Toc377133764"/>
      <w:bookmarkStart w:id="23" w:name="_Toc16582512"/>
      <w:r>
        <w:rPr>
          <w:rStyle w:val="CharSectno"/>
        </w:rPr>
        <w:t>3</w:t>
      </w:r>
      <w:r>
        <w:t>.</w:t>
      </w:r>
      <w:r>
        <w:tab/>
        <w:t>Terms used (Glossary)</w:t>
      </w:r>
      <w:bookmarkEnd w:id="21"/>
      <w:bookmarkEnd w:id="22"/>
      <w:bookmarkEnd w:id="23"/>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24" w:name="_Toc58937191"/>
      <w:bookmarkStart w:id="25" w:name="_Toc58937591"/>
      <w:bookmarkStart w:id="26" w:name="_Toc58943736"/>
      <w:bookmarkStart w:id="27" w:name="_Toc377133765"/>
      <w:bookmarkStart w:id="28" w:name="_Toc412553003"/>
      <w:bookmarkStart w:id="29" w:name="_Toc412553051"/>
      <w:bookmarkStart w:id="30" w:name="_Toc455147015"/>
      <w:bookmarkStart w:id="31" w:name="_Toc16582421"/>
      <w:bookmarkStart w:id="32" w:name="_Toc16582513"/>
      <w:r>
        <w:rPr>
          <w:rStyle w:val="CharPartNo"/>
        </w:rPr>
        <w:t>Part 2</w:t>
      </w:r>
      <w:r>
        <w:t> — </w:t>
      </w:r>
      <w:r>
        <w:rPr>
          <w:rStyle w:val="CharPartText"/>
        </w:rPr>
        <w:t>Various exemptions and inclusions</w:t>
      </w:r>
      <w:bookmarkEnd w:id="24"/>
      <w:bookmarkEnd w:id="25"/>
      <w:bookmarkEnd w:id="26"/>
      <w:bookmarkEnd w:id="27"/>
      <w:bookmarkEnd w:id="28"/>
      <w:bookmarkEnd w:id="29"/>
      <w:bookmarkEnd w:id="30"/>
      <w:bookmarkEnd w:id="31"/>
      <w:bookmarkEnd w:id="32"/>
    </w:p>
    <w:p>
      <w:pPr>
        <w:pStyle w:val="Heading3"/>
      </w:pPr>
      <w:bookmarkStart w:id="33" w:name="_Toc58937192"/>
      <w:bookmarkStart w:id="34" w:name="_Toc58937592"/>
      <w:bookmarkStart w:id="35" w:name="_Toc58943737"/>
      <w:bookmarkStart w:id="36" w:name="_Toc377133766"/>
      <w:bookmarkStart w:id="37" w:name="_Toc412553004"/>
      <w:bookmarkStart w:id="38" w:name="_Toc412553052"/>
      <w:bookmarkStart w:id="39" w:name="_Toc455147016"/>
      <w:bookmarkStart w:id="40" w:name="_Toc16582422"/>
      <w:bookmarkStart w:id="41" w:name="_Toc16582514"/>
      <w:r>
        <w:rPr>
          <w:rStyle w:val="CharDivNo"/>
        </w:rPr>
        <w:t>Division 1</w:t>
      </w:r>
      <w:r>
        <w:t> — </w:t>
      </w:r>
      <w:r>
        <w:rPr>
          <w:rStyle w:val="CharDivText"/>
        </w:rPr>
        <w:t>Miscellaneous</w:t>
      </w:r>
      <w:bookmarkEnd w:id="33"/>
      <w:bookmarkEnd w:id="34"/>
      <w:bookmarkEnd w:id="35"/>
      <w:bookmarkEnd w:id="36"/>
      <w:bookmarkEnd w:id="37"/>
      <w:bookmarkEnd w:id="38"/>
      <w:bookmarkEnd w:id="39"/>
      <w:bookmarkEnd w:id="40"/>
      <w:bookmarkEnd w:id="41"/>
    </w:p>
    <w:p>
      <w:pPr>
        <w:pStyle w:val="Heading5"/>
      </w:pPr>
      <w:bookmarkStart w:id="42" w:name="_Toc58943738"/>
      <w:bookmarkStart w:id="43" w:name="_Toc377133767"/>
      <w:bookmarkStart w:id="44" w:name="_Toc16582515"/>
      <w:r>
        <w:rPr>
          <w:rStyle w:val="CharSectno"/>
        </w:rPr>
        <w:t>4</w:t>
      </w:r>
      <w:r>
        <w:t>.</w:t>
      </w:r>
      <w:r>
        <w:tab/>
        <w:t>Departments etc. prescribed (Act s. 40(2)(q))</w:t>
      </w:r>
      <w:bookmarkEnd w:id="42"/>
      <w:bookmarkEnd w:id="43"/>
      <w:bookmarkEnd w:id="44"/>
      <w:r>
        <w:t xml:space="preserve"> </w:t>
      </w:r>
    </w:p>
    <w:p>
      <w:pPr>
        <w:pStyle w:val="Subsection"/>
      </w:pPr>
      <w:r>
        <w:tab/>
      </w:r>
      <w:r>
        <w:tab/>
        <w:t>The departments and other organisations listed in Schedule 1 are prescribed for the purposes of section 40(2)(q) of the Act.</w:t>
      </w:r>
    </w:p>
    <w:p>
      <w:pPr>
        <w:pStyle w:val="Heading5"/>
      </w:pPr>
      <w:bookmarkStart w:id="45" w:name="_Toc58943739"/>
      <w:bookmarkStart w:id="46" w:name="_Toc377133768"/>
      <w:bookmarkStart w:id="47" w:name="_Toc16582516"/>
      <w:r>
        <w:rPr>
          <w:rStyle w:val="CharSectno"/>
        </w:rPr>
        <w:t>5</w:t>
      </w:r>
      <w:r>
        <w:t>.</w:t>
      </w:r>
      <w:r>
        <w:tab/>
        <w:t xml:space="preserve">Class of contract prescribed (Act s. 9AA(1) </w:t>
      </w:r>
      <w:r>
        <w:rPr>
          <w:i/>
        </w:rPr>
        <w:t>wages</w:t>
      </w:r>
      <w:r>
        <w:t>)</w:t>
      </w:r>
      <w:bookmarkEnd w:id="45"/>
      <w:bookmarkEnd w:id="46"/>
      <w:bookmarkEnd w:id="47"/>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Act No. 15 of 2010 s. 29.]</w:t>
      </w:r>
    </w:p>
    <w:p>
      <w:pPr>
        <w:pStyle w:val="Heading5"/>
      </w:pPr>
      <w:bookmarkStart w:id="48" w:name="_Toc58943740"/>
      <w:bookmarkStart w:id="49" w:name="_Toc377133769"/>
      <w:bookmarkStart w:id="50" w:name="_Toc16582517"/>
      <w:r>
        <w:rPr>
          <w:rStyle w:val="CharSectno"/>
        </w:rPr>
        <w:t>6</w:t>
      </w:r>
      <w:r>
        <w:t>.</w:t>
      </w:r>
      <w:r>
        <w:tab/>
        <w:t>Contracts excluded from r. 5</w:t>
      </w:r>
      <w:bookmarkEnd w:id="48"/>
      <w:bookmarkEnd w:id="49"/>
      <w:bookmarkEnd w:id="50"/>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w:t>
      </w:r>
      <w:del w:id="51" w:author="Master Repository Process" w:date="2021-09-11T20:02:00Z">
        <w:r>
          <w:rPr>
            <w:vertAlign w:val="superscript"/>
          </w:rPr>
          <w:delText>2</w:delText>
        </w:r>
      </w:del>
      <w:ins w:id="52" w:author="Master Repository Process" w:date="2021-09-11T20:02:00Z">
        <w:r>
          <w:rPr>
            <w:vertAlign w:val="superscript"/>
          </w:rPr>
          <w:t>1</w:t>
        </w:r>
      </w:ins>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53" w:name="_Toc58937196"/>
      <w:bookmarkStart w:id="54" w:name="_Toc58937596"/>
      <w:bookmarkStart w:id="55" w:name="_Toc58943741"/>
      <w:bookmarkStart w:id="56" w:name="_Toc377133770"/>
      <w:bookmarkStart w:id="57" w:name="_Toc412553008"/>
      <w:bookmarkStart w:id="58" w:name="_Toc412553056"/>
      <w:bookmarkStart w:id="59" w:name="_Toc455147020"/>
      <w:bookmarkStart w:id="60" w:name="_Toc16582426"/>
      <w:bookmarkStart w:id="61" w:name="_Toc16582518"/>
      <w:r>
        <w:rPr>
          <w:rStyle w:val="CharDivNo"/>
        </w:rPr>
        <w:t>Division 2</w:t>
      </w:r>
      <w:r>
        <w:t> — </w:t>
      </w:r>
      <w:r>
        <w:rPr>
          <w:rStyle w:val="CharDivText"/>
        </w:rPr>
        <w:t>Remote location benefits</w:t>
      </w:r>
      <w:bookmarkEnd w:id="53"/>
      <w:bookmarkEnd w:id="54"/>
      <w:bookmarkEnd w:id="55"/>
      <w:bookmarkEnd w:id="56"/>
      <w:bookmarkEnd w:id="57"/>
      <w:bookmarkEnd w:id="58"/>
      <w:bookmarkEnd w:id="59"/>
      <w:bookmarkEnd w:id="60"/>
      <w:bookmarkEnd w:id="61"/>
    </w:p>
    <w:p>
      <w:pPr>
        <w:pStyle w:val="Heading5"/>
      </w:pPr>
      <w:bookmarkStart w:id="62" w:name="_Toc58943742"/>
      <w:bookmarkStart w:id="63" w:name="_Toc377133771"/>
      <w:bookmarkStart w:id="64" w:name="_Toc16582519"/>
      <w:r>
        <w:rPr>
          <w:rStyle w:val="CharSectno"/>
        </w:rPr>
        <w:t>7</w:t>
      </w:r>
      <w:r>
        <w:t>.</w:t>
      </w:r>
      <w:r>
        <w:tab/>
        <w:t>Kinds of wages prescribed (Act s. 40(2)(r))</w:t>
      </w:r>
      <w:bookmarkEnd w:id="62"/>
      <w:bookmarkEnd w:id="63"/>
      <w:bookmarkEnd w:id="64"/>
    </w:p>
    <w:p>
      <w:pPr>
        <w:pStyle w:val="Subsection"/>
      </w:pPr>
      <w:r>
        <w:tab/>
      </w:r>
      <w:r>
        <w:tab/>
        <w:t>Wages of a kind referred to in this Division are prescribed for the purposes of section 40(2)(r) of the Act to the extent specified in this Division.</w:t>
      </w:r>
    </w:p>
    <w:p>
      <w:pPr>
        <w:pStyle w:val="Heading5"/>
      </w:pPr>
      <w:bookmarkStart w:id="65" w:name="_Toc58943743"/>
      <w:bookmarkStart w:id="66" w:name="_Toc377133772"/>
      <w:bookmarkStart w:id="67" w:name="_Toc16582520"/>
      <w:r>
        <w:rPr>
          <w:rStyle w:val="CharSectno"/>
        </w:rPr>
        <w:t>8</w:t>
      </w:r>
      <w:r>
        <w:t>.</w:t>
      </w:r>
      <w:r>
        <w:tab/>
        <w:t>Fringe benefits etc. relating to certain education costs of employee’s dependant</w:t>
      </w:r>
      <w:bookmarkEnd w:id="65"/>
      <w:bookmarkEnd w:id="66"/>
      <w:bookmarkEnd w:id="67"/>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68" w:name="_Toc58943744"/>
      <w:bookmarkStart w:id="69" w:name="_Toc377133773"/>
      <w:bookmarkStart w:id="70" w:name="_Toc16582521"/>
      <w:r>
        <w:rPr>
          <w:rStyle w:val="CharSectno"/>
        </w:rPr>
        <w:t>9</w:t>
      </w:r>
      <w:r>
        <w:t>.</w:t>
      </w:r>
      <w:r>
        <w:tab/>
        <w:t>Fringe benefits relating to water and residential fuel</w:t>
      </w:r>
      <w:bookmarkEnd w:id="68"/>
      <w:bookmarkEnd w:id="69"/>
      <w:bookmarkEnd w:id="70"/>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71" w:name="_Toc58943745"/>
      <w:bookmarkStart w:id="72" w:name="_Toc377133774"/>
      <w:bookmarkStart w:id="73" w:name="_Toc16582522"/>
      <w:r>
        <w:rPr>
          <w:rStyle w:val="CharSectno"/>
        </w:rPr>
        <w:t>10</w:t>
      </w:r>
      <w:r>
        <w:t>.</w:t>
      </w:r>
      <w:r>
        <w:tab/>
        <w:t>Fringe benefits etc. for housing, electricity etc.</w:t>
      </w:r>
      <w:bookmarkEnd w:id="71"/>
      <w:bookmarkEnd w:id="72"/>
      <w:bookmarkEnd w:id="73"/>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74" w:name="_Toc58937201"/>
      <w:bookmarkStart w:id="75" w:name="_Toc58937601"/>
      <w:bookmarkStart w:id="76" w:name="_Toc58943746"/>
      <w:bookmarkStart w:id="77" w:name="_Toc377133775"/>
      <w:bookmarkStart w:id="78" w:name="_Toc412553013"/>
      <w:bookmarkStart w:id="79" w:name="_Toc412553061"/>
      <w:bookmarkStart w:id="80" w:name="_Toc455147025"/>
      <w:bookmarkStart w:id="81" w:name="_Toc16582431"/>
      <w:bookmarkStart w:id="82" w:name="_Toc16582523"/>
      <w:r>
        <w:rPr>
          <w:rStyle w:val="CharDivNo"/>
        </w:rPr>
        <w:t>Division 3</w:t>
      </w:r>
      <w:r>
        <w:t> — </w:t>
      </w:r>
      <w:r>
        <w:rPr>
          <w:rStyle w:val="CharDivText"/>
        </w:rPr>
        <w:t>Specified taxable benefits</w:t>
      </w:r>
      <w:bookmarkEnd w:id="74"/>
      <w:bookmarkEnd w:id="75"/>
      <w:bookmarkEnd w:id="76"/>
      <w:bookmarkEnd w:id="77"/>
      <w:bookmarkEnd w:id="78"/>
      <w:bookmarkEnd w:id="79"/>
      <w:bookmarkEnd w:id="80"/>
      <w:bookmarkEnd w:id="81"/>
      <w:bookmarkEnd w:id="82"/>
    </w:p>
    <w:p>
      <w:pPr>
        <w:pStyle w:val="Heading5"/>
      </w:pPr>
      <w:bookmarkStart w:id="83" w:name="_Toc58943747"/>
      <w:bookmarkStart w:id="84" w:name="_Toc377133776"/>
      <w:bookmarkStart w:id="85" w:name="_Toc16582524"/>
      <w:r>
        <w:rPr>
          <w:rStyle w:val="CharSectno"/>
        </w:rPr>
        <w:t>11</w:t>
      </w:r>
      <w:r>
        <w:t>.</w:t>
      </w:r>
      <w:r>
        <w:tab/>
        <w:t>Contributions to redundancy benefits scheme</w:t>
      </w:r>
      <w:bookmarkEnd w:id="83"/>
      <w:bookmarkEnd w:id="84"/>
      <w:bookmarkEnd w:id="85"/>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86" w:name="_Toc58943748"/>
      <w:bookmarkStart w:id="87" w:name="_Toc377133777"/>
      <w:bookmarkStart w:id="88" w:name="_Toc16582525"/>
      <w:r>
        <w:rPr>
          <w:rStyle w:val="CharSectno"/>
        </w:rPr>
        <w:t>12</w:t>
      </w:r>
      <w:r>
        <w:t>.</w:t>
      </w:r>
      <w:r>
        <w:tab/>
        <w:t>Value of redundancy benefits scheme contributions (Act s. 9BI)</w:t>
      </w:r>
      <w:bookmarkEnd w:id="86"/>
      <w:bookmarkEnd w:id="87"/>
      <w:bookmarkEnd w:id="88"/>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Act No. 15 of 2010 s. 30.]</w:t>
      </w:r>
    </w:p>
    <w:p>
      <w:pPr>
        <w:pStyle w:val="Heading5"/>
      </w:pPr>
      <w:bookmarkStart w:id="89" w:name="_Toc58943749"/>
      <w:bookmarkStart w:id="90" w:name="_Toc377133778"/>
      <w:bookmarkStart w:id="91" w:name="_Toc16582526"/>
      <w:r>
        <w:rPr>
          <w:rStyle w:val="CharSectno"/>
        </w:rPr>
        <w:t>13</w:t>
      </w:r>
      <w:r>
        <w:t>.</w:t>
      </w:r>
      <w:r>
        <w:tab/>
        <w:t>Contributions to portable paid long service leave fund</w:t>
      </w:r>
      <w:bookmarkEnd w:id="89"/>
      <w:bookmarkEnd w:id="90"/>
      <w:bookmarkEnd w:id="91"/>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92" w:name="_Toc58943750"/>
      <w:bookmarkStart w:id="93" w:name="_Toc377133779"/>
      <w:bookmarkStart w:id="94" w:name="_Toc16582527"/>
      <w:r>
        <w:rPr>
          <w:rStyle w:val="CharSectno"/>
        </w:rPr>
        <w:t>14</w:t>
      </w:r>
      <w:r>
        <w:t>.</w:t>
      </w:r>
      <w:r>
        <w:tab/>
        <w:t>Value of portable long service leave fund contributions (Act s. 9BI)</w:t>
      </w:r>
      <w:bookmarkEnd w:id="92"/>
      <w:bookmarkEnd w:id="93"/>
      <w:bookmarkEnd w:id="94"/>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Act No. 15 of 2010 s. 31.]</w:t>
      </w:r>
    </w:p>
    <w:p>
      <w:pPr>
        <w:pStyle w:val="Heading5"/>
      </w:pPr>
      <w:bookmarkStart w:id="95" w:name="_Toc58943751"/>
      <w:bookmarkStart w:id="96" w:name="_Toc377133780"/>
      <w:bookmarkStart w:id="97" w:name="_Toc16582528"/>
      <w:r>
        <w:rPr>
          <w:rStyle w:val="CharSectno"/>
        </w:rPr>
        <w:t>15</w:t>
      </w:r>
      <w:r>
        <w:t>.</w:t>
      </w:r>
      <w:r>
        <w:tab/>
        <w:t>Exempt wages prescribed (Act s. 40(4))</w:t>
      </w:r>
      <w:bookmarkEnd w:id="95"/>
      <w:bookmarkEnd w:id="96"/>
      <w:bookmarkEnd w:id="97"/>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r>
        <w:t>[</w:t>
      </w:r>
      <w:r>
        <w:rPr>
          <w:b/>
          <w:bCs/>
        </w:rPr>
        <w:t>17, 18.</w:t>
      </w:r>
      <w:r>
        <w:tab/>
        <w:t>Deleted: Act No. 15 of 2010 s. 32.]</w:t>
      </w:r>
    </w:p>
    <w:p>
      <w:pPr>
        <w:pStyle w:val="Heading3"/>
      </w:pPr>
      <w:bookmarkStart w:id="98" w:name="_Toc58937207"/>
      <w:bookmarkStart w:id="99" w:name="_Toc58937607"/>
      <w:bookmarkStart w:id="100" w:name="_Toc58943752"/>
      <w:bookmarkStart w:id="101" w:name="_Toc377133781"/>
      <w:bookmarkStart w:id="102" w:name="_Toc412553019"/>
      <w:bookmarkStart w:id="103" w:name="_Toc412553067"/>
      <w:bookmarkStart w:id="104" w:name="_Toc455147031"/>
      <w:bookmarkStart w:id="105" w:name="_Toc16582437"/>
      <w:bookmarkStart w:id="106" w:name="_Toc16582529"/>
      <w:r>
        <w:rPr>
          <w:rStyle w:val="CharDivNo"/>
        </w:rPr>
        <w:t>Division 4A</w:t>
      </w:r>
      <w:r>
        <w:t> — </w:t>
      </w:r>
      <w:r>
        <w:rPr>
          <w:rStyle w:val="CharDivText"/>
        </w:rPr>
        <w:t>Disability wages subsidy</w:t>
      </w:r>
      <w:bookmarkEnd w:id="98"/>
      <w:bookmarkEnd w:id="99"/>
      <w:bookmarkEnd w:id="100"/>
      <w:bookmarkEnd w:id="101"/>
      <w:bookmarkEnd w:id="102"/>
      <w:bookmarkEnd w:id="103"/>
      <w:bookmarkEnd w:id="104"/>
      <w:bookmarkEnd w:id="105"/>
      <w:bookmarkEnd w:id="106"/>
    </w:p>
    <w:p>
      <w:pPr>
        <w:pStyle w:val="Footnoteheading"/>
        <w:keepNext/>
      </w:pPr>
      <w:r>
        <w:rPr>
          <w:snapToGrid w:val="0"/>
        </w:rPr>
        <w:tab/>
        <w:t>[Heading inserted: Gazette 11 Oct 2013 p. 4624.]</w:t>
      </w:r>
    </w:p>
    <w:p>
      <w:pPr>
        <w:pStyle w:val="Heading5"/>
      </w:pPr>
      <w:bookmarkStart w:id="107" w:name="_Toc58943753"/>
      <w:bookmarkStart w:id="108" w:name="_Toc377133782"/>
      <w:bookmarkStart w:id="109" w:name="_Toc16582530"/>
      <w:r>
        <w:rPr>
          <w:rStyle w:val="CharSectno"/>
        </w:rPr>
        <w:t>16</w:t>
      </w:r>
      <w:r>
        <w:t>.</w:t>
      </w:r>
      <w:r>
        <w:tab/>
        <w:t>Disability wages subsidy prescribed (Act s. 41C)</w:t>
      </w:r>
      <w:bookmarkEnd w:id="107"/>
      <w:bookmarkEnd w:id="108"/>
      <w:bookmarkEnd w:id="109"/>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Gazette 11 Oct 2013 p. 4624</w:t>
      </w:r>
      <w:r>
        <w:noBreakHyphen/>
        <w:t>5.]</w:t>
      </w:r>
    </w:p>
    <w:p>
      <w:pPr>
        <w:pStyle w:val="Heading3"/>
        <w:spacing w:before="280"/>
      </w:pPr>
      <w:bookmarkStart w:id="110" w:name="_Toc58937209"/>
      <w:bookmarkStart w:id="111" w:name="_Toc58937609"/>
      <w:bookmarkStart w:id="112" w:name="_Toc58943754"/>
      <w:bookmarkStart w:id="113" w:name="_Toc377133783"/>
      <w:bookmarkStart w:id="114" w:name="_Toc412553021"/>
      <w:bookmarkStart w:id="115" w:name="_Toc412553069"/>
      <w:bookmarkStart w:id="116" w:name="_Toc455147033"/>
      <w:bookmarkStart w:id="117" w:name="_Toc16582439"/>
      <w:bookmarkStart w:id="118" w:name="_Toc16582531"/>
      <w:r>
        <w:rPr>
          <w:rStyle w:val="CharDivNo"/>
        </w:rPr>
        <w:t>Division 4</w:t>
      </w:r>
      <w:r>
        <w:t> — </w:t>
      </w:r>
      <w:r>
        <w:rPr>
          <w:rStyle w:val="CharDivText"/>
        </w:rPr>
        <w:t>Fringe benefits</w:t>
      </w:r>
      <w:bookmarkEnd w:id="110"/>
      <w:bookmarkEnd w:id="111"/>
      <w:bookmarkEnd w:id="112"/>
      <w:bookmarkEnd w:id="113"/>
      <w:bookmarkEnd w:id="114"/>
      <w:bookmarkEnd w:id="115"/>
      <w:bookmarkEnd w:id="116"/>
      <w:bookmarkEnd w:id="117"/>
      <w:bookmarkEnd w:id="118"/>
    </w:p>
    <w:p>
      <w:pPr>
        <w:pStyle w:val="Ednotesection"/>
      </w:pPr>
      <w:r>
        <w:t>[</w:t>
      </w:r>
      <w:r>
        <w:rPr>
          <w:b/>
          <w:bCs/>
        </w:rPr>
        <w:t>19-26.</w:t>
      </w:r>
      <w:r>
        <w:tab/>
        <w:t>Deleted: Act No. 15 of 2010 s. 33.]</w:t>
      </w:r>
    </w:p>
    <w:p>
      <w:pPr>
        <w:pStyle w:val="Heading5"/>
      </w:pPr>
      <w:bookmarkStart w:id="119" w:name="_Toc58943755"/>
      <w:bookmarkStart w:id="120" w:name="_Toc377133784"/>
      <w:bookmarkStart w:id="121" w:name="_Toc16582532"/>
      <w:r>
        <w:rPr>
          <w:rStyle w:val="CharSectno"/>
        </w:rPr>
        <w:t>27</w:t>
      </w:r>
      <w:r>
        <w:t>.</w:t>
      </w:r>
      <w:r>
        <w:tab/>
        <w:t>Amended FBT Act assessment, employer to give copy of to Commissioner</w:t>
      </w:r>
      <w:bookmarkEnd w:id="119"/>
      <w:bookmarkEnd w:id="120"/>
      <w:bookmarkEnd w:id="121"/>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122" w:name="_Toc58937211"/>
      <w:bookmarkStart w:id="123" w:name="_Toc58937611"/>
      <w:bookmarkStart w:id="124" w:name="_Toc58943756"/>
      <w:bookmarkStart w:id="125" w:name="_Toc377133785"/>
      <w:bookmarkStart w:id="126" w:name="_Toc412553023"/>
      <w:bookmarkStart w:id="127" w:name="_Toc412553071"/>
      <w:bookmarkStart w:id="128" w:name="_Toc455147036"/>
      <w:bookmarkStart w:id="129" w:name="_Toc16582441"/>
      <w:bookmarkStart w:id="130" w:name="_Toc16582533"/>
      <w:r>
        <w:rPr>
          <w:rStyle w:val="CharPartNo"/>
        </w:rPr>
        <w:t>Part 3</w:t>
      </w:r>
      <w:r>
        <w:rPr>
          <w:b w:val="0"/>
        </w:rPr>
        <w:t> </w:t>
      </w:r>
      <w:r>
        <w:t>—</w:t>
      </w:r>
      <w:r>
        <w:rPr>
          <w:b w:val="0"/>
        </w:rPr>
        <w:t> </w:t>
      </w:r>
      <w:r>
        <w:rPr>
          <w:rStyle w:val="CharPartText"/>
        </w:rPr>
        <w:t>Allowances</w:t>
      </w:r>
      <w:bookmarkEnd w:id="122"/>
      <w:bookmarkEnd w:id="123"/>
      <w:bookmarkEnd w:id="124"/>
      <w:bookmarkEnd w:id="125"/>
      <w:bookmarkEnd w:id="126"/>
      <w:bookmarkEnd w:id="127"/>
      <w:bookmarkEnd w:id="128"/>
      <w:bookmarkEnd w:id="129"/>
      <w:bookmarkEnd w:id="130"/>
    </w:p>
    <w:p>
      <w:pPr>
        <w:pStyle w:val="Footnoteheading"/>
      </w:pPr>
      <w:r>
        <w:tab/>
        <w:t>[Heading inserted: Act No. 15 of 2010 s. 34.]</w:t>
      </w:r>
    </w:p>
    <w:p>
      <w:pPr>
        <w:pStyle w:val="Heading3"/>
      </w:pPr>
      <w:bookmarkStart w:id="131" w:name="_Toc58937212"/>
      <w:bookmarkStart w:id="132" w:name="_Toc58937612"/>
      <w:bookmarkStart w:id="133" w:name="_Toc58943757"/>
      <w:bookmarkStart w:id="134" w:name="_Toc377133786"/>
      <w:bookmarkStart w:id="135" w:name="_Toc412553024"/>
      <w:bookmarkStart w:id="136" w:name="_Toc412553072"/>
      <w:bookmarkStart w:id="137" w:name="_Toc455147037"/>
      <w:bookmarkStart w:id="138" w:name="_Toc16582442"/>
      <w:bookmarkStart w:id="139" w:name="_Toc16582534"/>
      <w:r>
        <w:rPr>
          <w:rStyle w:val="CharDivNo"/>
        </w:rPr>
        <w:t>Division 1</w:t>
      </w:r>
      <w:r>
        <w:t> — </w:t>
      </w:r>
      <w:r>
        <w:rPr>
          <w:rStyle w:val="CharDivText"/>
        </w:rPr>
        <w:t>Motor vehicle allowances</w:t>
      </w:r>
      <w:bookmarkEnd w:id="131"/>
      <w:bookmarkEnd w:id="132"/>
      <w:bookmarkEnd w:id="133"/>
      <w:bookmarkEnd w:id="134"/>
      <w:bookmarkEnd w:id="135"/>
      <w:bookmarkEnd w:id="136"/>
      <w:bookmarkEnd w:id="137"/>
      <w:bookmarkEnd w:id="138"/>
      <w:bookmarkEnd w:id="139"/>
    </w:p>
    <w:p>
      <w:pPr>
        <w:pStyle w:val="Ednotesection"/>
      </w:pPr>
      <w:r>
        <w:t>[</w:t>
      </w:r>
      <w:r>
        <w:rPr>
          <w:b/>
          <w:bCs/>
        </w:rPr>
        <w:t>28.</w:t>
      </w:r>
      <w:r>
        <w:tab/>
        <w:t>Deleted: Gazette 13 Aug 2019 p. 3042.]</w:t>
      </w:r>
    </w:p>
    <w:p>
      <w:pPr>
        <w:pStyle w:val="Ednotesection"/>
      </w:pPr>
      <w:r>
        <w:t>[</w:t>
      </w:r>
      <w:r>
        <w:rPr>
          <w:b/>
          <w:bCs/>
        </w:rPr>
        <w:t>29.</w:t>
      </w:r>
      <w:r>
        <w:tab/>
        <w:t>Deleted: Act No. 15 of 2010 s. 35.]</w:t>
      </w:r>
    </w:p>
    <w:p>
      <w:pPr>
        <w:pStyle w:val="Heading5"/>
      </w:pPr>
      <w:bookmarkStart w:id="140" w:name="_Toc58943758"/>
      <w:bookmarkStart w:id="141" w:name="_Toc377133787"/>
      <w:bookmarkStart w:id="142" w:name="_Toc16582535"/>
      <w:r>
        <w:rPr>
          <w:rStyle w:val="CharSectno"/>
        </w:rPr>
        <w:t>30</w:t>
      </w:r>
      <w:r>
        <w:t>.</w:t>
      </w:r>
      <w:r>
        <w:tab/>
        <w:t>Business kilometres travelled, determination of (Act s. 9FA(2))</w:t>
      </w:r>
      <w:bookmarkEnd w:id="140"/>
      <w:bookmarkEnd w:id="141"/>
      <w:bookmarkEnd w:id="142"/>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Act No. 15 of 2010 s. 36.]</w:t>
      </w:r>
    </w:p>
    <w:p>
      <w:pPr>
        <w:pStyle w:val="Ednotesection"/>
      </w:pPr>
      <w:r>
        <w:t>[</w:t>
      </w:r>
      <w:r>
        <w:rPr>
          <w:b/>
          <w:bCs/>
        </w:rPr>
        <w:t>31.</w:t>
      </w:r>
      <w:r>
        <w:tab/>
        <w:t>Deleted: Act No. 15 of 2010 s. 37.]</w:t>
      </w:r>
    </w:p>
    <w:p>
      <w:pPr>
        <w:pStyle w:val="Heading5"/>
      </w:pPr>
      <w:bookmarkStart w:id="143" w:name="_Toc58943759"/>
      <w:bookmarkStart w:id="144" w:name="_Toc377133788"/>
      <w:bookmarkStart w:id="145" w:name="_Toc16582536"/>
      <w:r>
        <w:rPr>
          <w:rStyle w:val="CharSectno"/>
        </w:rPr>
        <w:t>32</w:t>
      </w:r>
      <w:r>
        <w:t>.</w:t>
      </w:r>
      <w:r>
        <w:tab/>
        <w:t>Business kilometres, methods for calculating</w:t>
      </w:r>
      <w:bookmarkEnd w:id="143"/>
      <w:bookmarkEnd w:id="144"/>
      <w:bookmarkEnd w:id="145"/>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146" w:name="_Toc58943760"/>
      <w:bookmarkStart w:id="147" w:name="_Toc377133789"/>
      <w:bookmarkStart w:id="148" w:name="_Toc16582537"/>
      <w:r>
        <w:rPr>
          <w:rStyle w:val="CharSectno"/>
        </w:rPr>
        <w:t>33</w:t>
      </w:r>
      <w:r>
        <w:t>.</w:t>
      </w:r>
      <w:r>
        <w:tab/>
        <w:t>Business kilometres, changing method of calculating</w:t>
      </w:r>
      <w:bookmarkEnd w:id="146"/>
      <w:bookmarkEnd w:id="147"/>
      <w:bookmarkEnd w:id="148"/>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149" w:name="_Toc58943761"/>
      <w:bookmarkStart w:id="150" w:name="_Toc377133790"/>
      <w:bookmarkStart w:id="151" w:name="_Toc16582538"/>
      <w:r>
        <w:rPr>
          <w:rStyle w:val="CharSectno"/>
        </w:rPr>
        <w:t>34</w:t>
      </w:r>
      <w:r>
        <w:t>.</w:t>
      </w:r>
      <w:r>
        <w:tab/>
        <w:t>Continuous recording method</w:t>
      </w:r>
      <w:bookmarkEnd w:id="149"/>
      <w:bookmarkEnd w:id="150"/>
      <w:bookmarkEnd w:id="151"/>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152" w:name="_Toc58943762"/>
      <w:bookmarkStart w:id="153" w:name="_Toc377133791"/>
      <w:bookmarkStart w:id="154" w:name="_Toc16582539"/>
      <w:r>
        <w:rPr>
          <w:rStyle w:val="CharSectno"/>
        </w:rPr>
        <w:t>35</w:t>
      </w:r>
      <w:r>
        <w:t>.</w:t>
      </w:r>
      <w:r>
        <w:tab/>
        <w:t>Averaging method</w:t>
      </w:r>
      <w:bookmarkEnd w:id="152"/>
      <w:bookmarkEnd w:id="153"/>
      <w:bookmarkEnd w:id="154"/>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1.5pt">
            <v:imagedata r:id="rId14"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6" type="#_x0000_t75" style="width:133.5pt;height:31.5pt">
            <v:imagedata r:id="rId15" o:title=""/>
          </v:shape>
        </w:pict>
      </w:r>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155" w:name="_Toc58943763"/>
      <w:bookmarkStart w:id="156" w:name="_Toc377133792"/>
      <w:bookmarkStart w:id="157" w:name="_Toc16582540"/>
      <w:r>
        <w:rPr>
          <w:rStyle w:val="CharSectno"/>
        </w:rPr>
        <w:t>36</w:t>
      </w:r>
      <w:r>
        <w:t>.</w:t>
      </w:r>
      <w:r>
        <w:tab/>
        <w:t>Continuous recording period, selecting</w:t>
      </w:r>
      <w:bookmarkEnd w:id="155"/>
      <w:bookmarkEnd w:id="156"/>
      <w:bookmarkEnd w:id="157"/>
    </w:p>
    <w:p>
      <w:pPr>
        <w:pStyle w:val="Subsection"/>
      </w:pPr>
      <w:r>
        <w:tab/>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158" w:name="_Toc58943764"/>
      <w:bookmarkStart w:id="159" w:name="_Toc377133793"/>
      <w:bookmarkStart w:id="160" w:name="_Toc16582541"/>
      <w:r>
        <w:rPr>
          <w:rStyle w:val="CharSectno"/>
        </w:rPr>
        <w:t>37</w:t>
      </w:r>
      <w:r>
        <w:t>.</w:t>
      </w:r>
      <w:r>
        <w:tab/>
        <w:t>Replacing one motor vehicle with another</w:t>
      </w:r>
      <w:bookmarkEnd w:id="158"/>
      <w:bookmarkEnd w:id="159"/>
      <w:bookmarkEnd w:id="160"/>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161" w:name="_Toc58943765"/>
      <w:bookmarkStart w:id="162" w:name="_Toc377133794"/>
      <w:bookmarkStart w:id="163" w:name="_Toc16582542"/>
      <w:r>
        <w:rPr>
          <w:rStyle w:val="CharSectno"/>
        </w:rPr>
        <w:t>38</w:t>
      </w:r>
      <w:r>
        <w:t>.</w:t>
      </w:r>
      <w:r>
        <w:tab/>
        <w:t>Replacement or recalibration of odometer</w:t>
      </w:r>
      <w:bookmarkEnd w:id="161"/>
      <w:bookmarkEnd w:id="162"/>
      <w:bookmarkEnd w:id="163"/>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Act No. 15 of 2010 s. 38.]</w:t>
      </w:r>
    </w:p>
    <w:p>
      <w:pPr>
        <w:pStyle w:val="Heading2"/>
      </w:pPr>
      <w:bookmarkStart w:id="164" w:name="_Toc58937221"/>
      <w:bookmarkStart w:id="165" w:name="_Toc58937621"/>
      <w:bookmarkStart w:id="166" w:name="_Toc58943766"/>
      <w:bookmarkStart w:id="167" w:name="_Toc377133795"/>
      <w:bookmarkStart w:id="168" w:name="_Toc412553033"/>
      <w:bookmarkStart w:id="169" w:name="_Toc412553081"/>
      <w:bookmarkStart w:id="170" w:name="_Toc455147046"/>
      <w:bookmarkStart w:id="171" w:name="_Toc16582451"/>
      <w:bookmarkStart w:id="172" w:name="_Toc16582543"/>
      <w:r>
        <w:rPr>
          <w:rStyle w:val="CharPartNo"/>
        </w:rPr>
        <w:t>Part 4</w:t>
      </w:r>
      <w:r>
        <w:rPr>
          <w:rStyle w:val="CharDivNo"/>
        </w:rPr>
        <w:t> </w:t>
      </w:r>
      <w:r>
        <w:t>—</w:t>
      </w:r>
      <w:r>
        <w:rPr>
          <w:rStyle w:val="CharDivText"/>
        </w:rPr>
        <w:t> </w:t>
      </w:r>
      <w:r>
        <w:rPr>
          <w:rStyle w:val="CharPartText"/>
        </w:rPr>
        <w:t>Superannuation contributions</w:t>
      </w:r>
      <w:bookmarkEnd w:id="164"/>
      <w:bookmarkEnd w:id="165"/>
      <w:bookmarkEnd w:id="166"/>
      <w:bookmarkEnd w:id="167"/>
      <w:bookmarkEnd w:id="168"/>
      <w:bookmarkEnd w:id="169"/>
      <w:bookmarkEnd w:id="170"/>
      <w:bookmarkEnd w:id="171"/>
      <w:bookmarkEnd w:id="172"/>
    </w:p>
    <w:p>
      <w:pPr>
        <w:pStyle w:val="Heading5"/>
      </w:pPr>
      <w:bookmarkStart w:id="173" w:name="_Toc58943767"/>
      <w:bookmarkStart w:id="174" w:name="_Toc377133796"/>
      <w:bookmarkStart w:id="175" w:name="_Toc16582544"/>
      <w:r>
        <w:rPr>
          <w:rStyle w:val="CharSectno"/>
        </w:rPr>
        <w:t>41</w:t>
      </w:r>
      <w:r>
        <w:t>.</w:t>
      </w:r>
      <w:r>
        <w:tab/>
        <w:t>Actuarial determinations for some superannuation contributions, employer’s duties as to</w:t>
      </w:r>
      <w:bookmarkEnd w:id="173"/>
      <w:bookmarkEnd w:id="174"/>
      <w:bookmarkEnd w:id="175"/>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Act No. 15 of 2010 s. 39.]</w:t>
      </w:r>
    </w:p>
    <w:p>
      <w:pPr>
        <w:pStyle w:val="Heading5"/>
      </w:pPr>
      <w:bookmarkStart w:id="176" w:name="_Toc58943768"/>
      <w:bookmarkStart w:id="177" w:name="_Toc377133797"/>
      <w:bookmarkStart w:id="178" w:name="_Toc16582545"/>
      <w:r>
        <w:rPr>
          <w:rStyle w:val="CharSectno"/>
        </w:rPr>
        <w:t>42</w:t>
      </w:r>
      <w:r>
        <w:t>.</w:t>
      </w:r>
      <w:r>
        <w:tab/>
        <w:t>Actuarial determinations, requirements for</w:t>
      </w:r>
      <w:bookmarkEnd w:id="176"/>
      <w:bookmarkEnd w:id="177"/>
      <w:bookmarkEnd w:id="178"/>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Act No. 15 of 2010 s. 40.]</w:t>
      </w:r>
    </w:p>
    <w:p>
      <w:pPr>
        <w:pStyle w:val="Ednotesection"/>
      </w:pPr>
      <w:r>
        <w:t>[</w:t>
      </w:r>
      <w:r>
        <w:rPr>
          <w:b/>
          <w:bCs/>
        </w:rPr>
        <w:t>43.</w:t>
      </w:r>
      <w:r>
        <w:tab/>
        <w:t>Deleted: Act No. 15 of 2010 s. 41.]</w:t>
      </w:r>
    </w:p>
    <w:p>
      <w:pPr>
        <w:pStyle w:val="Heading5"/>
      </w:pPr>
      <w:bookmarkStart w:id="179" w:name="_Toc58943769"/>
      <w:bookmarkStart w:id="180" w:name="_Toc377133798"/>
      <w:bookmarkStart w:id="181" w:name="_Toc16582546"/>
      <w:r>
        <w:rPr>
          <w:rStyle w:val="CharSectno"/>
        </w:rPr>
        <w:t>44</w:t>
      </w:r>
      <w:r>
        <w:t>.</w:t>
      </w:r>
      <w:r>
        <w:tab/>
        <w:t>Actuarial determinations, content of</w:t>
      </w:r>
      <w:bookmarkEnd w:id="179"/>
      <w:bookmarkEnd w:id="180"/>
      <w:bookmarkEnd w:id="181"/>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Act No. 15 of 2010 s. 42.]</w:t>
      </w:r>
    </w:p>
    <w:p>
      <w:pPr>
        <w:pStyle w:val="Heading5"/>
      </w:pPr>
      <w:bookmarkStart w:id="182" w:name="_Toc58943770"/>
      <w:bookmarkStart w:id="183" w:name="_Toc377133799"/>
      <w:bookmarkStart w:id="184" w:name="_Toc16582547"/>
      <w:r>
        <w:rPr>
          <w:rStyle w:val="CharSectno"/>
        </w:rPr>
        <w:t>45</w:t>
      </w:r>
      <w:r>
        <w:t>.</w:t>
      </w:r>
      <w:r>
        <w:tab/>
        <w:t>Actuarial determination, duration of</w:t>
      </w:r>
      <w:bookmarkEnd w:id="182"/>
      <w:bookmarkEnd w:id="183"/>
      <w:bookmarkEnd w:id="184"/>
    </w:p>
    <w:p>
      <w:pPr>
        <w:pStyle w:val="Subsection"/>
      </w:pPr>
      <w:r>
        <w:tab/>
      </w:r>
      <w:r>
        <w:tab/>
        <w:t>An actuarial determination remains in force for 3 years from when it is made unless before then another actuarial determination is made to replace it.</w:t>
      </w:r>
    </w:p>
    <w:p>
      <w:pPr>
        <w:pStyle w:val="Heading2"/>
      </w:pPr>
      <w:bookmarkStart w:id="185" w:name="_Toc58937226"/>
      <w:bookmarkStart w:id="186" w:name="_Toc58937626"/>
      <w:bookmarkStart w:id="187" w:name="_Toc58943771"/>
      <w:bookmarkStart w:id="188" w:name="_Toc377133800"/>
      <w:bookmarkStart w:id="189" w:name="_Toc412553038"/>
      <w:bookmarkStart w:id="190" w:name="_Toc412553086"/>
      <w:bookmarkStart w:id="191" w:name="_Toc455147051"/>
      <w:bookmarkStart w:id="192" w:name="_Toc16582456"/>
      <w:bookmarkStart w:id="193" w:name="_Toc16582548"/>
      <w:r>
        <w:rPr>
          <w:rStyle w:val="CharPartNo"/>
        </w:rPr>
        <w:t>Part 5</w:t>
      </w:r>
      <w:r>
        <w:rPr>
          <w:rStyle w:val="CharDivNo"/>
        </w:rPr>
        <w:t> </w:t>
      </w:r>
      <w:r>
        <w:t>—</w:t>
      </w:r>
      <w:r>
        <w:rPr>
          <w:rStyle w:val="CharDivText"/>
        </w:rPr>
        <w:t> </w:t>
      </w:r>
      <w:r>
        <w:rPr>
          <w:rStyle w:val="CharPartText"/>
        </w:rPr>
        <w:t>Keeping books and accounts</w:t>
      </w:r>
      <w:bookmarkEnd w:id="185"/>
      <w:bookmarkEnd w:id="186"/>
      <w:bookmarkEnd w:id="187"/>
      <w:bookmarkEnd w:id="188"/>
      <w:bookmarkEnd w:id="189"/>
      <w:bookmarkEnd w:id="190"/>
      <w:bookmarkEnd w:id="191"/>
      <w:bookmarkEnd w:id="192"/>
      <w:bookmarkEnd w:id="193"/>
    </w:p>
    <w:p>
      <w:pPr>
        <w:pStyle w:val="Heading5"/>
        <w:spacing w:before="240"/>
      </w:pPr>
      <w:bookmarkStart w:id="194" w:name="_Toc58943772"/>
      <w:bookmarkStart w:id="195" w:name="_Toc377133801"/>
      <w:bookmarkStart w:id="196" w:name="_Toc16582549"/>
      <w:r>
        <w:rPr>
          <w:rStyle w:val="CharSectno"/>
        </w:rPr>
        <w:t>46</w:t>
      </w:r>
      <w:r>
        <w:t>.</w:t>
      </w:r>
      <w:r>
        <w:tab/>
        <w:t>Records prescribed (Act s. 44(1)(a), 41A(2)); record keeping requirements</w:t>
      </w:r>
      <w:bookmarkEnd w:id="194"/>
      <w:bookmarkEnd w:id="195"/>
      <w:bookmarkEnd w:id="196"/>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Act No. 15 of 2010 s. 43.]</w:t>
      </w:r>
    </w:p>
    <w:p>
      <w:pPr>
        <w:pStyle w:val="Heading2"/>
      </w:pPr>
      <w:bookmarkStart w:id="197" w:name="_Toc58937228"/>
      <w:bookmarkStart w:id="198" w:name="_Toc58937628"/>
      <w:bookmarkStart w:id="199" w:name="_Toc58943773"/>
      <w:bookmarkStart w:id="200" w:name="_Toc377133802"/>
      <w:bookmarkStart w:id="201" w:name="_Toc412553040"/>
      <w:bookmarkStart w:id="202" w:name="_Toc412553088"/>
      <w:bookmarkStart w:id="203" w:name="_Toc455147053"/>
      <w:bookmarkStart w:id="204" w:name="_Toc16582458"/>
      <w:bookmarkStart w:id="205" w:name="_Toc16582550"/>
      <w:r>
        <w:rPr>
          <w:rStyle w:val="CharPartNo"/>
        </w:rPr>
        <w:t>Part 6</w:t>
      </w:r>
      <w:r>
        <w:rPr>
          <w:b w:val="0"/>
        </w:rPr>
        <w:t> </w:t>
      </w:r>
      <w:r>
        <w:t>—</w:t>
      </w:r>
      <w:r>
        <w:rPr>
          <w:b w:val="0"/>
        </w:rPr>
        <w:t> </w:t>
      </w:r>
      <w:r>
        <w:rPr>
          <w:rStyle w:val="CharPartText"/>
        </w:rPr>
        <w:t>Returns</w:t>
      </w:r>
      <w:bookmarkEnd w:id="197"/>
      <w:bookmarkEnd w:id="198"/>
      <w:bookmarkEnd w:id="199"/>
      <w:bookmarkEnd w:id="200"/>
      <w:bookmarkEnd w:id="201"/>
      <w:bookmarkEnd w:id="202"/>
      <w:bookmarkEnd w:id="203"/>
      <w:bookmarkEnd w:id="204"/>
      <w:bookmarkEnd w:id="205"/>
    </w:p>
    <w:p>
      <w:pPr>
        <w:pStyle w:val="Footnoteheading"/>
      </w:pPr>
      <w:r>
        <w:tab/>
        <w:t>[Heading inserted: Gazette 2 May 2006 p. 1711.]</w:t>
      </w:r>
    </w:p>
    <w:p>
      <w:pPr>
        <w:pStyle w:val="Heading5"/>
      </w:pPr>
      <w:bookmarkStart w:id="206" w:name="_Toc58943774"/>
      <w:bookmarkStart w:id="207" w:name="_Toc377133803"/>
      <w:bookmarkStart w:id="208" w:name="_Toc16582551"/>
      <w:r>
        <w:rPr>
          <w:rStyle w:val="CharSectno"/>
        </w:rPr>
        <w:t>47</w:t>
      </w:r>
      <w:r>
        <w:t>.</w:t>
      </w:r>
      <w:r>
        <w:tab/>
        <w:t>Manner of lodging returns etc. prescribed (Act s. 28A(1))</w:t>
      </w:r>
      <w:bookmarkEnd w:id="206"/>
      <w:bookmarkEnd w:id="207"/>
      <w:bookmarkEnd w:id="208"/>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Gazette 2 May 2006 p. 1711.]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9" w:name="_Toc58937230"/>
      <w:bookmarkStart w:id="210" w:name="_Toc58937630"/>
      <w:bookmarkStart w:id="211" w:name="_Toc58943775"/>
      <w:bookmarkStart w:id="212" w:name="_Toc377133804"/>
      <w:bookmarkStart w:id="213" w:name="_Toc412553042"/>
      <w:bookmarkStart w:id="214" w:name="_Toc412553090"/>
      <w:bookmarkStart w:id="215" w:name="_Toc455147055"/>
      <w:bookmarkStart w:id="216" w:name="_Toc16582460"/>
      <w:bookmarkStart w:id="217" w:name="_Toc16582552"/>
      <w:r>
        <w:rPr>
          <w:rStyle w:val="CharSchNo"/>
        </w:rPr>
        <w:t>Schedule 1</w:t>
      </w:r>
      <w:r>
        <w:t> — </w:t>
      </w:r>
      <w:r>
        <w:rPr>
          <w:rStyle w:val="CharSchText"/>
        </w:rPr>
        <w:t>Exempt departments and other organisations</w:t>
      </w:r>
      <w:bookmarkEnd w:id="209"/>
      <w:bookmarkEnd w:id="210"/>
      <w:bookmarkEnd w:id="211"/>
      <w:bookmarkEnd w:id="212"/>
      <w:bookmarkEnd w:id="213"/>
      <w:bookmarkEnd w:id="214"/>
      <w:bookmarkEnd w:id="215"/>
      <w:bookmarkEnd w:id="216"/>
      <w:bookmarkEnd w:id="217"/>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w:t>
      </w:r>
      <w:del w:id="218" w:author="Master Repository Process" w:date="2021-09-11T20:02:00Z">
        <w:r>
          <w:rPr>
            <w:vertAlign w:val="superscript"/>
          </w:rPr>
          <w:delText>3</w:delText>
        </w:r>
      </w:del>
      <w:ins w:id="219" w:author="Master Repository Process" w:date="2021-09-11T20:02:00Z">
        <w:r>
          <w:rPr>
            <w:vertAlign w:val="superscript"/>
          </w:rPr>
          <w:t>2</w:t>
        </w:r>
      </w:ins>
    </w:p>
    <w:p>
      <w:pPr>
        <w:pStyle w:val="yMiscellaneousBody"/>
        <w:ind w:left="600"/>
      </w:pPr>
      <w:r>
        <w:t>The Corruption and Crime Commission of Western Australia</w:t>
      </w:r>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w:t>
      </w:r>
      <w:del w:id="220" w:author="Master Repository Process" w:date="2021-09-11T20:02:00Z">
        <w:r>
          <w:rPr>
            <w:vertAlign w:val="superscript"/>
          </w:rPr>
          <w:delText>4</w:delText>
        </w:r>
      </w:del>
      <w:ins w:id="221" w:author="Master Repository Process" w:date="2021-09-11T20:02:00Z">
        <w:r>
          <w:rPr>
            <w:vertAlign w:val="superscript"/>
          </w:rPr>
          <w:t>3</w:t>
        </w:r>
      </w:ins>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rPr>
          <w:vertAlign w:val="superscript"/>
        </w:rPr>
      </w:pPr>
      <w:r>
        <w:t>The Department for Planning and Infrastructure</w:t>
      </w:r>
      <w:r>
        <w:rPr>
          <w:vertAlign w:val="superscript"/>
        </w:rPr>
        <w:t> </w:t>
      </w:r>
      <w:del w:id="222" w:author="Master Repository Process" w:date="2021-09-11T20:02:00Z">
        <w:r>
          <w:rPr>
            <w:vertAlign w:val="superscript"/>
          </w:rPr>
          <w:delText>5</w:delText>
        </w:r>
      </w:del>
      <w:ins w:id="223" w:author="Master Repository Process" w:date="2021-09-11T20:02:00Z">
        <w:r>
          <w:rPr>
            <w:vertAlign w:val="superscript"/>
          </w:rPr>
          <w:t>4</w:t>
        </w:r>
      </w:ins>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Water Regulation</w:t>
      </w:r>
      <w:r>
        <w:rPr>
          <w:vertAlign w:val="superscript"/>
        </w:rPr>
        <w:t> </w:t>
      </w:r>
      <w:del w:id="224" w:author="Master Repository Process" w:date="2021-09-11T20:02:00Z">
        <w:r>
          <w:rPr>
            <w:vertAlign w:val="superscript"/>
          </w:rPr>
          <w:delText>6</w:delText>
        </w:r>
      </w:del>
      <w:ins w:id="225" w:author="Master Repository Process" w:date="2021-09-11T20:02:00Z">
        <w:r>
          <w:rPr>
            <w:vertAlign w:val="superscript"/>
          </w:rPr>
          <w:t>5</w:t>
        </w:r>
      </w:ins>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Recreation Camps and Reserves Board</w:t>
      </w:r>
    </w:p>
    <w:p>
      <w:pPr>
        <w:pStyle w:val="yMiscellaneousBody"/>
        <w:ind w:left="600"/>
      </w:pPr>
      <w:r>
        <w:t>The</w:t>
      </w:r>
      <w:r>
        <w:rPr>
          <w:szCs w:val="22"/>
        </w:rPr>
        <w:t xml:space="preserve"> Small Business Development Corporation</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w:t>
      </w:r>
      <w:del w:id="226" w:author="Master Repository Process" w:date="2021-09-11T20:02:00Z">
        <w:r>
          <w:rPr>
            <w:vertAlign w:val="superscript"/>
          </w:rPr>
          <w:delText>7</w:delText>
        </w:r>
      </w:del>
      <w:ins w:id="227" w:author="Master Repository Process" w:date="2021-09-11T20:02:00Z">
        <w:r>
          <w:rPr>
            <w:vertAlign w:val="superscript"/>
          </w:rPr>
          <w:t>6</w:t>
        </w:r>
      </w:ins>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w:t>
      </w:r>
      <w:r>
        <w:t>.]</w:t>
      </w:r>
    </w:p>
    <w:p>
      <w:pPr>
        <w:pStyle w:val="yScheduleHeading"/>
      </w:pPr>
      <w:bookmarkStart w:id="228" w:name="_Toc58937231"/>
      <w:bookmarkStart w:id="229" w:name="_Toc58937631"/>
      <w:bookmarkStart w:id="230" w:name="_Toc58943776"/>
      <w:bookmarkStart w:id="231" w:name="_Toc377133805"/>
      <w:bookmarkStart w:id="232" w:name="_Toc412553043"/>
      <w:bookmarkStart w:id="233" w:name="_Toc412553091"/>
      <w:bookmarkStart w:id="234" w:name="_Toc455147056"/>
      <w:bookmarkStart w:id="235" w:name="_Toc16582461"/>
      <w:bookmarkStart w:id="236" w:name="_Toc16582553"/>
      <w:r>
        <w:rPr>
          <w:rStyle w:val="CharSchNo"/>
        </w:rPr>
        <w:t>Glossary</w:t>
      </w:r>
      <w:bookmarkEnd w:id="228"/>
      <w:bookmarkEnd w:id="229"/>
      <w:bookmarkEnd w:id="230"/>
      <w:bookmarkEnd w:id="231"/>
      <w:bookmarkEnd w:id="232"/>
      <w:bookmarkEnd w:id="233"/>
      <w:bookmarkEnd w:id="234"/>
      <w:bookmarkEnd w:id="235"/>
      <w:bookmarkEnd w:id="236"/>
      <w:r>
        <w:rPr>
          <w:rStyle w:val="CharSchText"/>
        </w:rPr>
        <w:t xml:space="preserve"> </w:t>
      </w:r>
    </w:p>
    <w:p>
      <w:pPr>
        <w:pStyle w:val="yShoulderClause"/>
      </w:pPr>
      <w:r>
        <w:t>[r. 3]</w:t>
      </w:r>
    </w:p>
    <w:p>
      <w:pPr>
        <w:pStyle w:val="yHeading5"/>
      </w:pPr>
      <w:bookmarkStart w:id="237" w:name="_Toc58943777"/>
      <w:bookmarkStart w:id="238" w:name="_Toc377133806"/>
      <w:bookmarkStart w:id="239" w:name="_Toc16582554"/>
      <w:r>
        <w:t>1.</w:t>
      </w:r>
      <w:r>
        <w:tab/>
        <w:t>Terms used</w:t>
      </w:r>
      <w:bookmarkEnd w:id="237"/>
      <w:bookmarkEnd w:id="238"/>
      <w:bookmarkEnd w:id="239"/>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Act No. 15 of 2010 s. 44.]</w:t>
      </w:r>
    </w:p>
    <w:p>
      <w:pPr>
        <w:rPr>
          <w:del w:id="240" w:author="Master Repository Process" w:date="2021-09-11T20:02:00Z"/>
        </w:rPr>
      </w:pPr>
    </w:p>
    <w:p>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42" w:name="_Toc58937633"/>
      <w:bookmarkStart w:id="243" w:name="_Toc58943778"/>
      <w:bookmarkStart w:id="244" w:name="_Toc377133807"/>
      <w:bookmarkStart w:id="245" w:name="_Toc412553045"/>
      <w:bookmarkStart w:id="246" w:name="_Toc412553093"/>
      <w:bookmarkStart w:id="247" w:name="_Toc455147058"/>
      <w:bookmarkStart w:id="248" w:name="_Toc16582463"/>
      <w:bookmarkStart w:id="249" w:name="_Toc16582555"/>
      <w:bookmarkStart w:id="250" w:name="_Toc58937235"/>
      <w:r>
        <w:t>Notes</w:t>
      </w:r>
      <w:bookmarkEnd w:id="242"/>
      <w:bookmarkEnd w:id="243"/>
      <w:bookmarkEnd w:id="244"/>
      <w:bookmarkEnd w:id="245"/>
      <w:bookmarkEnd w:id="246"/>
      <w:bookmarkEnd w:id="247"/>
      <w:bookmarkEnd w:id="248"/>
      <w:bookmarkEnd w:id="249"/>
    </w:p>
    <w:p>
      <w:pPr>
        <w:pStyle w:val="nStatement"/>
      </w:pPr>
      <w:del w:id="251" w:author="Master Repository Process" w:date="2021-09-11T20:02:00Z">
        <w:r>
          <w:rPr>
            <w:snapToGrid w:val="0"/>
            <w:vertAlign w:val="superscript"/>
          </w:rPr>
          <w:delText>1</w:delText>
        </w:r>
        <w:r>
          <w:rPr>
            <w:snapToGrid w:val="0"/>
          </w:rPr>
          <w:tab/>
        </w:r>
      </w:del>
      <w:r>
        <w:t xml:space="preserve">This is a compilation of the </w:t>
      </w:r>
      <w:r>
        <w:rPr>
          <w:i/>
          <w:noProof/>
        </w:rPr>
        <w:t>Pay-roll Tax Assessment Regulations</w:t>
      </w:r>
      <w:del w:id="252" w:author="Master Repository Process" w:date="2021-09-11T20:02:00Z">
        <w:r>
          <w:rPr>
            <w:i/>
            <w:noProof/>
            <w:snapToGrid w:val="0"/>
          </w:rPr>
          <w:delText xml:space="preserve"> </w:delText>
        </w:r>
      </w:del>
      <w:ins w:id="253" w:author="Master Repository Process" w:date="2021-09-11T20:02:00Z">
        <w:r>
          <w:rPr>
            <w:i/>
            <w:noProof/>
          </w:rPr>
          <w:t> </w:t>
        </w:r>
      </w:ins>
      <w:r>
        <w:rPr>
          <w:i/>
          <w:noProof/>
        </w:rPr>
        <w:t>2003</w:t>
      </w:r>
      <w:r>
        <w:t xml:space="preserve"> and includes </w:t>
      </w:r>
      <w:del w:id="254" w:author="Master Repository Process" w:date="2021-09-11T20:02:00Z">
        <w:r>
          <w:rPr>
            <w:snapToGrid w:val="0"/>
          </w:rPr>
          <w:delText xml:space="preserve">the </w:delText>
        </w:r>
      </w:del>
      <w:r>
        <w:t xml:space="preserve">amendments made by </w:t>
      </w:r>
      <w:del w:id="255" w:author="Master Repository Process" w:date="2021-09-11T20:02:00Z">
        <w:r>
          <w:rPr>
            <w:snapToGrid w:val="0"/>
          </w:rPr>
          <w:delText xml:space="preserve">the </w:delText>
        </w:r>
      </w:del>
      <w:r>
        <w:t>other written laws</w:t>
      </w:r>
      <w:del w:id="256" w:author="Master Repository Process" w:date="2021-09-11T20:02:00Z">
        <w:r>
          <w:rPr>
            <w:snapToGrid w:val="0"/>
          </w:rPr>
          <w:delText xml:space="preserve"> referred to in the following table</w:delText>
        </w:r>
        <w:r>
          <w:rPr>
            <w:snapToGrid w:val="0"/>
            <w:vertAlign w:val="superscript"/>
          </w:rPr>
          <w:delText> </w:delText>
        </w:r>
      </w:del>
      <w:ins w:id="257" w:author="Master Repository Process" w:date="2021-09-11T20:02:00Z">
        <w:r>
          <w:rPr>
            <w:snapToGrid w:val="0"/>
            <w:vertAlign w:val="superscript"/>
          </w:rPr>
          <w:t xml:space="preserve"> 6, </w:t>
        </w:r>
      </w:ins>
      <w:r>
        <w:rPr>
          <w:snapToGrid w:val="0"/>
          <w:vertAlign w:val="superscript"/>
        </w:rPr>
        <w:t>7, 8, 9</w:t>
      </w:r>
      <w:del w:id="258" w:author="Master Repository Process" w:date="2021-09-11T20:02:00Z">
        <w:r>
          <w:rPr>
            <w:snapToGrid w:val="0"/>
            <w:vertAlign w:val="superscript"/>
          </w:rPr>
          <w:delText>, 10</w:delText>
        </w:r>
        <w:r>
          <w:rPr>
            <w:snapToGrid w:val="0"/>
          </w:rPr>
          <w:delText>.  The table also contains</w:delText>
        </w:r>
      </w:del>
      <w:ins w:id="259" w:author="Master Repository Process" w:date="2021-09-11T20:02:00Z">
        <w:r>
          <w:t>. For provisions that have come into operation, and for</w:t>
        </w:r>
      </w:ins>
      <w:r>
        <w:t xml:space="preserve"> information about any </w:t>
      </w:r>
      <w:del w:id="260" w:author="Master Repository Process" w:date="2021-09-11T20:02:00Z">
        <w:r>
          <w:rPr>
            <w:snapToGrid w:val="0"/>
          </w:rPr>
          <w:delText>reprint</w:delText>
        </w:r>
      </w:del>
      <w:ins w:id="261" w:author="Master Repository Process" w:date="2021-09-11T20:02:00Z">
        <w:r>
          <w:t>reprints, see the compilation table. For provisions that have not yet come into operation see the uncommenced provisions table</w:t>
        </w:r>
      </w:ins>
      <w:r>
        <w:t>.</w:t>
      </w:r>
    </w:p>
    <w:p>
      <w:pPr>
        <w:pStyle w:val="nHeading3"/>
      </w:pPr>
      <w:bookmarkStart w:id="262" w:name="_Toc58943779"/>
      <w:bookmarkStart w:id="263" w:name="_Toc377133808"/>
      <w:bookmarkStart w:id="264" w:name="_Toc16582556"/>
      <w:r>
        <w:t>Compilation table</w:t>
      </w:r>
      <w:bookmarkEnd w:id="262"/>
      <w:bookmarkEnd w:id="263"/>
      <w:bookmarkEnd w:id="2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65" w:author="Master Repository Process" w:date="2021-09-11T20:02:00Z">
              <w:r>
                <w:rPr>
                  <w:b/>
                </w:rPr>
                <w:delText>Gazettal</w:delText>
              </w:r>
            </w:del>
            <w:ins w:id="266" w:author="Master Repository Process" w:date="2021-09-11T20:0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snapToGrid w:val="0"/>
              </w:rPr>
            </w:pPr>
            <w:r>
              <w:rPr>
                <w:i/>
              </w:rPr>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w:t>
            </w:r>
            <w:del w:id="267" w:author="Master Repository Process" w:date="2021-09-11T20:02:00Z">
              <w:r>
                <w:rPr>
                  <w:iCs/>
                  <w:vertAlign w:val="superscript"/>
                </w:rPr>
                <w:delText>11</w:delText>
              </w:r>
            </w:del>
            <w:ins w:id="268" w:author="Master Repository Process" w:date="2021-09-11T20:02:00Z">
              <w:r>
                <w:rPr>
                  <w:iCs/>
                  <w:vertAlign w:val="superscript"/>
                </w:rPr>
                <w:t>10</w:t>
              </w:r>
            </w:ins>
          </w:p>
        </w:tc>
        <w:tc>
          <w:tcPr>
            <w:tcW w:w="2693" w:type="dxa"/>
          </w:tcPr>
          <w:p>
            <w:pPr>
              <w:pStyle w:val="nTable"/>
              <w:spacing w:after="40"/>
              <w:rPr>
                <w:iCs/>
              </w:rPr>
            </w:pPr>
            <w:r>
              <w:rPr>
                <w:iCs/>
              </w:rPr>
              <w:t>25 Jun 2010 (see s. 2(a))</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snapToGrid w:val="0"/>
                <w:spacing w:val="-2"/>
              </w:rPr>
              <w:t>r. 1 and 2: 11 Oct 2013 (see r. 2(a));</w:t>
            </w:r>
            <w:r>
              <w:rPr>
                <w:snapToGrid w:val="0"/>
                <w:spacing w:val="-2"/>
              </w:rPr>
              <w:br/>
              <w:t>Regulations other than r. 1 and 2: 12 Oct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2015</w:t>
            </w:r>
          </w:p>
        </w:tc>
        <w:tc>
          <w:tcPr>
            <w:tcW w:w="1276" w:type="dxa"/>
            <w:shd w:val="clear" w:color="auto" w:fill="auto"/>
          </w:tcPr>
          <w:p>
            <w:pPr>
              <w:pStyle w:val="nTable"/>
              <w:spacing w:after="40"/>
            </w:pPr>
            <w:r>
              <w:t>24 Feb 2015 p. 740</w:t>
            </w:r>
            <w:r>
              <w:noBreakHyphen/>
              <w:t>1</w:t>
            </w:r>
          </w:p>
        </w:tc>
        <w:tc>
          <w:tcPr>
            <w:tcW w:w="2693" w:type="dxa"/>
            <w:shd w:val="clear" w:color="auto" w:fill="auto"/>
          </w:tcPr>
          <w:p>
            <w:pPr>
              <w:pStyle w:val="nTable"/>
              <w:spacing w:after="40"/>
              <w:rPr>
                <w:snapToGrid w:val="0"/>
                <w:spacing w:val="-2"/>
              </w:rPr>
            </w:pPr>
            <w:r>
              <w:rPr>
                <w:snapToGrid w:val="0"/>
                <w:spacing w:val="-2"/>
              </w:rPr>
              <w:t>r. 1 and 2: 24 Feb 2015 (see r. 2(a));</w:t>
            </w:r>
            <w:r>
              <w:rPr>
                <w:snapToGrid w:val="0"/>
                <w:spacing w:val="-2"/>
              </w:rPr>
              <w:br/>
              <w:t>Regulations other than r. 1 and 2: 25 Feb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(No. 2) 2016</w:t>
            </w:r>
          </w:p>
        </w:tc>
        <w:tc>
          <w:tcPr>
            <w:tcW w:w="1276" w:type="dxa"/>
            <w:shd w:val="clear" w:color="auto" w:fill="auto"/>
          </w:tcPr>
          <w:p>
            <w:pPr>
              <w:pStyle w:val="nTable"/>
              <w:spacing w:after="40"/>
            </w:pPr>
            <w:r>
              <w:t>24 Jun 2016 p. 2343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pPr>
            <w:r>
              <w:rPr>
                <w:i/>
              </w:rPr>
              <w:t>Finance Regulations Amendment Regulations 2019</w:t>
            </w:r>
            <w:r>
              <w:t xml:space="preserve"> Pt. 3</w:t>
            </w:r>
          </w:p>
        </w:tc>
        <w:tc>
          <w:tcPr>
            <w:tcW w:w="1276" w:type="dxa"/>
            <w:tcBorders>
              <w:bottom w:val="single" w:sz="4" w:space="0" w:color="auto"/>
            </w:tcBorders>
            <w:shd w:val="clear" w:color="auto" w:fill="auto"/>
          </w:tcPr>
          <w:p>
            <w:pPr>
              <w:pStyle w:val="nTable"/>
              <w:spacing w:after="40"/>
            </w:pPr>
            <w:r>
              <w:t>13 Aug 2019 p. 3041</w:t>
            </w:r>
            <w:r>
              <w:noBreakHyphen/>
              <w:t>3</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14 Aug 2019 (see r. 2(c))</w:t>
            </w:r>
          </w:p>
        </w:tc>
      </w:tr>
    </w:tbl>
    <w:p>
      <w:pPr>
        <w:pStyle w:val="nHeading3"/>
        <w:rPr>
          <w:ins w:id="269" w:author="Master Repository Process" w:date="2021-09-11T20:02:00Z"/>
        </w:rPr>
      </w:pPr>
      <w:bookmarkStart w:id="270" w:name="_Toc58943780"/>
      <w:del w:id="271" w:author="Master Repository Process" w:date="2021-09-11T20:02:00Z">
        <w:r>
          <w:rPr>
            <w:vertAlign w:val="superscript"/>
          </w:rPr>
          <w:delText>2</w:delText>
        </w:r>
      </w:del>
      <w:ins w:id="272" w:author="Master Repository Process" w:date="2021-09-11T20:02:00Z">
        <w:r>
          <w:t>Uncommenced provisions table</w:t>
        </w:r>
        <w:bookmarkEnd w:id="270"/>
      </w:ins>
    </w:p>
    <w:p>
      <w:pPr>
        <w:pStyle w:val="nStatement"/>
        <w:keepNext/>
        <w:spacing w:after="240"/>
        <w:rPr>
          <w:ins w:id="273" w:author="Master Repository Process" w:date="2021-09-11T20:02:00Z"/>
        </w:rPr>
      </w:pPr>
      <w:ins w:id="274" w:author="Master Repository Process" w:date="2021-09-11T20:0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5" w:author="Master Repository Process" w:date="2021-09-11T20:02:00Z"/>
        </w:trPr>
        <w:tc>
          <w:tcPr>
            <w:tcW w:w="3118" w:type="dxa"/>
          </w:tcPr>
          <w:p>
            <w:pPr>
              <w:pStyle w:val="nTable"/>
              <w:spacing w:after="40"/>
              <w:rPr>
                <w:ins w:id="276" w:author="Master Repository Process" w:date="2021-09-11T20:02:00Z"/>
                <w:b/>
              </w:rPr>
            </w:pPr>
            <w:ins w:id="277" w:author="Master Repository Process" w:date="2021-09-11T20:02:00Z">
              <w:r>
                <w:rPr>
                  <w:b/>
                </w:rPr>
                <w:t>Citation</w:t>
              </w:r>
            </w:ins>
          </w:p>
        </w:tc>
        <w:tc>
          <w:tcPr>
            <w:tcW w:w="1276" w:type="dxa"/>
          </w:tcPr>
          <w:p>
            <w:pPr>
              <w:pStyle w:val="nTable"/>
              <w:spacing w:after="40"/>
              <w:rPr>
                <w:ins w:id="278" w:author="Master Repository Process" w:date="2021-09-11T20:02:00Z"/>
                <w:b/>
              </w:rPr>
            </w:pPr>
            <w:ins w:id="279" w:author="Master Repository Process" w:date="2021-09-11T20:02:00Z">
              <w:r>
                <w:rPr>
                  <w:b/>
                </w:rPr>
                <w:t>Published</w:t>
              </w:r>
            </w:ins>
          </w:p>
        </w:tc>
        <w:tc>
          <w:tcPr>
            <w:tcW w:w="2693" w:type="dxa"/>
          </w:tcPr>
          <w:p>
            <w:pPr>
              <w:pStyle w:val="nTable"/>
              <w:spacing w:after="40"/>
              <w:rPr>
                <w:ins w:id="280" w:author="Master Repository Process" w:date="2021-09-11T20:02:00Z"/>
                <w:b/>
              </w:rPr>
            </w:pPr>
            <w:ins w:id="281" w:author="Master Repository Process" w:date="2021-09-11T20:02:00Z">
              <w:r>
                <w:rPr>
                  <w:b/>
                </w:rPr>
                <w:t>Commencement</w:t>
              </w:r>
            </w:ins>
          </w:p>
        </w:tc>
      </w:tr>
      <w:tr>
        <w:trPr>
          <w:ins w:id="282" w:author="Master Repository Process" w:date="2021-09-11T20:02:00Z"/>
        </w:trPr>
        <w:tc>
          <w:tcPr>
            <w:tcW w:w="3118" w:type="dxa"/>
          </w:tcPr>
          <w:p>
            <w:pPr>
              <w:pStyle w:val="nTable"/>
              <w:spacing w:after="40"/>
              <w:rPr>
                <w:ins w:id="283" w:author="Master Repository Process" w:date="2021-09-11T20:02:00Z"/>
              </w:rPr>
            </w:pPr>
            <w:ins w:id="284" w:author="Master Repository Process" w:date="2021-09-11T20:02:00Z">
              <w:r>
                <w:rPr>
                  <w:i/>
                </w:rPr>
                <w:t>Pay</w:t>
              </w:r>
              <w:r>
                <w:rPr>
                  <w:i/>
                </w:rPr>
                <w:noBreakHyphen/>
                <w:t>roll Tax Assessment Amendment Regulations 2020</w:t>
              </w:r>
              <w:r>
                <w:t xml:space="preserve"> r. 3 and 4</w:t>
              </w:r>
            </w:ins>
          </w:p>
        </w:tc>
        <w:tc>
          <w:tcPr>
            <w:tcW w:w="1276" w:type="dxa"/>
          </w:tcPr>
          <w:p>
            <w:pPr>
              <w:pStyle w:val="nTable"/>
              <w:spacing w:after="40"/>
              <w:rPr>
                <w:ins w:id="285" w:author="Master Repository Process" w:date="2021-09-11T20:02:00Z"/>
              </w:rPr>
            </w:pPr>
            <w:ins w:id="286" w:author="Master Repository Process" w:date="2021-09-11T20:02:00Z">
              <w:r>
                <w:t>SL 2020/247</w:t>
              </w:r>
            </w:ins>
          </w:p>
          <w:p>
            <w:pPr>
              <w:pStyle w:val="nTable"/>
              <w:spacing w:after="40"/>
              <w:rPr>
                <w:ins w:id="287" w:author="Master Repository Process" w:date="2021-09-11T20:02:00Z"/>
              </w:rPr>
            </w:pPr>
            <w:ins w:id="288" w:author="Master Repository Process" w:date="2021-09-11T20:02:00Z">
              <w:r>
                <w:t xml:space="preserve">18 Dec 2020 </w:t>
              </w:r>
            </w:ins>
          </w:p>
        </w:tc>
        <w:tc>
          <w:tcPr>
            <w:tcW w:w="2693" w:type="dxa"/>
          </w:tcPr>
          <w:p>
            <w:pPr>
              <w:pStyle w:val="nTable"/>
              <w:spacing w:after="40"/>
              <w:rPr>
                <w:ins w:id="289" w:author="Master Repository Process" w:date="2021-09-11T20:02:00Z"/>
              </w:rPr>
            </w:pPr>
            <w:ins w:id="290" w:author="Master Repository Process" w:date="2021-09-11T20:02:00Z">
              <w:r>
                <w:t>1 Jun 2021 (see r. 2(b) and SL 2020/244 cl. 2(b))</w:t>
              </w:r>
            </w:ins>
          </w:p>
        </w:tc>
      </w:tr>
    </w:tbl>
    <w:p>
      <w:pPr>
        <w:pStyle w:val="nHeading3"/>
        <w:rPr>
          <w:ins w:id="291" w:author="Master Repository Process" w:date="2021-09-11T20:02:00Z"/>
        </w:rPr>
      </w:pPr>
      <w:bookmarkStart w:id="292" w:name="_Toc58943781"/>
      <w:ins w:id="293" w:author="Master Repository Process" w:date="2021-09-11T20:02:00Z">
        <w:r>
          <w:t>Other notes</w:t>
        </w:r>
        <w:bookmarkEnd w:id="292"/>
      </w:ins>
    </w:p>
    <w:p>
      <w:pPr>
        <w:pStyle w:val="nNote"/>
        <w:spacing w:before="160"/>
      </w:pPr>
      <w:ins w:id="294" w:author="Master Repository Process" w:date="2021-09-11T20:02:00Z">
        <w:r>
          <w:rPr>
            <w:vertAlign w:val="superscript"/>
          </w:rPr>
          <w:t>1</w:t>
        </w:r>
      </w:ins>
      <w:r>
        <w:tab/>
        <w:t xml:space="preserve">The </w:t>
      </w:r>
      <w:r>
        <w:rPr>
          <w:i/>
          <w:iCs/>
        </w:rPr>
        <w:t>Workplace Agreements Act 1993</w:t>
      </w:r>
      <w:r>
        <w:t xml:space="preserve"> expired 14 Sep 2003.</w:t>
      </w:r>
    </w:p>
    <w:p>
      <w:pPr>
        <w:pStyle w:val="nNote"/>
      </w:pPr>
      <w:del w:id="295" w:author="Master Repository Process" w:date="2021-09-11T20:02:00Z">
        <w:r>
          <w:rPr>
            <w:vertAlign w:val="superscript"/>
          </w:rPr>
          <w:delText>3</w:delText>
        </w:r>
      </w:del>
      <w:ins w:id="296" w:author="Master Repository Process" w:date="2021-09-11T20:02:00Z">
        <w:r>
          <w:rPr>
            <w:vertAlign w:val="superscript"/>
          </w:rPr>
          <w:t>2</w:t>
        </w:r>
      </w:ins>
      <w:r>
        <w:tab/>
        <w:t>At the time of this compilation the Commissioner of Workplace Agreements does not exist.</w:t>
      </w:r>
    </w:p>
    <w:p>
      <w:pPr>
        <w:pStyle w:val="nNote"/>
      </w:pPr>
      <w:del w:id="297" w:author="Master Repository Process" w:date="2021-09-11T20:02:00Z">
        <w:r>
          <w:rPr>
            <w:vertAlign w:val="superscript"/>
          </w:rPr>
          <w:delText>4</w:delText>
        </w:r>
      </w:del>
      <w:ins w:id="298" w:author="Master Repository Process" w:date="2021-09-11T20:02:00Z">
        <w:r>
          <w:rPr>
            <w:vertAlign w:val="superscript"/>
          </w:rPr>
          <w:t>3</w:t>
        </w:r>
      </w:ins>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pStyle w:val="nNote"/>
      </w:pPr>
      <w:del w:id="299" w:author="Master Repository Process" w:date="2021-09-11T20:02:00Z">
        <w:r>
          <w:rPr>
            <w:vertAlign w:val="superscript"/>
          </w:rPr>
          <w:delText>5</w:delText>
        </w:r>
      </w:del>
      <w:ins w:id="300" w:author="Master Repository Process" w:date="2021-09-11T20:02:00Z">
        <w:r>
          <w:rPr>
            <w:vertAlign w:val="superscript"/>
          </w:rPr>
          <w:t>4</w:t>
        </w:r>
      </w:ins>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Development and Lands, as the context requires.</w:t>
      </w:r>
    </w:p>
    <w:p>
      <w:pPr>
        <w:pStyle w:val="nNote"/>
      </w:pPr>
      <w:del w:id="301" w:author="Master Repository Process" w:date="2021-09-11T20:02:00Z">
        <w:r>
          <w:rPr>
            <w:vertAlign w:val="superscript"/>
          </w:rPr>
          <w:delText>6</w:delText>
        </w:r>
      </w:del>
      <w:ins w:id="302" w:author="Master Repository Process" w:date="2021-09-11T20:02:00Z">
        <w:r>
          <w:rPr>
            <w:vertAlign w:val="superscript"/>
          </w:rPr>
          <w:t>5</w:t>
        </w:r>
      </w:ins>
      <w:r>
        <w:tab/>
        <w:t xml:space="preserve">The Office of Water Regulation was abolished with effect 1 Jan 2004 (see Notice in </w:t>
      </w:r>
      <w:r>
        <w:rPr>
          <w:i/>
          <w:iCs/>
        </w:rPr>
        <w:t>Gazette</w:t>
      </w:r>
      <w:r>
        <w:t xml:space="preserve"> 6 Jan 2004 p. 41).</w:t>
      </w:r>
    </w:p>
    <w:p>
      <w:pPr>
        <w:pStyle w:val="nNote"/>
      </w:pPr>
      <w:del w:id="303" w:author="Master Repository Process" w:date="2021-09-11T20:02:00Z">
        <w:r>
          <w:rPr>
            <w:vertAlign w:val="superscript"/>
          </w:rPr>
          <w:delText>7</w:delText>
        </w:r>
      </w:del>
      <w:ins w:id="304" w:author="Master Repository Process" w:date="2021-09-11T20:02:00Z">
        <w:r>
          <w:rPr>
            <w:vertAlign w:val="superscript"/>
          </w:rPr>
          <w:t>6</w:t>
        </w:r>
      </w:ins>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Note"/>
        <w:keepNext/>
        <w:keepLines/>
      </w:pPr>
      <w:del w:id="305" w:author="Master Repository Process" w:date="2021-09-11T20:02:00Z">
        <w:r>
          <w:rPr>
            <w:vertAlign w:val="superscript"/>
          </w:rPr>
          <w:delText>8</w:delText>
        </w:r>
      </w:del>
      <w:ins w:id="306" w:author="Master Repository Process" w:date="2021-09-11T20:02:00Z">
        <w:r>
          <w:rPr>
            <w:vertAlign w:val="superscript"/>
          </w:rPr>
          <w:t>7</w:t>
        </w:r>
      </w:ins>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Heading"/>
      </w:pP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3 — The </w:t>
      </w:r>
      <w:r>
        <w:rPr>
          <w:i/>
          <w:iCs/>
        </w:rPr>
        <w:t>Pay</w:t>
      </w:r>
      <w:r>
        <w:rPr>
          <w:i/>
          <w:iCs/>
        </w:rPr>
        <w:noBreakHyphen/>
        <w:t>roll Tax Assessment Regulations 2003</w:t>
      </w:r>
    </w:p>
    <w:p>
      <w:pPr>
        <w:pStyle w:val="nzHeading5"/>
        <w:rPr>
          <w:i/>
        </w:rPr>
      </w:pPr>
      <w:r>
        <w:rPr>
          <w:rStyle w:val="CharSectno"/>
        </w:rPr>
        <w:t>35</w:t>
      </w:r>
      <w:r>
        <w:t>.</w:t>
      </w:r>
      <w:r>
        <w:tab/>
        <w:t xml:space="preserve">Modification of the </w:t>
      </w:r>
      <w:r>
        <w:rPr>
          <w:i/>
        </w:rPr>
        <w:t>Pay</w:t>
      </w:r>
      <w:r>
        <w:rPr>
          <w:i/>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r>
        <w:rPr>
          <w:rStyle w:val="CharSectno"/>
        </w:rPr>
        <w:t>36</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r>
        <w:rPr>
          <w:b/>
        </w:rPr>
        <w:tab/>
        <w:t>3A.</w:t>
      </w:r>
      <w:r>
        <w:rPr>
          <w:b/>
        </w:rPr>
        <w:tab/>
        <w:t>Application of regulations in non</w:t>
      </w:r>
      <w:r>
        <w:rPr>
          <w:b/>
        </w:rPr>
        <w:noBreakHyphen/>
        <w:t>Commonwealth places</w:t>
      </w:r>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p>
      <w:pPr>
        <w:pStyle w:val="BlankClose"/>
      </w:pPr>
    </w:p>
    <w:p>
      <w:pPr>
        <w:pStyle w:val="nNote"/>
      </w:pPr>
      <w:del w:id="307" w:author="Master Repository Process" w:date="2021-09-11T20:02:00Z">
        <w:r>
          <w:rPr>
            <w:vertAlign w:val="superscript"/>
          </w:rPr>
          <w:delText>9</w:delText>
        </w:r>
      </w:del>
      <w:ins w:id="308" w:author="Master Repository Process" w:date="2021-09-11T20:02:00Z">
        <w:r>
          <w:rPr>
            <w:vertAlign w:val="superscript"/>
          </w:rPr>
          <w:t>8</w:t>
        </w:r>
      </w:ins>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Heading"/>
      </w:pPr>
      <w:r>
        <w:t>:</w:t>
      </w:r>
      <w:r>
        <w:tab/>
        <w:t xml:space="preserve">Modifications prescribed in a notice under section 8 of the Act may be expressed to take effect from a date that is earlier than the date on which the modifications are published in the </w:t>
      </w:r>
      <w:r>
        <w:rPr>
          <w:i/>
        </w:rPr>
        <w:t>Commonwealth of Australia Gazette</w:t>
      </w:r>
      <w:r>
        <w:t>, see section 8(5) of the Act.</w:t>
      </w:r>
    </w:p>
    <w:p>
      <w:pPr>
        <w:pStyle w:val="nzHeading5"/>
      </w:pPr>
      <w:r>
        <w:rPr>
          <w:rStyle w:val="CharSectno"/>
        </w:rPr>
        <w:t>4</w:t>
      </w:r>
      <w:r>
        <w:t>.</w:t>
      </w:r>
      <w:r>
        <w:tab/>
        <w:t>Definitions</w:t>
      </w:r>
    </w:p>
    <w:p>
      <w:pPr>
        <w:pStyle w:val="nzSubsection"/>
        <w:keepNext/>
        <w:keepLines/>
      </w:pPr>
      <w:r>
        <w:tab/>
      </w:r>
      <w:r>
        <w:tab/>
        <w:t xml:space="preserve">In this notice — </w:t>
      </w:r>
    </w:p>
    <w:p>
      <w:pPr>
        <w:pStyle w:val="nzDefstart"/>
      </w:pPr>
      <w:r>
        <w:rPr>
          <w:b/>
          <w:bCs/>
          <w:i/>
          <w:iCs/>
        </w:rPr>
        <w:tab/>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w:t>
      </w:r>
      <w:r>
        <w:rPr>
          <w:rStyle w:val="CharPartText"/>
        </w:rPr>
        <w:noBreakHyphen/>
        <w:t>roll tax</w:t>
      </w:r>
    </w:p>
    <w:p>
      <w:pPr>
        <w:pStyle w:val="nzHeading3"/>
      </w:pPr>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p>
    <w:p>
      <w:pPr>
        <w:pStyle w:val="nzHeading5"/>
      </w:pPr>
      <w:r>
        <w:rPr>
          <w:rStyle w:val="CharSectno"/>
        </w:rPr>
        <w:t>36</w:t>
      </w:r>
      <w:r>
        <w:t>.</w:t>
      </w:r>
      <w:r>
        <w:tab/>
        <w:t xml:space="preserve">Modification of the applied </w:t>
      </w:r>
      <w:r>
        <w:rPr>
          <w:i/>
          <w:iCs/>
        </w:rPr>
        <w:t>Pay</w:t>
      </w:r>
      <w:r>
        <w:rPr>
          <w:i/>
          <w:iCs/>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r>
        <w:rPr>
          <w:rStyle w:val="CharSectno"/>
        </w:rPr>
        <w:t>37</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pPr>
      <w:r>
        <w:t>3A.</w:t>
      </w:r>
      <w:r>
        <w:tab/>
        <w:t>Application of regulations in Commonwealth places</w:t>
      </w:r>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spacing w:before="0"/>
      </w:pPr>
      <w:r>
        <w:rPr>
          <w:rStyle w:val="CharSectno"/>
        </w:rPr>
        <w:t>38</w:t>
      </w:r>
      <w:r>
        <w:t>.</w:t>
      </w:r>
      <w:r>
        <w:tab/>
        <w:t>Glossary modified</w:t>
      </w:r>
    </w:p>
    <w:p>
      <w:pPr>
        <w:pStyle w:val="nzSubsection"/>
      </w:pPr>
      <w:r>
        <w:tab/>
      </w:r>
      <w:r>
        <w:tab/>
        <w:t xml:space="preserve">The Glossary clause 1 is modified in paragraph (c) of the definition of </w:t>
      </w:r>
      <w:r>
        <w:rPr>
          <w:b/>
          <w:i/>
        </w:rPr>
        <w:t xml:space="preserve">industrial award </w:t>
      </w:r>
      <w:r>
        <w:t xml:space="preserve">by deleting “another State” and inserting instead — </w:t>
      </w:r>
    </w:p>
    <w:p>
      <w:pPr>
        <w:pStyle w:val="nzSubsection"/>
      </w:pPr>
      <w:r>
        <w:tab/>
      </w:r>
      <w:r>
        <w:tab/>
        <w:t>“    a State other than Western Australia    ”.</w:t>
      </w:r>
    </w:p>
    <w:p>
      <w:pPr>
        <w:pStyle w:val="BlankClose"/>
      </w:pPr>
    </w:p>
    <w:p>
      <w:pPr>
        <w:pStyle w:val="nNote"/>
        <w:tabs>
          <w:tab w:val="left" w:pos="709"/>
        </w:tabs>
      </w:pPr>
      <w:del w:id="309" w:author="Master Repository Process" w:date="2021-09-11T20:02:00Z">
        <w:r>
          <w:rPr>
            <w:vertAlign w:val="superscript"/>
          </w:rPr>
          <w:delText>10</w:delText>
        </w:r>
      </w:del>
      <w:ins w:id="310" w:author="Master Repository Process" w:date="2021-09-11T20:02:00Z">
        <w:r>
          <w:rPr>
            <w:vertAlign w:val="superscript"/>
          </w:rPr>
          <w:t>9</w:t>
        </w:r>
      </w:ins>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Note"/>
      </w:pPr>
      <w:del w:id="311" w:author="Master Repository Process" w:date="2021-09-11T20:02:00Z">
        <w:r>
          <w:rPr>
            <w:vertAlign w:val="superscript"/>
          </w:rPr>
          <w:delText>11</w:delText>
        </w:r>
      </w:del>
      <w:ins w:id="312" w:author="Master Repository Process" w:date="2021-09-11T20:02:00Z">
        <w:r>
          <w:rPr>
            <w:vertAlign w:val="superscript"/>
          </w:rPr>
          <w:t>10</w:t>
        </w:r>
      </w:ins>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rPr>
          <w:del w:id="313" w:author="Master Repository Process" w:date="2021-09-11T20:02:00Z"/>
        </w:rPr>
      </w:pPr>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250"/>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5" w:name="Coversheet"/>
    <w:bookmarkEnd w:id="3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1" w:name="Schedule"/>
    <w:bookmarkEnd w:id="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15150522"/>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 w:name="WAFER_20201215150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50522_GUID" w:val="004679c4-35b4-448c-96a1-e3555b8ff7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78FEB4-0085-48F5-ACE4-7BEA7636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7816</Words>
  <Characters>38690</Characters>
  <Application>Microsoft Office Word</Application>
  <DocSecurity>0</DocSecurity>
  <Lines>1074</Lines>
  <Paragraphs>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03-e0-00 - 03-f0-00</dc:title>
  <dc:subject/>
  <dc:creator/>
  <cp:keywords/>
  <dc:description/>
  <cp:lastModifiedBy>Master Repository Process</cp:lastModifiedBy>
  <cp:revision>2</cp:revision>
  <cp:lastPrinted>2012-05-08T03:38:00Z</cp:lastPrinted>
  <dcterms:created xsi:type="dcterms:W3CDTF">2021-09-11T12:02:00Z</dcterms:created>
  <dcterms:modified xsi:type="dcterms:W3CDTF">2021-09-11T12:02:00Z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CommencementDate">
    <vt:lpwstr>20201218</vt:lpwstr>
  </property>
  <property fmtid="{D5CDD505-2E9C-101B-9397-08002B2CF9AE}" pid="8" name="FromSuffix">
    <vt:lpwstr>03-e0-00</vt:lpwstr>
  </property>
  <property fmtid="{D5CDD505-2E9C-101B-9397-08002B2CF9AE}" pid="9" name="FromAsAtDate">
    <vt:lpwstr>14 Aug 2019</vt:lpwstr>
  </property>
  <property fmtid="{D5CDD505-2E9C-101B-9397-08002B2CF9AE}" pid="10" name="ToSuffix">
    <vt:lpwstr>03-f0-00</vt:lpwstr>
  </property>
  <property fmtid="{D5CDD505-2E9C-101B-9397-08002B2CF9AE}" pid="11" name="ToAsAtDate">
    <vt:lpwstr>18 Dec 2020</vt:lpwstr>
  </property>
</Properties>
</file>