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Dec 2020</w:t>
      </w:r>
      <w:r>
        <w:fldChar w:fldCharType="end"/>
      </w:r>
      <w:r>
        <w:t xml:space="preserve">, </w:t>
      </w:r>
      <w:r>
        <w:fldChar w:fldCharType="begin"/>
      </w:r>
      <w:r>
        <w:instrText xml:space="preserve"> DocProperty FromSuffix </w:instrText>
      </w:r>
      <w:r>
        <w:fldChar w:fldCharType="separate"/>
      </w:r>
      <w:r>
        <w:t>04-l0-02</w:t>
      </w:r>
      <w:r>
        <w:fldChar w:fldCharType="end"/>
      </w:r>
      <w:r>
        <w:t>] and [</w:t>
      </w:r>
      <w:r>
        <w:fldChar w:fldCharType="begin"/>
      </w:r>
      <w:r>
        <w:instrText xml:space="preserve"> DocProperty ToAsAtDate</w:instrText>
      </w:r>
      <w:r>
        <w:fldChar w:fldCharType="separate"/>
      </w:r>
      <w:r>
        <w:t>30 Jun 2021</w:t>
      </w:r>
      <w:r>
        <w:fldChar w:fldCharType="end"/>
      </w:r>
      <w:r>
        <w:t xml:space="preserve">, </w:t>
      </w:r>
      <w:r>
        <w:fldChar w:fldCharType="begin"/>
      </w:r>
      <w:r>
        <w:instrText xml:space="preserve"> DocProperty ToSuffix</w:instrText>
      </w:r>
      <w:r>
        <w:fldChar w:fldCharType="separate"/>
      </w:r>
      <w:r>
        <w:t>04-m0-02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880" w:after="1000"/>
      </w:pPr>
      <w:r>
        <w:t>Planning and Development Act 2005</w:t>
      </w:r>
    </w:p>
    <w:p>
      <w:pPr>
        <w:pStyle w:val="LongTitle"/>
        <w:suppressLineNumbers/>
        <w:rPr>
          <w:snapToGrid w:val="0"/>
        </w:rPr>
      </w:pPr>
      <w:r>
        <w:rPr>
          <w:snapToGrid w:val="0"/>
        </w:rPr>
        <w:t>A</w:t>
      </w:r>
      <w:bookmarkStart w:id="1" w:name="_GoBack"/>
      <w:bookmarkEnd w:id="1"/>
      <w:r>
        <w:rPr>
          <w:snapToGrid w:val="0"/>
        </w:rPr>
        <w:t>n Act to provide for a system of land use planning and development in the State and for related purposes.</w:t>
      </w:r>
    </w:p>
    <w:p>
      <w:pPr>
        <w:pStyle w:val="Heading2"/>
      </w:pPr>
      <w:bookmarkStart w:id="2" w:name="_Toc77239216"/>
      <w:bookmarkStart w:id="3" w:name="_Toc77240120"/>
      <w:bookmarkStart w:id="4" w:name="_Toc77246170"/>
      <w:bookmarkStart w:id="5" w:name="_Toc74652231"/>
      <w:bookmarkStart w:id="6" w:name="_Toc74652697"/>
      <w:bookmarkStart w:id="7" w:name="_Toc74733415"/>
      <w:bookmarkStart w:id="8" w:name="_Toc74923919"/>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p>
    <w:p>
      <w:pPr>
        <w:pStyle w:val="Heading5"/>
        <w:spacing w:before="240"/>
        <w:rPr>
          <w:snapToGrid w:val="0"/>
        </w:rPr>
      </w:pPr>
      <w:bookmarkStart w:id="9" w:name="_Toc77246171"/>
      <w:bookmarkStart w:id="10" w:name="_Toc74923920"/>
      <w:r>
        <w:rPr>
          <w:rStyle w:val="CharSectno"/>
        </w:rPr>
        <w:t>1</w:t>
      </w:r>
      <w:r>
        <w:rPr>
          <w:snapToGrid w:val="0"/>
        </w:rPr>
        <w:t>.</w:t>
      </w:r>
      <w:r>
        <w:rPr>
          <w:snapToGrid w:val="0"/>
        </w:rPr>
        <w:tab/>
        <w:t>Short title</w:t>
      </w:r>
      <w:bookmarkEnd w:id="9"/>
      <w:bookmarkEnd w:id="10"/>
    </w:p>
    <w:p>
      <w:pPr>
        <w:pStyle w:val="Subsection"/>
        <w:ind w:right="425"/>
        <w:rPr>
          <w:snapToGrid w:val="0"/>
        </w:rPr>
      </w:pPr>
      <w:r>
        <w:tab/>
      </w:r>
      <w:r>
        <w:tab/>
        <w:t>This</w:t>
      </w:r>
      <w:r>
        <w:rPr>
          <w:snapToGrid w:val="0"/>
        </w:rPr>
        <w:t xml:space="preserve"> Act may be cited as the </w:t>
      </w:r>
      <w:r>
        <w:rPr>
          <w:i/>
          <w:snapToGrid w:val="0"/>
        </w:rPr>
        <w:t>Planning and Development Act 2005</w:t>
      </w:r>
      <w:r>
        <w:rPr>
          <w:snapToGrid w:val="0"/>
        </w:rPr>
        <w:t>.</w:t>
      </w:r>
    </w:p>
    <w:p>
      <w:pPr>
        <w:pStyle w:val="Heading5"/>
        <w:spacing w:before="240"/>
      </w:pPr>
      <w:bookmarkStart w:id="11" w:name="_Toc77246172"/>
      <w:bookmarkStart w:id="12" w:name="_Toc74923921"/>
      <w:r>
        <w:rPr>
          <w:rStyle w:val="CharSectno"/>
        </w:rPr>
        <w:t>2</w:t>
      </w:r>
      <w:r>
        <w:t>.</w:t>
      </w:r>
      <w:r>
        <w:tab/>
        <w:t>Commencement</w:t>
      </w:r>
      <w:bookmarkEnd w:id="11"/>
      <w:bookmarkEnd w:id="12"/>
    </w:p>
    <w:p>
      <w:pPr>
        <w:pStyle w:val="Subsection"/>
        <w:spacing w:before="180"/>
      </w:pPr>
      <w:r>
        <w:tab/>
        <w:t>(1)</w:t>
      </w:r>
      <w:r>
        <w:tab/>
        <w:t>This Act comes into operation on a day fixed by proclamation.</w:t>
      </w:r>
    </w:p>
    <w:p>
      <w:pPr>
        <w:pStyle w:val="Subsection"/>
        <w:spacing w:before="180"/>
      </w:pPr>
      <w:r>
        <w:tab/>
        <w:t>(2)</w:t>
      </w:r>
      <w:r>
        <w:tab/>
        <w:t>Different days may be fixed under subsection (1) for different provisions.</w:t>
      </w:r>
    </w:p>
    <w:p>
      <w:pPr>
        <w:pStyle w:val="Heading5"/>
        <w:spacing w:before="240"/>
      </w:pPr>
      <w:bookmarkStart w:id="13" w:name="_Toc77246173"/>
      <w:bookmarkStart w:id="14" w:name="_Toc74923922"/>
      <w:r>
        <w:rPr>
          <w:rStyle w:val="CharSectno"/>
        </w:rPr>
        <w:t>3</w:t>
      </w:r>
      <w:r>
        <w:t>.</w:t>
      </w:r>
      <w:r>
        <w:tab/>
        <w:t>Purposes and interpretation of this Act</w:t>
      </w:r>
      <w:bookmarkEnd w:id="13"/>
      <w:bookmarkEnd w:id="14"/>
    </w:p>
    <w:p>
      <w:pPr>
        <w:pStyle w:val="Subsection"/>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r>
        <w:rPr>
          <w:i/>
        </w:rPr>
        <w:t>Metropolitan Region Town Planning Scheme Act 1959</w:t>
      </w:r>
      <w:r>
        <w:t xml:space="preserve">, the </w:t>
      </w:r>
      <w:r>
        <w:rPr>
          <w:i/>
        </w:rPr>
        <w:t>Town Planning and Development Act 1928</w:t>
      </w:r>
      <w:r>
        <w:t xml:space="preserve"> and the </w:t>
      </w:r>
      <w:r>
        <w:rPr>
          <w:i/>
        </w:rPr>
        <w:t>Western Australian Planning Commission Act 1985</w:t>
      </w:r>
      <w:r>
        <w:t>) in a rewritten form; and</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15" w:name="_Toc77246174"/>
      <w:bookmarkStart w:id="16" w:name="_Toc74923923"/>
      <w:r>
        <w:rPr>
          <w:rStyle w:val="CharSectno"/>
        </w:rPr>
        <w:t>4</w:t>
      </w:r>
      <w:r>
        <w:t>.</w:t>
      </w:r>
      <w:r>
        <w:tab/>
        <w:t>Terms used</w:t>
      </w:r>
      <w:bookmarkEnd w:id="15"/>
      <w:bookmarkEnd w:id="16"/>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protection order made under the </w:t>
      </w:r>
      <w:r>
        <w:rPr>
          <w:i/>
        </w:rPr>
        <w:t>Heritage Act 2018</w:t>
      </w:r>
      <w:r>
        <w:t xml:space="preserve"> Part 4 Division 1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Development Assessment Panel</w:t>
      </w:r>
      <w:r>
        <w:t xml:space="preserve"> or </w:t>
      </w:r>
      <w:r>
        <w:rPr>
          <w:rStyle w:val="CharDefText"/>
        </w:rPr>
        <w:t>DAP</w:t>
      </w:r>
      <w:r>
        <w:rPr>
          <w:b/>
          <w:bCs/>
          <w:i/>
          <w:iCs/>
        </w:rPr>
        <w:t xml:space="preserve"> </w:t>
      </w:r>
      <w:r>
        <w:t>means a JDAP or LDAP;</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Heritage Council</w:t>
      </w:r>
      <w:r>
        <w:t xml:space="preserve"> means the Heritage Council of Western Australia established by the </w:t>
      </w:r>
      <w:r>
        <w:rPr>
          <w:i/>
        </w:rPr>
        <w:t>Heritage Act 2018</w:t>
      </w:r>
      <w:r>
        <w:t>;</w:t>
      </w:r>
    </w:p>
    <w:p>
      <w:pPr>
        <w:pStyle w:val="Defstart"/>
      </w:pPr>
      <w:r>
        <w:tab/>
      </w:r>
      <w:r>
        <w:rPr>
          <w:rStyle w:val="CharDefText"/>
        </w:rPr>
        <w:t>improvement plan</w:t>
      </w:r>
      <w:r>
        <w:t xml:space="preserve"> means an improvement plan referred to in section 119;</w:t>
      </w:r>
    </w:p>
    <w:p>
      <w:pPr>
        <w:pStyle w:val="Defstart"/>
      </w:pPr>
      <w:r>
        <w:tab/>
      </w:r>
      <w:r>
        <w:rPr>
          <w:rStyle w:val="CharDefText"/>
        </w:rPr>
        <w:t>improvement scheme</w:t>
      </w:r>
      <w:r>
        <w:t xml:space="preserve"> means an improvement scheme that has effect under Part 8 Division 2;</w:t>
      </w:r>
    </w:p>
    <w:p>
      <w:pPr>
        <w:pStyle w:val="Defstart"/>
      </w:pPr>
      <w:r>
        <w:tab/>
      </w:r>
      <w:r>
        <w:rPr>
          <w:rStyle w:val="CharDefText"/>
        </w:rPr>
        <w:t>improvement scheme area</w:t>
      </w:r>
      <w:r>
        <w:t xml:space="preserve"> has the meaning given in section 122A(2);</w:t>
      </w:r>
    </w:p>
    <w:p>
      <w:pPr>
        <w:pStyle w:val="Defstart"/>
      </w:pPr>
      <w:r>
        <w:tab/>
      </w:r>
      <w:r>
        <w:rPr>
          <w:rStyle w:val="CharDefText"/>
        </w:rPr>
        <w:t>interim development order</w:t>
      </w:r>
      <w:r>
        <w:t xml:space="preserve"> means a regional interim development order or a local interim development order;</w:t>
      </w:r>
    </w:p>
    <w:p>
      <w:pPr>
        <w:pStyle w:val="Defstart"/>
      </w:pPr>
      <w:r>
        <w:tab/>
      </w:r>
      <w:r>
        <w:rPr>
          <w:rStyle w:val="CharDefText"/>
        </w:rPr>
        <w:t>JDAP</w:t>
      </w:r>
      <w:r>
        <w:t xml:space="preserve"> means a Joint Development Assessment Panel established under section 171C;</w:t>
      </w:r>
    </w:p>
    <w:p>
      <w:pPr>
        <w:pStyle w:val="Defstart"/>
      </w:pPr>
      <w:r>
        <w:tab/>
      </w:r>
      <w:r>
        <w:rPr>
          <w:rStyle w:val="CharDefText"/>
        </w:rPr>
        <w:t>LAA Department</w:t>
      </w:r>
      <w:r>
        <w:t xml:space="preserve"> means the department principally assisting in the administration of the </w:t>
      </w:r>
      <w:r>
        <w:rPr>
          <w:i/>
        </w:rPr>
        <w:t>Land Administration Act 1997</w:t>
      </w:r>
      <w:r>
        <w:t>;</w:t>
      </w:r>
    </w:p>
    <w:p>
      <w:pPr>
        <w:pStyle w:val="Defstart"/>
      </w:pPr>
      <w:r>
        <w:tab/>
      </w:r>
      <w:r>
        <w:rPr>
          <w:rStyle w:val="CharDefText"/>
        </w:rPr>
        <w:t>land</w:t>
      </w:r>
      <w:r>
        <w:t xml:space="preserve"> includes — </w:t>
      </w:r>
    </w:p>
    <w:p>
      <w:pPr>
        <w:pStyle w:val="Defpara"/>
      </w:pPr>
      <w:r>
        <w:tab/>
        <w:t>(a)</w:t>
      </w:r>
      <w:r>
        <w:tab/>
        <w:t>land, tenements and hereditaments; and</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tab/>
      </w:r>
      <w:r>
        <w:rPr>
          <w:rStyle w:val="CharDefText"/>
        </w:rPr>
        <w:t>LDAP</w:t>
      </w:r>
      <w:r>
        <w:t xml:space="preserve"> means a Local Development Assessment Panel established under section 171C;</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pPr>
      <w:r>
        <w:tab/>
        <w:t>(a)</w:t>
      </w:r>
      <w:r>
        <w:tab/>
        <w:t>depicted on a plan or diagram available from, or deposited with, the Authority and for which a separate Crown grant or certificate of title has been or can be issued; or</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rPr>
          <w:vertAlign w:val="superscript"/>
        </w:rPr>
        <w:t> 1</w:t>
      </w:r>
      <w:r>
        <w:t>; or</w:t>
      </w:r>
    </w:p>
    <w:p>
      <w:pPr>
        <w:pStyle w:val="Defsubpara"/>
        <w:keepLines w:val="0"/>
      </w:pPr>
      <w:r>
        <w:tab/>
        <w:t>(ii)</w:t>
      </w:r>
      <w:r>
        <w:tab/>
        <w:t xml:space="preserve">a certificate of title registered under the </w:t>
      </w:r>
      <w:r>
        <w:rPr>
          <w:i/>
        </w:rPr>
        <w:t>Transfer of Land Act 1893</w:t>
      </w:r>
      <w:r>
        <w:t>; or</w:t>
      </w:r>
    </w:p>
    <w:p>
      <w:pPr>
        <w:pStyle w:val="Defsubpara"/>
        <w:keepLines w:val="0"/>
      </w:pPr>
      <w:r>
        <w:tab/>
        <w:t>(iii)</w:t>
      </w:r>
      <w:r>
        <w:tab/>
        <w:t xml:space="preserve">a survey into a location or lot under section 27(2) of the </w:t>
      </w:r>
      <w:r>
        <w:rPr>
          <w:i/>
        </w:rPr>
        <w:t>Land Administration Act 1997</w:t>
      </w:r>
      <w:r>
        <w:t xml:space="preserve"> or a certificate of Crown land title the subject of such a survey; or</w:t>
      </w:r>
    </w:p>
    <w:p>
      <w:pPr>
        <w:pStyle w:val="Defsubpara"/>
        <w:keepLines w:val="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 xml:space="preserve">but does not include a lot as defined in the </w:t>
      </w:r>
      <w:r>
        <w:rPr>
          <w:i/>
        </w:rPr>
        <w:t>Strata Titles Act 1985</w:t>
      </w:r>
      <w:r>
        <w:t xml:space="preserve"> section 3(1);</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rStyle w:val="CharDefText"/>
        </w:rPr>
        <w:t>planning control area</w:t>
      </w:r>
      <w:r>
        <w:t xml:space="preserve"> means a planning control area declared and in force under section 112;</w:t>
      </w:r>
    </w:p>
    <w:p>
      <w:pPr>
        <w:pStyle w:val="Defstart"/>
        <w:keepNext/>
      </w:pPr>
      <w:r>
        <w:tab/>
      </w:r>
      <w:r>
        <w:rPr>
          <w:rStyle w:val="CharDefText"/>
        </w:rPr>
        <w:t>planning scheme</w:t>
      </w:r>
      <w:r>
        <w:t xml:space="preserve"> means a local planning scheme, region planning scheme or improvement scheme that has effect under this Act and includes — </w:t>
      </w:r>
    </w:p>
    <w:p>
      <w:pPr>
        <w:pStyle w:val="Indenta"/>
      </w:pPr>
      <w:r>
        <w:tab/>
        <w:t>(a)</w:t>
      </w:r>
      <w:r>
        <w:tab/>
        <w:t xml:space="preserve">the provisions of the scheme being — </w:t>
      </w:r>
    </w:p>
    <w:p>
      <w:pPr>
        <w:pStyle w:val="Indenti"/>
      </w:pPr>
      <w:r>
        <w:tab/>
        <w:t>(i)</w:t>
      </w:r>
      <w:r>
        <w:tab/>
        <w:t>the provisions set out in the scheme; and</w:t>
      </w:r>
    </w:p>
    <w:p>
      <w:pPr>
        <w:pStyle w:val="Indenti"/>
      </w:pPr>
      <w:r>
        <w:tab/>
        <w:t>(ii)</w:t>
      </w:r>
      <w:r>
        <w:tab/>
        <w:t>any State planning policy that, with any modifications set out in the scheme, has effect under section 77(2)(b) as part of the scheme; and</w:t>
      </w:r>
    </w:p>
    <w:p>
      <w:pPr>
        <w:pStyle w:val="Indenti"/>
      </w:pPr>
      <w:r>
        <w:tab/>
        <w:t>(iii)</w:t>
      </w:r>
      <w:r>
        <w:tab/>
        <w:t>any provisions that have effect under section 257B(2) as part of the scheme;</w:t>
      </w:r>
    </w:p>
    <w:p>
      <w:pPr>
        <w:pStyle w:val="Indenta"/>
      </w:pPr>
      <w:r>
        <w:tab/>
      </w:r>
      <w:r>
        <w:tab/>
        <w:t>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work</w:t>
      </w:r>
      <w:r>
        <w:t xml:space="preserve"> includes the following — </w:t>
      </w:r>
    </w:p>
    <w:p>
      <w:pPr>
        <w:pStyle w:val="Defpara"/>
      </w:pPr>
      <w:r>
        <w:tab/>
        <w:t>(a)</w:t>
      </w:r>
      <w:r>
        <w:tab/>
        <w:t xml:space="preserve">any public work as defined in the </w:t>
      </w:r>
      <w:r>
        <w:rPr>
          <w:i/>
        </w:rPr>
        <w:t>Public Works Act 1902</w:t>
      </w:r>
      <w:r>
        <w:t>;</w:t>
      </w:r>
    </w:p>
    <w:p>
      <w:pPr>
        <w:pStyle w:val="Defpara"/>
      </w:pPr>
      <w:r>
        <w:tab/>
        <w:t>(b)</w:t>
      </w:r>
      <w:r>
        <w:tab/>
        <w:t>development in any area to which a region planning scheme applies if the development is of a class or kind designated as public work under the scheme;</w:t>
      </w:r>
    </w:p>
    <w:p>
      <w:pPr>
        <w:pStyle w:val="Defpara"/>
      </w:pPr>
      <w:r>
        <w:tab/>
        <w:t>(c)</w:t>
      </w:r>
      <w:r>
        <w:tab/>
        <w:t>development in any area to which a local planning scheme applies if the development is of a class or kind designated as public work under the scheme;</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xml:space="preserve">, except as provided in regulations made under section 171A(2)(a),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pPr>
      <w:r>
        <w:tab/>
        <w:t>(b)</w:t>
      </w:r>
      <w:r>
        <w:tab/>
        <w:t>in relation to a region planning scheme, regional interim development order or planning control area, the Commission or a local government exercising the powers of the Commission; and</w:t>
      </w:r>
    </w:p>
    <w:p>
      <w:pPr>
        <w:pStyle w:val="Defpara"/>
      </w:pPr>
      <w:r>
        <w:tab/>
        <w:t>(c)</w:t>
      </w:r>
      <w:r>
        <w:tab/>
        <w:t>in relation to an improvement scheme, the Commission;</w:t>
      </w:r>
    </w:p>
    <w:p>
      <w:pPr>
        <w:pStyle w:val="Defstart"/>
      </w:pPr>
      <w:r>
        <w:tab/>
      </w:r>
      <w:r>
        <w:rPr>
          <w:rStyle w:val="CharDefText"/>
        </w:rPr>
        <w:t>road</w:t>
      </w:r>
      <w:r>
        <w:t xml:space="preserve"> means a public thoroughfare for vehicles (as defined in the </w:t>
      </w:r>
      <w:r>
        <w:rPr>
          <w:i/>
          <w:iCs/>
        </w:rPr>
        <w:t>Road Traffic (Administration) Act 2008</w:t>
      </w:r>
      <w:r>
        <w:t xml:space="preserve"> section 4) or pedestrians, and includes structures or other things appurtenant to the road that are within its limits, and a thoroughfare is not prevented from being a road only because it is not open at each end;</w:t>
      </w:r>
    </w:p>
    <w:p>
      <w:pPr>
        <w:pStyle w:val="Defstart"/>
      </w:pPr>
      <w:r>
        <w:tab/>
      </w:r>
      <w:r>
        <w:rPr>
          <w:rStyle w:val="CharDefText"/>
        </w:rPr>
        <w:t>State planning policy</w:t>
      </w:r>
      <w:r>
        <w:t xml:space="preserve"> means a planning policy approved under section 29;</w:t>
      </w:r>
    </w:p>
    <w:p>
      <w:pPr>
        <w:pStyle w:val="Defstart"/>
      </w:pPr>
      <w:r>
        <w:tab/>
      </w:r>
      <w:r>
        <w:rPr>
          <w:rStyle w:val="CharDefText"/>
        </w:rPr>
        <w:t>subdivision</w:t>
      </w:r>
      <w:r>
        <w:t xml:space="preserve"> includes amalgamation;</w:t>
      </w:r>
    </w:p>
    <w:p>
      <w:pPr>
        <w:pStyle w:val="Defstart"/>
      </w:pPr>
      <w:r>
        <w:tab/>
      </w:r>
      <w:r>
        <w:rPr>
          <w:rStyle w:val="CharDefText"/>
        </w:rPr>
        <w:t>Swan Valley</w:t>
      </w:r>
      <w:r>
        <w:t xml:space="preserve"> has the meaning given to that term in the </w:t>
      </w:r>
      <w:r>
        <w:rPr>
          <w:i/>
        </w:rPr>
        <w:t>Swan Valley Planning Act 1995</w:t>
      </w:r>
      <w:r>
        <w:t>;</w:t>
      </w:r>
    </w:p>
    <w:p>
      <w:pPr>
        <w:pStyle w:val="Defstart"/>
      </w:pPr>
      <w:r>
        <w:tab/>
      </w:r>
      <w:r>
        <w:rPr>
          <w:rStyle w:val="CharDefText"/>
        </w:rPr>
        <w:t>Swan Valley Planning Committee</w:t>
      </w:r>
      <w:r>
        <w:t xml:space="preserve"> has the meaning given to that term in the </w:t>
      </w:r>
      <w:r>
        <w:rPr>
          <w:i/>
        </w:rPr>
        <w:t>Swan Valley Planning Act 1995</w:t>
      </w:r>
      <w:r>
        <w:t>;</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 or “the amendment of a local planning scheme” includes a reference to the adoption of a local planning scheme or amendment;</w:t>
      </w:r>
    </w:p>
    <w:p>
      <w:pPr>
        <w:pStyle w:val="Indenta"/>
      </w:pPr>
      <w:r>
        <w:tab/>
        <w:t>(b)</w:t>
      </w:r>
      <w:r>
        <w:tab/>
        <w:t>“a local planning scheme prepared by a local government” or “an amendment prepared by a local government” includes a reference to a planning scheme or amendment adopted by it,</w:t>
      </w:r>
    </w:p>
    <w:p>
      <w:pPr>
        <w:pStyle w:val="Subsection"/>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No. 60 of 2006 s. 147(2); No. 77 of 2006 Sch. 1 cl. 127(1); No. 21 of 2008 s. 690; No. 28 of 2010 s. 4, 41 and 52; No. 8 of 2012 s. 161; No. 22 of 2018 s. 186(2); No. 30 of 2018 s. 161; No. 26 of 2020 s. 11.]</w:t>
      </w:r>
    </w:p>
    <w:p>
      <w:pPr>
        <w:pStyle w:val="Heading5"/>
        <w:spacing w:before="180"/>
      </w:pPr>
      <w:bookmarkStart w:id="17" w:name="_Toc77246175"/>
      <w:bookmarkStart w:id="18" w:name="_Toc74923924"/>
      <w:r>
        <w:rPr>
          <w:rStyle w:val="CharSectno"/>
        </w:rPr>
        <w:t>5</w:t>
      </w:r>
      <w:r>
        <w:t>.</w:t>
      </w:r>
      <w:r>
        <w:tab/>
        <w:t>Crown bound</w:t>
      </w:r>
      <w:bookmarkEnd w:id="17"/>
      <w:bookmarkEnd w:id="18"/>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Subsection"/>
      </w:pPr>
      <w:r>
        <w:tab/>
        <w:t>(3)</w:t>
      </w:r>
      <w:r>
        <w:tab/>
        <w:t>An improvement scheme binds the Crown.</w:t>
      </w:r>
    </w:p>
    <w:p>
      <w:pPr>
        <w:pStyle w:val="Footnotesection"/>
      </w:pPr>
      <w:r>
        <w:tab/>
        <w:t xml:space="preserve">[Section 5 amended: No. 28 of 2010 s. 5.] </w:t>
      </w:r>
    </w:p>
    <w:p>
      <w:pPr>
        <w:pStyle w:val="Heading5"/>
        <w:spacing w:before="180"/>
      </w:pPr>
      <w:bookmarkStart w:id="19" w:name="_Toc77246176"/>
      <w:bookmarkStart w:id="20" w:name="_Toc74923925"/>
      <w:r>
        <w:rPr>
          <w:rStyle w:val="CharSectno"/>
        </w:rPr>
        <w:t>6</w:t>
      </w:r>
      <w:r>
        <w:t>.</w:t>
      </w:r>
      <w:r>
        <w:tab/>
        <w:t>Act does not interfere with public works</w:t>
      </w:r>
      <w:bookmarkEnd w:id="19"/>
      <w:bookmarkEnd w:id="20"/>
    </w:p>
    <w:p>
      <w:pPr>
        <w:pStyle w:val="Subsection"/>
        <w:keepNext/>
        <w:keepLines/>
      </w:pPr>
      <w:r>
        <w:tab/>
        <w:t>(1)</w:t>
      </w:r>
      <w:r>
        <w:tab/>
        <w:t xml:space="preserve">Subject to subsections (2) to (4), nothing in this Act interferes with the right of the Crown, or the Governor, or a public authority,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due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 and</w:t>
      </w:r>
    </w:p>
    <w:p>
      <w:pPr>
        <w:pStyle w:val="Indenta"/>
      </w:pPr>
      <w:r>
        <w:tab/>
        <w:t>(c)</w:t>
      </w:r>
      <w:r>
        <w:tab/>
        <w:t>any advice provided by the responsible authority in the course of the consultation required under subsection (3) in respect of the exercise of the right.</w:t>
      </w:r>
    </w:p>
    <w:p>
      <w:pPr>
        <w:pStyle w:val="Subsection"/>
      </w:pPr>
      <w:r>
        <w:tab/>
        <w:t>(3)</w:t>
      </w:r>
      <w:r>
        <w:tab/>
        <w:t>At the time when a proposal for any public work, or for the taking of land for a public work, is being formulated, the responsible authority is to be consulted as to whether the undertaking, construction or provision of, or the taking of land for, the public work will be consistent with the matters referred to in subsection (2)(a) and (b).</w:t>
      </w:r>
    </w:p>
    <w:p>
      <w:pPr>
        <w:pStyle w:val="Subsection"/>
      </w:pPr>
      <w:r>
        <w:tab/>
        <w:t>(4)</w:t>
      </w:r>
      <w:r>
        <w:tab/>
        <w:t xml:space="preserve">This section does not affect — </w:t>
      </w:r>
    </w:p>
    <w:p>
      <w:pPr>
        <w:pStyle w:val="Indenta"/>
      </w:pPr>
      <w:r>
        <w:tab/>
        <w:t>(a)</w:t>
      </w:r>
      <w:r>
        <w:tab/>
        <w:t>the application of section 5(2) and (3); or</w:t>
      </w:r>
    </w:p>
    <w:p>
      <w:pPr>
        <w:pStyle w:val="Indenta"/>
      </w:pPr>
      <w:r>
        <w:tab/>
        <w:t>(b)</w:t>
      </w:r>
      <w:r>
        <w:tab/>
        <w:t>the application of a region planning scheme or an improvement scheme in relation to anything done, or proposed to be done, by a public authority that is not an agency of the Crown.</w:t>
      </w:r>
    </w:p>
    <w:p>
      <w:pPr>
        <w:pStyle w:val="Footnotesection"/>
      </w:pPr>
      <w:r>
        <w:tab/>
        <w:t xml:space="preserve">[Section 6 amended: No. 28 of 2010 s. 6; No. 26 of 2020 s. 12.] </w:t>
      </w:r>
    </w:p>
    <w:p>
      <w:pPr>
        <w:pStyle w:val="Heading2"/>
      </w:pPr>
      <w:bookmarkStart w:id="21" w:name="_Toc77239223"/>
      <w:bookmarkStart w:id="22" w:name="_Toc77240127"/>
      <w:bookmarkStart w:id="23" w:name="_Toc77246177"/>
      <w:bookmarkStart w:id="24" w:name="_Toc74652238"/>
      <w:bookmarkStart w:id="25" w:name="_Toc74652704"/>
      <w:bookmarkStart w:id="26" w:name="_Toc74733422"/>
      <w:bookmarkStart w:id="27" w:name="_Toc74923926"/>
      <w:r>
        <w:rPr>
          <w:rStyle w:val="CharPartNo"/>
        </w:rPr>
        <w:t>Part 2</w:t>
      </w:r>
      <w:r>
        <w:t> — </w:t>
      </w:r>
      <w:r>
        <w:rPr>
          <w:rStyle w:val="CharPartText"/>
        </w:rPr>
        <w:t>The Western Australian Planning Commission</w:t>
      </w:r>
      <w:bookmarkEnd w:id="21"/>
      <w:bookmarkEnd w:id="22"/>
      <w:bookmarkEnd w:id="23"/>
      <w:bookmarkEnd w:id="24"/>
      <w:bookmarkEnd w:id="25"/>
      <w:bookmarkEnd w:id="26"/>
      <w:bookmarkEnd w:id="27"/>
    </w:p>
    <w:p>
      <w:pPr>
        <w:pStyle w:val="Heading3"/>
      </w:pPr>
      <w:bookmarkStart w:id="28" w:name="_Toc77239224"/>
      <w:bookmarkStart w:id="29" w:name="_Toc77240128"/>
      <w:bookmarkStart w:id="30" w:name="_Toc77246178"/>
      <w:bookmarkStart w:id="31" w:name="_Toc74652239"/>
      <w:bookmarkStart w:id="32" w:name="_Toc74652705"/>
      <w:bookmarkStart w:id="33" w:name="_Toc74733423"/>
      <w:bookmarkStart w:id="34" w:name="_Toc74923927"/>
      <w:r>
        <w:rPr>
          <w:rStyle w:val="CharDivNo"/>
        </w:rPr>
        <w:t>Division 1</w:t>
      </w:r>
      <w:r>
        <w:t> — </w:t>
      </w:r>
      <w:r>
        <w:rPr>
          <w:rStyle w:val="CharDivText"/>
        </w:rPr>
        <w:t>Establishment and management</w:t>
      </w:r>
      <w:bookmarkEnd w:id="28"/>
      <w:bookmarkEnd w:id="29"/>
      <w:bookmarkEnd w:id="30"/>
      <w:bookmarkEnd w:id="31"/>
      <w:bookmarkEnd w:id="32"/>
      <w:bookmarkEnd w:id="33"/>
      <w:bookmarkEnd w:id="34"/>
    </w:p>
    <w:p>
      <w:pPr>
        <w:pStyle w:val="Heading5"/>
      </w:pPr>
      <w:bookmarkStart w:id="35" w:name="_Toc77246179"/>
      <w:bookmarkStart w:id="36" w:name="_Toc74923928"/>
      <w:r>
        <w:rPr>
          <w:rStyle w:val="CharSectno"/>
        </w:rPr>
        <w:t>7</w:t>
      </w:r>
      <w:r>
        <w:t>.</w:t>
      </w:r>
      <w:r>
        <w:tab/>
        <w:t>Commission established</w:t>
      </w:r>
      <w:bookmarkEnd w:id="35"/>
      <w:bookmarkEnd w:id="36"/>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37" w:name="_Toc77246180"/>
      <w:bookmarkStart w:id="38" w:name="_Toc74923929"/>
      <w:r>
        <w:rPr>
          <w:rStyle w:val="CharSectno"/>
        </w:rPr>
        <w:t>8</w:t>
      </w:r>
      <w:r>
        <w:t>.</w:t>
      </w:r>
      <w:r>
        <w:tab/>
        <w:t>Status</w:t>
      </w:r>
      <w:bookmarkEnd w:id="37"/>
      <w:bookmarkEnd w:id="38"/>
    </w:p>
    <w:p>
      <w:pPr>
        <w:pStyle w:val="Subsection"/>
      </w:pPr>
      <w:r>
        <w:tab/>
      </w:r>
      <w:r>
        <w:tab/>
        <w:t>The Commission is an agent of the State and has the status, immunities and privileges of the State.</w:t>
      </w:r>
    </w:p>
    <w:p>
      <w:pPr>
        <w:pStyle w:val="Heading5"/>
      </w:pPr>
      <w:bookmarkStart w:id="39" w:name="_Toc77246181"/>
      <w:bookmarkStart w:id="40" w:name="_Toc74923930"/>
      <w:r>
        <w:rPr>
          <w:rStyle w:val="CharSectno"/>
        </w:rPr>
        <w:t>9</w:t>
      </w:r>
      <w:r>
        <w:t>.</w:t>
      </w:r>
      <w:r>
        <w:tab/>
        <w:t>Board of management</w:t>
      </w:r>
      <w:bookmarkEnd w:id="39"/>
      <w:bookmarkEnd w:id="40"/>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41" w:name="_Toc77246182"/>
      <w:bookmarkStart w:id="42" w:name="_Toc74923931"/>
      <w:r>
        <w:rPr>
          <w:rStyle w:val="CharSectno"/>
        </w:rPr>
        <w:t>10</w:t>
      </w:r>
      <w:r>
        <w:t>.</w:t>
      </w:r>
      <w:r>
        <w:tab/>
        <w:t>Membership of board</w:t>
      </w:r>
      <w:bookmarkEnd w:id="41"/>
      <w:bookmarkEnd w:id="42"/>
    </w:p>
    <w:p>
      <w:pPr>
        <w:pStyle w:val="Subsection"/>
        <w:spacing w:before="120"/>
      </w:pPr>
      <w:r>
        <w:tab/>
        <w:t>(1)</w:t>
      </w:r>
      <w:r>
        <w:tab/>
        <w:t xml:space="preserve">The board is to consist of the following members — </w:t>
      </w:r>
    </w:p>
    <w:p>
      <w:pPr>
        <w:pStyle w:val="Indenta"/>
      </w:pPr>
      <w:r>
        <w:tab/>
        <w:t>(a)</w:t>
      </w:r>
      <w:r>
        <w:tab/>
        <w:t>a chairperson appointed by the Governor on the nomination of the Minister; and</w:t>
      </w:r>
    </w:p>
    <w:p>
      <w:pPr>
        <w:pStyle w:val="Indenta"/>
      </w:pPr>
      <w:r>
        <w:tab/>
        <w:t>(b)</w:t>
      </w:r>
      <w:r>
        <w:tab/>
        <w:t xml:space="preserve">6 members appointed by the Governor, of whom — </w:t>
      </w:r>
    </w:p>
    <w:p>
      <w:pPr>
        <w:pStyle w:val="Indenti"/>
      </w:pPr>
      <w:r>
        <w:tab/>
        <w:t>(i)</w:t>
      </w:r>
      <w:r>
        <w:tab/>
        <w:t>one is to be a person nominated by the Minister from a list of the names of 4 persons representing the interests of local governments within the metropolitan region submitted to the Minister by WALGA; and</w:t>
      </w:r>
    </w:p>
    <w:p>
      <w:pPr>
        <w:pStyle w:val="Indenti"/>
      </w:pPr>
      <w:r>
        <w:tab/>
        <w:t>(ii)</w:t>
      </w:r>
      <w:r>
        <w:tab/>
        <w:t>one is to be a person nominated by the Minister from a list of the names of 4 persons representing the interests of the local governments outside the metropolitan region submitted to the Minister by WALGA; and</w:t>
      </w:r>
    </w:p>
    <w:p>
      <w:pPr>
        <w:pStyle w:val="Indenti"/>
      </w:pPr>
      <w:r>
        <w:tab/>
        <w:t>(iii)</w:t>
      </w:r>
      <w:r>
        <w:tab/>
        <w:t>one is to be a person nominated by the Minister as having experience of the field of coastal planning and management; and</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 and</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 and</w:t>
      </w:r>
    </w:p>
    <w:p>
      <w:pPr>
        <w:pStyle w:val="Indenti"/>
      </w:pPr>
      <w:r>
        <w:tab/>
        <w:t>(ii)</w:t>
      </w:r>
      <w:r>
        <w:tab/>
        <w:t>the chief executive officer of the department principally assisting in the administration of the</w:t>
      </w:r>
      <w:r>
        <w:rPr>
          <w:i/>
        </w:rPr>
        <w:t xml:space="preserve"> </w:t>
      </w:r>
      <w:r>
        <w:rPr>
          <w:i/>
          <w:iCs/>
        </w:rPr>
        <w:t>Water Agencies (Powers) Act 1984</w:t>
      </w:r>
      <w:r>
        <w:t>; and</w:t>
      </w:r>
    </w:p>
    <w:p>
      <w:pPr>
        <w:pStyle w:val="Indenti"/>
      </w:pPr>
      <w:r>
        <w:tab/>
        <w:t>(iii)</w:t>
      </w:r>
      <w:r>
        <w:tab/>
        <w:t xml:space="preserve">the chief executive officer of the department principally assisting in the administration of the </w:t>
      </w:r>
      <w:r>
        <w:rPr>
          <w:i/>
        </w:rPr>
        <w:t>Transport Co</w:t>
      </w:r>
      <w:r>
        <w:rPr>
          <w:i/>
        </w:rPr>
        <w:noBreakHyphen/>
        <w:t>ordination Act 1966</w:t>
      </w:r>
      <w:r>
        <w:t>; and</w:t>
      </w:r>
    </w:p>
    <w:p>
      <w:pPr>
        <w:pStyle w:val="Indenti"/>
      </w:pPr>
      <w:r>
        <w:tab/>
        <w:t>(iv)</w:t>
      </w:r>
      <w:r>
        <w:tab/>
        <w:t xml:space="preserve">the chief executive officer of the department principally assisting in the administration of the </w:t>
      </w:r>
      <w:r>
        <w:rPr>
          <w:i/>
        </w:rPr>
        <w:t>Environmental Protection Act 1986</w:t>
      </w:r>
      <w:r>
        <w:t>; and</w:t>
      </w:r>
    </w:p>
    <w:p>
      <w:pPr>
        <w:pStyle w:val="Indenti"/>
      </w:pPr>
      <w:r>
        <w:tab/>
        <w:t>(v)</w:t>
      </w:r>
      <w:r>
        <w:tab/>
        <w:t xml:space="preserve">the chief executive officer of the department principally assisting in the administration of the </w:t>
      </w:r>
      <w:r>
        <w:rPr>
          <w:i/>
        </w:rPr>
        <w:t>Government Agreements Act 1979</w:t>
      </w:r>
      <w:r>
        <w:t>; and</w:t>
      </w:r>
    </w:p>
    <w:p>
      <w:pPr>
        <w:pStyle w:val="Indenti"/>
      </w:pPr>
      <w:r>
        <w:tab/>
        <w:t>(vi)</w:t>
      </w:r>
      <w:r>
        <w:tab/>
        <w:t xml:space="preserve">the chief executive officer of the department principally assisting in the administration of the </w:t>
      </w:r>
      <w:r>
        <w:rPr>
          <w:i/>
        </w:rPr>
        <w:t>Housing Act 1980</w:t>
      </w:r>
      <w:r>
        <w:t>; and</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Footnotesection"/>
      </w:pPr>
      <w:r>
        <w:tab/>
        <w:t>[Section 10 amended: No. 25 of 2012 s. 222(2).]</w:t>
      </w:r>
    </w:p>
    <w:p>
      <w:pPr>
        <w:pStyle w:val="Heading5"/>
        <w:keepLines w:val="0"/>
        <w:pageBreakBefore/>
        <w:spacing w:before="0"/>
      </w:pPr>
      <w:bookmarkStart w:id="43" w:name="_Toc77246183"/>
      <w:bookmarkStart w:id="44" w:name="_Toc74923932"/>
      <w:r>
        <w:rPr>
          <w:rStyle w:val="CharSectno"/>
        </w:rPr>
        <w:t>11</w:t>
      </w:r>
      <w:r>
        <w:t>.</w:t>
      </w:r>
      <w:r>
        <w:tab/>
        <w:t>Associate members of board, for regions</w:t>
      </w:r>
      <w:bookmarkEnd w:id="43"/>
      <w:bookmarkEnd w:id="44"/>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spacing w:before="120"/>
      </w:pPr>
      <w:r>
        <w:tab/>
        <w:t>(2)</w:t>
      </w:r>
      <w:r>
        <w:tab/>
        <w:t>The Governor may, on the nomination of the Minister, appoint an associate member for a region referred to in Schedule 4.</w:t>
      </w:r>
    </w:p>
    <w:p>
      <w:pPr>
        <w:pStyle w:val="Subsection"/>
        <w:spacing w:before="120"/>
      </w:pPr>
      <w:r>
        <w:tab/>
        <w:t>(3)</w:t>
      </w:r>
      <w:r>
        <w:tab/>
        <w:t>Each nomination by the Minister for appointment as an associate member under subsection (2) is to be made on the recommendation of the Regional Minister.</w:t>
      </w:r>
    </w:p>
    <w:p>
      <w:pPr>
        <w:pStyle w:val="Subsection"/>
        <w:spacing w:before="120"/>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spacing w:before="180"/>
      </w:pPr>
      <w:bookmarkStart w:id="45" w:name="_Toc77246184"/>
      <w:bookmarkStart w:id="46" w:name="_Toc74923933"/>
      <w:r>
        <w:rPr>
          <w:rStyle w:val="CharSectno"/>
        </w:rPr>
        <w:t>12</w:t>
      </w:r>
      <w:r>
        <w:t>.</w:t>
      </w:r>
      <w:r>
        <w:tab/>
        <w:t>Board’s constitution and proceedings (Sch. 1)</w:t>
      </w:r>
      <w:bookmarkEnd w:id="45"/>
      <w:bookmarkEnd w:id="46"/>
    </w:p>
    <w:p>
      <w:pPr>
        <w:pStyle w:val="Subsection"/>
        <w:spacing w:before="120"/>
      </w:pPr>
      <w:r>
        <w:tab/>
      </w:r>
      <w:r>
        <w:tab/>
        <w:t>Schedule 1 has effect.</w:t>
      </w:r>
    </w:p>
    <w:p>
      <w:pPr>
        <w:pStyle w:val="Heading5"/>
        <w:spacing w:before="180"/>
      </w:pPr>
      <w:bookmarkStart w:id="47" w:name="_Toc77246185"/>
      <w:bookmarkStart w:id="48" w:name="_Toc74923934"/>
      <w:r>
        <w:rPr>
          <w:rStyle w:val="CharSectno"/>
        </w:rPr>
        <w:t>13</w:t>
      </w:r>
      <w:r>
        <w:t>.</w:t>
      </w:r>
      <w:r>
        <w:tab/>
        <w:t>Remuneration and allowances</w:t>
      </w:r>
      <w:bookmarkEnd w:id="47"/>
      <w:bookmarkEnd w:id="48"/>
    </w:p>
    <w:p>
      <w:pPr>
        <w:pStyle w:val="Subsection"/>
        <w:spacing w:before="120"/>
      </w:pPr>
      <w:r>
        <w:tab/>
      </w:r>
      <w:r>
        <w:tab/>
        <w:t>A member, a deputy member, an associate member or a member of a committee established under Schedule 2 is to be paid such remuneration and allowances as are determined by the Minister on the recommendation of the Public Sector Commissioner.</w:t>
      </w:r>
    </w:p>
    <w:p>
      <w:pPr>
        <w:pStyle w:val="Footnotesection"/>
      </w:pPr>
      <w:r>
        <w:tab/>
        <w:t>[Section 13 amended: No. 39 of 2010 s. 89.]</w:t>
      </w:r>
    </w:p>
    <w:p>
      <w:pPr>
        <w:pStyle w:val="Heading3"/>
        <w:keepNext w:val="0"/>
      </w:pPr>
      <w:bookmarkStart w:id="49" w:name="_Toc77239232"/>
      <w:bookmarkStart w:id="50" w:name="_Toc77240136"/>
      <w:bookmarkStart w:id="51" w:name="_Toc77246186"/>
      <w:bookmarkStart w:id="52" w:name="_Toc74652247"/>
      <w:bookmarkStart w:id="53" w:name="_Toc74652713"/>
      <w:bookmarkStart w:id="54" w:name="_Toc74733431"/>
      <w:bookmarkStart w:id="55" w:name="_Toc74923935"/>
      <w:r>
        <w:rPr>
          <w:rStyle w:val="CharDivNo"/>
        </w:rPr>
        <w:t>Division 2</w:t>
      </w:r>
      <w:r>
        <w:t> — </w:t>
      </w:r>
      <w:r>
        <w:rPr>
          <w:rStyle w:val="CharDivText"/>
        </w:rPr>
        <w:t>Functions and powers</w:t>
      </w:r>
      <w:bookmarkEnd w:id="49"/>
      <w:bookmarkEnd w:id="50"/>
      <w:bookmarkEnd w:id="51"/>
      <w:bookmarkEnd w:id="52"/>
      <w:bookmarkEnd w:id="53"/>
      <w:bookmarkEnd w:id="54"/>
      <w:bookmarkEnd w:id="55"/>
    </w:p>
    <w:p>
      <w:pPr>
        <w:pStyle w:val="Heading5"/>
        <w:keepNext w:val="0"/>
        <w:spacing w:before="180"/>
      </w:pPr>
      <w:bookmarkStart w:id="56" w:name="_Toc77246187"/>
      <w:bookmarkStart w:id="57" w:name="_Toc74923936"/>
      <w:r>
        <w:rPr>
          <w:rStyle w:val="CharSectno"/>
        </w:rPr>
        <w:t>14</w:t>
      </w:r>
      <w:r>
        <w:t>.</w:t>
      </w:r>
      <w:r>
        <w:tab/>
        <w:t>Functions</w:t>
      </w:r>
      <w:bookmarkEnd w:id="56"/>
      <w:bookmarkEnd w:id="57"/>
    </w:p>
    <w:p>
      <w:pPr>
        <w:pStyle w:val="Subsection"/>
        <w:spacing w:before="120"/>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r>
      <w:r>
        <w:tab/>
        <w:t>and</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 and</w:t>
      </w:r>
    </w:p>
    <w:p>
      <w:pPr>
        <w:pStyle w:val="Indenta"/>
      </w:pPr>
      <w:r>
        <w:tab/>
        <w:t>(c)</w:t>
      </w:r>
      <w:r>
        <w:tab/>
        <w:t>to plan for the coordinated provision of transport and infrastructure for land development; and</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 and</w:t>
      </w:r>
    </w:p>
    <w:p>
      <w:pPr>
        <w:pStyle w:val="Indenta"/>
      </w:pPr>
      <w:r>
        <w:tab/>
        <w:t>(e)</w:t>
      </w:r>
      <w:r>
        <w:tab/>
        <w:t>to undertake research and develop planning methods and models relating to land use planning, land development and associated matters; and</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 and</w:t>
      </w:r>
    </w:p>
    <w:p>
      <w:pPr>
        <w:pStyle w:val="Indenta"/>
      </w:pPr>
      <w:r>
        <w:tab/>
        <w:t>(g)</w:t>
      </w:r>
      <w:r>
        <w:tab/>
        <w:t>to prepare and amend State planning policies under Part 3; and</w:t>
      </w:r>
    </w:p>
    <w:p>
      <w:pPr>
        <w:pStyle w:val="Indenta"/>
      </w:pPr>
      <w:r>
        <w:tab/>
        <w:t>(h)</w:t>
      </w:r>
      <w:r>
        <w:tab/>
        <w:t>to prepare region planning schemes under Part 4; and</w:t>
      </w:r>
    </w:p>
    <w:p>
      <w:pPr>
        <w:pStyle w:val="Indenta"/>
      </w:pPr>
      <w:r>
        <w:tab/>
        <w:t>(ia)</w:t>
      </w:r>
      <w:r>
        <w:tab/>
        <w:t>to prepare improvement plans and improvement schemes under Part 8; and</w:t>
      </w:r>
    </w:p>
    <w:p>
      <w:pPr>
        <w:pStyle w:val="Indenta"/>
      </w:pPr>
      <w:r>
        <w:tab/>
        <w:t>(i)</w:t>
      </w:r>
      <w:r>
        <w:tab/>
        <w:t>to keep under review each region planning scheme and improvement scheme, to review the scheme completely whenever requested by the Minister to do so and to submit for approval under Part 4 or 8 any amendment considered necessary as a result of a review; and</w:t>
      </w:r>
    </w:p>
    <w:p>
      <w:pPr>
        <w:pStyle w:val="Indenta"/>
      </w:pPr>
      <w:r>
        <w:tab/>
        <w:t>(j)</w:t>
      </w:r>
      <w:r>
        <w:tab/>
        <w:t>to develop, maintain and manage land held by it that is reserved under a region planning scheme or improvement scheme and to carry out such works, including the provision of facilities on the land, as may be incidental to development, maintenance or management or to be conducive to the use of the land for any purpose for which it is reserved; and</w:t>
      </w:r>
    </w:p>
    <w:p>
      <w:pPr>
        <w:pStyle w:val="Indenta"/>
      </w:pPr>
      <w:r>
        <w:tab/>
        <w:t>(k)</w:t>
      </w:r>
      <w:r>
        <w:tab/>
        <w:t>to establish, and exercise powers in relation to, committees under Schedule 2; and</w:t>
      </w:r>
    </w:p>
    <w:p>
      <w:pPr>
        <w:pStyle w:val="Indenta"/>
      </w:pPr>
      <w:r>
        <w:tab/>
        <w:t>(l)</w:t>
      </w:r>
      <w:r>
        <w:tab/>
        <w:t>to do all things that are necessary for the purpose of carrying out this Act, region planning schemes and improvement schemes; and</w:t>
      </w:r>
    </w:p>
    <w:p>
      <w:pPr>
        <w:pStyle w:val="Indenta"/>
      </w:pPr>
      <w:r>
        <w:tab/>
        <w:t>(m)</w:t>
      </w:r>
      <w:r>
        <w:tab/>
        <w:t>to do anything else that it is required or authorised to do by this or any other written law.</w:t>
      </w:r>
    </w:p>
    <w:p>
      <w:pPr>
        <w:pStyle w:val="Footnotesection"/>
      </w:pPr>
      <w:r>
        <w:tab/>
        <w:t xml:space="preserve">[Section 14 amended: No. 28 of 2010 s. 7.] </w:t>
      </w:r>
    </w:p>
    <w:p>
      <w:pPr>
        <w:pStyle w:val="Heading5"/>
      </w:pPr>
      <w:bookmarkStart w:id="58" w:name="_Toc77246188"/>
      <w:bookmarkStart w:id="59" w:name="_Toc74923937"/>
      <w:r>
        <w:rPr>
          <w:rStyle w:val="CharSectno"/>
        </w:rPr>
        <w:t>15</w:t>
      </w:r>
      <w:r>
        <w:t>.</w:t>
      </w:r>
      <w:r>
        <w:tab/>
        <w:t>Powers</w:t>
      </w:r>
      <w:bookmarkEnd w:id="58"/>
      <w:bookmarkEnd w:id="59"/>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 and</w:t>
      </w:r>
    </w:p>
    <w:p>
      <w:pPr>
        <w:pStyle w:val="Indenta"/>
      </w:pPr>
      <w:r>
        <w:tab/>
        <w:t>(b)</w:t>
      </w:r>
      <w:r>
        <w:tab/>
        <w:t>enter into an agreement with any person under which that person may acquire a lease of, a licence in respect of, or any other estate or interest in, any land mentioned in section 14(j);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 or</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r>
      <w:r>
        <w:tab/>
        <w:t>and</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 and</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60" w:name="_Toc77246189"/>
      <w:bookmarkStart w:id="61" w:name="_Toc74923938"/>
      <w:r>
        <w:rPr>
          <w:rStyle w:val="CharSectno"/>
        </w:rPr>
        <w:t>16</w:t>
      </w:r>
      <w:r>
        <w:t>.</w:t>
      </w:r>
      <w:r>
        <w:tab/>
        <w:t>Delegation by Commission</w:t>
      </w:r>
      <w:bookmarkEnd w:id="60"/>
      <w:bookmarkEnd w:id="61"/>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 or</w:t>
      </w:r>
    </w:p>
    <w:p>
      <w:pPr>
        <w:pStyle w:val="Indenta"/>
      </w:pPr>
      <w:r>
        <w:tab/>
        <w:t>(b)</w:t>
      </w:r>
      <w:r>
        <w:tab/>
        <w:t>a committee established under Schedule 2, or a member of such a committee; or</w:t>
      </w:r>
    </w:p>
    <w:p>
      <w:pPr>
        <w:pStyle w:val="Indenta"/>
      </w:pPr>
      <w:r>
        <w:tab/>
        <w:t>(c)</w:t>
      </w:r>
      <w:r>
        <w:tab/>
        <w:t>an officer of the Commission; or</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Except as provided in subsection (7A), a delegate must not further delegate any function.</w:t>
      </w:r>
    </w:p>
    <w:p>
      <w:pPr>
        <w:pStyle w:val="Subsection"/>
      </w:pPr>
      <w:r>
        <w:tab/>
        <w:t>(7A)</w:t>
      </w:r>
      <w:r>
        <w:tab/>
        <w:t xml:space="preserve">If the Commission delegates a function of the Commission to the Metropolitan Redevelopment Authority established under the </w:t>
      </w:r>
      <w:r>
        <w:rPr>
          <w:i/>
        </w:rPr>
        <w:t>Metropolitan Redevelopment Authority Act 2011</w:t>
      </w:r>
      <w:r>
        <w:t>, the Authority may subdelegate the exercise or performance of the function to any land redevelopment committee established under that Act.</w:t>
      </w:r>
    </w:p>
    <w:p>
      <w:pPr>
        <w:pStyle w:val="Subsection"/>
      </w:pPr>
      <w:r>
        <w:tab/>
        <w:t>(7B)</w:t>
      </w:r>
      <w:r>
        <w:tab/>
        <w:t xml:space="preserve">A subdelegation under subsection (7A) takes effect when notice of the subdelegation is published in the </w:t>
      </w:r>
      <w:r>
        <w:rPr>
          <w:i/>
        </w:rPr>
        <w:t>Gazette</w:t>
      </w:r>
      <w:r>
        <w:t>.</w:t>
      </w:r>
    </w:p>
    <w:p>
      <w:pPr>
        <w:pStyle w:val="Subsection"/>
      </w:pPr>
      <w:r>
        <w:tab/>
        <w:t>(7C)</w:t>
      </w:r>
      <w:r>
        <w:tab/>
        <w:t xml:space="preserve">Subsections (4), (5) and (7) and the </w:t>
      </w:r>
      <w:r>
        <w:rPr>
          <w:i/>
          <w:iCs/>
        </w:rPr>
        <w:t>Interpretation Act 1984</w:t>
      </w:r>
      <w:r>
        <w:t xml:space="preserve"> sections 58 and 59 apply to a subdelegation of a function under this section in the same way as they apply to a delegation of a function.</w:t>
      </w:r>
    </w:p>
    <w:p>
      <w:pPr>
        <w:pStyle w:val="Subsection"/>
      </w:pPr>
      <w:r>
        <w:tab/>
        <w:t>(7D)</w:t>
      </w:r>
      <w:r>
        <w:tab/>
        <w:t>A subdelegate must not further delegate any function subdelegated under subsection (7A).</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Subsection"/>
      </w:pPr>
      <w:r>
        <w:tab/>
        <w:t>(10)</w:t>
      </w:r>
      <w:r>
        <w:tab/>
        <w:t>This section does not affect the operation of section 171B.</w:t>
      </w:r>
    </w:p>
    <w:p>
      <w:pPr>
        <w:pStyle w:val="Footnotesection"/>
      </w:pPr>
      <w:r>
        <w:tab/>
        <w:t xml:space="preserve">[Section 16 amended: No. 28 of 2010 s. 42; </w:t>
      </w:r>
      <w:r>
        <w:rPr>
          <w:spacing w:val="-4"/>
        </w:rPr>
        <w:t>No. 45 of 2011 s. 1</w:t>
      </w:r>
      <w:r>
        <w:t>41(2) and (3).]</w:t>
      </w:r>
    </w:p>
    <w:p>
      <w:pPr>
        <w:pStyle w:val="Heading5"/>
      </w:pPr>
      <w:bookmarkStart w:id="62" w:name="_Toc77246190"/>
      <w:bookmarkStart w:id="63" w:name="_Toc74923939"/>
      <w:r>
        <w:rPr>
          <w:rStyle w:val="CharSectno"/>
        </w:rPr>
        <w:t>17</w:t>
      </w:r>
      <w:r>
        <w:t>.</w:t>
      </w:r>
      <w:r>
        <w:tab/>
        <w:t>Minister may give Commission directions</w:t>
      </w:r>
      <w:bookmarkEnd w:id="62"/>
      <w:bookmarkEnd w:id="63"/>
    </w:p>
    <w:p>
      <w:pPr>
        <w:pStyle w:val="Subsection"/>
        <w:spacing w:before="150"/>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spacing w:before="150"/>
      </w:pPr>
      <w:r>
        <w:tab/>
        <w:t>(2)</w:t>
      </w:r>
      <w:r>
        <w:tab/>
        <w:t>The Minister is to cause the text of any direction given under subsection (1) to be laid before each House of Parliament, or dealt with under subsection (3), within 14 days after the direction is given.</w:t>
      </w:r>
    </w:p>
    <w:p>
      <w:pPr>
        <w:pStyle w:val="Subsection"/>
        <w:spacing w:before="150"/>
      </w:pPr>
      <w:r>
        <w:tab/>
        <w:t>(3)</w:t>
      </w:r>
      <w:r>
        <w:tab/>
        <w:t xml:space="preserve">If — </w:t>
      </w:r>
    </w:p>
    <w:p>
      <w:pPr>
        <w:pStyle w:val="Indenta"/>
        <w:spacing w:before="60"/>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52(2),63(1) or 67(1).</w:t>
      </w:r>
    </w:p>
    <w:p>
      <w:pPr>
        <w:pStyle w:val="Footnotesection"/>
      </w:pPr>
      <w:r>
        <w:tab/>
        <w:t>[Section 17 amended: No. 77 of 2006 Sch. 1 cl. 127(2).]</w:t>
      </w:r>
    </w:p>
    <w:p>
      <w:pPr>
        <w:pStyle w:val="Heading5"/>
      </w:pPr>
      <w:bookmarkStart w:id="64" w:name="_Toc77246191"/>
      <w:bookmarkStart w:id="65" w:name="_Toc74923940"/>
      <w:r>
        <w:rPr>
          <w:rStyle w:val="CharSectno"/>
        </w:rPr>
        <w:t>18</w:t>
      </w:r>
      <w:r>
        <w:t>.</w:t>
      </w:r>
      <w:r>
        <w:tab/>
        <w:t>Minister to have access to information</w:t>
      </w:r>
      <w:bookmarkEnd w:id="64"/>
      <w:bookmarkEnd w:id="65"/>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 and</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spacing w:before="140"/>
      </w:pPr>
      <w:r>
        <w:tab/>
        <w:t>(3)</w:t>
      </w:r>
      <w:r>
        <w:tab/>
        <w:t>The Commission has to comply with a request under subsection (2) and make its staff and facilities available to the Minister for the purposes of paragraph (c) of that subsection.</w:t>
      </w:r>
    </w:p>
    <w:p>
      <w:pPr>
        <w:pStyle w:val="Subsection"/>
        <w:keepNext/>
        <w:keepLines/>
        <w:spacing w:before="140"/>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66" w:name="_Toc77246192"/>
      <w:bookmarkStart w:id="67" w:name="_Toc74923941"/>
      <w:r>
        <w:rPr>
          <w:rStyle w:val="CharSectno"/>
        </w:rPr>
        <w:t>19</w:t>
      </w:r>
      <w:r>
        <w:t>.</w:t>
      </w:r>
      <w:r>
        <w:tab/>
        <w:t>Committees (Sch. 2)</w:t>
      </w:r>
      <w:bookmarkEnd w:id="66"/>
      <w:bookmarkEnd w:id="67"/>
    </w:p>
    <w:p>
      <w:pPr>
        <w:pStyle w:val="Subsection"/>
        <w:spacing w:before="140"/>
      </w:pPr>
      <w:r>
        <w:tab/>
      </w:r>
      <w:r>
        <w:tab/>
        <w:t>Schedule 2 has effect with respect to committees established by the Commission under that Schedule.</w:t>
      </w:r>
    </w:p>
    <w:p>
      <w:pPr>
        <w:pStyle w:val="Heading5"/>
      </w:pPr>
      <w:bookmarkStart w:id="68" w:name="_Toc77246193"/>
      <w:bookmarkStart w:id="69" w:name="_Toc74923942"/>
      <w:r>
        <w:rPr>
          <w:rStyle w:val="CharSectno"/>
        </w:rPr>
        <w:t>20</w:t>
      </w:r>
      <w:r>
        <w:t>.</w:t>
      </w:r>
      <w:r>
        <w:tab/>
        <w:t>Fees for Commission’s services</w:t>
      </w:r>
      <w:bookmarkEnd w:id="68"/>
      <w:bookmarkEnd w:id="69"/>
    </w:p>
    <w:p>
      <w:pPr>
        <w:pStyle w:val="Subsection"/>
        <w:spacing w:before="140"/>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spacing w:before="140"/>
      </w:pPr>
      <w:r>
        <w:tab/>
        <w:t>(2)</w:t>
      </w:r>
      <w:r>
        <w:tab/>
        <w:t>Fees set under subsection (1) are payable by the person at whose request or on whose application the act is done.</w:t>
      </w:r>
    </w:p>
    <w:p>
      <w:pPr>
        <w:pStyle w:val="Heading3"/>
      </w:pPr>
      <w:bookmarkStart w:id="70" w:name="_Toc77239240"/>
      <w:bookmarkStart w:id="71" w:name="_Toc77240144"/>
      <w:bookmarkStart w:id="72" w:name="_Toc77246194"/>
      <w:bookmarkStart w:id="73" w:name="_Toc74652255"/>
      <w:bookmarkStart w:id="74" w:name="_Toc74652721"/>
      <w:bookmarkStart w:id="75" w:name="_Toc74733439"/>
      <w:bookmarkStart w:id="76" w:name="_Toc74923943"/>
      <w:r>
        <w:rPr>
          <w:rStyle w:val="CharDivNo"/>
        </w:rPr>
        <w:t>Division 3</w:t>
      </w:r>
      <w:r>
        <w:t> — </w:t>
      </w:r>
      <w:r>
        <w:rPr>
          <w:rStyle w:val="CharDivText"/>
        </w:rPr>
        <w:t>Administration</w:t>
      </w:r>
      <w:bookmarkEnd w:id="70"/>
      <w:bookmarkEnd w:id="71"/>
      <w:bookmarkEnd w:id="72"/>
      <w:bookmarkEnd w:id="73"/>
      <w:bookmarkEnd w:id="74"/>
      <w:bookmarkEnd w:id="75"/>
      <w:bookmarkEnd w:id="76"/>
    </w:p>
    <w:p>
      <w:pPr>
        <w:pStyle w:val="Heading5"/>
      </w:pPr>
      <w:bookmarkStart w:id="77" w:name="_Toc77246195"/>
      <w:bookmarkStart w:id="78" w:name="_Toc74923944"/>
      <w:r>
        <w:rPr>
          <w:rStyle w:val="CharSectno"/>
        </w:rPr>
        <w:t>21</w:t>
      </w:r>
      <w:r>
        <w:t>.</w:t>
      </w:r>
      <w:r>
        <w:tab/>
        <w:t>Secretary</w:t>
      </w:r>
      <w:bookmarkEnd w:id="77"/>
      <w:bookmarkEnd w:id="78"/>
    </w:p>
    <w:p>
      <w:pPr>
        <w:pStyle w:val="Subsection"/>
        <w:spacing w:before="150"/>
      </w:pPr>
      <w:r>
        <w:tab/>
        <w:t>(1)</w:t>
      </w:r>
      <w:r>
        <w:tab/>
        <w:t>The Commission may appoint a person to the office of Secretary to the Commission.</w:t>
      </w:r>
    </w:p>
    <w:p>
      <w:pPr>
        <w:pStyle w:val="Subsection"/>
        <w:spacing w:before="150"/>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79" w:name="_Toc77246196"/>
      <w:bookmarkStart w:id="80" w:name="_Toc74923945"/>
      <w:r>
        <w:rPr>
          <w:rStyle w:val="CharSectno"/>
        </w:rPr>
        <w:t>22</w:t>
      </w:r>
      <w:r>
        <w:t>.</w:t>
      </w:r>
      <w:r>
        <w:tab/>
        <w:t>Staff</w:t>
      </w:r>
      <w:bookmarkEnd w:id="79"/>
      <w:bookmarkEnd w:id="80"/>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81" w:name="_Toc77246197"/>
      <w:bookmarkStart w:id="82" w:name="_Toc74923946"/>
      <w:r>
        <w:rPr>
          <w:rStyle w:val="CharSectno"/>
        </w:rPr>
        <w:t>23</w:t>
      </w:r>
      <w:r>
        <w:t>.</w:t>
      </w:r>
      <w:r>
        <w:tab/>
        <w:t>Use of staff and facilities of public authorities</w:t>
      </w:r>
      <w:bookmarkEnd w:id="81"/>
      <w:bookmarkEnd w:id="82"/>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83" w:name="_Toc77239244"/>
      <w:bookmarkStart w:id="84" w:name="_Toc77240148"/>
      <w:bookmarkStart w:id="85" w:name="_Toc77246198"/>
      <w:bookmarkStart w:id="86" w:name="_Toc74652259"/>
      <w:bookmarkStart w:id="87" w:name="_Toc74652725"/>
      <w:bookmarkStart w:id="88" w:name="_Toc74733443"/>
      <w:bookmarkStart w:id="89" w:name="_Toc74923947"/>
      <w:r>
        <w:rPr>
          <w:rStyle w:val="CharDivNo"/>
        </w:rPr>
        <w:t>Division 4</w:t>
      </w:r>
      <w:r>
        <w:t> — </w:t>
      </w:r>
      <w:r>
        <w:rPr>
          <w:rStyle w:val="CharDivText"/>
        </w:rPr>
        <w:t>Miscellaneous</w:t>
      </w:r>
      <w:bookmarkEnd w:id="83"/>
      <w:bookmarkEnd w:id="84"/>
      <w:bookmarkEnd w:id="85"/>
      <w:bookmarkEnd w:id="86"/>
      <w:bookmarkEnd w:id="87"/>
      <w:bookmarkEnd w:id="88"/>
      <w:bookmarkEnd w:id="89"/>
    </w:p>
    <w:p>
      <w:pPr>
        <w:pStyle w:val="Heading5"/>
      </w:pPr>
      <w:bookmarkStart w:id="90" w:name="_Toc77246199"/>
      <w:bookmarkStart w:id="91" w:name="_Toc74923948"/>
      <w:r>
        <w:rPr>
          <w:rStyle w:val="CharSectno"/>
        </w:rPr>
        <w:t>24</w:t>
      </w:r>
      <w:r>
        <w:t>.</w:t>
      </w:r>
      <w:r>
        <w:tab/>
        <w:t>Execution of documents</w:t>
      </w:r>
      <w:bookmarkEnd w:id="90"/>
      <w:bookmarkEnd w:id="91"/>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92" w:name="_Toc77239246"/>
      <w:bookmarkStart w:id="93" w:name="_Toc77240150"/>
      <w:bookmarkStart w:id="94" w:name="_Toc77246200"/>
      <w:bookmarkStart w:id="95" w:name="_Toc74652261"/>
      <w:bookmarkStart w:id="96" w:name="_Toc74652727"/>
      <w:bookmarkStart w:id="97" w:name="_Toc74733445"/>
      <w:bookmarkStart w:id="98" w:name="_Toc74923949"/>
      <w:r>
        <w:rPr>
          <w:rStyle w:val="CharPartNo"/>
        </w:rPr>
        <w:t>Part 3</w:t>
      </w:r>
      <w:r>
        <w:rPr>
          <w:rStyle w:val="CharDivNo"/>
        </w:rPr>
        <w:t> </w:t>
      </w:r>
      <w:r>
        <w:t>—</w:t>
      </w:r>
      <w:r>
        <w:rPr>
          <w:rStyle w:val="CharDivText"/>
        </w:rPr>
        <w:t> </w:t>
      </w:r>
      <w:r>
        <w:rPr>
          <w:rStyle w:val="CharPartText"/>
        </w:rPr>
        <w:t>State planning policies</w:t>
      </w:r>
      <w:bookmarkEnd w:id="92"/>
      <w:bookmarkEnd w:id="93"/>
      <w:bookmarkEnd w:id="94"/>
      <w:bookmarkEnd w:id="95"/>
      <w:bookmarkEnd w:id="96"/>
      <w:bookmarkEnd w:id="97"/>
      <w:bookmarkEnd w:id="98"/>
    </w:p>
    <w:p>
      <w:pPr>
        <w:pStyle w:val="Heading5"/>
      </w:pPr>
      <w:bookmarkStart w:id="99" w:name="_Toc77246201"/>
      <w:bookmarkStart w:id="100" w:name="_Toc74923950"/>
      <w:r>
        <w:rPr>
          <w:rStyle w:val="CharSectno"/>
        </w:rPr>
        <w:t>25</w:t>
      </w:r>
      <w:r>
        <w:t>.</w:t>
      </w:r>
      <w:r>
        <w:tab/>
        <w:t>Statements of planning policy under repealed Act, effect of</w:t>
      </w:r>
      <w:bookmarkEnd w:id="99"/>
      <w:bookmarkEnd w:id="100"/>
    </w:p>
    <w:p>
      <w:pPr>
        <w:pStyle w:val="Subsection"/>
        <w:spacing w:before="120"/>
      </w:pPr>
      <w:r>
        <w:tab/>
      </w:r>
      <w:r>
        <w:tab/>
        <w:t xml:space="preserve">Any statement of planning policy in force under the </w:t>
      </w:r>
      <w:r>
        <w:rPr>
          <w:i/>
        </w:rPr>
        <w:t>Town Planning and Development Act 1928</w:t>
      </w:r>
      <w:r>
        <w:t xml:space="preserve"> immediately before this section comes into operation — </w:t>
      </w:r>
    </w:p>
    <w:p>
      <w:pPr>
        <w:pStyle w:val="Indenta"/>
        <w:spacing w:before="60"/>
      </w:pPr>
      <w:r>
        <w:tab/>
        <w:t>(a)</w:t>
      </w:r>
      <w:r>
        <w:tab/>
        <w:t>continues in force as a State planning policy under this Act; and</w:t>
      </w:r>
    </w:p>
    <w:p>
      <w:pPr>
        <w:pStyle w:val="Indenta"/>
        <w:spacing w:before="60"/>
      </w:pPr>
      <w:r>
        <w:tab/>
        <w:t>(b)</w:t>
      </w:r>
      <w:r>
        <w:tab/>
        <w:t>has effect accordingly.</w:t>
      </w:r>
    </w:p>
    <w:p>
      <w:pPr>
        <w:pStyle w:val="Heading5"/>
        <w:spacing w:before="180"/>
      </w:pPr>
      <w:bookmarkStart w:id="101" w:name="_Toc77246202"/>
      <w:bookmarkStart w:id="102" w:name="_Toc74923951"/>
      <w:r>
        <w:rPr>
          <w:rStyle w:val="CharSectno"/>
        </w:rPr>
        <w:t>26</w:t>
      </w:r>
      <w:r>
        <w:t>.</w:t>
      </w:r>
      <w:r>
        <w:tab/>
        <w:t>State planning policies, preparation and content of</w:t>
      </w:r>
      <w:bookmarkEnd w:id="101"/>
      <w:bookmarkEnd w:id="102"/>
    </w:p>
    <w:p>
      <w:pPr>
        <w:pStyle w:val="Subsection"/>
        <w:spacing w:before="120"/>
      </w:pPr>
      <w:r>
        <w:tab/>
        <w:t>(1)</w:t>
      </w:r>
      <w:r>
        <w:tab/>
        <w:t>The Commission may, with the approval or on the direction of the Minister, prepare State planning policies.</w:t>
      </w:r>
    </w:p>
    <w:p>
      <w:pPr>
        <w:pStyle w:val="Subsection"/>
        <w:spacing w:before="120"/>
      </w:pPr>
      <w:r>
        <w:tab/>
        <w:t>(2)</w:t>
      </w:r>
      <w:r>
        <w:tab/>
        <w:t>A State planning policy is to be directed primarily towards broad general planning and facilitating the coordination of planning throughout the State by local governments.</w:t>
      </w:r>
    </w:p>
    <w:p>
      <w:pPr>
        <w:pStyle w:val="Subsection"/>
        <w:spacing w:before="120"/>
      </w:pPr>
      <w:r>
        <w:tab/>
        <w:t>(3)</w:t>
      </w:r>
      <w:r>
        <w:tab/>
        <w:t>Despite subsection (2), a State planning policy may make provision for any matter which may be the subject of a local planning scheme.</w:t>
      </w:r>
    </w:p>
    <w:p>
      <w:pPr>
        <w:pStyle w:val="Subsection"/>
        <w:spacing w:before="120"/>
      </w:pPr>
      <w:r>
        <w:tab/>
        <w:t>(4)</w:t>
      </w:r>
      <w:r>
        <w:tab/>
        <w:t xml:space="preserve">A State planning policy may be prepared so as to apply — </w:t>
      </w:r>
    </w:p>
    <w:p>
      <w:pPr>
        <w:pStyle w:val="Indenta"/>
        <w:spacing w:before="60"/>
      </w:pPr>
      <w:r>
        <w:tab/>
        <w:t>(a)</w:t>
      </w:r>
      <w:r>
        <w:tab/>
        <w:t>generally or in a particular class of matter or in particular classes of matter; and</w:t>
      </w:r>
    </w:p>
    <w:p>
      <w:pPr>
        <w:pStyle w:val="Indenta"/>
        <w:spacing w:before="60"/>
      </w:pPr>
      <w:r>
        <w:tab/>
        <w:t>(b)</w:t>
      </w:r>
      <w:r>
        <w:tab/>
        <w:t>throughout the State or in a specified portion or specified portions of the State, whether or not a planning scheme has been prepared or is being prepared in that portion or those portions of the State.</w:t>
      </w:r>
    </w:p>
    <w:p>
      <w:pPr>
        <w:pStyle w:val="Footnotesection"/>
      </w:pPr>
      <w:r>
        <w:tab/>
        <w:t xml:space="preserve">[Section 26 amended: No. 28 of 2010 s. 8.] </w:t>
      </w:r>
    </w:p>
    <w:p>
      <w:pPr>
        <w:pStyle w:val="Heading5"/>
        <w:spacing w:before="180"/>
      </w:pPr>
      <w:bookmarkStart w:id="103" w:name="_Toc77246203"/>
      <w:bookmarkStart w:id="104" w:name="_Toc74923952"/>
      <w:r>
        <w:rPr>
          <w:rStyle w:val="CharSectno"/>
        </w:rPr>
        <w:t>27</w:t>
      </w:r>
      <w:r>
        <w:t>.</w:t>
      </w:r>
      <w:r>
        <w:tab/>
        <w:t>Matters to be considered when preparing State planning policy</w:t>
      </w:r>
      <w:bookmarkEnd w:id="103"/>
      <w:bookmarkEnd w:id="104"/>
    </w:p>
    <w:p>
      <w:pPr>
        <w:pStyle w:val="Subsection"/>
        <w:spacing w:before="120"/>
      </w:pPr>
      <w:r>
        <w:tab/>
      </w:r>
      <w:r>
        <w:tab/>
        <w:t xml:space="preserve">In the preparation of a State planning policy the Commission is to have regard to — </w:t>
      </w:r>
    </w:p>
    <w:p>
      <w:pPr>
        <w:pStyle w:val="Indenta"/>
        <w:spacing w:before="60"/>
      </w:pPr>
      <w:r>
        <w:tab/>
        <w:t>(a)</w:t>
      </w:r>
      <w:r>
        <w:tab/>
        <w:t>demographic, social and economic factors and influences; and</w:t>
      </w:r>
    </w:p>
    <w:p>
      <w:pPr>
        <w:pStyle w:val="Indenta"/>
      </w:pPr>
      <w:r>
        <w:tab/>
        <w:t>(b)</w:t>
      </w:r>
      <w:r>
        <w:tab/>
        <w:t>conservation of natural or cultural resources for social, economic, environmental, ecological and scientific purposes; and</w:t>
      </w:r>
    </w:p>
    <w:p>
      <w:pPr>
        <w:pStyle w:val="Indenta"/>
      </w:pPr>
      <w:r>
        <w:tab/>
        <w:t>(c)</w:t>
      </w:r>
      <w:r>
        <w:tab/>
        <w:t>characteristics of land; and</w:t>
      </w:r>
    </w:p>
    <w:p>
      <w:pPr>
        <w:pStyle w:val="Indenta"/>
      </w:pPr>
      <w:r>
        <w:tab/>
        <w:t>(d)</w:t>
      </w:r>
      <w:r>
        <w:tab/>
        <w:t>characteristics and disposition of land use; and</w:t>
      </w:r>
    </w:p>
    <w:p>
      <w:pPr>
        <w:pStyle w:val="Indenta"/>
      </w:pPr>
      <w:r>
        <w:tab/>
        <w:t>(e)</w:t>
      </w:r>
      <w:r>
        <w:tab/>
        <w:t>amenity, design and environment; and</w:t>
      </w:r>
    </w:p>
    <w:p>
      <w:pPr>
        <w:pStyle w:val="Indenta"/>
      </w:pPr>
      <w:r>
        <w:tab/>
        <w:t>(f)</w:t>
      </w:r>
      <w:r>
        <w:tab/>
        <w:t>communications; and</w:t>
      </w:r>
    </w:p>
    <w:p>
      <w:pPr>
        <w:pStyle w:val="Indenta"/>
      </w:pPr>
      <w:r>
        <w:tab/>
        <w:t>(g)</w:t>
      </w:r>
      <w:r>
        <w:tab/>
        <w:t>developmental requirements of public authorities,</w:t>
      </w:r>
    </w:p>
    <w:p>
      <w:pPr>
        <w:pStyle w:val="Subsection"/>
        <w:spacing w:before="180"/>
      </w:pPr>
      <w:r>
        <w:tab/>
      </w:r>
      <w:r>
        <w:tab/>
        <w:t>in respect of the State or the portion of the State, or portions of the State, to which the State planning policy is to apply, as the case requires.</w:t>
      </w:r>
    </w:p>
    <w:p>
      <w:pPr>
        <w:pStyle w:val="Heading5"/>
        <w:spacing w:before="240"/>
      </w:pPr>
      <w:bookmarkStart w:id="105" w:name="_Toc77246204"/>
      <w:bookmarkStart w:id="106" w:name="_Toc74923953"/>
      <w:r>
        <w:rPr>
          <w:rStyle w:val="CharSectno"/>
        </w:rPr>
        <w:t>28</w:t>
      </w:r>
      <w:r>
        <w:t>.</w:t>
      </w:r>
      <w:r>
        <w:tab/>
        <w:t>Consultation on and public notice of proposed State planning policy</w:t>
      </w:r>
      <w:bookmarkEnd w:id="105"/>
      <w:bookmarkEnd w:id="106"/>
      <w:r>
        <w:t xml:space="preserve"> </w:t>
      </w:r>
    </w:p>
    <w:p>
      <w:pPr>
        <w:pStyle w:val="Subsection"/>
        <w:spacing w:before="18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spacing w:before="180"/>
      </w:pPr>
      <w:r>
        <w:tab/>
      </w:r>
      <w:r>
        <w:tab/>
        <w:t>with respect to the proposed State planning policy.</w:t>
      </w:r>
    </w:p>
    <w:p>
      <w:pPr>
        <w:pStyle w:val="Subsection"/>
        <w:spacing w:before="18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tab/>
        <w:t>(b)</w:t>
      </w:r>
      <w:r>
        <w:tab/>
        <w:t>at not less than 3 other public places which the Commission considers to be convenient for public inspection.</w:t>
      </w:r>
    </w:p>
    <w:p>
      <w:pPr>
        <w:pStyle w:val="Subsection"/>
        <w:spacing w:before="18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pPr>
      <w:r>
        <w:tab/>
        <w:t>(a)</w:t>
      </w:r>
      <w:r>
        <w:tab/>
        <w:t>in short, the purpose of the proposed State planning policy; and</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spacing w:before="120"/>
      </w:pPr>
      <w:r>
        <w:tab/>
      </w:r>
      <w:r>
        <w:tab/>
        <w:t>and may take such other steps as it considers necessary to make public the details of the proposed policy.</w:t>
      </w:r>
    </w:p>
    <w:p>
      <w:pPr>
        <w:pStyle w:val="Subsection"/>
        <w:spacing w:before="120"/>
      </w:pPr>
      <w:r>
        <w:tab/>
        <w:t>(5)</w:t>
      </w:r>
      <w:r>
        <w:tab/>
        <w:t>The Commission is to consider any submissions with respect to the proposed State planning policy and may modify the proposed policy as it thinks fit.</w:t>
      </w:r>
    </w:p>
    <w:p>
      <w:pPr>
        <w:pStyle w:val="Heading5"/>
        <w:spacing w:before="180"/>
      </w:pPr>
      <w:bookmarkStart w:id="107" w:name="_Toc77246205"/>
      <w:bookmarkStart w:id="108" w:name="_Toc74923954"/>
      <w:r>
        <w:rPr>
          <w:rStyle w:val="CharSectno"/>
        </w:rPr>
        <w:t>29</w:t>
      </w:r>
      <w:r>
        <w:t>.</w:t>
      </w:r>
      <w:r>
        <w:tab/>
        <w:t>Approval of Governor</w:t>
      </w:r>
      <w:bookmarkEnd w:id="107"/>
      <w:bookmarkEnd w:id="108"/>
    </w:p>
    <w:p>
      <w:pPr>
        <w:pStyle w:val="Subsection"/>
        <w:spacing w:before="120"/>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spacing w:before="120"/>
      </w:pPr>
      <w:r>
        <w:tab/>
        <w:t>(2)</w:t>
      </w:r>
      <w:r>
        <w:tab/>
        <w:t xml:space="preserve">A State planning policy has no force or effect until it is approved by the Governor and published in the </w:t>
      </w:r>
      <w:r>
        <w:rPr>
          <w:i/>
        </w:rPr>
        <w:t>Gazette</w:t>
      </w:r>
      <w:r>
        <w:t>.</w:t>
      </w:r>
    </w:p>
    <w:p>
      <w:pPr>
        <w:pStyle w:val="Heading5"/>
      </w:pPr>
      <w:bookmarkStart w:id="109" w:name="_Toc77246206"/>
      <w:bookmarkStart w:id="110" w:name="_Toc74923955"/>
      <w:r>
        <w:rPr>
          <w:rStyle w:val="CharSectno"/>
        </w:rPr>
        <w:t>30</w:t>
      </w:r>
      <w:r>
        <w:t>.</w:t>
      </w:r>
      <w:r>
        <w:tab/>
        <w:t>Publicising approved State planning policy</w:t>
      </w:r>
      <w:bookmarkEnd w:id="109"/>
      <w:bookmarkEnd w:id="110"/>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111" w:name="_Toc77246207"/>
      <w:bookmarkStart w:id="112" w:name="_Toc74923956"/>
      <w:r>
        <w:rPr>
          <w:rStyle w:val="CharSectno"/>
        </w:rPr>
        <w:t>31</w:t>
      </w:r>
      <w:r>
        <w:t>.</w:t>
      </w:r>
      <w:r>
        <w:tab/>
        <w:t>Amending or repealing State planning policy</w:t>
      </w:r>
      <w:bookmarkEnd w:id="111"/>
      <w:bookmarkEnd w:id="112"/>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113" w:name="_Toc77246208"/>
      <w:bookmarkStart w:id="114" w:name="_Toc74923957"/>
      <w:r>
        <w:rPr>
          <w:rStyle w:val="CharSectno"/>
        </w:rPr>
        <w:t>32</w:t>
      </w:r>
      <w:r>
        <w:t>.</w:t>
      </w:r>
      <w:r>
        <w:tab/>
        <w:t>Environmental review</w:t>
      </w:r>
      <w:bookmarkEnd w:id="113"/>
      <w:bookmarkEnd w:id="114"/>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keepNext/>
      </w:pPr>
      <w:r>
        <w:tab/>
        <w:t>(b)</w:t>
      </w:r>
      <w:r>
        <w:tab/>
        <w:t>that policy or amendment were a local planning scheme,</w:t>
      </w:r>
    </w:p>
    <w:p>
      <w:pPr>
        <w:pStyle w:val="Subsection"/>
      </w:pPr>
      <w:r>
        <w:tab/>
      </w:r>
      <w:r>
        <w:tab/>
        <w:t>but otherwise this Part applies to that policy or amendment.</w:t>
      </w:r>
    </w:p>
    <w:p>
      <w:pPr>
        <w:pStyle w:val="Heading2"/>
      </w:pPr>
      <w:bookmarkStart w:id="115" w:name="_Toc77239255"/>
      <w:bookmarkStart w:id="116" w:name="_Toc77240159"/>
      <w:bookmarkStart w:id="117" w:name="_Toc77246209"/>
      <w:bookmarkStart w:id="118" w:name="_Toc74652270"/>
      <w:bookmarkStart w:id="119" w:name="_Toc74652736"/>
      <w:bookmarkStart w:id="120" w:name="_Toc74733454"/>
      <w:bookmarkStart w:id="121" w:name="_Toc74923958"/>
      <w:r>
        <w:rPr>
          <w:rStyle w:val="CharPartNo"/>
        </w:rPr>
        <w:t>Part 4</w:t>
      </w:r>
      <w:r>
        <w:t> — </w:t>
      </w:r>
      <w:r>
        <w:rPr>
          <w:rStyle w:val="CharPartText"/>
        </w:rPr>
        <w:t>Region planning schemes</w:t>
      </w:r>
      <w:bookmarkEnd w:id="115"/>
      <w:bookmarkEnd w:id="116"/>
      <w:bookmarkEnd w:id="117"/>
      <w:bookmarkEnd w:id="118"/>
      <w:bookmarkEnd w:id="119"/>
      <w:bookmarkEnd w:id="120"/>
      <w:bookmarkEnd w:id="121"/>
    </w:p>
    <w:p>
      <w:pPr>
        <w:pStyle w:val="Heading3"/>
        <w:spacing w:before="220"/>
      </w:pPr>
      <w:bookmarkStart w:id="122" w:name="_Toc77239256"/>
      <w:bookmarkStart w:id="123" w:name="_Toc77240160"/>
      <w:bookmarkStart w:id="124" w:name="_Toc77246210"/>
      <w:bookmarkStart w:id="125" w:name="_Toc74652271"/>
      <w:bookmarkStart w:id="126" w:name="_Toc74652737"/>
      <w:bookmarkStart w:id="127" w:name="_Toc74733455"/>
      <w:bookmarkStart w:id="128" w:name="_Toc74923959"/>
      <w:r>
        <w:rPr>
          <w:rStyle w:val="CharDivNo"/>
        </w:rPr>
        <w:t>Division 1</w:t>
      </w:r>
      <w:r>
        <w:t> — </w:t>
      </w:r>
      <w:r>
        <w:rPr>
          <w:rStyle w:val="CharDivText"/>
        </w:rPr>
        <w:t>Continuation and formulation of region planning schemes</w:t>
      </w:r>
      <w:bookmarkEnd w:id="122"/>
      <w:bookmarkEnd w:id="123"/>
      <w:bookmarkEnd w:id="124"/>
      <w:bookmarkEnd w:id="125"/>
      <w:bookmarkEnd w:id="126"/>
      <w:bookmarkEnd w:id="127"/>
      <w:bookmarkEnd w:id="128"/>
    </w:p>
    <w:p>
      <w:pPr>
        <w:pStyle w:val="Heading5"/>
        <w:spacing w:before="180"/>
      </w:pPr>
      <w:bookmarkStart w:id="129" w:name="_Toc77246211"/>
      <w:bookmarkStart w:id="130" w:name="_Toc74923960"/>
      <w:r>
        <w:rPr>
          <w:rStyle w:val="CharSectno"/>
        </w:rPr>
        <w:t>33</w:t>
      </w:r>
      <w:r>
        <w:t>.</w:t>
      </w:r>
      <w:r>
        <w:tab/>
        <w:t>Schemes under repealed Act, effect of</w:t>
      </w:r>
      <w:bookmarkEnd w:id="129"/>
      <w:bookmarkEnd w:id="130"/>
    </w:p>
    <w:p>
      <w:pPr>
        <w:pStyle w:val="Subsection"/>
        <w:spacing w:before="120"/>
      </w:pPr>
      <w:r>
        <w:tab/>
        <w:t>(1)</w:t>
      </w:r>
      <w:r>
        <w:tab/>
        <w:t xml:space="preserve">The Metropolitan Region Scheme in force under the </w:t>
      </w:r>
      <w:r>
        <w:rPr>
          <w:i/>
        </w:rPr>
        <w:t>Metropolitan Region Town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spacing w:before="120"/>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spacing w:before="180"/>
      </w:pPr>
      <w:bookmarkStart w:id="131" w:name="_Toc77246212"/>
      <w:bookmarkStart w:id="132" w:name="_Toc74923961"/>
      <w:r>
        <w:rPr>
          <w:rStyle w:val="CharSectno"/>
        </w:rPr>
        <w:t>34</w:t>
      </w:r>
      <w:r>
        <w:t>.</w:t>
      </w:r>
      <w:r>
        <w:tab/>
        <w:t>Region planning schemes, preparation and content of</w:t>
      </w:r>
      <w:bookmarkEnd w:id="131"/>
      <w:bookmarkEnd w:id="132"/>
    </w:p>
    <w:p>
      <w:pPr>
        <w:pStyle w:val="Subsection"/>
        <w:spacing w:before="120"/>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spacing w:before="120"/>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keepNext w:val="0"/>
        <w:keepLines w:val="0"/>
        <w:spacing w:before="180"/>
      </w:pPr>
      <w:bookmarkStart w:id="133" w:name="_Toc77246213"/>
      <w:bookmarkStart w:id="134" w:name="_Toc74923962"/>
      <w:r>
        <w:rPr>
          <w:rStyle w:val="CharSectno"/>
        </w:rPr>
        <w:t>35</w:t>
      </w:r>
      <w:r>
        <w:t>.</w:t>
      </w:r>
      <w:r>
        <w:tab/>
        <w:t>Commission may resolve to prepare or amend region planning scheme</w:t>
      </w:r>
      <w:bookmarkEnd w:id="133"/>
      <w:bookmarkEnd w:id="134"/>
    </w:p>
    <w:p>
      <w:pPr>
        <w:pStyle w:val="Subsection"/>
        <w:spacing w:before="120"/>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pPr>
      <w:r>
        <w:tab/>
        <w:t>(3)</w:t>
      </w:r>
      <w:r>
        <w:tab/>
        <w:t>Immediately after resolving to prepare an amendment to a region planning scheme, the Commission is to ensure compliance in respect of that amendment with the relevant procedures set out in Divisions 2, 3 and 4.</w:t>
      </w:r>
    </w:p>
    <w:p>
      <w:pPr>
        <w:pStyle w:val="Heading5"/>
      </w:pPr>
      <w:bookmarkStart w:id="135" w:name="_Toc77246214"/>
      <w:bookmarkStart w:id="136" w:name="_Toc74923963"/>
      <w:r>
        <w:rPr>
          <w:rStyle w:val="CharSectno"/>
        </w:rPr>
        <w:t>36</w:t>
      </w:r>
      <w:r>
        <w:t>.</w:t>
      </w:r>
      <w:r>
        <w:tab/>
        <w:t>Restrictions on making or amending region planning scheme for metropolitan region</w:t>
      </w:r>
      <w:bookmarkEnd w:id="135"/>
      <w:bookmarkEnd w:id="136"/>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or</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r>
      <w:r>
        <w:tab/>
        <w:t>or</w:t>
      </w:r>
    </w:p>
    <w:p>
      <w:pPr>
        <w:pStyle w:val="Indenta"/>
      </w:pPr>
      <w:r>
        <w:tab/>
        <w:t>(b)</w:t>
      </w:r>
      <w:r>
        <w:tab/>
        <w:t xml:space="preserve">in a manner that is contrary to or inconsistent with any protection order made under the </w:t>
      </w:r>
      <w:r>
        <w:rPr>
          <w:i/>
        </w:rPr>
        <w:t>Heritage Act 2018</w:t>
      </w:r>
      <w:r>
        <w:t xml:space="preserve"> Part 4 Division 1, except in so far as may be ordered on an application or referral made under section 62 of that Act to the State Administrative Tribunal; or</w:t>
      </w:r>
    </w:p>
    <w:p>
      <w:pPr>
        <w:pStyle w:val="Indenta"/>
      </w:pPr>
      <w:r>
        <w:tab/>
        <w:t>(c)</w:t>
      </w:r>
      <w:r>
        <w:tab/>
        <w:t xml:space="preserve">except as provided in the </w:t>
      </w:r>
      <w:r>
        <w:rPr>
          <w:i/>
        </w:rPr>
        <w:t>Metropolitan Redevelopment Authority Act 2011</w:t>
      </w:r>
      <w:r>
        <w:rPr>
          <w:iCs/>
        </w:rPr>
        <w:t xml:space="preserve"> section 58 and </w:t>
      </w:r>
      <w:r>
        <w:t xml:space="preserve">without limiting </w:t>
      </w:r>
      <w:r>
        <w:rPr>
          <w:iCs/>
        </w:rPr>
        <w:t>section 51 of that Act</w:t>
      </w:r>
      <w:r>
        <w:t>, to make any provision in respect of any land to which an approved redevelopment scheme that is in operation under that Act applies; or</w:t>
      </w:r>
    </w:p>
    <w:p>
      <w:pPr>
        <w:pStyle w:val="Indenta"/>
        <w:spacing w:before="60"/>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Footnotesection"/>
        <w:ind w:left="890" w:hanging="890"/>
      </w:pPr>
      <w:r>
        <w:tab/>
        <w:t xml:space="preserve">[Section 36 amended: No. 52 of 2006 s. 6; </w:t>
      </w:r>
      <w:r>
        <w:rPr>
          <w:spacing w:val="-4"/>
        </w:rPr>
        <w:t>No. 45 of 2011 s. 141</w:t>
      </w:r>
      <w:r>
        <w:t>(4); No. 22 of 2018 s. 186(3).]</w:t>
      </w:r>
    </w:p>
    <w:p>
      <w:pPr>
        <w:pStyle w:val="Heading5"/>
        <w:spacing w:before="180"/>
      </w:pPr>
      <w:bookmarkStart w:id="137" w:name="_Toc77246215"/>
      <w:bookmarkStart w:id="138" w:name="_Toc74923964"/>
      <w:r>
        <w:rPr>
          <w:rStyle w:val="CharSectno"/>
        </w:rPr>
        <w:t>37</w:t>
      </w:r>
      <w:r>
        <w:t>.</w:t>
      </w:r>
      <w:r>
        <w:tab/>
        <w:t>Region planning scheme may be amended or repealed</w:t>
      </w:r>
      <w:bookmarkEnd w:id="137"/>
      <w:bookmarkEnd w:id="138"/>
    </w:p>
    <w:p>
      <w:pPr>
        <w:pStyle w:val="Subsection"/>
        <w:spacing w:before="120"/>
      </w:pPr>
      <w:r>
        <w:tab/>
        <w:t>(1)</w:t>
      </w:r>
      <w:r>
        <w:tab/>
        <w:t>A region planning scheme may be amended under this Act.</w:t>
      </w:r>
    </w:p>
    <w:p>
      <w:pPr>
        <w:pStyle w:val="Subsection"/>
        <w:spacing w:before="120"/>
      </w:pPr>
      <w:r>
        <w:tab/>
        <w:t>(2)</w:t>
      </w:r>
      <w:r>
        <w:tab/>
        <w:t xml:space="preserve">A region planning scheme may be repealed by — </w:t>
      </w:r>
    </w:p>
    <w:p>
      <w:pPr>
        <w:pStyle w:val="Indenta"/>
        <w:spacing w:before="60"/>
      </w:pPr>
      <w:r>
        <w:tab/>
        <w:t>(a)</w:t>
      </w:r>
      <w:r>
        <w:tab/>
        <w:t>a subsequent region planning scheme; or</w:t>
      </w:r>
    </w:p>
    <w:p>
      <w:pPr>
        <w:pStyle w:val="Indenta"/>
        <w:spacing w:before="60"/>
      </w:pPr>
      <w:r>
        <w:tab/>
        <w:t>(b)</w:t>
      </w:r>
      <w:r>
        <w:tab/>
        <w:t xml:space="preserve">an instrument of repeal prepared by the Commission, approved by the Minister and published in the </w:t>
      </w:r>
      <w:r>
        <w:rPr>
          <w:i/>
        </w:rPr>
        <w:t>Gazette</w:t>
      </w:r>
      <w:r>
        <w:t>.</w:t>
      </w:r>
    </w:p>
    <w:p>
      <w:pPr>
        <w:pStyle w:val="Heading3"/>
        <w:spacing w:before="180"/>
      </w:pPr>
      <w:bookmarkStart w:id="139" w:name="_Toc77239262"/>
      <w:bookmarkStart w:id="140" w:name="_Toc77240166"/>
      <w:bookmarkStart w:id="141" w:name="_Toc77246216"/>
      <w:bookmarkStart w:id="142" w:name="_Toc74652277"/>
      <w:bookmarkStart w:id="143" w:name="_Toc74652743"/>
      <w:bookmarkStart w:id="144" w:name="_Toc74733461"/>
      <w:bookmarkStart w:id="145" w:name="_Toc74923965"/>
      <w:r>
        <w:rPr>
          <w:rStyle w:val="CharDivNo"/>
        </w:rPr>
        <w:t>Division 2</w:t>
      </w:r>
      <w:r>
        <w:t> — </w:t>
      </w:r>
      <w:r>
        <w:rPr>
          <w:rStyle w:val="CharDivText"/>
        </w:rPr>
        <w:t>Prerequisites to region planning scheme or amendment</w:t>
      </w:r>
      <w:bookmarkEnd w:id="139"/>
      <w:bookmarkEnd w:id="140"/>
      <w:bookmarkEnd w:id="141"/>
      <w:bookmarkEnd w:id="142"/>
      <w:bookmarkEnd w:id="143"/>
      <w:bookmarkEnd w:id="144"/>
      <w:bookmarkEnd w:id="145"/>
    </w:p>
    <w:p>
      <w:pPr>
        <w:pStyle w:val="Heading5"/>
      </w:pPr>
      <w:bookmarkStart w:id="146" w:name="_Toc77246217"/>
      <w:bookmarkStart w:id="147" w:name="_Toc74923966"/>
      <w:r>
        <w:rPr>
          <w:rStyle w:val="CharSectno"/>
        </w:rPr>
        <w:t>38</w:t>
      </w:r>
      <w:r>
        <w:t>.</w:t>
      </w:r>
      <w:r>
        <w:tab/>
        <w:t>Proposed schemes and amendments to be referred to EPA</w:t>
      </w:r>
      <w:bookmarkEnd w:id="146"/>
      <w:bookmarkEnd w:id="147"/>
    </w:p>
    <w:p>
      <w:pPr>
        <w:pStyle w:val="Subsection"/>
        <w:spacing w:before="120"/>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pPr>
      <w:r>
        <w:tab/>
        <w:t>(a)</w:t>
      </w:r>
      <w:r>
        <w:tab/>
        <w:t>written notice of the resolution; and</w:t>
      </w:r>
    </w:p>
    <w:p>
      <w:pPr>
        <w:pStyle w:val="Indenta"/>
      </w:pPr>
      <w:r>
        <w:tab/>
        <w:t>(b)</w:t>
      </w:r>
      <w:r>
        <w:tab/>
        <w:t>such written information about that scheme or amendment as is sufficient to enable the EPA to comply with section 48A of the EP Act in relation to the scheme or amendment.</w:t>
      </w:r>
    </w:p>
    <w:p>
      <w:pPr>
        <w:pStyle w:val="Subsection"/>
        <w:spacing w:before="120"/>
      </w:pPr>
      <w:r>
        <w:tab/>
        <w:t>(2)</w:t>
      </w:r>
      <w:r>
        <w:tab/>
        <w:t>This section applies in respect of an amendment whether or not the amendment constitutes a substantial alteration to a region planning scheme.</w:t>
      </w:r>
    </w:p>
    <w:p>
      <w:pPr>
        <w:pStyle w:val="Heading5"/>
        <w:keepLines w:val="0"/>
        <w:spacing w:before="180"/>
      </w:pPr>
      <w:bookmarkStart w:id="148" w:name="_Toc77246218"/>
      <w:bookmarkStart w:id="149" w:name="_Toc74923967"/>
      <w:r>
        <w:rPr>
          <w:rStyle w:val="CharSectno"/>
        </w:rPr>
        <w:t>39</w:t>
      </w:r>
      <w:r>
        <w:t>.</w:t>
      </w:r>
      <w:r>
        <w:tab/>
        <w:t>Environmental review, when required etc.</w:t>
      </w:r>
      <w:bookmarkEnd w:id="148"/>
      <w:bookmarkEnd w:id="149"/>
    </w:p>
    <w:p>
      <w:pPr>
        <w:pStyle w:val="Subsection"/>
        <w:keepNext/>
        <w:spacing w:before="120"/>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150" w:name="_Toc77246219"/>
      <w:bookmarkStart w:id="151" w:name="_Toc74923968"/>
      <w:r>
        <w:rPr>
          <w:rStyle w:val="CharSectno"/>
        </w:rPr>
        <w:t>40</w:t>
      </w:r>
      <w:r>
        <w:t>.</w:t>
      </w:r>
      <w:r>
        <w:tab/>
        <w:t>Swan Valley Planning Committee, consultation with before public submissions</w:t>
      </w:r>
      <w:bookmarkEnd w:id="150"/>
      <w:bookmarkEnd w:id="151"/>
    </w:p>
    <w:p>
      <w:pPr>
        <w:pStyle w:val="Subsection"/>
      </w:pPr>
      <w:r>
        <w:tab/>
        <w:t>(1)</w:t>
      </w:r>
      <w:r>
        <w:tab/>
        <w:t>The Commission, before submitting to the Minister under section 42 a scheme or amendment that would apply to land in the Swan Valley, is to refer the scheme or amendment to the Swan Valley Planning Committee.</w:t>
      </w:r>
    </w:p>
    <w:p>
      <w:pPr>
        <w:pStyle w:val="Subsection"/>
        <w:spacing w:before="140"/>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spacing w:before="140"/>
      </w:pPr>
      <w:r>
        <w:tab/>
        <w:t>(3)</w:t>
      </w:r>
      <w:r>
        <w:tab/>
        <w:t>If the Committee fails to give its advice within the time allowed under subsection (2), it is to be taken to have no advice to give on the scheme or amendment.</w:t>
      </w:r>
    </w:p>
    <w:p>
      <w:pPr>
        <w:pStyle w:val="Subsection"/>
        <w:spacing w:before="140"/>
      </w:pPr>
      <w:r>
        <w:tab/>
        <w:t>(4)</w:t>
      </w:r>
      <w:r>
        <w:tab/>
        <w:t>The Minister may, at the request of the Commission, approve of the Commission disregarding the Committee’s advice in whole or in part in preparing the scheme or amendment.</w:t>
      </w:r>
    </w:p>
    <w:p>
      <w:pPr>
        <w:pStyle w:val="Subsection"/>
        <w:spacing w:before="140"/>
      </w:pPr>
      <w:r>
        <w:tab/>
        <w:t>(5)</w:t>
      </w:r>
      <w:r>
        <w:tab/>
        <w:t>Subject to any approval under subsection (4), the Commission is to prepare the scheme or amendment in accordance with any advice given by the Committee under this section.</w:t>
      </w:r>
    </w:p>
    <w:p>
      <w:pPr>
        <w:pStyle w:val="Heading3"/>
        <w:spacing w:before="180"/>
      </w:pPr>
      <w:bookmarkStart w:id="152" w:name="_Toc77239266"/>
      <w:bookmarkStart w:id="153" w:name="_Toc77240170"/>
      <w:bookmarkStart w:id="154" w:name="_Toc77246220"/>
      <w:bookmarkStart w:id="155" w:name="_Toc74652281"/>
      <w:bookmarkStart w:id="156" w:name="_Toc74652747"/>
      <w:bookmarkStart w:id="157" w:name="_Toc74733465"/>
      <w:bookmarkStart w:id="158" w:name="_Toc74923969"/>
      <w:r>
        <w:rPr>
          <w:rStyle w:val="CharDivNo"/>
        </w:rPr>
        <w:t>Division 3</w:t>
      </w:r>
      <w:r>
        <w:t> — </w:t>
      </w:r>
      <w:r>
        <w:rPr>
          <w:rStyle w:val="CharDivText"/>
        </w:rPr>
        <w:t>Making of region planning scheme and amendments</w:t>
      </w:r>
      <w:bookmarkEnd w:id="152"/>
      <w:bookmarkEnd w:id="153"/>
      <w:bookmarkEnd w:id="154"/>
      <w:bookmarkEnd w:id="155"/>
      <w:bookmarkEnd w:id="156"/>
      <w:bookmarkEnd w:id="157"/>
      <w:bookmarkEnd w:id="158"/>
    </w:p>
    <w:p>
      <w:pPr>
        <w:pStyle w:val="Heading5"/>
      </w:pPr>
      <w:bookmarkStart w:id="159" w:name="_Toc77246221"/>
      <w:bookmarkStart w:id="160" w:name="_Toc74923970"/>
      <w:r>
        <w:rPr>
          <w:rStyle w:val="CharSectno"/>
        </w:rPr>
        <w:t>41</w:t>
      </w:r>
      <w:r>
        <w:t>.</w:t>
      </w:r>
      <w:r>
        <w:tab/>
        <w:t>Procedure</w:t>
      </w:r>
      <w:bookmarkEnd w:id="159"/>
      <w:bookmarkEnd w:id="160"/>
    </w:p>
    <w:p>
      <w:pPr>
        <w:pStyle w:val="Subsection"/>
        <w:spacing w:before="120"/>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rStyle w:val="CharDefText"/>
        </w:rPr>
        <w:t>scheme or amendment</w:t>
      </w:r>
      <w:r>
        <w:t>) formulated by the Commission.</w:t>
      </w:r>
    </w:p>
    <w:p>
      <w:pPr>
        <w:pStyle w:val="Heading5"/>
      </w:pPr>
      <w:bookmarkStart w:id="161" w:name="_Toc77246222"/>
      <w:bookmarkStart w:id="162" w:name="_Toc74923971"/>
      <w:r>
        <w:rPr>
          <w:rStyle w:val="CharSectno"/>
        </w:rPr>
        <w:t>42</w:t>
      </w:r>
      <w:r>
        <w:t>.</w:t>
      </w:r>
      <w:r>
        <w:tab/>
        <w:t>Minister’s consent needed to seek public submissions on proposed scheme or amendment</w:t>
      </w:r>
      <w:bookmarkEnd w:id="161"/>
      <w:bookmarkEnd w:id="162"/>
    </w:p>
    <w:p>
      <w:pPr>
        <w:pStyle w:val="Subsection"/>
        <w:spacing w:before="120"/>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163" w:name="_Toc77246223"/>
      <w:bookmarkStart w:id="164" w:name="_Toc74923972"/>
      <w:r>
        <w:rPr>
          <w:rStyle w:val="CharSectno"/>
        </w:rPr>
        <w:t>43</w:t>
      </w:r>
      <w:r>
        <w:t>.</w:t>
      </w:r>
      <w:r>
        <w:tab/>
        <w:t>Publicising proposed scheme or amendment</w:t>
      </w:r>
      <w:bookmarkEnd w:id="163"/>
      <w:bookmarkEnd w:id="164"/>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pPr>
      <w:r>
        <w:tab/>
        <w:t>(2)</w:t>
      </w:r>
      <w:r>
        <w:tab/>
        <w:t xml:space="preserve">For the purposes of subsection (1) the scheme or amendment and statement are to be deposited — </w:t>
      </w:r>
    </w:p>
    <w:p>
      <w:pPr>
        <w:pStyle w:val="Indenta"/>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spacing w:before="40"/>
      </w:pPr>
      <w:r>
        <w:tab/>
      </w:r>
      <w:r>
        <w:tab/>
        <w:t>and</w:t>
      </w:r>
    </w:p>
    <w:p>
      <w:pPr>
        <w:pStyle w:val="Indenta"/>
      </w:pPr>
      <w:r>
        <w:tab/>
        <w:t>(b)</w:t>
      </w:r>
      <w:r>
        <w:tab/>
        <w:t xml:space="preserve">in the case of an amendment to the Metropolitan Region Scheme — </w:t>
      </w:r>
    </w:p>
    <w:p>
      <w:pPr>
        <w:pStyle w:val="Indenti"/>
      </w:pPr>
      <w:r>
        <w:tab/>
        <w:t>(i)</w:t>
      </w:r>
      <w:r>
        <w:tab/>
        <w:t>at the offices of the Commission; and</w:t>
      </w:r>
    </w:p>
    <w:p>
      <w:pPr>
        <w:pStyle w:val="Indenti"/>
      </w:pPr>
      <w:r>
        <w:tab/>
        <w:t>(ii)</w:t>
      </w:r>
      <w:r>
        <w:tab/>
        <w:t>at the offices of the City of Perth and the City of Fremantle;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 and</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keepNext/>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165" w:name="_Toc77246224"/>
      <w:bookmarkStart w:id="166" w:name="_Toc74923973"/>
      <w:r>
        <w:rPr>
          <w:rStyle w:val="CharSectno"/>
        </w:rPr>
        <w:t>44</w:t>
      </w:r>
      <w:r>
        <w:t>.</w:t>
      </w:r>
      <w:r>
        <w:tab/>
        <w:t>Submissions on proposed scheme or amendment</w:t>
      </w:r>
      <w:bookmarkEnd w:id="165"/>
      <w:bookmarkEnd w:id="166"/>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167" w:name="_Toc77246225"/>
      <w:bookmarkStart w:id="168" w:name="_Toc74923974"/>
      <w:r>
        <w:rPr>
          <w:rStyle w:val="CharSectno"/>
        </w:rPr>
        <w:t>45</w:t>
      </w:r>
      <w:r>
        <w:t>.</w:t>
      </w:r>
      <w:r>
        <w:tab/>
        <w:t>Commission’s duties if proposed scheme or amendment is to be assessed under EP Act</w:t>
      </w:r>
      <w:bookmarkEnd w:id="167"/>
      <w:bookmarkEnd w:id="168"/>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pPr>
      <w:bookmarkStart w:id="169" w:name="_Toc77246226"/>
      <w:bookmarkStart w:id="170" w:name="_Toc74923975"/>
      <w:r>
        <w:rPr>
          <w:rStyle w:val="CharSectno"/>
        </w:rPr>
        <w:t>46</w:t>
      </w:r>
      <w:r>
        <w:t>.</w:t>
      </w:r>
      <w:r>
        <w:tab/>
        <w:t>Person making submission may be heard</w:t>
      </w:r>
      <w:bookmarkEnd w:id="169"/>
      <w:bookmarkEnd w:id="170"/>
    </w:p>
    <w:p>
      <w:pPr>
        <w:pStyle w:val="Subsection"/>
      </w:pPr>
      <w:r>
        <w:tab/>
        <w:t>(1)</w:t>
      </w:r>
      <w:r>
        <w:tab/>
        <w:t>The Commission is to give each person making a submission or the person’s agent the opportunity of being heard on the submission by the Commission or by a committee established under Schedule 2.</w:t>
      </w:r>
    </w:p>
    <w:p>
      <w:pPr>
        <w:pStyle w:val="Subsection"/>
      </w:pPr>
      <w:r>
        <w:tab/>
        <w:t>(2)</w:t>
      </w:r>
      <w:r>
        <w:tab/>
        <w:t>Where a submission is made by a group of persons, the group is to appoint one person to represent the group and only that person may be heard under subsection (1).</w:t>
      </w:r>
    </w:p>
    <w:p>
      <w:pPr>
        <w:pStyle w:val="Heading5"/>
        <w:spacing w:before="180"/>
      </w:pPr>
      <w:bookmarkStart w:id="171" w:name="_Toc77246227"/>
      <w:bookmarkStart w:id="172" w:name="_Toc74923976"/>
      <w:r>
        <w:rPr>
          <w:rStyle w:val="CharSectno"/>
        </w:rPr>
        <w:t>47</w:t>
      </w:r>
      <w:r>
        <w:t>.</w:t>
      </w:r>
      <w:r>
        <w:tab/>
        <w:t>Swan Valley Planning Committee, consultation with after public submissions</w:t>
      </w:r>
      <w:bookmarkEnd w:id="171"/>
      <w:bookmarkEnd w:id="172"/>
    </w:p>
    <w:p>
      <w:pPr>
        <w:pStyle w:val="Subsection"/>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pPr>
      <w:r>
        <w:tab/>
        <w:t>(3)</w:t>
      </w:r>
      <w:r>
        <w:tab/>
        <w:t>If the Swan Valley Planning Committee does not report to the Commission within 42 days of the referral under subsection (2) it is to be taken to have no comment to make or advice to give.</w:t>
      </w:r>
    </w:p>
    <w:p>
      <w:pPr>
        <w:pStyle w:val="Heading5"/>
      </w:pPr>
      <w:bookmarkStart w:id="173" w:name="_Toc77246228"/>
      <w:bookmarkStart w:id="174" w:name="_Toc74923977"/>
      <w:r>
        <w:rPr>
          <w:rStyle w:val="CharSectno"/>
        </w:rPr>
        <w:t>48</w:t>
      </w:r>
      <w:r>
        <w:t>.</w:t>
      </w:r>
      <w:r>
        <w:tab/>
        <w:t>Proposed scheme or amendment etc. to be submitted to Minister</w:t>
      </w:r>
      <w:bookmarkEnd w:id="173"/>
      <w:bookmarkEnd w:id="174"/>
    </w:p>
    <w:p>
      <w:pPr>
        <w:pStyle w:val="Subsection"/>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 and</w:t>
      </w:r>
    </w:p>
    <w:p>
      <w:pPr>
        <w:pStyle w:val="Indenta"/>
      </w:pPr>
      <w:r>
        <w:tab/>
        <w:t>(d)</w:t>
      </w:r>
      <w:r>
        <w:tab/>
        <w:t>a copy of each of those submissions; and</w:t>
      </w:r>
    </w:p>
    <w:p>
      <w:pPr>
        <w:pStyle w:val="Indenta"/>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175" w:name="_Toc77246229"/>
      <w:bookmarkStart w:id="176" w:name="_Toc74923978"/>
      <w:r>
        <w:rPr>
          <w:rStyle w:val="CharSectno"/>
        </w:rPr>
        <w:t>49</w:t>
      </w:r>
      <w:r>
        <w:t>.</w:t>
      </w:r>
      <w:r>
        <w:tab/>
        <w:t>Minister may withdraw proposed scheme or amendment</w:t>
      </w:r>
      <w:bookmarkEnd w:id="175"/>
      <w:bookmarkEnd w:id="176"/>
    </w:p>
    <w:p>
      <w:pPr>
        <w:pStyle w:val="Subsection"/>
      </w:pPr>
      <w:r>
        <w:tab/>
      </w:r>
      <w:r>
        <w:tab/>
        <w:t xml:space="preserve">If — </w:t>
      </w:r>
    </w:p>
    <w:p>
      <w:pPr>
        <w:pStyle w:val="Indenta"/>
      </w:pPr>
      <w:r>
        <w:tab/>
        <w:t>(a)</w:t>
      </w:r>
      <w:r>
        <w:tab/>
        <w:t>the report of the Commission; or</w:t>
      </w:r>
    </w:p>
    <w:p>
      <w:pPr>
        <w:pStyle w:val="Indenta"/>
      </w:pPr>
      <w:r>
        <w:tab/>
        <w:t>(b)</w:t>
      </w:r>
      <w:r>
        <w:tab/>
        <w:t>in the case of a scheme or amendment that would apply to land in the Swan Valley, a report of the Swan Valley Planning Committee under section 47,</w:t>
      </w:r>
    </w:p>
    <w:p>
      <w:pPr>
        <w:pStyle w:val="Subsection"/>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177" w:name="_Toc77246230"/>
      <w:bookmarkStart w:id="178" w:name="_Toc74923979"/>
      <w:r>
        <w:rPr>
          <w:rStyle w:val="CharSectno"/>
        </w:rPr>
        <w:t>50</w:t>
      </w:r>
      <w:r>
        <w:t>.</w:t>
      </w:r>
      <w:r>
        <w:tab/>
        <w:t>When Minister may submit proposed scheme or amendment for Governor’s approval</w:t>
      </w:r>
      <w:bookmarkEnd w:id="177"/>
      <w:bookmarkEnd w:id="178"/>
    </w:p>
    <w:p>
      <w:pPr>
        <w:pStyle w:val="Subsection"/>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179" w:name="_Toc77246231"/>
      <w:bookmarkStart w:id="180" w:name="_Toc74923980"/>
      <w:r>
        <w:rPr>
          <w:rStyle w:val="CharSectno"/>
        </w:rPr>
        <w:t>51</w:t>
      </w:r>
      <w:r>
        <w:t>.</w:t>
      </w:r>
      <w:r>
        <w:tab/>
        <w:t>Minister may direct proposed scheme or amendment to be republicised</w:t>
      </w:r>
      <w:bookmarkEnd w:id="179"/>
      <w:bookmarkEnd w:id="180"/>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181" w:name="_Toc77246232"/>
      <w:bookmarkStart w:id="182" w:name="_Toc74923981"/>
      <w:r>
        <w:rPr>
          <w:rStyle w:val="CharSectno"/>
        </w:rPr>
        <w:t>52</w:t>
      </w:r>
      <w:r>
        <w:t>.</w:t>
      </w:r>
      <w:r>
        <w:tab/>
        <w:t>Modifications to proposed scheme or amendment, procedure on</w:t>
      </w:r>
      <w:bookmarkEnd w:id="181"/>
      <w:bookmarkEnd w:id="182"/>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spacing w:before="240"/>
      </w:pPr>
      <w:bookmarkStart w:id="183" w:name="_Toc77246233"/>
      <w:bookmarkStart w:id="184" w:name="_Toc74923982"/>
      <w:r>
        <w:rPr>
          <w:rStyle w:val="CharSectno"/>
        </w:rPr>
        <w:t>53</w:t>
      </w:r>
      <w:r>
        <w:t>.</w:t>
      </w:r>
      <w:r>
        <w:tab/>
        <w:t>Approval of Governor</w:t>
      </w:r>
      <w:bookmarkEnd w:id="183"/>
      <w:bookmarkEnd w:id="184"/>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185" w:name="_Toc77246234"/>
      <w:bookmarkStart w:id="186" w:name="_Toc74923983"/>
      <w:r>
        <w:rPr>
          <w:rStyle w:val="CharSectno"/>
        </w:rPr>
        <w:t>54</w:t>
      </w:r>
      <w:r>
        <w:t>.</w:t>
      </w:r>
      <w:r>
        <w:tab/>
        <w:t>Publicising approved scheme or amendment</w:t>
      </w:r>
      <w:bookmarkEnd w:id="185"/>
      <w:bookmarkEnd w:id="186"/>
    </w:p>
    <w:p>
      <w:pPr>
        <w:pStyle w:val="Subsection"/>
        <w:keepNext/>
        <w:keepLines/>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spacing w:before="240"/>
      </w:pPr>
      <w:bookmarkStart w:id="187" w:name="_Toc77246235"/>
      <w:bookmarkStart w:id="188" w:name="_Toc74923984"/>
      <w:r>
        <w:rPr>
          <w:rStyle w:val="CharSectno"/>
        </w:rPr>
        <w:t>55</w:t>
      </w:r>
      <w:r>
        <w:t>.</w:t>
      </w:r>
      <w:r>
        <w:tab/>
        <w:t>Revoking approval of scheme or amendment</w:t>
      </w:r>
      <w:bookmarkEnd w:id="187"/>
      <w:bookmarkEnd w:id="188"/>
    </w:p>
    <w:p>
      <w:pPr>
        <w:pStyle w:val="Subsection"/>
        <w:spacing w:before="180"/>
      </w:pPr>
      <w:r>
        <w:tab/>
        <w:t>(1)</w:t>
      </w:r>
      <w:r>
        <w:tab/>
        <w:t>The Governor may, on the recommendation of the Minister and at any time before the scheme or amendment has effect, revoke his or her approval of the scheme or amendment.</w:t>
      </w:r>
    </w:p>
    <w:p>
      <w:pPr>
        <w:pStyle w:val="Subsection"/>
        <w:spacing w:before="180"/>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spacing w:before="180"/>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spacing w:before="180"/>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189" w:name="_Toc77246236"/>
      <w:bookmarkStart w:id="190" w:name="_Toc74923985"/>
      <w:r>
        <w:rPr>
          <w:rStyle w:val="CharSectno"/>
        </w:rPr>
        <w:t>56</w:t>
      </w:r>
      <w:r>
        <w:t>.</w:t>
      </w:r>
      <w:r>
        <w:tab/>
        <w:t>Parliament may disallow scheme or amendment</w:t>
      </w:r>
      <w:bookmarkEnd w:id="189"/>
      <w:bookmarkEnd w:id="190"/>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191" w:name="_Toc77239283"/>
      <w:bookmarkStart w:id="192" w:name="_Toc77240187"/>
      <w:bookmarkStart w:id="193" w:name="_Toc77246237"/>
      <w:bookmarkStart w:id="194" w:name="_Toc74652298"/>
      <w:bookmarkStart w:id="195" w:name="_Toc74652764"/>
      <w:bookmarkStart w:id="196" w:name="_Toc74733482"/>
      <w:bookmarkStart w:id="197" w:name="_Toc74923986"/>
      <w:r>
        <w:rPr>
          <w:rStyle w:val="CharDivNo"/>
        </w:rPr>
        <w:t>Division 4</w:t>
      </w:r>
      <w:r>
        <w:t> — </w:t>
      </w:r>
      <w:r>
        <w:rPr>
          <w:rStyle w:val="CharDivText"/>
        </w:rPr>
        <w:t>Minor amendments to region planning scheme</w:t>
      </w:r>
      <w:bookmarkEnd w:id="191"/>
      <w:bookmarkEnd w:id="192"/>
      <w:bookmarkEnd w:id="193"/>
      <w:bookmarkEnd w:id="194"/>
      <w:bookmarkEnd w:id="195"/>
      <w:bookmarkEnd w:id="196"/>
      <w:bookmarkEnd w:id="197"/>
    </w:p>
    <w:p>
      <w:pPr>
        <w:pStyle w:val="Heading5"/>
      </w:pPr>
      <w:bookmarkStart w:id="198" w:name="_Toc77246238"/>
      <w:bookmarkStart w:id="199" w:name="_Toc74923987"/>
      <w:r>
        <w:rPr>
          <w:rStyle w:val="CharSectno"/>
        </w:rPr>
        <w:t>57</w:t>
      </w:r>
      <w:r>
        <w:t>.</w:t>
      </w:r>
      <w:r>
        <w:tab/>
        <w:t>Minor amendment, procedure for approval of etc.</w:t>
      </w:r>
      <w:bookmarkEnd w:id="198"/>
      <w:bookmarkEnd w:id="199"/>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pPr>
      <w:r>
        <w:tab/>
        <w:t>(2)</w:t>
      </w:r>
      <w:r>
        <w:tab/>
        <w:t>Despite subsection (1), an amendment cannot be made to the Metropolitan Region Scheme under this Division to change the zoning of any land in the Swan Valley.</w:t>
      </w:r>
    </w:p>
    <w:p>
      <w:pPr>
        <w:pStyle w:val="Heading5"/>
      </w:pPr>
      <w:bookmarkStart w:id="200" w:name="_Toc77246239"/>
      <w:bookmarkStart w:id="201" w:name="_Toc74923988"/>
      <w:r>
        <w:rPr>
          <w:rStyle w:val="CharSectno"/>
        </w:rPr>
        <w:t>58</w:t>
      </w:r>
      <w:r>
        <w:t>.</w:t>
      </w:r>
      <w:r>
        <w:tab/>
        <w:t>Publicising proposed minor amendment</w:t>
      </w:r>
      <w:bookmarkEnd w:id="200"/>
      <w:bookmarkEnd w:id="201"/>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 and</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 and</w:t>
      </w:r>
    </w:p>
    <w:p>
      <w:pPr>
        <w:pStyle w:val="Indenti"/>
      </w:pPr>
      <w:r>
        <w:tab/>
        <w:t>(ii)</w:t>
      </w:r>
      <w:r>
        <w:tab/>
        <w:t>stating where and when the amendment will be available for inspection; and</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r>
      <w:r>
        <w:tab/>
        <w:t>and</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202" w:name="_Toc77246240"/>
      <w:bookmarkStart w:id="203" w:name="_Toc74923989"/>
      <w:r>
        <w:rPr>
          <w:rStyle w:val="CharSectno"/>
        </w:rPr>
        <w:t>59</w:t>
      </w:r>
      <w:r>
        <w:t>.</w:t>
      </w:r>
      <w:r>
        <w:tab/>
        <w:t>Submissions on minor amendment to be considered</w:t>
      </w:r>
      <w:bookmarkEnd w:id="202"/>
      <w:bookmarkEnd w:id="203"/>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204" w:name="_Toc77246241"/>
      <w:bookmarkStart w:id="205" w:name="_Toc74923990"/>
      <w:r>
        <w:rPr>
          <w:rStyle w:val="CharSectno"/>
        </w:rPr>
        <w:t>60</w:t>
      </w:r>
      <w:r>
        <w:t>.</w:t>
      </w:r>
      <w:r>
        <w:tab/>
        <w:t>Commission’s duties if proposed minor amendment is to be assessed under EP Act</w:t>
      </w:r>
      <w:bookmarkEnd w:id="204"/>
      <w:bookmarkEnd w:id="205"/>
    </w:p>
    <w:p>
      <w:pPr>
        <w:pStyle w:val="Subsection"/>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206" w:name="_Toc77246242"/>
      <w:bookmarkStart w:id="207" w:name="_Toc74923991"/>
      <w:r>
        <w:rPr>
          <w:rStyle w:val="CharSectno"/>
        </w:rPr>
        <w:t>61</w:t>
      </w:r>
      <w:r>
        <w:t>.</w:t>
      </w:r>
      <w:r>
        <w:tab/>
        <w:t>Minister not to approve proposed minor amendment in some cases</w:t>
      </w:r>
      <w:bookmarkEnd w:id="206"/>
      <w:bookmarkEnd w:id="207"/>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208" w:name="_Toc77246243"/>
      <w:bookmarkStart w:id="209" w:name="_Toc74923992"/>
      <w:r>
        <w:rPr>
          <w:rStyle w:val="CharSectno"/>
        </w:rPr>
        <w:t>62</w:t>
      </w:r>
      <w:r>
        <w:t>.</w:t>
      </w:r>
      <w:r>
        <w:tab/>
        <w:t>Minister may approve or decline to approve minor amendment</w:t>
      </w:r>
      <w:bookmarkEnd w:id="208"/>
      <w:bookmarkEnd w:id="209"/>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keepNext/>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210" w:name="_Toc77239290"/>
      <w:bookmarkStart w:id="211" w:name="_Toc77240194"/>
      <w:bookmarkStart w:id="212" w:name="_Toc77246244"/>
      <w:bookmarkStart w:id="213" w:name="_Toc74652305"/>
      <w:bookmarkStart w:id="214" w:name="_Toc74652771"/>
      <w:bookmarkStart w:id="215" w:name="_Toc74733489"/>
      <w:bookmarkStart w:id="216" w:name="_Toc74923993"/>
      <w:r>
        <w:rPr>
          <w:rStyle w:val="CharDivNo"/>
        </w:rPr>
        <w:t>Division 5</w:t>
      </w:r>
      <w:r>
        <w:t> — </w:t>
      </w:r>
      <w:r>
        <w:rPr>
          <w:rStyle w:val="CharDivText"/>
        </w:rPr>
        <w:t>Consolidation of region planning scheme</w:t>
      </w:r>
      <w:bookmarkEnd w:id="210"/>
      <w:bookmarkEnd w:id="211"/>
      <w:bookmarkEnd w:id="212"/>
      <w:bookmarkEnd w:id="213"/>
      <w:bookmarkEnd w:id="214"/>
      <w:bookmarkEnd w:id="215"/>
      <w:bookmarkEnd w:id="216"/>
    </w:p>
    <w:p>
      <w:pPr>
        <w:pStyle w:val="Heading5"/>
      </w:pPr>
      <w:bookmarkStart w:id="217" w:name="_Toc77246245"/>
      <w:bookmarkStart w:id="218" w:name="_Toc74923994"/>
      <w:r>
        <w:rPr>
          <w:rStyle w:val="CharSectno"/>
        </w:rPr>
        <w:t>63</w:t>
      </w:r>
      <w:r>
        <w:t>.</w:t>
      </w:r>
      <w:r>
        <w:tab/>
        <w:t>Minister may direct consolidation</w:t>
      </w:r>
      <w:bookmarkEnd w:id="217"/>
      <w:bookmarkEnd w:id="218"/>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219" w:name="_Toc77246246"/>
      <w:bookmarkStart w:id="220" w:name="_Toc74923995"/>
      <w:r>
        <w:rPr>
          <w:rStyle w:val="CharSectno"/>
        </w:rPr>
        <w:t>64</w:t>
      </w:r>
      <w:r>
        <w:t>.</w:t>
      </w:r>
      <w:r>
        <w:tab/>
        <w:t>Maps, plans, diagrams may be added or substituted</w:t>
      </w:r>
      <w:bookmarkEnd w:id="219"/>
      <w:bookmarkEnd w:id="220"/>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Next w:val="0"/>
        <w:keepLines w:val="0"/>
      </w:pPr>
      <w:bookmarkStart w:id="221" w:name="_Toc77246247"/>
      <w:bookmarkStart w:id="222" w:name="_Toc74923996"/>
      <w:r>
        <w:rPr>
          <w:rStyle w:val="CharSectno"/>
        </w:rPr>
        <w:t>65</w:t>
      </w:r>
      <w:r>
        <w:t>.</w:t>
      </w:r>
      <w:r>
        <w:tab/>
        <w:t>Certification and delivery of consolidation</w:t>
      </w:r>
      <w:bookmarkEnd w:id="221"/>
      <w:bookmarkEnd w:id="222"/>
    </w:p>
    <w:p>
      <w:pPr>
        <w:pStyle w:val="Subsection"/>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223" w:name="_Toc77246248"/>
      <w:bookmarkStart w:id="224" w:name="_Toc74923997"/>
      <w:r>
        <w:rPr>
          <w:rStyle w:val="CharSectno"/>
        </w:rPr>
        <w:t>66</w:t>
      </w:r>
      <w:r>
        <w:t>.</w:t>
      </w:r>
      <w:r>
        <w:tab/>
        <w:t>Proof of consolidation</w:t>
      </w:r>
      <w:bookmarkEnd w:id="223"/>
      <w:bookmarkEnd w:id="224"/>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keepNext/>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225" w:name="_Toc77246249"/>
      <w:bookmarkStart w:id="226" w:name="_Toc74923998"/>
      <w:r>
        <w:rPr>
          <w:rStyle w:val="CharSectno"/>
        </w:rPr>
        <w:t>67</w:t>
      </w:r>
      <w:r>
        <w:t>.</w:t>
      </w:r>
      <w:r>
        <w:tab/>
        <w:t>Consolidation of portion of region planning scheme</w:t>
      </w:r>
      <w:bookmarkEnd w:id="225"/>
      <w:bookmarkEnd w:id="226"/>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227" w:name="_Toc77239296"/>
      <w:bookmarkStart w:id="228" w:name="_Toc77240200"/>
      <w:bookmarkStart w:id="229" w:name="_Toc77246250"/>
      <w:bookmarkStart w:id="230" w:name="_Toc74652311"/>
      <w:bookmarkStart w:id="231" w:name="_Toc74652777"/>
      <w:bookmarkStart w:id="232" w:name="_Toc74733495"/>
      <w:bookmarkStart w:id="233" w:name="_Toc74923999"/>
      <w:r>
        <w:rPr>
          <w:rStyle w:val="CharPartNo"/>
        </w:rPr>
        <w:t>Part 5</w:t>
      </w:r>
      <w:r>
        <w:t> — </w:t>
      </w:r>
      <w:r>
        <w:rPr>
          <w:rStyle w:val="CharPartText"/>
        </w:rPr>
        <w:t>Local planning schemes</w:t>
      </w:r>
      <w:bookmarkEnd w:id="227"/>
      <w:bookmarkEnd w:id="228"/>
      <w:bookmarkEnd w:id="229"/>
      <w:bookmarkEnd w:id="230"/>
      <w:bookmarkEnd w:id="231"/>
      <w:bookmarkEnd w:id="232"/>
      <w:bookmarkEnd w:id="233"/>
    </w:p>
    <w:p>
      <w:pPr>
        <w:pStyle w:val="Heading3"/>
      </w:pPr>
      <w:bookmarkStart w:id="234" w:name="_Toc77239297"/>
      <w:bookmarkStart w:id="235" w:name="_Toc77240201"/>
      <w:bookmarkStart w:id="236" w:name="_Toc77246251"/>
      <w:bookmarkStart w:id="237" w:name="_Toc74652312"/>
      <w:bookmarkStart w:id="238" w:name="_Toc74652778"/>
      <w:bookmarkStart w:id="239" w:name="_Toc74733496"/>
      <w:bookmarkStart w:id="240" w:name="_Toc74924000"/>
      <w:r>
        <w:rPr>
          <w:rStyle w:val="CharDivNo"/>
        </w:rPr>
        <w:t>Division 1</w:t>
      </w:r>
      <w:r>
        <w:t> — </w:t>
      </w:r>
      <w:r>
        <w:rPr>
          <w:rStyle w:val="CharDivText"/>
        </w:rPr>
        <w:t>Continuation and formulation of local planning schemes</w:t>
      </w:r>
      <w:bookmarkEnd w:id="234"/>
      <w:bookmarkEnd w:id="235"/>
      <w:bookmarkEnd w:id="236"/>
      <w:bookmarkEnd w:id="237"/>
      <w:bookmarkEnd w:id="238"/>
      <w:bookmarkEnd w:id="239"/>
      <w:bookmarkEnd w:id="240"/>
    </w:p>
    <w:p>
      <w:pPr>
        <w:pStyle w:val="Heading5"/>
      </w:pPr>
      <w:bookmarkStart w:id="241" w:name="_Toc77246252"/>
      <w:bookmarkStart w:id="242" w:name="_Toc74924001"/>
      <w:r>
        <w:rPr>
          <w:rStyle w:val="CharSectno"/>
        </w:rPr>
        <w:t>68</w:t>
      </w:r>
      <w:r>
        <w:t>.</w:t>
      </w:r>
      <w:r>
        <w:tab/>
        <w:t>Town planning schemes under repealed Act, effect of</w:t>
      </w:r>
      <w:bookmarkEnd w:id="241"/>
      <w:bookmarkEnd w:id="242"/>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Except as provided in section 257B(3), nothing in this Act affects the validity of a town planning scheme continued under subsection (1).</w:t>
      </w:r>
    </w:p>
    <w:p>
      <w:pPr>
        <w:pStyle w:val="Footnotesection"/>
      </w:pPr>
      <w:r>
        <w:tab/>
        <w:t xml:space="preserve">[Section 68 amended: No. 28 of 2010 s. 53.] </w:t>
      </w:r>
    </w:p>
    <w:p>
      <w:pPr>
        <w:pStyle w:val="Heading5"/>
      </w:pPr>
      <w:bookmarkStart w:id="243" w:name="_Toc77246253"/>
      <w:bookmarkStart w:id="244" w:name="_Toc74924002"/>
      <w:r>
        <w:rPr>
          <w:rStyle w:val="CharSectno"/>
        </w:rPr>
        <w:t>69</w:t>
      </w:r>
      <w:r>
        <w:t>.</w:t>
      </w:r>
      <w:r>
        <w:tab/>
        <w:t>General objects of schemes</w:t>
      </w:r>
      <w:bookmarkEnd w:id="243"/>
      <w:bookmarkEnd w:id="244"/>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Subsection"/>
      </w:pPr>
      <w:r>
        <w:tab/>
        <w:t>(3)</w:t>
      </w:r>
      <w:r>
        <w:tab/>
        <w:t>This section applies subject to section 256 and the regulations made under it and sections 257A and 257B.</w:t>
      </w:r>
    </w:p>
    <w:p>
      <w:pPr>
        <w:pStyle w:val="Footnotesection"/>
      </w:pPr>
      <w:r>
        <w:tab/>
        <w:t xml:space="preserve">[Section 69 amended: No. 28 of 2010 s. 54.] </w:t>
      </w:r>
    </w:p>
    <w:p>
      <w:pPr>
        <w:pStyle w:val="Heading5"/>
        <w:spacing w:before="180"/>
      </w:pPr>
      <w:bookmarkStart w:id="245" w:name="_Toc77246254"/>
      <w:bookmarkStart w:id="246" w:name="_Toc74924003"/>
      <w:r>
        <w:rPr>
          <w:rStyle w:val="CharSectno"/>
        </w:rPr>
        <w:t>70</w:t>
      </w:r>
      <w:r>
        <w:t>.</w:t>
      </w:r>
      <w:r>
        <w:tab/>
        <w:t>Scheme may be made for land outside scheme or be concurrent with another scheme</w:t>
      </w:r>
      <w:bookmarkEnd w:id="245"/>
      <w:bookmarkEnd w:id="246"/>
    </w:p>
    <w:p>
      <w:pPr>
        <w:pStyle w:val="Subsection"/>
      </w:pPr>
      <w:r>
        <w:tab/>
        <w:t>(1)</w:t>
      </w:r>
      <w:r>
        <w:tab/>
        <w:t xml:space="preserve">Nothing in this Act prevents — </w:t>
      </w:r>
    </w:p>
    <w:p>
      <w:pPr>
        <w:pStyle w:val="Indenta"/>
        <w:spacing w:before="100"/>
      </w:pPr>
      <w:r>
        <w:tab/>
        <w:t>(a)</w:t>
      </w:r>
      <w:r>
        <w:tab/>
        <w:t>a local planning scheme from being made with respect to land comprised in another local planning scheme; or</w:t>
      </w:r>
    </w:p>
    <w:p>
      <w:pPr>
        <w:pStyle w:val="Indenta"/>
        <w:spacing w:before="100"/>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pPr>
      <w:bookmarkStart w:id="247" w:name="_Toc77246255"/>
      <w:bookmarkStart w:id="248" w:name="_Toc74924004"/>
      <w:r>
        <w:rPr>
          <w:rStyle w:val="CharSectno"/>
        </w:rPr>
        <w:t>71</w:t>
      </w:r>
      <w:r>
        <w:t>.</w:t>
      </w:r>
      <w:r>
        <w:tab/>
        <w:t>Scheme not to apply to redevelopment area</w:t>
      </w:r>
      <w:bookmarkEnd w:id="247"/>
      <w:bookmarkEnd w:id="248"/>
    </w:p>
    <w:p>
      <w:pPr>
        <w:pStyle w:val="Subsection"/>
      </w:pPr>
      <w:r>
        <w:tab/>
      </w:r>
      <w:r>
        <w:tab/>
        <w:t xml:space="preserve">A local planning scheme must not be made or amended under this Act — </w:t>
      </w:r>
    </w:p>
    <w:p>
      <w:pPr>
        <w:pStyle w:val="Indenta"/>
      </w:pPr>
      <w:r>
        <w:tab/>
        <w:t>(a)</w:t>
      </w:r>
      <w:r>
        <w:tab/>
        <w:t xml:space="preserve">except as provided in the </w:t>
      </w:r>
      <w:r>
        <w:rPr>
          <w:i/>
        </w:rPr>
        <w:t>Metropolitan Redevelopment Authority Act 2011</w:t>
      </w:r>
      <w:r>
        <w:rPr>
          <w:iCs/>
        </w:rPr>
        <w:t xml:space="preserve"> sections 57 and 58 and without limiting section 51 of that Act</w:t>
      </w:r>
      <w:r>
        <w:t>, to make any provision in respect of any land to which an approved redevelopment scheme that is in operation under that Act applies; or</w:t>
      </w:r>
    </w:p>
    <w:p>
      <w:pPr>
        <w:pStyle w:val="Indenta"/>
      </w:pPr>
      <w:r>
        <w:tab/>
        <w:t>(b)</w:t>
      </w:r>
      <w:r>
        <w:tab/>
        <w:t xml:space="preserve">without limiting the </w:t>
      </w:r>
      <w:r>
        <w:rPr>
          <w:i/>
        </w:rPr>
        <w:t>Hope Valley</w:t>
      </w:r>
      <w:r>
        <w:rPr>
          <w:i/>
        </w:rPr>
        <w:noBreakHyphen/>
        <w:t>Wattleup Redevelopment Act 2000</w:t>
      </w:r>
      <w:r>
        <w:t xml:space="preserve"> section 23, to make any provision in respect of land in the redevelopment area as defined in that Act.</w:t>
      </w:r>
    </w:p>
    <w:p>
      <w:pPr>
        <w:pStyle w:val="Footnotesection"/>
      </w:pPr>
      <w:r>
        <w:tab/>
        <w:t>[Section 71 inserted: No. 45 of 2011 s. 141(5).]</w:t>
      </w:r>
    </w:p>
    <w:p>
      <w:pPr>
        <w:pStyle w:val="Heading5"/>
        <w:spacing w:before="240"/>
      </w:pPr>
      <w:bookmarkStart w:id="249" w:name="_Toc77246256"/>
      <w:bookmarkStart w:id="250" w:name="_Toc74924005"/>
      <w:r>
        <w:rPr>
          <w:rStyle w:val="CharSectno"/>
        </w:rPr>
        <w:t>72</w:t>
      </w:r>
      <w:r>
        <w:t>.</w:t>
      </w:r>
      <w:r>
        <w:tab/>
        <w:t>Local government may prepare or adopt scheme</w:t>
      </w:r>
      <w:bookmarkEnd w:id="249"/>
      <w:bookmarkEnd w:id="250"/>
    </w:p>
    <w:p>
      <w:pPr>
        <w:pStyle w:val="Subsection"/>
      </w:pPr>
      <w:r>
        <w:tab/>
        <w:t>(1)</w:t>
      </w:r>
      <w:r>
        <w:tab/>
        <w:t xml:space="preserve">Subject to section 71, a local government may — </w:t>
      </w:r>
    </w:p>
    <w:p>
      <w:pPr>
        <w:pStyle w:val="Indenta"/>
        <w:spacing w:before="100"/>
      </w:pPr>
      <w:r>
        <w:tab/>
        <w:t>(a)</w:t>
      </w:r>
      <w:r>
        <w:tab/>
        <w:t>prepare a local planning scheme with reference to any land within its district, or with reference to land within its district and other land within any adjacent district; or</w:t>
      </w:r>
    </w:p>
    <w:p>
      <w:pPr>
        <w:pStyle w:val="Indenta"/>
        <w:spacing w:before="100"/>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251" w:name="_Toc77246257"/>
      <w:bookmarkStart w:id="252" w:name="_Toc74924006"/>
      <w:r>
        <w:rPr>
          <w:rStyle w:val="CharSectno"/>
        </w:rPr>
        <w:t>73</w:t>
      </w:r>
      <w:r>
        <w:t>.</w:t>
      </w:r>
      <w:r>
        <w:tab/>
        <w:t>Contents of scheme</w:t>
      </w:r>
      <w:bookmarkEnd w:id="251"/>
      <w:bookmarkEnd w:id="252"/>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Subsection"/>
      </w:pPr>
      <w:r>
        <w:tab/>
        <w:t>(2A)</w:t>
      </w:r>
      <w:r>
        <w:tab/>
        <w:t xml:space="preserve">A local planning scheme may — </w:t>
      </w:r>
    </w:p>
    <w:p>
      <w:pPr>
        <w:pStyle w:val="Indenta"/>
      </w:pPr>
      <w:r>
        <w:tab/>
        <w:t>(a)</w:t>
      </w:r>
      <w:r>
        <w:tab/>
        <w:t>supplement provisions prescribed under section 256; and</w:t>
      </w:r>
    </w:p>
    <w:p>
      <w:pPr>
        <w:pStyle w:val="Indenta"/>
      </w:pPr>
      <w:r>
        <w:tab/>
        <w:t>(b)</w:t>
      </w:r>
      <w:r>
        <w:tab/>
        <w:t>deal with any special circumstances or contingencies for which adequate provisions are not prescribed under section 256.</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Footnotesection"/>
      </w:pPr>
      <w:r>
        <w:tab/>
        <w:t xml:space="preserve">[Section 73 amended: No. 28 of 2010 s. 55.] </w:t>
      </w:r>
    </w:p>
    <w:p>
      <w:pPr>
        <w:pStyle w:val="Heading5"/>
        <w:spacing w:before="180"/>
      </w:pPr>
      <w:bookmarkStart w:id="253" w:name="_Toc77246258"/>
      <w:bookmarkStart w:id="254" w:name="_Toc74924007"/>
      <w:r>
        <w:rPr>
          <w:rStyle w:val="CharSectno"/>
        </w:rPr>
        <w:t>74</w:t>
      </w:r>
      <w:r>
        <w:t>.</w:t>
      </w:r>
      <w:r>
        <w:tab/>
        <w:t>Repealing scheme</w:t>
      </w:r>
      <w:bookmarkEnd w:id="253"/>
      <w:bookmarkEnd w:id="254"/>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spacing w:before="180"/>
      </w:pPr>
      <w:bookmarkStart w:id="255" w:name="_Toc77246259"/>
      <w:bookmarkStart w:id="256" w:name="_Toc74924008"/>
      <w:r>
        <w:rPr>
          <w:rStyle w:val="CharSectno"/>
        </w:rPr>
        <w:t>75</w:t>
      </w:r>
      <w:r>
        <w:t>.</w:t>
      </w:r>
      <w:r>
        <w:tab/>
        <w:t>Amending scheme</w:t>
      </w:r>
      <w:bookmarkEnd w:id="255"/>
      <w:bookmarkEnd w:id="256"/>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spacing w:before="180"/>
      </w:pPr>
      <w:bookmarkStart w:id="257" w:name="_Toc77239306"/>
      <w:bookmarkStart w:id="258" w:name="_Toc77240210"/>
      <w:bookmarkStart w:id="259" w:name="_Toc77246260"/>
      <w:bookmarkStart w:id="260" w:name="_Toc74652321"/>
      <w:bookmarkStart w:id="261" w:name="_Toc74652787"/>
      <w:bookmarkStart w:id="262" w:name="_Toc74733505"/>
      <w:bookmarkStart w:id="263" w:name="_Toc74924009"/>
      <w:r>
        <w:rPr>
          <w:rStyle w:val="CharDivNo"/>
        </w:rPr>
        <w:t>Division 2</w:t>
      </w:r>
      <w:r>
        <w:t> — </w:t>
      </w:r>
      <w:r>
        <w:rPr>
          <w:rStyle w:val="CharDivText"/>
        </w:rPr>
        <w:t>Minister’s powers in relation to local planning schemes</w:t>
      </w:r>
      <w:bookmarkEnd w:id="257"/>
      <w:bookmarkEnd w:id="258"/>
      <w:bookmarkEnd w:id="259"/>
      <w:bookmarkEnd w:id="260"/>
      <w:bookmarkEnd w:id="261"/>
      <w:bookmarkEnd w:id="262"/>
      <w:bookmarkEnd w:id="263"/>
    </w:p>
    <w:p>
      <w:pPr>
        <w:pStyle w:val="Heading5"/>
        <w:spacing w:before="180"/>
      </w:pPr>
      <w:bookmarkStart w:id="264" w:name="_Toc77246261"/>
      <w:bookmarkStart w:id="265" w:name="_Toc74924010"/>
      <w:r>
        <w:rPr>
          <w:rStyle w:val="CharSectno"/>
        </w:rPr>
        <w:t>76</w:t>
      </w:r>
      <w:r>
        <w:t>.</w:t>
      </w:r>
      <w:r>
        <w:tab/>
        <w:t>Minister may order local government to prepare or adopt scheme or amendment</w:t>
      </w:r>
      <w:bookmarkEnd w:id="264"/>
      <w:bookmarkEnd w:id="265"/>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or an amendment to a local planning scheme prepared and approved in a case where a local planning scheme or an amendment to a local planning scheme ought to be made; or</w:t>
      </w:r>
    </w:p>
    <w:p>
      <w:pPr>
        <w:pStyle w:val="Indenta"/>
      </w:pPr>
      <w:r>
        <w:tab/>
        <w:t>(b)</w:t>
      </w:r>
      <w:r>
        <w:tab/>
        <w:t>has failed to adopt a local planning scheme or an amendment to a local planning scheme proposed by owners of any land, in a case where a local planning scheme or an amendment to a local planning scheme ought to be adopted; or</w:t>
      </w:r>
    </w:p>
    <w:p>
      <w:pPr>
        <w:pStyle w:val="Indenta"/>
      </w:pPr>
      <w:r>
        <w:tab/>
        <w:t>(c)</w:t>
      </w:r>
      <w:r>
        <w:tab/>
        <w:t>has refused to consent to any modifications or conditions imposed by the Minister,</w:t>
      </w:r>
    </w:p>
    <w:p>
      <w:pPr>
        <w:pStyle w:val="Subsection"/>
        <w:spacing w:before="120"/>
      </w:pPr>
      <w:r>
        <w:tab/>
      </w:r>
      <w:r>
        <w:tab/>
        <w:t>the Minister may order the local government, within such time as is specified in the order, to prepare and submit for the approval of the Minister a local planning scheme, or an amendment to a local planning scheme or to adopt a local planning scheme, or an amendment to a local planning scheme or to consent to the modifications or conditions imposed.</w:t>
      </w:r>
    </w:p>
    <w:p>
      <w:pPr>
        <w:pStyle w:val="Subsection"/>
        <w:spacing w:before="120"/>
      </w:pPr>
      <w:r>
        <w:tab/>
        <w:t>(2)</w:t>
      </w:r>
      <w:r>
        <w:tab/>
        <w:t>If the representation under subsection (1) is that a local government has failed to adopt a local planning scheme or an amendment to a local planning scheme, the Minister, in lieu of making an order to adopt the scheme or amendment, may approve of the proposed scheme or amendment subject to such modifications and conditions, if any, as the Minister thinks fit.</w:t>
      </w:r>
    </w:p>
    <w:p>
      <w:pPr>
        <w:pStyle w:val="Subsection"/>
        <w:spacing w:before="120"/>
      </w:pPr>
      <w:r>
        <w:tab/>
        <w:t>(3)</w:t>
      </w:r>
      <w:r>
        <w:tab/>
        <w:t>A local planning scheme or an amendment approved under subsection (2) has effect as if it had been adopted by the local government and approved by the Minister under this Part.</w:t>
      </w:r>
    </w:p>
    <w:p>
      <w:pPr>
        <w:pStyle w:val="Subsection"/>
        <w:spacing w:before="120"/>
      </w:pPr>
      <w:r>
        <w:tab/>
        <w:t>(4)</w:t>
      </w:r>
      <w:r>
        <w:tab/>
        <w:t>The Minister must ensure that written reasons for making an order under subsection (1) are provided with the order.</w:t>
      </w:r>
    </w:p>
    <w:p>
      <w:pPr>
        <w:pStyle w:val="Subsection"/>
        <w:spacing w:before="120"/>
      </w:pPr>
      <w:r>
        <w:tab/>
        <w:t>(5)</w:t>
      </w:r>
      <w:r>
        <w:tab/>
        <w:t xml:space="preserve">The Minister must, as soon as is practicable after an order is given to the local government under subsection (1), cause to be laid before each House of Parliament or dealt with under section 268A — </w:t>
      </w:r>
    </w:p>
    <w:p>
      <w:pPr>
        <w:pStyle w:val="Indenta"/>
      </w:pPr>
      <w:r>
        <w:tab/>
        <w:t>(a)</w:t>
      </w:r>
      <w:r>
        <w:tab/>
        <w:t>a copy of the order; and</w:t>
      </w:r>
    </w:p>
    <w:p>
      <w:pPr>
        <w:pStyle w:val="Indenta"/>
        <w:keepLines/>
      </w:pPr>
      <w:r>
        <w:tab/>
        <w:t>(b)</w:t>
      </w:r>
      <w:r>
        <w:tab/>
        <w:t>a copy of the reasons for making the order.</w:t>
      </w:r>
    </w:p>
    <w:p>
      <w:pPr>
        <w:pStyle w:val="Footnotesection"/>
        <w:spacing w:before="80"/>
        <w:ind w:left="890" w:hanging="890"/>
      </w:pPr>
      <w:r>
        <w:tab/>
        <w:t xml:space="preserve">[Section 76 amended: No. 28 of 2010 s. 56(1)-(3); </w:t>
      </w:r>
      <w:r>
        <w:rPr>
          <w:spacing w:val="-4"/>
        </w:rPr>
        <w:t>No. 45 of 2011 s. 1</w:t>
      </w:r>
      <w:r>
        <w:t xml:space="preserve">41(6).] </w:t>
      </w:r>
    </w:p>
    <w:p>
      <w:pPr>
        <w:pStyle w:val="Heading5"/>
      </w:pPr>
      <w:bookmarkStart w:id="266" w:name="_Toc77246262"/>
      <w:bookmarkStart w:id="267" w:name="_Toc74924011"/>
      <w:r>
        <w:rPr>
          <w:rStyle w:val="CharSectno"/>
        </w:rPr>
        <w:t>77A</w:t>
      </w:r>
      <w:r>
        <w:t>.</w:t>
      </w:r>
      <w:r>
        <w:tab/>
        <w:t>Minister may order local government to amend scheme to be consistent with State planning policy</w:t>
      </w:r>
      <w:bookmarkEnd w:id="266"/>
      <w:bookmarkEnd w:id="267"/>
    </w:p>
    <w:p>
      <w:pPr>
        <w:pStyle w:val="Subsection"/>
      </w:pPr>
      <w:r>
        <w:tab/>
        <w:t>(1)</w:t>
      </w:r>
      <w:r>
        <w:tab/>
        <w:t>The Minister may, on the recommendation of the Commission, order a local government to prepare and submit for the approval of the Minister an amendment to a local planning scheme for the purpose of rendering the local planning scheme consistent with a specified State planning policy.</w:t>
      </w:r>
    </w:p>
    <w:p>
      <w:pPr>
        <w:pStyle w:val="Subsection"/>
      </w:pPr>
      <w:r>
        <w:tab/>
        <w:t>(2)</w:t>
      </w:r>
      <w:r>
        <w:tab/>
        <w:t xml:space="preserve">The order must specify the following — </w:t>
      </w:r>
    </w:p>
    <w:p>
      <w:pPr>
        <w:pStyle w:val="Indenta"/>
      </w:pPr>
      <w:r>
        <w:tab/>
        <w:t>(a)</w:t>
      </w:r>
      <w:r>
        <w:tab/>
        <w:t>the relevant State planning policy;</w:t>
      </w:r>
    </w:p>
    <w:p>
      <w:pPr>
        <w:pStyle w:val="Indenta"/>
      </w:pPr>
      <w:r>
        <w:tab/>
        <w:t>(b)</w:t>
      </w:r>
      <w:r>
        <w:tab/>
        <w:t>the amendments that are to be made to the local planning scheme;</w:t>
      </w:r>
    </w:p>
    <w:p>
      <w:pPr>
        <w:pStyle w:val="Indenta"/>
      </w:pPr>
      <w:r>
        <w:tab/>
        <w:t>(c)</w:t>
      </w:r>
      <w:r>
        <w:tab/>
        <w:t>the time (being sufficient time to allow the local government to comply with its obligations under Divisions 3 and 4) by which the local government must comply with the order.</w:t>
      </w:r>
    </w:p>
    <w:p>
      <w:pPr>
        <w:pStyle w:val="Subsection"/>
      </w:pPr>
      <w:r>
        <w:tab/>
        <w:t>(3)</w:t>
      </w:r>
      <w:r>
        <w:tab/>
        <w:t>The Minister must, as soon as is practicable after the order is given to the local government, cause a copy of the order to be laid before each House of Parliament or dealt with under section 268A.</w:t>
      </w:r>
    </w:p>
    <w:p>
      <w:pPr>
        <w:pStyle w:val="Subsection"/>
      </w:pPr>
      <w:r>
        <w:tab/>
        <w:t>(4)</w:t>
      </w:r>
      <w:r>
        <w:tab/>
        <w:t xml:space="preserve">If — </w:t>
      </w:r>
    </w:p>
    <w:p>
      <w:pPr>
        <w:pStyle w:val="Indenta"/>
      </w:pPr>
      <w:r>
        <w:tab/>
        <w:t>(a)</w:t>
      </w:r>
      <w:r>
        <w:tab/>
        <w:t>the Commission makes a recommendation for the purposes of subsection (1); and</w:t>
      </w:r>
    </w:p>
    <w:p>
      <w:pPr>
        <w:pStyle w:val="Indenta"/>
      </w:pPr>
      <w:r>
        <w:tab/>
        <w:t>(b)</w:t>
      </w:r>
      <w:r>
        <w:tab/>
        <w:t>the Minister decides not to make an order pursuant to the recommendation,</w:t>
      </w:r>
    </w:p>
    <w:p>
      <w:pPr>
        <w:pStyle w:val="Subsection"/>
      </w:pPr>
      <w:r>
        <w:tab/>
      </w:r>
      <w:r>
        <w:tab/>
        <w:t xml:space="preserve">the Minister must, as soon as is practicable — </w:t>
      </w:r>
    </w:p>
    <w:p>
      <w:pPr>
        <w:pStyle w:val="Indenta"/>
      </w:pPr>
      <w:r>
        <w:tab/>
        <w:t>(c)</w:t>
      </w:r>
      <w:r>
        <w:tab/>
        <w:t>give the Commission written reasons for the Minister’s decision; and</w:t>
      </w:r>
    </w:p>
    <w:p>
      <w:pPr>
        <w:pStyle w:val="Indenta"/>
      </w:pPr>
      <w:r>
        <w:tab/>
        <w:t>(d)</w:t>
      </w:r>
      <w:r>
        <w:tab/>
        <w:t>cause a copy of the reasons to be laid before each House of Parliament or dealt with under section 268A.</w:t>
      </w:r>
    </w:p>
    <w:p>
      <w:pPr>
        <w:pStyle w:val="Footnotesection"/>
      </w:pPr>
      <w:r>
        <w:tab/>
        <w:t xml:space="preserve">[Section 77A inserted: No. 28 of 2010 s. 46.] </w:t>
      </w:r>
    </w:p>
    <w:p>
      <w:pPr>
        <w:pStyle w:val="Heading3"/>
        <w:spacing w:before="180"/>
      </w:pPr>
      <w:bookmarkStart w:id="268" w:name="_Toc77239309"/>
      <w:bookmarkStart w:id="269" w:name="_Toc77240213"/>
      <w:bookmarkStart w:id="270" w:name="_Toc77246263"/>
      <w:bookmarkStart w:id="271" w:name="_Toc74652324"/>
      <w:bookmarkStart w:id="272" w:name="_Toc74652790"/>
      <w:bookmarkStart w:id="273" w:name="_Toc74733508"/>
      <w:bookmarkStart w:id="274" w:name="_Toc74924012"/>
      <w:r>
        <w:rPr>
          <w:rStyle w:val="CharDivNo"/>
        </w:rPr>
        <w:t>Division 3</w:t>
      </w:r>
      <w:r>
        <w:t> — </w:t>
      </w:r>
      <w:r>
        <w:rPr>
          <w:rStyle w:val="CharDivText"/>
        </w:rPr>
        <w:t>Relevant considerations in preparation or amendment of local planning scheme</w:t>
      </w:r>
      <w:bookmarkEnd w:id="268"/>
      <w:bookmarkEnd w:id="269"/>
      <w:bookmarkEnd w:id="270"/>
      <w:bookmarkEnd w:id="271"/>
      <w:bookmarkEnd w:id="272"/>
      <w:bookmarkEnd w:id="273"/>
      <w:bookmarkEnd w:id="274"/>
    </w:p>
    <w:p>
      <w:pPr>
        <w:pStyle w:val="Heading5"/>
        <w:spacing w:before="180"/>
      </w:pPr>
      <w:bookmarkStart w:id="275" w:name="_Toc77246264"/>
      <w:bookmarkStart w:id="276" w:name="_Toc74924013"/>
      <w:r>
        <w:rPr>
          <w:rStyle w:val="CharSectno"/>
        </w:rPr>
        <w:t>77</w:t>
      </w:r>
      <w:r>
        <w:t>.</w:t>
      </w:r>
      <w:r>
        <w:tab/>
        <w:t>State planning policies, effect of on scheme</w:t>
      </w:r>
      <w:bookmarkEnd w:id="275"/>
      <w:bookmarkEnd w:id="276"/>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spacing w:before="120"/>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spacing w:before="120"/>
      </w:pPr>
      <w:r>
        <w:tab/>
        <w:t>(3)</w:t>
      </w:r>
      <w:r>
        <w:tab/>
        <w:t>Modifications referred to in subsection (2)(b) prevail over any later amendment of the State planning policy, or subsequent policy referred to in subsection (2)(a), which is inconsistent with the modifications.</w:t>
      </w:r>
    </w:p>
    <w:p>
      <w:pPr>
        <w:pStyle w:val="Heading5"/>
        <w:keepNext w:val="0"/>
        <w:keepLines w:val="0"/>
        <w:spacing w:before="180"/>
      </w:pPr>
      <w:bookmarkStart w:id="277" w:name="_Toc77246265"/>
      <w:bookmarkStart w:id="278" w:name="_Toc74924014"/>
      <w:r>
        <w:rPr>
          <w:rStyle w:val="CharSectno"/>
        </w:rPr>
        <w:t>78</w:t>
      </w:r>
      <w:r>
        <w:t>.</w:t>
      </w:r>
      <w:r>
        <w:tab/>
        <w:t>Proposed scheme for Swan Valley, consultation requirements for</w:t>
      </w:r>
      <w:bookmarkEnd w:id="277"/>
      <w:bookmarkEnd w:id="278"/>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spacing w:before="120"/>
      </w:pPr>
      <w:r>
        <w:tab/>
        <w:t>(2)</w:t>
      </w:r>
      <w:r>
        <w:tab/>
        <w:t>The Swan Valley Planning Committee, within 42 days after the day on which it receives the referral, or within such longer period as the City of Swan allows, is to give to the City its written advice on the proposed scheme or amendment, including any modifications it thinks should be made.</w:t>
      </w:r>
    </w:p>
    <w:p>
      <w:pPr>
        <w:pStyle w:val="Subsection"/>
        <w:spacing w:before="120"/>
      </w:pPr>
      <w:r>
        <w:tab/>
        <w:t>(3)</w:t>
      </w:r>
      <w:r>
        <w:tab/>
        <w:t>If the Swan Valley Planning Committee fails to give its advice within the time allowed under subsection (2), it is to be taken to have no advice to give on the proposed scheme or amendment.</w:t>
      </w:r>
    </w:p>
    <w:p>
      <w:pPr>
        <w:pStyle w:val="Subsection"/>
        <w:spacing w:before="120"/>
      </w:pPr>
      <w:r>
        <w:tab/>
        <w:t>(4)</w:t>
      </w:r>
      <w:r>
        <w:tab/>
        <w:t>The Commission may, at the request of the City of Swan, approve of the City disregarding the Committee’s advice in whole or in part in preparing the scheme or amendment.</w:t>
      </w:r>
    </w:p>
    <w:p>
      <w:pPr>
        <w:pStyle w:val="Subsection"/>
        <w:spacing w:before="120"/>
      </w:pPr>
      <w:r>
        <w:tab/>
        <w:t>(5)</w:t>
      </w:r>
      <w:r>
        <w:tab/>
        <w:t>Subject to any approval under subsection (4), the City of Swan is to prepare the local planning scheme or the amendment in accordance with any advice given by the Swan Valley Planning Committee under this section.</w:t>
      </w:r>
    </w:p>
    <w:p>
      <w:pPr>
        <w:pStyle w:val="Heading5"/>
        <w:spacing w:before="180"/>
      </w:pPr>
      <w:bookmarkStart w:id="279" w:name="_Toc77246266"/>
      <w:bookmarkStart w:id="280" w:name="_Toc74924015"/>
      <w:r>
        <w:rPr>
          <w:rStyle w:val="CharSectno"/>
        </w:rPr>
        <w:t>79</w:t>
      </w:r>
      <w:r>
        <w:t>.</w:t>
      </w:r>
      <w:r>
        <w:tab/>
        <w:t>Heritage Council’s advice to be sought in some cases</w:t>
      </w:r>
      <w:bookmarkEnd w:id="279"/>
      <w:bookmarkEnd w:id="280"/>
    </w:p>
    <w:p>
      <w:pPr>
        <w:pStyle w:val="Subsection"/>
        <w:spacing w:before="120"/>
      </w:pPr>
      <w:r>
        <w:tab/>
      </w:r>
      <w:r>
        <w:tab/>
        <w:t xml:space="preserve">If an entry in the register established and maintained under the </w:t>
      </w:r>
      <w:r>
        <w:rPr>
          <w:i/>
        </w:rPr>
        <w:t>Heritage Act 2018</w:t>
      </w:r>
      <w:r>
        <w:t xml:space="preserve"> section 35(1) or in any local heritage survey prepared under section 103(1) of that Act relates to land or waters that are within or abut a local government district, the local government in preparing or amending a local planning scheme — </w:t>
      </w:r>
    </w:p>
    <w:p>
      <w:pPr>
        <w:pStyle w:val="Indenta"/>
      </w:pPr>
      <w:r>
        <w:tab/>
        <w:t>(a)</w:t>
      </w:r>
      <w:r>
        <w:tab/>
        <w:t>is to refer the proposed scheme or amendment to the Heritage Council for advice in so far as any proposal under that scheme or amendment affects or may affect any such land or waters; and</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Footnotesection"/>
        <w:ind w:left="890" w:hanging="890"/>
      </w:pPr>
      <w:r>
        <w:tab/>
        <w:t>[Section 79 amended: No. 22 of 2018 s. 186(4).]</w:t>
      </w:r>
    </w:p>
    <w:p>
      <w:pPr>
        <w:pStyle w:val="Heading5"/>
        <w:keepLines w:val="0"/>
        <w:spacing w:before="180"/>
      </w:pPr>
      <w:bookmarkStart w:id="281" w:name="_Toc77246267"/>
      <w:bookmarkStart w:id="282" w:name="_Toc74924016"/>
      <w:r>
        <w:rPr>
          <w:rStyle w:val="CharSectno"/>
        </w:rPr>
        <w:t>80</w:t>
      </w:r>
      <w:r>
        <w:t>.</w:t>
      </w:r>
      <w:r>
        <w:tab/>
        <w:t>Swan and Canning Rivers management programme, effect of</w:t>
      </w:r>
      <w:bookmarkEnd w:id="281"/>
      <w:bookmarkEnd w:id="282"/>
    </w:p>
    <w:p>
      <w:pPr>
        <w:pStyle w:val="Subsection"/>
        <w:keepNext/>
        <w:spacing w:before="120"/>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ind w:left="890" w:hanging="890"/>
      </w:pPr>
      <w:r>
        <w:tab/>
        <w:t>[Section 80 amended: No. 52 of 2006 s. 6.]</w:t>
      </w:r>
    </w:p>
    <w:p>
      <w:pPr>
        <w:pStyle w:val="Heading5"/>
      </w:pPr>
      <w:bookmarkStart w:id="283" w:name="_Toc77246268"/>
      <w:bookmarkStart w:id="284" w:name="_Toc74924017"/>
      <w:r>
        <w:rPr>
          <w:rStyle w:val="CharSectno"/>
        </w:rPr>
        <w:t>81</w:t>
      </w:r>
      <w:r>
        <w:t>.</w:t>
      </w:r>
      <w:r>
        <w:tab/>
        <w:t>Proposed scheme or amendment to be referred to EPA</w:t>
      </w:r>
      <w:bookmarkEnd w:id="283"/>
      <w:bookmarkEnd w:id="284"/>
    </w:p>
    <w:p>
      <w:pPr>
        <w:pStyle w:val="Subsection"/>
        <w:spacing w:before="120"/>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spacing w:before="180"/>
      </w:pPr>
      <w:bookmarkStart w:id="285" w:name="_Toc77246269"/>
      <w:bookmarkStart w:id="286" w:name="_Toc74924018"/>
      <w:r>
        <w:rPr>
          <w:rStyle w:val="CharSectno"/>
        </w:rPr>
        <w:t>82</w:t>
      </w:r>
      <w:r>
        <w:t>.</w:t>
      </w:r>
      <w:r>
        <w:tab/>
        <w:t>Environmental review, when required etc.</w:t>
      </w:r>
      <w:bookmarkEnd w:id="285"/>
      <w:bookmarkEnd w:id="286"/>
    </w:p>
    <w:p>
      <w:pPr>
        <w:pStyle w:val="Subsection"/>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keepNext/>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keepNext/>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 and</w:t>
      </w:r>
    </w:p>
    <w:p>
      <w:pPr>
        <w:pStyle w:val="Indenta"/>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spacing w:before="120"/>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spacing w:before="180"/>
      </w:pPr>
      <w:bookmarkStart w:id="287" w:name="_Toc77246270"/>
      <w:bookmarkStart w:id="288" w:name="_Toc74924019"/>
      <w:r>
        <w:rPr>
          <w:rStyle w:val="CharSectno"/>
        </w:rPr>
        <w:t>83</w:t>
      </w:r>
      <w:r>
        <w:t>.</w:t>
      </w:r>
      <w:r>
        <w:tab/>
        <w:t>Consultation requirements</w:t>
      </w:r>
      <w:bookmarkEnd w:id="287"/>
      <w:bookmarkEnd w:id="288"/>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keepNext w:val="0"/>
        <w:spacing w:before="180"/>
      </w:pPr>
      <w:bookmarkStart w:id="289" w:name="_Toc77239317"/>
      <w:bookmarkStart w:id="290" w:name="_Toc77240221"/>
      <w:bookmarkStart w:id="291" w:name="_Toc77246271"/>
      <w:bookmarkStart w:id="292" w:name="_Toc74652332"/>
      <w:bookmarkStart w:id="293" w:name="_Toc74652798"/>
      <w:bookmarkStart w:id="294" w:name="_Toc74733516"/>
      <w:bookmarkStart w:id="295" w:name="_Toc74924020"/>
      <w:r>
        <w:rPr>
          <w:rStyle w:val="CharDivNo"/>
        </w:rPr>
        <w:t>Division 4</w:t>
      </w:r>
      <w:r>
        <w:t> — </w:t>
      </w:r>
      <w:r>
        <w:rPr>
          <w:rStyle w:val="CharDivText"/>
        </w:rPr>
        <w:t>Advertisement and approval</w:t>
      </w:r>
      <w:bookmarkEnd w:id="289"/>
      <w:bookmarkEnd w:id="290"/>
      <w:bookmarkEnd w:id="291"/>
      <w:bookmarkEnd w:id="292"/>
      <w:bookmarkEnd w:id="293"/>
      <w:bookmarkEnd w:id="294"/>
      <w:bookmarkEnd w:id="295"/>
    </w:p>
    <w:p>
      <w:pPr>
        <w:pStyle w:val="Heading5"/>
        <w:spacing w:before="180"/>
      </w:pPr>
      <w:bookmarkStart w:id="296" w:name="_Toc77246272"/>
      <w:bookmarkStart w:id="297" w:name="_Toc74924021"/>
      <w:r>
        <w:rPr>
          <w:rStyle w:val="CharSectno"/>
        </w:rPr>
        <w:t>84</w:t>
      </w:r>
      <w:r>
        <w:t>.</w:t>
      </w:r>
      <w:r>
        <w:tab/>
        <w:t>Advertising proposed scheme or amendment</w:t>
      </w:r>
      <w:bookmarkEnd w:id="296"/>
      <w:bookmarkEnd w:id="297"/>
    </w:p>
    <w:p>
      <w:pPr>
        <w:pStyle w:val="Subsection"/>
        <w:keepLines/>
        <w:spacing w:before="120"/>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keepNext w:val="0"/>
        <w:keepLines w:val="0"/>
        <w:spacing w:before="180"/>
      </w:pPr>
      <w:bookmarkStart w:id="298" w:name="_Toc77246273"/>
      <w:bookmarkStart w:id="299" w:name="_Toc74924022"/>
      <w:r>
        <w:rPr>
          <w:rStyle w:val="CharSectno"/>
        </w:rPr>
        <w:t>85</w:t>
      </w:r>
      <w:r>
        <w:t>.</w:t>
      </w:r>
      <w:r>
        <w:tab/>
        <w:t>Local government’s duties if proposed scheme or amendment to be assessed under EP Act</w:t>
      </w:r>
      <w:bookmarkEnd w:id="298"/>
      <w:bookmarkEnd w:id="299"/>
    </w:p>
    <w:p>
      <w:pPr>
        <w:pStyle w:val="Subsection"/>
        <w:widowControl w:val="0"/>
        <w:spacing w:before="120"/>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spacing w:before="60"/>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spacing w:before="60"/>
      </w:pPr>
      <w:r>
        <w:tab/>
        <w:t>(i)</w:t>
      </w:r>
      <w:r>
        <w:tab/>
        <w:t>made during that period; and</w:t>
      </w:r>
    </w:p>
    <w:p>
      <w:pPr>
        <w:pStyle w:val="Indenti"/>
        <w:spacing w:before="60"/>
      </w:pPr>
      <w:r>
        <w:tab/>
        <w:t>(ii)</w:t>
      </w:r>
      <w:r>
        <w:tab/>
        <w:t>relating wholly or in part to environmental issues raised by that local planning scheme or amendment;</w:t>
      </w:r>
    </w:p>
    <w:p>
      <w:pPr>
        <w:pStyle w:val="Indenta"/>
        <w:spacing w:before="60"/>
      </w:pPr>
      <w:r>
        <w:tab/>
      </w:r>
      <w:r>
        <w:tab/>
        <w:t>and</w:t>
      </w:r>
    </w:p>
    <w:p>
      <w:pPr>
        <w:pStyle w:val="Indenta"/>
        <w:spacing w:before="60"/>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spacing w:before="160"/>
      </w:pPr>
      <w:bookmarkStart w:id="300" w:name="_Toc77246274"/>
      <w:bookmarkStart w:id="301" w:name="_Toc74924023"/>
      <w:r>
        <w:rPr>
          <w:rStyle w:val="CharSectno"/>
        </w:rPr>
        <w:t>86</w:t>
      </w:r>
      <w:r>
        <w:t>.</w:t>
      </w:r>
      <w:r>
        <w:tab/>
        <w:t>Minister not to approve proposed scheme or amendment in some cases</w:t>
      </w:r>
      <w:bookmarkEnd w:id="300"/>
      <w:bookmarkEnd w:id="301"/>
    </w:p>
    <w:p>
      <w:pPr>
        <w:pStyle w:val="Subsection"/>
        <w:spacing w:before="120"/>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spacing w:before="60"/>
      </w:pPr>
      <w:r>
        <w:tab/>
        <w:t>(a)</w:t>
      </w:r>
      <w:r>
        <w:tab/>
        <w:t>the Minister is informed under section 48A(1)(a) of the EP Act that the EPA considers that that local planning scheme or amendment should not be assessed by the EPA under Part IV Division 3 of the EP Act; or</w:t>
      </w:r>
    </w:p>
    <w:p>
      <w:pPr>
        <w:pStyle w:val="Indenta"/>
        <w:spacing w:before="60"/>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spacing w:before="60"/>
      </w:pPr>
      <w:r>
        <w:tab/>
        <w:t>(c)</w:t>
      </w:r>
      <w:r>
        <w:tab/>
        <w:t>the period of 28 days referred to in section 48A(1)(b)(i) of the EP Act has expired without the EPA having informed the local government under that section,</w:t>
      </w:r>
    </w:p>
    <w:p>
      <w:pPr>
        <w:pStyle w:val="Subsection"/>
        <w:spacing w:before="100"/>
      </w:pPr>
      <w:r>
        <w:tab/>
      </w:r>
      <w:r>
        <w:tab/>
        <w:t>whichever first occurs, and the Minister is satisfied that the conditions, if any, to which that amendment is subject have been incorporated into that local planning scheme or amendment.</w:t>
      </w:r>
    </w:p>
    <w:p>
      <w:pPr>
        <w:pStyle w:val="Heading5"/>
        <w:keepNext w:val="0"/>
        <w:keepLines w:val="0"/>
        <w:spacing w:before="180"/>
      </w:pPr>
      <w:bookmarkStart w:id="302" w:name="_Toc77246275"/>
      <w:bookmarkStart w:id="303" w:name="_Toc74924024"/>
      <w:r>
        <w:rPr>
          <w:rStyle w:val="CharSectno"/>
        </w:rPr>
        <w:t>87</w:t>
      </w:r>
      <w:r>
        <w:t>.</w:t>
      </w:r>
      <w:r>
        <w:tab/>
        <w:t>Approving and publicising scheme or amendment</w:t>
      </w:r>
      <w:bookmarkEnd w:id="302"/>
      <w:bookmarkEnd w:id="303"/>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spacing w:before="60"/>
      </w:pPr>
      <w:r>
        <w:tab/>
        <w:t>(a)</w:t>
      </w:r>
      <w:r>
        <w:tab/>
        <w:t>approve of that local planning scheme or amendment; or</w:t>
      </w:r>
    </w:p>
    <w:p>
      <w:pPr>
        <w:pStyle w:val="Indenta"/>
        <w:spacing w:before="60"/>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spacing w:before="60"/>
      </w:pPr>
      <w:r>
        <w:tab/>
        <w:t>(c)</w:t>
      </w:r>
      <w:r>
        <w:tab/>
        <w:t>refuse to approve of that local planning scheme or amendment.</w:t>
      </w:r>
    </w:p>
    <w:p>
      <w:pPr>
        <w:pStyle w:val="Subsection"/>
      </w:pPr>
      <w:r>
        <w:tab/>
        <w:t>(3)</w:t>
      </w:r>
      <w:r>
        <w:tab/>
        <w:t xml:space="preserve">When the Minister notifies the Commission that the Minister has approved a local planning scheme or an amendment to a local planning scheme, the Commission is to cause the scheme or amendment to be published in the </w:t>
      </w:r>
      <w:r>
        <w:rPr>
          <w:i/>
          <w:iCs/>
        </w:rPr>
        <w:t>Gazette</w:t>
      </w:r>
      <w:r>
        <w:t>.</w:t>
      </w:r>
    </w:p>
    <w:p>
      <w:pPr>
        <w:pStyle w:val="Subsection"/>
      </w:pPr>
      <w:r>
        <w:tab/>
        <w:t>(4A)</w:t>
      </w:r>
      <w:r>
        <w:tab/>
        <w:t>Any costs incurred by the Commission in publishing a scheme or amendment under subsection (3) may be recovered by the Commission from the local government which prepared or adopted the scheme or amendment as a debt due to the Crown.</w:t>
      </w:r>
    </w:p>
    <w:p>
      <w:pPr>
        <w:pStyle w:val="Subsection"/>
        <w:keepNext/>
      </w:pPr>
      <w:r>
        <w:tab/>
        <w:t>(4B)</w:t>
      </w:r>
      <w:r>
        <w:tab/>
        <w:t xml:space="preserve">When the Minister has approved a local planning scheme or an amendment to a local planning scheme, the local government which prepared or adopted the scheme or amendment is to — </w:t>
      </w:r>
    </w:p>
    <w:p>
      <w:pPr>
        <w:pStyle w:val="Indenta"/>
        <w:spacing w:before="60"/>
      </w:pPr>
      <w:r>
        <w:tab/>
        <w:t>(a)</w:t>
      </w:r>
      <w:r>
        <w:tab/>
        <w:t>advertise the scheme or amendment in accordance with the regulations; and</w:t>
      </w:r>
    </w:p>
    <w:p>
      <w:pPr>
        <w:pStyle w:val="Indenta"/>
        <w:spacing w:before="60"/>
      </w:pPr>
      <w:r>
        <w:tab/>
        <w:t>(b)</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Footnotesection"/>
        <w:spacing w:before="80"/>
        <w:ind w:left="890" w:hanging="890"/>
      </w:pPr>
      <w:r>
        <w:tab/>
        <w:t xml:space="preserve">[Section 87 amended: No. 28 of 2010 s. 57.] </w:t>
      </w:r>
    </w:p>
    <w:p>
      <w:pPr>
        <w:pStyle w:val="Heading3"/>
      </w:pPr>
      <w:bookmarkStart w:id="304" w:name="_Toc77239322"/>
      <w:bookmarkStart w:id="305" w:name="_Toc77240226"/>
      <w:bookmarkStart w:id="306" w:name="_Toc77246276"/>
      <w:bookmarkStart w:id="307" w:name="_Toc74652337"/>
      <w:bookmarkStart w:id="308" w:name="_Toc74652803"/>
      <w:bookmarkStart w:id="309" w:name="_Toc74733521"/>
      <w:bookmarkStart w:id="310" w:name="_Toc74924025"/>
      <w:r>
        <w:rPr>
          <w:rStyle w:val="CharDivNo"/>
        </w:rPr>
        <w:t>Division 5</w:t>
      </w:r>
      <w:r>
        <w:t> — </w:t>
      </w:r>
      <w:r>
        <w:rPr>
          <w:rStyle w:val="CharDivText"/>
        </w:rPr>
        <w:t>Review of local planning schemes</w:t>
      </w:r>
      <w:bookmarkEnd w:id="304"/>
      <w:bookmarkEnd w:id="305"/>
      <w:bookmarkEnd w:id="306"/>
      <w:bookmarkEnd w:id="307"/>
      <w:bookmarkEnd w:id="308"/>
      <w:bookmarkEnd w:id="309"/>
      <w:bookmarkEnd w:id="310"/>
    </w:p>
    <w:p>
      <w:pPr>
        <w:pStyle w:val="Heading5"/>
      </w:pPr>
      <w:bookmarkStart w:id="311" w:name="_Toc77246277"/>
      <w:bookmarkStart w:id="312" w:name="_Toc74924026"/>
      <w:r>
        <w:rPr>
          <w:rStyle w:val="CharSectno"/>
        </w:rPr>
        <w:t>88</w:t>
      </w:r>
      <w:r>
        <w:t>.</w:t>
      </w:r>
      <w:r>
        <w:tab/>
        <w:t>Consolidated scheme, when to be prepared</w:t>
      </w:r>
      <w:bookmarkEnd w:id="311"/>
      <w:bookmarkEnd w:id="312"/>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 and</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keepNext/>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keepNext/>
        <w:keepLines/>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spacing w:before="180"/>
      </w:pPr>
      <w:bookmarkStart w:id="313" w:name="_Toc77246278"/>
      <w:bookmarkStart w:id="314" w:name="_Toc74924027"/>
      <w:r>
        <w:rPr>
          <w:rStyle w:val="CharSectno"/>
        </w:rPr>
        <w:t>89</w:t>
      </w:r>
      <w:r>
        <w:t>.</w:t>
      </w:r>
      <w:r>
        <w:tab/>
        <w:t>Consolidated scheme, public submissions to be sought on</w:t>
      </w:r>
      <w:bookmarkEnd w:id="313"/>
      <w:bookmarkEnd w:id="314"/>
    </w:p>
    <w:p>
      <w:pPr>
        <w:pStyle w:val="Subsection"/>
      </w:pPr>
      <w:r>
        <w:tab/>
        <w:t>(1)</w:t>
      </w:r>
      <w:r>
        <w:tab/>
        <w:t>After preparing the consolidation the local government is to ensure that the consolidation is approved by the Commission and made available for inspection.</w:t>
      </w:r>
    </w:p>
    <w:p>
      <w:pPr>
        <w:pStyle w:val="Subsection"/>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315" w:name="_Toc77246279"/>
      <w:bookmarkStart w:id="316" w:name="_Toc74924028"/>
      <w:r>
        <w:rPr>
          <w:rStyle w:val="CharSectno"/>
        </w:rPr>
        <w:t>90</w:t>
      </w:r>
      <w:r>
        <w:t>.</w:t>
      </w:r>
      <w:r>
        <w:tab/>
        <w:t>Consolidated scheme, report on operation of required</w:t>
      </w:r>
      <w:bookmarkEnd w:id="315"/>
      <w:bookmarkEnd w:id="316"/>
    </w:p>
    <w:p>
      <w:pPr>
        <w:pStyle w:val="Subsection"/>
      </w:pPr>
      <w:r>
        <w:tab/>
        <w:t>(1)</w:t>
      </w:r>
      <w:r>
        <w:tab/>
        <w:t>Not later than 6 months after preparing a consolidation of a local planning scheme, the local government is to make a report to the Minister on the operation of the scheme.</w:t>
      </w:r>
    </w:p>
    <w:p>
      <w:pPr>
        <w:pStyle w:val="Subsection"/>
        <w:keepNext/>
      </w:pPr>
      <w:r>
        <w:tab/>
        <w:t>(2)</w:t>
      </w:r>
      <w:r>
        <w:tab/>
        <w:t xml:space="preserve">In its report the local government is to — </w:t>
      </w:r>
    </w:p>
    <w:p>
      <w:pPr>
        <w:pStyle w:val="Indenta"/>
      </w:pPr>
      <w:r>
        <w:tab/>
        <w:t>(a)</w:t>
      </w:r>
      <w:r>
        <w:tab/>
        <w:t>include all submissions received under section 89; and</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 or</w:t>
      </w:r>
    </w:p>
    <w:p>
      <w:pPr>
        <w:pStyle w:val="Indenti"/>
      </w:pPr>
      <w:r>
        <w:tab/>
        <w:t>(ii)</w:t>
      </w:r>
      <w:r>
        <w:tab/>
        <w:t>should be amended; or</w:t>
      </w:r>
    </w:p>
    <w:p>
      <w:pPr>
        <w:pStyle w:val="Indenti"/>
        <w:keepNext/>
      </w:pPr>
      <w:r>
        <w:tab/>
        <w:t>(iii)</w:t>
      </w:r>
      <w:r>
        <w:tab/>
        <w:t>should be repealed and a new scheme prepared in its place; or</w:t>
      </w:r>
    </w:p>
    <w:p>
      <w:pPr>
        <w:pStyle w:val="Indenti"/>
      </w:pPr>
      <w:r>
        <w:tab/>
        <w:t>(iv)</w:t>
      </w:r>
      <w:r>
        <w:tab/>
        <w:t>should be repealed.</w:t>
      </w:r>
    </w:p>
    <w:p>
      <w:pPr>
        <w:pStyle w:val="Heading5"/>
        <w:spacing w:before="180"/>
      </w:pPr>
      <w:bookmarkStart w:id="317" w:name="_Toc77246280"/>
      <w:bookmarkStart w:id="318" w:name="_Toc74924029"/>
      <w:r>
        <w:rPr>
          <w:rStyle w:val="CharSectno"/>
        </w:rPr>
        <w:t>91</w:t>
      </w:r>
      <w:r>
        <w:t>.</w:t>
      </w:r>
      <w:r>
        <w:tab/>
        <w:t>Procedure if s. 90 report does not recommend change to scheme</w:t>
      </w:r>
      <w:bookmarkEnd w:id="317"/>
      <w:bookmarkEnd w:id="318"/>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spacing w:before="180"/>
      </w:pPr>
      <w:bookmarkStart w:id="319" w:name="_Toc77246281"/>
      <w:bookmarkStart w:id="320" w:name="_Toc74924030"/>
      <w:r>
        <w:rPr>
          <w:rStyle w:val="CharSectno"/>
        </w:rPr>
        <w:t>92</w:t>
      </w:r>
      <w:r>
        <w:t>.</w:t>
      </w:r>
      <w:r>
        <w:tab/>
        <w:t>Procedure if s. 90 report recommends change to scheme</w:t>
      </w:r>
      <w:bookmarkEnd w:id="319"/>
      <w:bookmarkEnd w:id="320"/>
    </w:p>
    <w:p>
      <w:pPr>
        <w:pStyle w:val="Subsection"/>
        <w:keepNext/>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keepNext/>
        <w:spacing w:before="60"/>
      </w:pPr>
      <w:r>
        <w:tab/>
        <w:t>(b)</w:t>
      </w:r>
      <w:r>
        <w:tab/>
        <w:t>the Minister, after considering the report, advises the local government that amendment is recommended,</w:t>
      </w:r>
    </w:p>
    <w:p>
      <w:pPr>
        <w:pStyle w:val="Subsection"/>
        <w:spacing w:before="120"/>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pPr>
      <w:r>
        <w:tab/>
        <w:t>(2)</w:t>
      </w:r>
      <w:r>
        <w:tab/>
        <w:t xml:space="preserve">After the Minister has under section 87(2), approved the amendments prepared for the purposes of subsection (1), the local government is to — </w:t>
      </w:r>
    </w:p>
    <w:p>
      <w:pPr>
        <w:pStyle w:val="Indenta"/>
        <w:keepNext/>
      </w:pPr>
      <w:r>
        <w:tab/>
        <w:t>(a)</w:t>
      </w:r>
      <w:r>
        <w:tab/>
        <w:t xml:space="preserve">prepare a consolidation of the local planning scheme, incorporating — </w:t>
      </w:r>
    </w:p>
    <w:p>
      <w:pPr>
        <w:pStyle w:val="Indenti"/>
      </w:pPr>
      <w:r>
        <w:tab/>
        <w:t>(i)</w:t>
      </w:r>
      <w:r>
        <w:tab/>
        <w:t>all the amendments that have been made to the scheme and are of effect on the day on which the resolution to prepare the consolidation is made; and</w:t>
      </w:r>
    </w:p>
    <w:p>
      <w:pPr>
        <w:pStyle w:val="Indenti"/>
        <w:keepNext/>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321" w:name="_Toc77246282"/>
      <w:bookmarkStart w:id="322" w:name="_Toc74924031"/>
      <w:r>
        <w:rPr>
          <w:rStyle w:val="CharSectno"/>
        </w:rPr>
        <w:t>93</w:t>
      </w:r>
      <w:r>
        <w:t>.</w:t>
      </w:r>
      <w:r>
        <w:tab/>
        <w:t>Consolidated scheme, effect of publication of</w:t>
      </w:r>
      <w:bookmarkEnd w:id="321"/>
      <w:bookmarkEnd w:id="322"/>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323" w:name="_Toc77246283"/>
      <w:bookmarkStart w:id="324" w:name="_Toc74924032"/>
      <w:r>
        <w:rPr>
          <w:rStyle w:val="CharSectno"/>
        </w:rPr>
        <w:t>94</w:t>
      </w:r>
      <w:r>
        <w:t>.</w:t>
      </w:r>
      <w:r>
        <w:tab/>
        <w:t>Procedure if new scheme prepared following s. 90 report</w:t>
      </w:r>
      <w:bookmarkEnd w:id="323"/>
      <w:bookmarkEnd w:id="324"/>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325" w:name="_Toc77246284"/>
      <w:bookmarkStart w:id="326" w:name="_Toc74924033"/>
      <w:r>
        <w:rPr>
          <w:rStyle w:val="CharSectno"/>
        </w:rPr>
        <w:t>95</w:t>
      </w:r>
      <w:r>
        <w:t>.</w:t>
      </w:r>
      <w:r>
        <w:tab/>
        <w:t>Procedure if scheme repealed following s. 90 report</w:t>
      </w:r>
      <w:bookmarkEnd w:id="325"/>
      <w:bookmarkEnd w:id="326"/>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327" w:name="_Toc77246285"/>
      <w:bookmarkStart w:id="328" w:name="_Toc74924034"/>
      <w:r>
        <w:rPr>
          <w:rStyle w:val="CharSectno"/>
        </w:rPr>
        <w:t>96</w:t>
      </w:r>
      <w:r>
        <w:t>.</w:t>
      </w:r>
      <w:r>
        <w:tab/>
        <w:t>Consolidation of 2 or more schemes, when this Div. applies to</w:t>
      </w:r>
      <w:bookmarkEnd w:id="327"/>
      <w:bookmarkEnd w:id="328"/>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spacing w:before="180"/>
      </w:pPr>
      <w:bookmarkStart w:id="329" w:name="_Toc77239332"/>
      <w:bookmarkStart w:id="330" w:name="_Toc77240236"/>
      <w:bookmarkStart w:id="331" w:name="_Toc77246286"/>
      <w:bookmarkStart w:id="332" w:name="_Toc74652347"/>
      <w:bookmarkStart w:id="333" w:name="_Toc74652813"/>
      <w:bookmarkStart w:id="334" w:name="_Toc74733531"/>
      <w:bookmarkStart w:id="335" w:name="_Toc74924035"/>
      <w:r>
        <w:rPr>
          <w:rStyle w:val="CharDivNo"/>
        </w:rPr>
        <w:t>Division 6</w:t>
      </w:r>
      <w:r>
        <w:t> — </w:t>
      </w:r>
      <w:r>
        <w:rPr>
          <w:rStyle w:val="CharDivText"/>
        </w:rPr>
        <w:t>Crown land</w:t>
      </w:r>
      <w:bookmarkEnd w:id="329"/>
      <w:bookmarkEnd w:id="330"/>
      <w:bookmarkEnd w:id="331"/>
      <w:bookmarkEnd w:id="332"/>
      <w:bookmarkEnd w:id="333"/>
      <w:bookmarkEnd w:id="334"/>
      <w:bookmarkEnd w:id="335"/>
    </w:p>
    <w:p>
      <w:pPr>
        <w:pStyle w:val="Heading5"/>
        <w:spacing w:before="180"/>
      </w:pPr>
      <w:bookmarkStart w:id="336" w:name="_Toc77246287"/>
      <w:bookmarkStart w:id="337" w:name="_Toc74924036"/>
      <w:r>
        <w:rPr>
          <w:rStyle w:val="CharSectno"/>
        </w:rPr>
        <w:t>97</w:t>
      </w:r>
      <w:r>
        <w:t>.</w:t>
      </w:r>
      <w:r>
        <w:tab/>
        <w:t>Schemes for Crown lands</w:t>
      </w:r>
      <w:bookmarkEnd w:id="336"/>
      <w:bookmarkEnd w:id="337"/>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keepNext/>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 or</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338" w:name="_Toc77239334"/>
      <w:bookmarkStart w:id="339" w:name="_Toc77240238"/>
      <w:bookmarkStart w:id="340" w:name="_Toc77246288"/>
      <w:bookmarkStart w:id="341" w:name="_Toc74652349"/>
      <w:bookmarkStart w:id="342" w:name="_Toc74652815"/>
      <w:bookmarkStart w:id="343" w:name="_Toc74733533"/>
      <w:bookmarkStart w:id="344" w:name="_Toc74924037"/>
      <w:r>
        <w:rPr>
          <w:rStyle w:val="CharPartNo"/>
        </w:rPr>
        <w:t>Part 6</w:t>
      </w:r>
      <w:r>
        <w:t> — </w:t>
      </w:r>
      <w:r>
        <w:rPr>
          <w:rStyle w:val="CharPartText"/>
        </w:rPr>
        <w:t>Interim development orders</w:t>
      </w:r>
      <w:bookmarkEnd w:id="338"/>
      <w:bookmarkEnd w:id="339"/>
      <w:bookmarkEnd w:id="340"/>
      <w:bookmarkEnd w:id="341"/>
      <w:bookmarkEnd w:id="342"/>
      <w:bookmarkEnd w:id="343"/>
      <w:bookmarkEnd w:id="344"/>
    </w:p>
    <w:p>
      <w:pPr>
        <w:pStyle w:val="Heading3"/>
      </w:pPr>
      <w:bookmarkStart w:id="345" w:name="_Toc77239335"/>
      <w:bookmarkStart w:id="346" w:name="_Toc77240239"/>
      <w:bookmarkStart w:id="347" w:name="_Toc77246289"/>
      <w:bookmarkStart w:id="348" w:name="_Toc74652350"/>
      <w:bookmarkStart w:id="349" w:name="_Toc74652816"/>
      <w:bookmarkStart w:id="350" w:name="_Toc74733534"/>
      <w:bookmarkStart w:id="351" w:name="_Toc74924038"/>
      <w:r>
        <w:rPr>
          <w:rStyle w:val="CharDivNo"/>
        </w:rPr>
        <w:t>Division 1</w:t>
      </w:r>
      <w:r>
        <w:t> — </w:t>
      </w:r>
      <w:r>
        <w:rPr>
          <w:rStyle w:val="CharDivText"/>
        </w:rPr>
        <w:t>Regional interim development orders</w:t>
      </w:r>
      <w:bookmarkEnd w:id="345"/>
      <w:bookmarkEnd w:id="346"/>
      <w:bookmarkEnd w:id="347"/>
      <w:bookmarkEnd w:id="348"/>
      <w:bookmarkEnd w:id="349"/>
      <w:bookmarkEnd w:id="350"/>
      <w:bookmarkEnd w:id="351"/>
    </w:p>
    <w:p>
      <w:pPr>
        <w:pStyle w:val="Heading5"/>
      </w:pPr>
      <w:bookmarkStart w:id="352" w:name="_Toc77246290"/>
      <w:bookmarkStart w:id="353" w:name="_Toc74924039"/>
      <w:r>
        <w:rPr>
          <w:rStyle w:val="CharSectno"/>
        </w:rPr>
        <w:t>98</w:t>
      </w:r>
      <w:r>
        <w:t>.</w:t>
      </w:r>
      <w:r>
        <w:tab/>
        <w:t>Making and purpose of order</w:t>
      </w:r>
      <w:bookmarkEnd w:id="352"/>
      <w:bookmarkEnd w:id="353"/>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 and</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354" w:name="_Toc77246291"/>
      <w:bookmarkStart w:id="355" w:name="_Toc74924040"/>
      <w:r>
        <w:rPr>
          <w:rStyle w:val="CharSectno"/>
        </w:rPr>
        <w:t>99</w:t>
      </w:r>
      <w:r>
        <w:t>.</w:t>
      </w:r>
      <w:r>
        <w:tab/>
        <w:t>Contents of order</w:t>
      </w:r>
      <w:bookmarkEnd w:id="354"/>
      <w:bookmarkEnd w:id="355"/>
    </w:p>
    <w:p>
      <w:pPr>
        <w:pStyle w:val="Subsection"/>
        <w:spacing w:before="140"/>
      </w:pPr>
      <w:r>
        <w:tab/>
        <w:t>(1)</w:t>
      </w:r>
      <w:r>
        <w:tab/>
        <w:t>A regional interim development order is to specify the land affected by the regional development order.</w:t>
      </w:r>
    </w:p>
    <w:p>
      <w:pPr>
        <w:pStyle w:val="Subsection"/>
        <w:spacing w:before="140"/>
      </w:pPr>
      <w:r>
        <w:tab/>
        <w:t>(2)</w:t>
      </w:r>
      <w:r>
        <w:tab/>
        <w:t xml:space="preserve">A regional interim development order may — </w:t>
      </w:r>
    </w:p>
    <w:p>
      <w:pPr>
        <w:pStyle w:val="Indenta"/>
        <w:spacing w:before="60"/>
      </w:pPr>
      <w:r>
        <w:tab/>
        <w:t>(a)</w:t>
      </w:r>
      <w:r>
        <w:tab/>
        <w:t>require a person, before commencing to carry out any specified development within the regional order area, to obtain the written approval of the Commission;</w:t>
      </w:r>
    </w:p>
    <w:p>
      <w:pPr>
        <w:pStyle w:val="Indenta"/>
        <w:spacing w:before="60"/>
      </w:pPr>
      <w:r>
        <w:tab/>
        <w:t>(b)</w:t>
      </w:r>
      <w:r>
        <w:tab/>
        <w:t>regulate, restrict or prohibit any specified class of development within the regional order area;</w:t>
      </w:r>
    </w:p>
    <w:p>
      <w:pPr>
        <w:pStyle w:val="Indenta"/>
        <w:spacing w:before="60"/>
      </w:pPr>
      <w:r>
        <w:tab/>
        <w:t>(c)</w:t>
      </w:r>
      <w:r>
        <w:tab/>
        <w:t>exempt from the operation of the order any development of a specified class within the regional order area;</w:t>
      </w:r>
    </w:p>
    <w:p>
      <w:pPr>
        <w:pStyle w:val="Indenta"/>
        <w:spacing w:before="60"/>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spacing w:before="60"/>
      </w:pPr>
      <w:r>
        <w:tab/>
        <w:t>(i)</w:t>
      </w:r>
      <w:r>
        <w:tab/>
        <w:t>a condition limiting the period during which that development may be carried out; and</w:t>
      </w:r>
    </w:p>
    <w:p>
      <w:pPr>
        <w:pStyle w:val="Indenti"/>
        <w:spacing w:before="60"/>
      </w:pPr>
      <w:r>
        <w:tab/>
        <w:t>(ii)</w:t>
      </w:r>
      <w:r>
        <w:tab/>
        <w:t>a condition requiring the cessation of the development and removal of any structure or building erected under that approval at the expiry of the period so limited;</w:t>
      </w:r>
    </w:p>
    <w:p>
      <w:pPr>
        <w:pStyle w:val="Indenta"/>
        <w:spacing w:before="60"/>
      </w:pPr>
      <w:r>
        <w:tab/>
        <w:t>(e)</w:t>
      </w:r>
      <w:r>
        <w:tab/>
        <w:t>provide that the Commission may refuse to grant to an applicant its approval of development of a specified class in a specified part of the regional order area;</w:t>
      </w:r>
    </w:p>
    <w:p>
      <w:pPr>
        <w:pStyle w:val="Indenta"/>
        <w:spacing w:before="60"/>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spacing w:before="140"/>
      </w:pPr>
      <w:r>
        <w:tab/>
        <w:t>(3)</w:t>
      </w:r>
      <w:r>
        <w:tab/>
        <w:t xml:space="preserve">In subsection (2) — </w:t>
      </w:r>
    </w:p>
    <w:p>
      <w:pPr>
        <w:pStyle w:val="Defstart"/>
      </w:pPr>
      <w:r>
        <w:tab/>
      </w:r>
      <w:r>
        <w:rPr>
          <w:rStyle w:val="CharDefText"/>
        </w:rPr>
        <w:t>specified</w:t>
      </w:r>
      <w:r>
        <w:t xml:space="preserve"> means specified in the regional interim development order concerned.</w:t>
      </w:r>
    </w:p>
    <w:p>
      <w:pPr>
        <w:pStyle w:val="Heading5"/>
      </w:pPr>
      <w:bookmarkStart w:id="356" w:name="_Toc77246292"/>
      <w:bookmarkStart w:id="357" w:name="_Toc74924041"/>
      <w:r>
        <w:rPr>
          <w:rStyle w:val="CharSectno"/>
        </w:rPr>
        <w:t>100</w:t>
      </w:r>
      <w:r>
        <w:t>.</w:t>
      </w:r>
      <w:r>
        <w:tab/>
        <w:t>Commission to consult local government on some development applications</w:t>
      </w:r>
      <w:bookmarkEnd w:id="356"/>
      <w:bookmarkEnd w:id="357"/>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 and</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358" w:name="_Toc77246293"/>
      <w:bookmarkStart w:id="359" w:name="_Toc74924042"/>
      <w:r>
        <w:rPr>
          <w:rStyle w:val="CharSectno"/>
        </w:rPr>
        <w:t>101</w:t>
      </w:r>
      <w:r>
        <w:t>.</w:t>
      </w:r>
      <w:r>
        <w:tab/>
        <w:t>Restrictions on power to grant development approval</w:t>
      </w:r>
      <w:bookmarkEnd w:id="358"/>
      <w:bookmarkEnd w:id="359"/>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360" w:name="_Toc77239340"/>
      <w:bookmarkStart w:id="361" w:name="_Toc77240244"/>
      <w:bookmarkStart w:id="362" w:name="_Toc77246294"/>
      <w:bookmarkStart w:id="363" w:name="_Toc74652355"/>
      <w:bookmarkStart w:id="364" w:name="_Toc74652821"/>
      <w:bookmarkStart w:id="365" w:name="_Toc74733539"/>
      <w:bookmarkStart w:id="366" w:name="_Toc74924043"/>
      <w:r>
        <w:rPr>
          <w:rStyle w:val="CharDivNo"/>
        </w:rPr>
        <w:t>Division 2</w:t>
      </w:r>
      <w:r>
        <w:t> — </w:t>
      </w:r>
      <w:r>
        <w:rPr>
          <w:rStyle w:val="CharDivText"/>
        </w:rPr>
        <w:t>Local interim development orders</w:t>
      </w:r>
      <w:bookmarkEnd w:id="360"/>
      <w:bookmarkEnd w:id="361"/>
      <w:bookmarkEnd w:id="362"/>
      <w:bookmarkEnd w:id="363"/>
      <w:bookmarkEnd w:id="364"/>
      <w:bookmarkEnd w:id="365"/>
      <w:bookmarkEnd w:id="366"/>
    </w:p>
    <w:p>
      <w:pPr>
        <w:pStyle w:val="Heading5"/>
      </w:pPr>
      <w:bookmarkStart w:id="367" w:name="_Toc77246295"/>
      <w:bookmarkStart w:id="368" w:name="_Toc74924044"/>
      <w:r>
        <w:rPr>
          <w:rStyle w:val="CharSectno"/>
        </w:rPr>
        <w:t>102</w:t>
      </w:r>
      <w:r>
        <w:t>.</w:t>
      </w:r>
      <w:r>
        <w:tab/>
        <w:t>Making and purpose of order</w:t>
      </w:r>
      <w:bookmarkEnd w:id="367"/>
      <w:bookmarkEnd w:id="368"/>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369" w:name="_Toc77246296"/>
      <w:bookmarkStart w:id="370" w:name="_Toc74924045"/>
      <w:r>
        <w:rPr>
          <w:rStyle w:val="CharSectno"/>
        </w:rPr>
        <w:t>103</w:t>
      </w:r>
      <w:r>
        <w:t>.</w:t>
      </w:r>
      <w:r>
        <w:tab/>
        <w:t>Contents of order</w:t>
      </w:r>
      <w:bookmarkEnd w:id="369"/>
      <w:bookmarkEnd w:id="370"/>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spacing w:before="90"/>
      </w:pPr>
      <w:r>
        <w:tab/>
        <w:t>(a)</w:t>
      </w:r>
      <w:r>
        <w:tab/>
        <w:t>require a person, before commencing to carry out any specified development within the local order area, to obtain the written approval of the local government administering the order;</w:t>
      </w:r>
    </w:p>
    <w:p>
      <w:pPr>
        <w:pStyle w:val="Indenta"/>
        <w:spacing w:before="90"/>
      </w:pPr>
      <w:r>
        <w:tab/>
        <w:t>(b)</w:t>
      </w:r>
      <w:r>
        <w:tab/>
        <w:t>regulate, restrict or prohibit any specified class of development within the local order area;</w:t>
      </w:r>
    </w:p>
    <w:p>
      <w:pPr>
        <w:pStyle w:val="Indenta"/>
        <w:spacing w:before="90"/>
      </w:pPr>
      <w:r>
        <w:tab/>
        <w:t>(c)</w:t>
      </w:r>
      <w:r>
        <w:tab/>
        <w:t>exempt from the operation of the order any development of a specified class within the local order area;</w:t>
      </w:r>
    </w:p>
    <w:p>
      <w:pPr>
        <w:pStyle w:val="Indenta"/>
        <w:spacing w:before="90"/>
      </w:pPr>
      <w:r>
        <w:tab/>
        <w:t>(d)</w:t>
      </w:r>
      <w:r>
        <w:tab/>
        <w:t xml:space="preserve">in the case of land to which the </w:t>
      </w:r>
      <w:r>
        <w:rPr>
          <w:i/>
        </w:rPr>
        <w:t xml:space="preserve">Heritage Act 2018 </w:t>
      </w:r>
      <w:r>
        <w:t xml:space="preserve">applies, require the local government administering the order before approving a development application — </w:t>
      </w:r>
    </w:p>
    <w:p>
      <w:pPr>
        <w:pStyle w:val="Indenti"/>
        <w:spacing w:before="90"/>
      </w:pPr>
      <w:r>
        <w:tab/>
        <w:t>(i)</w:t>
      </w:r>
      <w:r>
        <w:tab/>
        <w:t>to refer the application in question to the Heritage Council; and</w:t>
      </w:r>
    </w:p>
    <w:p>
      <w:pPr>
        <w:pStyle w:val="Indenti"/>
        <w:spacing w:before="90"/>
      </w:pPr>
      <w:r>
        <w:tab/>
        <w:t>(ii)</w:t>
      </w:r>
      <w:r>
        <w:tab/>
        <w:t>not to proceed, without the consent of the Minister, with the application unless or until the advice of the Heritage Council has been received; and</w:t>
      </w:r>
    </w:p>
    <w:p>
      <w:pPr>
        <w:pStyle w:val="Indenti"/>
        <w:spacing w:before="90"/>
      </w:pPr>
      <w:r>
        <w:tab/>
        <w:t>(iii)</w:t>
      </w:r>
      <w:r>
        <w:tab/>
        <w:t>to have regard to that advice;</w:t>
      </w:r>
    </w:p>
    <w:p>
      <w:pPr>
        <w:pStyle w:val="Indenta"/>
        <w:spacing w:before="90"/>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spacing w:before="90"/>
      </w:pPr>
      <w:r>
        <w:tab/>
        <w:t>(i)</w:t>
      </w:r>
      <w:r>
        <w:tab/>
        <w:t>a condition limiting the period during which that development may be carried out; and</w:t>
      </w:r>
    </w:p>
    <w:p>
      <w:pPr>
        <w:pStyle w:val="Indenti"/>
        <w:keepNext/>
        <w:keepLines/>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Footnotesection"/>
        <w:ind w:left="890" w:hanging="890"/>
      </w:pPr>
      <w:r>
        <w:tab/>
        <w:t>[Section 103 amended: No. 22 of 2018 s. 186(5).]</w:t>
      </w:r>
    </w:p>
    <w:p>
      <w:pPr>
        <w:pStyle w:val="Heading3"/>
        <w:spacing w:before="280"/>
      </w:pPr>
      <w:bookmarkStart w:id="371" w:name="_Toc77239343"/>
      <w:bookmarkStart w:id="372" w:name="_Toc77240247"/>
      <w:bookmarkStart w:id="373" w:name="_Toc77246297"/>
      <w:bookmarkStart w:id="374" w:name="_Toc74652358"/>
      <w:bookmarkStart w:id="375" w:name="_Toc74652824"/>
      <w:bookmarkStart w:id="376" w:name="_Toc74733542"/>
      <w:bookmarkStart w:id="377" w:name="_Toc74924046"/>
      <w:r>
        <w:rPr>
          <w:rStyle w:val="CharDivNo"/>
        </w:rPr>
        <w:t>Division 3</w:t>
      </w:r>
      <w:r>
        <w:t> — </w:t>
      </w:r>
      <w:r>
        <w:rPr>
          <w:rStyle w:val="CharDivText"/>
        </w:rPr>
        <w:t>Provisions applying to regional and local interim development orders</w:t>
      </w:r>
      <w:bookmarkEnd w:id="371"/>
      <w:bookmarkEnd w:id="372"/>
      <w:bookmarkEnd w:id="373"/>
      <w:bookmarkEnd w:id="374"/>
      <w:bookmarkEnd w:id="375"/>
      <w:bookmarkEnd w:id="376"/>
      <w:bookmarkEnd w:id="377"/>
    </w:p>
    <w:p>
      <w:pPr>
        <w:pStyle w:val="Heading5"/>
      </w:pPr>
      <w:bookmarkStart w:id="378" w:name="_Toc77246298"/>
      <w:bookmarkStart w:id="379" w:name="_Toc74924047"/>
      <w:r>
        <w:rPr>
          <w:rStyle w:val="CharSectno"/>
        </w:rPr>
        <w:t>104</w:t>
      </w:r>
      <w:r>
        <w:t>.</w:t>
      </w:r>
      <w:r>
        <w:tab/>
        <w:t>Consultation requirements</w:t>
      </w:r>
      <w:bookmarkEnd w:id="378"/>
      <w:bookmarkEnd w:id="379"/>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 and</w:t>
      </w:r>
    </w:p>
    <w:p>
      <w:pPr>
        <w:pStyle w:val="Indenta"/>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380" w:name="_Toc77246299"/>
      <w:bookmarkStart w:id="381" w:name="_Toc74924048"/>
      <w:r>
        <w:rPr>
          <w:rStyle w:val="CharSectno"/>
        </w:rPr>
        <w:t>105</w:t>
      </w:r>
      <w:r>
        <w:t>.</w:t>
      </w:r>
      <w:r>
        <w:tab/>
        <w:t>Publicising interim development order</w:t>
      </w:r>
      <w:bookmarkEnd w:id="380"/>
      <w:bookmarkEnd w:id="381"/>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382" w:name="_Toc77246300"/>
      <w:bookmarkStart w:id="383" w:name="_Toc74924049"/>
      <w:r>
        <w:rPr>
          <w:rStyle w:val="CharSectno"/>
        </w:rPr>
        <w:t>106</w:t>
      </w:r>
      <w:r>
        <w:t>.</w:t>
      </w:r>
      <w:r>
        <w:tab/>
        <w:t>Administration of interim development order</w:t>
      </w:r>
      <w:bookmarkEnd w:id="382"/>
      <w:bookmarkEnd w:id="383"/>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384" w:name="_Toc77246301"/>
      <w:bookmarkStart w:id="385" w:name="_Toc74924050"/>
      <w:r>
        <w:rPr>
          <w:rStyle w:val="CharSectno"/>
        </w:rPr>
        <w:t>107</w:t>
      </w:r>
      <w:r>
        <w:t>.</w:t>
      </w:r>
      <w:r>
        <w:tab/>
        <w:t>Effect and duration of interim development order</w:t>
      </w:r>
      <w:bookmarkEnd w:id="384"/>
      <w:bookmarkEnd w:id="385"/>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 or</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386" w:name="_Toc77246302"/>
      <w:bookmarkStart w:id="387" w:name="_Toc74924051"/>
      <w:r>
        <w:rPr>
          <w:rStyle w:val="CharSectno"/>
        </w:rPr>
        <w:t>108</w:t>
      </w:r>
      <w:r>
        <w:t>.</w:t>
      </w:r>
      <w:r>
        <w:tab/>
        <w:t>Existing lawful development not affected</w:t>
      </w:r>
      <w:bookmarkEnd w:id="386"/>
      <w:bookmarkEnd w:id="387"/>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388" w:name="_Toc77246303"/>
      <w:bookmarkStart w:id="389" w:name="_Toc74924052"/>
      <w:r>
        <w:rPr>
          <w:rStyle w:val="CharSectno"/>
        </w:rPr>
        <w:t>109</w:t>
      </w:r>
      <w:r>
        <w:t>.</w:t>
      </w:r>
      <w:r>
        <w:tab/>
        <w:t>Amending interim development order</w:t>
      </w:r>
      <w:bookmarkEnd w:id="388"/>
      <w:bookmarkEnd w:id="389"/>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390" w:name="_Toc77246304"/>
      <w:bookmarkStart w:id="391" w:name="_Toc74924053"/>
      <w:r>
        <w:rPr>
          <w:rStyle w:val="CharSectno"/>
        </w:rPr>
        <w:t>110</w:t>
      </w:r>
      <w:r>
        <w:t>.</w:t>
      </w:r>
      <w:r>
        <w:tab/>
        <w:t>Revoking interim development order</w:t>
      </w:r>
      <w:bookmarkEnd w:id="390"/>
      <w:bookmarkEnd w:id="391"/>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392" w:name="_Toc77246305"/>
      <w:bookmarkStart w:id="393" w:name="_Toc74924054"/>
      <w:r>
        <w:rPr>
          <w:rStyle w:val="CharSectno"/>
        </w:rPr>
        <w:t>111</w:t>
      </w:r>
      <w:r>
        <w:t>.</w:t>
      </w:r>
      <w:r>
        <w:tab/>
        <w:t>Non</w:t>
      </w:r>
      <w:r>
        <w:noBreakHyphen/>
        <w:t>conforming development by local government or public authority, procedure for</w:t>
      </w:r>
      <w:bookmarkEnd w:id="392"/>
      <w:bookmarkEnd w:id="393"/>
    </w:p>
    <w:p>
      <w:pPr>
        <w:pStyle w:val="Subsection"/>
        <w:spacing w:before="120"/>
      </w:pPr>
      <w:r>
        <w:tab/>
        <w:t>(1)</w:t>
      </w:r>
      <w:r>
        <w:tab/>
        <w:t xml:space="preserve">If — </w:t>
      </w:r>
    </w:p>
    <w:p>
      <w:pPr>
        <w:pStyle w:val="Indenta"/>
        <w:spacing w:before="60"/>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spacing w:before="60"/>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spacing w:before="100"/>
      </w:pPr>
      <w:r>
        <w:tab/>
      </w:r>
      <w:r>
        <w:tab/>
        <w:t>the Commission may submit the matter to the Minister for determination by the Governor.</w:t>
      </w:r>
    </w:p>
    <w:p>
      <w:pPr>
        <w:pStyle w:val="Subsection"/>
        <w:spacing w:before="120"/>
      </w:pPr>
      <w:r>
        <w:tab/>
        <w:t>(2)</w:t>
      </w:r>
      <w:r>
        <w:tab/>
        <w:t xml:space="preserve">If — </w:t>
      </w:r>
    </w:p>
    <w:p>
      <w:pPr>
        <w:pStyle w:val="Indenta"/>
        <w:spacing w:before="60"/>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spacing w:before="60"/>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local planning scheme,</w:t>
      </w:r>
    </w:p>
    <w:p>
      <w:pPr>
        <w:pStyle w:val="Subsection"/>
        <w:spacing w:before="100"/>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Footnotesection"/>
      </w:pPr>
      <w:r>
        <w:tab/>
        <w:t>[Section 111 amended: No. 8 of 2009 s. 100(2).]</w:t>
      </w:r>
    </w:p>
    <w:p>
      <w:pPr>
        <w:pStyle w:val="Heading2"/>
      </w:pPr>
      <w:bookmarkStart w:id="394" w:name="_Toc77239352"/>
      <w:bookmarkStart w:id="395" w:name="_Toc77240256"/>
      <w:bookmarkStart w:id="396" w:name="_Toc77246306"/>
      <w:bookmarkStart w:id="397" w:name="_Toc74652367"/>
      <w:bookmarkStart w:id="398" w:name="_Toc74652833"/>
      <w:bookmarkStart w:id="399" w:name="_Toc74733551"/>
      <w:bookmarkStart w:id="400" w:name="_Toc74924055"/>
      <w:r>
        <w:rPr>
          <w:rStyle w:val="CharPartNo"/>
        </w:rPr>
        <w:t>Part 7</w:t>
      </w:r>
      <w:r>
        <w:rPr>
          <w:rStyle w:val="CharDivNo"/>
        </w:rPr>
        <w:t> </w:t>
      </w:r>
      <w:r>
        <w:t>—</w:t>
      </w:r>
      <w:r>
        <w:rPr>
          <w:rStyle w:val="CharDivText"/>
        </w:rPr>
        <w:t> </w:t>
      </w:r>
      <w:r>
        <w:rPr>
          <w:rStyle w:val="CharPartText"/>
        </w:rPr>
        <w:t>Planning control areas</w:t>
      </w:r>
      <w:bookmarkEnd w:id="394"/>
      <w:bookmarkEnd w:id="395"/>
      <w:bookmarkEnd w:id="396"/>
      <w:bookmarkEnd w:id="397"/>
      <w:bookmarkEnd w:id="398"/>
      <w:bookmarkEnd w:id="399"/>
      <w:bookmarkEnd w:id="400"/>
    </w:p>
    <w:p>
      <w:pPr>
        <w:pStyle w:val="Heading5"/>
      </w:pPr>
      <w:bookmarkStart w:id="401" w:name="_Toc77246307"/>
      <w:bookmarkStart w:id="402" w:name="_Toc74924056"/>
      <w:r>
        <w:rPr>
          <w:rStyle w:val="CharSectno"/>
        </w:rPr>
        <w:t>112</w:t>
      </w:r>
      <w:r>
        <w:t>.</w:t>
      </w:r>
      <w:r>
        <w:tab/>
        <w:t>Declaration of planning control areas</w:t>
      </w:r>
      <w:bookmarkEnd w:id="401"/>
      <w:bookmarkEnd w:id="402"/>
    </w:p>
    <w:p>
      <w:pPr>
        <w:pStyle w:val="Subsection"/>
      </w:pPr>
      <w:r>
        <w:tab/>
        <w:t>(1)</w:t>
      </w:r>
      <w:r>
        <w:tab/>
        <w:t xml:space="preserve">If the Commission considers that any land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cannot be exercised in respect of any land that is — </w:t>
      </w:r>
    </w:p>
    <w:p>
      <w:pPr>
        <w:pStyle w:val="Indenta"/>
      </w:pPr>
      <w:r>
        <w:tab/>
        <w:t>(a)</w:t>
      </w:r>
      <w:r>
        <w:tab/>
        <w:t xml:space="preserve">land to which an approved redevelopment scheme under the </w:t>
      </w:r>
      <w:r>
        <w:rPr>
          <w:i/>
        </w:rPr>
        <w:t>Metropolitan Redevelopment Authority Act 2011</w:t>
      </w:r>
      <w:r>
        <w:t xml:space="preserve"> applies; or</w:t>
      </w:r>
    </w:p>
    <w:p>
      <w:pPr>
        <w:pStyle w:val="Indenta"/>
      </w:pPr>
      <w:r>
        <w:tab/>
        <w:t>(b)</w:t>
      </w:r>
      <w:r>
        <w:tab/>
        <w:t xml:space="preserve">in the redevelopment area as defined in the </w:t>
      </w:r>
      <w:r>
        <w:rPr>
          <w:i/>
          <w:iCs/>
        </w:rPr>
        <w:t>Hope Valley</w:t>
      </w:r>
      <w:r>
        <w:rPr>
          <w:i/>
          <w:iCs/>
        </w:rPr>
        <w:noBreakHyphen/>
        <w:t>Wattleup Redevelopment Act 2000</w:t>
      </w:r>
      <w:r>
        <w:t>; or</w:t>
      </w:r>
    </w:p>
    <w:p>
      <w:pPr>
        <w:pStyle w:val="Indenta"/>
        <w:rPr>
          <w:iCs/>
        </w:rPr>
      </w:pPr>
      <w:r>
        <w:tab/>
        <w:t>(c)</w:t>
      </w:r>
      <w:r>
        <w:tab/>
        <w:t xml:space="preserve">in the development control area as defined in the </w:t>
      </w:r>
      <w:r>
        <w:rPr>
          <w:i/>
        </w:rPr>
        <w:t>Swan and Canning Rivers Management Act 2006</w:t>
      </w:r>
      <w:r>
        <w:rPr>
          <w:iCs/>
        </w:rPr>
        <w:t>; or</w:t>
      </w:r>
    </w:p>
    <w:p>
      <w:pPr>
        <w:pStyle w:val="Indenta"/>
      </w:pPr>
      <w:r>
        <w:tab/>
        <w:t>(d)</w:t>
      </w:r>
      <w:r>
        <w:tab/>
        <w:t>in an improvement scheme area.</w:t>
      </w:r>
    </w:p>
    <w:p>
      <w:pPr>
        <w:pStyle w:val="Subsection"/>
      </w:pPr>
      <w:r>
        <w:tab/>
        <w:t>(3)</w:t>
      </w:r>
      <w:r>
        <w:tab/>
        <w:t xml:space="preserve">If the Commission considers that this Part should apply to any land in the Swan Valley,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the </w:t>
      </w:r>
      <w:r>
        <w:rPr>
          <w:i/>
        </w:rPr>
        <w:t>Heritage Act 2018</w:t>
      </w:r>
      <w:r>
        <w:t xml:space="preserve"> Part 5 Division 2.</w:t>
      </w:r>
    </w:p>
    <w:p>
      <w:pPr>
        <w:pStyle w:val="Subsection"/>
      </w:pPr>
      <w:r>
        <w:tab/>
        <w:t>(5)</w:t>
      </w:r>
      <w:r>
        <w:tab/>
        <w:t xml:space="preserve">Where any land is comprised within an area to which the Commission considers that this section should apply and is land to which the </w:t>
      </w:r>
      <w:r>
        <w:rPr>
          <w:i/>
        </w:rPr>
        <w:t xml:space="preserve">Heritage Act 2018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tab/>
        <w:t xml:space="preserve">[Section 112 amended: No. 52 of 2006 s. 6; No. 28 of 2010 s. 58; </w:t>
      </w:r>
      <w:r>
        <w:rPr>
          <w:spacing w:val="-4"/>
        </w:rPr>
        <w:t>No. 45 of 2011 s. 1</w:t>
      </w:r>
      <w:r>
        <w:t>41(7); No. 22 of 2018 s. 186(6) and (7).]</w:t>
      </w:r>
    </w:p>
    <w:p>
      <w:pPr>
        <w:pStyle w:val="Heading5"/>
      </w:pPr>
      <w:bookmarkStart w:id="403" w:name="_Toc77246308"/>
      <w:bookmarkStart w:id="404" w:name="_Toc74924057"/>
      <w:r>
        <w:rPr>
          <w:rStyle w:val="CharSectno"/>
        </w:rPr>
        <w:t>113</w:t>
      </w:r>
      <w:r>
        <w:t>.</w:t>
      </w:r>
      <w:r>
        <w:tab/>
        <w:t>Amending or revoking s. 112 declaration</w:t>
      </w:r>
      <w:bookmarkEnd w:id="403"/>
      <w:bookmarkEnd w:id="404"/>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405" w:name="_Toc77246309"/>
      <w:bookmarkStart w:id="406" w:name="_Toc74924058"/>
      <w:r>
        <w:rPr>
          <w:rStyle w:val="CharSectno"/>
        </w:rPr>
        <w:t>114</w:t>
      </w:r>
      <w:r>
        <w:t>.</w:t>
      </w:r>
      <w:r>
        <w:tab/>
        <w:t>Duration of s. 112 declaration</w:t>
      </w:r>
      <w:bookmarkEnd w:id="405"/>
      <w:bookmarkEnd w:id="406"/>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407" w:name="_Toc77246310"/>
      <w:bookmarkStart w:id="408" w:name="_Toc74924059"/>
      <w:r>
        <w:rPr>
          <w:rStyle w:val="CharSectno"/>
        </w:rPr>
        <w:t>115</w:t>
      </w:r>
      <w:r>
        <w:t>.</w:t>
      </w:r>
      <w:r>
        <w:tab/>
        <w:t>Development in planning control area, applying for approval of</w:t>
      </w:r>
      <w:bookmarkEnd w:id="407"/>
      <w:bookmarkEnd w:id="408"/>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409" w:name="_Toc77246311"/>
      <w:bookmarkStart w:id="410" w:name="_Toc74924060"/>
      <w:r>
        <w:rPr>
          <w:rStyle w:val="CharSectno"/>
        </w:rPr>
        <w:t>116</w:t>
      </w:r>
      <w:r>
        <w:t>.</w:t>
      </w:r>
      <w:r>
        <w:tab/>
        <w:t>Commission may approve or refuse s. 115 application</w:t>
      </w:r>
      <w:bookmarkEnd w:id="409"/>
      <w:bookmarkEnd w:id="410"/>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 and</w:t>
      </w:r>
    </w:p>
    <w:p>
      <w:pPr>
        <w:pStyle w:val="Indenti"/>
      </w:pPr>
      <w:r>
        <w:tab/>
        <w:t>(ii)</w:t>
      </w:r>
      <w:r>
        <w:tab/>
        <w:t>the purposes for which the land to which that application relates is zoned or reserved under any planning scheme; and</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Footnotesection"/>
      </w:pPr>
      <w:r>
        <w:tab/>
        <w:t xml:space="preserve">[Section 116 amended: No. 28 of 2010 s. 59.] </w:t>
      </w:r>
    </w:p>
    <w:p>
      <w:pPr>
        <w:pStyle w:val="Heading5"/>
        <w:spacing w:before="240"/>
      </w:pPr>
      <w:bookmarkStart w:id="411" w:name="_Toc77246312"/>
      <w:bookmarkStart w:id="412" w:name="_Toc74924061"/>
      <w:r>
        <w:rPr>
          <w:rStyle w:val="CharSectno"/>
        </w:rPr>
        <w:t>117</w:t>
      </w:r>
      <w:r>
        <w:t>.</w:t>
      </w:r>
      <w:r>
        <w:tab/>
        <w:t>Commission may revoke approval if development does not conform with it</w:t>
      </w:r>
      <w:bookmarkEnd w:id="411"/>
      <w:bookmarkEnd w:id="412"/>
    </w:p>
    <w:p>
      <w:pPr>
        <w:pStyle w:val="Subsection"/>
        <w:spacing w:before="180"/>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413" w:name="_Toc77246313"/>
      <w:bookmarkStart w:id="414" w:name="_Toc74924062"/>
      <w:r>
        <w:rPr>
          <w:rStyle w:val="CharSectno"/>
        </w:rPr>
        <w:t>118</w:t>
      </w:r>
      <w:r>
        <w:t>.</w:t>
      </w:r>
      <w:r>
        <w:tab/>
        <w:t>Existing lawful development not affected</w:t>
      </w:r>
      <w:bookmarkEnd w:id="413"/>
      <w:bookmarkEnd w:id="414"/>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415" w:name="_Toc77239360"/>
      <w:bookmarkStart w:id="416" w:name="_Toc77240264"/>
      <w:bookmarkStart w:id="417" w:name="_Toc77246314"/>
      <w:bookmarkStart w:id="418" w:name="_Toc74652375"/>
      <w:bookmarkStart w:id="419" w:name="_Toc74652841"/>
      <w:bookmarkStart w:id="420" w:name="_Toc74733559"/>
      <w:bookmarkStart w:id="421" w:name="_Toc74924063"/>
      <w:r>
        <w:rPr>
          <w:rStyle w:val="CharPartNo"/>
        </w:rPr>
        <w:t>Part 8</w:t>
      </w:r>
      <w:r>
        <w:rPr>
          <w:b w:val="0"/>
        </w:rPr>
        <w:t> </w:t>
      </w:r>
      <w:r>
        <w:t>—</w:t>
      </w:r>
      <w:r>
        <w:rPr>
          <w:b w:val="0"/>
        </w:rPr>
        <w:t> </w:t>
      </w:r>
      <w:r>
        <w:rPr>
          <w:rStyle w:val="CharPartText"/>
        </w:rPr>
        <w:t>Improvement plans and schemes</w:t>
      </w:r>
      <w:bookmarkEnd w:id="415"/>
      <w:bookmarkEnd w:id="416"/>
      <w:bookmarkEnd w:id="417"/>
      <w:bookmarkEnd w:id="418"/>
      <w:bookmarkEnd w:id="419"/>
      <w:bookmarkEnd w:id="420"/>
      <w:bookmarkEnd w:id="421"/>
    </w:p>
    <w:p>
      <w:pPr>
        <w:pStyle w:val="Footnoteheading"/>
      </w:pPr>
      <w:r>
        <w:tab/>
        <w:t>[Heading inserted: No. 28 of 2010 s. 9.]</w:t>
      </w:r>
    </w:p>
    <w:p>
      <w:pPr>
        <w:pStyle w:val="Heading3"/>
      </w:pPr>
      <w:bookmarkStart w:id="422" w:name="_Toc77239361"/>
      <w:bookmarkStart w:id="423" w:name="_Toc77240265"/>
      <w:bookmarkStart w:id="424" w:name="_Toc77246315"/>
      <w:bookmarkStart w:id="425" w:name="_Toc74652376"/>
      <w:bookmarkStart w:id="426" w:name="_Toc74652842"/>
      <w:bookmarkStart w:id="427" w:name="_Toc74733560"/>
      <w:bookmarkStart w:id="428" w:name="_Toc74924064"/>
      <w:r>
        <w:rPr>
          <w:rStyle w:val="CharDivNo"/>
        </w:rPr>
        <w:t>Division 1</w:t>
      </w:r>
      <w:r>
        <w:t> — </w:t>
      </w:r>
      <w:r>
        <w:rPr>
          <w:rStyle w:val="CharDivText"/>
        </w:rPr>
        <w:t>Improvement plans</w:t>
      </w:r>
      <w:bookmarkEnd w:id="422"/>
      <w:bookmarkEnd w:id="423"/>
      <w:bookmarkEnd w:id="424"/>
      <w:bookmarkEnd w:id="425"/>
      <w:bookmarkEnd w:id="426"/>
      <w:bookmarkEnd w:id="427"/>
      <w:bookmarkEnd w:id="428"/>
    </w:p>
    <w:p>
      <w:pPr>
        <w:pStyle w:val="Footnoteheading"/>
      </w:pPr>
      <w:r>
        <w:tab/>
        <w:t>[Heading inserted: No. 28 of 2010 s. 9.]</w:t>
      </w:r>
    </w:p>
    <w:p>
      <w:pPr>
        <w:pStyle w:val="Heading5"/>
      </w:pPr>
      <w:bookmarkStart w:id="429" w:name="_Toc77246316"/>
      <w:bookmarkStart w:id="430" w:name="_Toc74924065"/>
      <w:r>
        <w:rPr>
          <w:rStyle w:val="CharSectno"/>
        </w:rPr>
        <w:t>119</w:t>
      </w:r>
      <w:r>
        <w:t>.</w:t>
      </w:r>
      <w:r>
        <w:tab/>
        <w:t>Preparing and making improvement plan</w:t>
      </w:r>
      <w:bookmarkEnd w:id="429"/>
      <w:bookmarkEnd w:id="430"/>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pPr>
      <w:r>
        <w:tab/>
        <w:t>(2A)</w:t>
      </w:r>
      <w:r>
        <w:tab/>
        <w:t>A recommendation under subsection (1) may relate to land in 1 or more districts.</w:t>
      </w:r>
    </w:p>
    <w:p>
      <w:pPr>
        <w:pStyle w:val="Subsection"/>
        <w:keepNext/>
      </w:pPr>
      <w:r>
        <w:tab/>
        <w:t>(3A)</w:t>
      </w:r>
      <w:r>
        <w:tab/>
        <w:t xml:space="preserve">The power in subsection (1) cannot be exercised in respect of any land that is — </w:t>
      </w:r>
    </w:p>
    <w:p>
      <w:pPr>
        <w:pStyle w:val="Indenta"/>
      </w:pPr>
      <w:r>
        <w:tab/>
        <w:t>(a)</w:t>
      </w:r>
      <w:r>
        <w:tab/>
        <w:t xml:space="preserve">land to which an approved redevelopment scheme under the </w:t>
      </w:r>
      <w:r>
        <w:rPr>
          <w:i/>
        </w:rPr>
        <w:t xml:space="preserve">Metropolitan Redevelopment Authority Act 2011 </w:t>
      </w:r>
      <w:r>
        <w:rPr>
          <w:iCs/>
        </w:rPr>
        <w:t>applies</w:t>
      </w:r>
      <w:r>
        <w:t>; or</w:t>
      </w:r>
    </w:p>
    <w:p>
      <w:pPr>
        <w:pStyle w:val="Indenta"/>
        <w:rPr>
          <w:i/>
          <w:iCs/>
        </w:rPr>
      </w:pPr>
      <w:r>
        <w:tab/>
        <w:t>(b)</w:t>
      </w:r>
      <w:r>
        <w:tab/>
        <w:t xml:space="preserve">in the redevelopment area as defined in the </w:t>
      </w:r>
      <w:r>
        <w:rPr>
          <w:i/>
          <w:iCs/>
        </w:rPr>
        <w:t>Hope Valley</w:t>
      </w:r>
      <w:r>
        <w:rPr>
          <w:i/>
          <w:iCs/>
        </w:rPr>
        <w:noBreakHyphen/>
        <w:t>Wattleup Redevelopment Act 2000</w:t>
      </w:r>
      <w:r>
        <w:t>; or</w:t>
      </w:r>
    </w:p>
    <w:p>
      <w:pPr>
        <w:pStyle w:val="Indenta"/>
      </w:pPr>
      <w:r>
        <w:tab/>
        <w:t>(c)</w:t>
      </w:r>
      <w:r>
        <w:tab/>
        <w:t xml:space="preserve">in the development control area as defined in the </w:t>
      </w:r>
      <w:r>
        <w:rPr>
          <w:i/>
        </w:rPr>
        <w:t>Swan and Canning Rivers Management Act 2006</w:t>
      </w:r>
      <w:r>
        <w:t>.</w:t>
      </w:r>
    </w:p>
    <w:p>
      <w:pPr>
        <w:pStyle w:val="Subsection"/>
      </w:pPr>
      <w:r>
        <w:tab/>
        <w:t>(3B)</w:t>
      </w:r>
      <w:r>
        <w:tab/>
        <w:t xml:space="preserve">Before making a recommendation under subsection (1) in relation to any land, the Commission must consult with — </w:t>
      </w:r>
    </w:p>
    <w:p>
      <w:pPr>
        <w:pStyle w:val="Indenta"/>
      </w:pPr>
      <w:r>
        <w:tab/>
        <w:t>(a)</w:t>
      </w:r>
      <w:r>
        <w:tab/>
        <w:t>the local government for the district in which the land is situated; or</w:t>
      </w:r>
    </w:p>
    <w:p>
      <w:pPr>
        <w:pStyle w:val="Indenta"/>
      </w:pPr>
      <w:r>
        <w:tab/>
        <w:t>(b)</w:t>
      </w:r>
      <w:r>
        <w:tab/>
        <w:t>if the land is situated in more than 1 district — each of the local governments for those districts.</w:t>
      </w:r>
    </w:p>
    <w:p>
      <w:pPr>
        <w:pStyle w:val="Subsection"/>
      </w:pPr>
      <w:r>
        <w:tab/>
        <w:t>(3C)</w:t>
      </w:r>
      <w:r>
        <w:tab/>
        <w:t>An improvement plan that authorises the making of an improvement scheme must set out the objectives of the improvement scheme.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(5A)</w:t>
      </w:r>
      <w:r>
        <w:tab/>
        <w:t>The Minister must, as soon as is practicable after notice in respect of an improvement plan is published under subsection (4), cause a copy of the improvement plan to be laid before each House of Parliament or dealt with under section 268A.</w:t>
      </w:r>
    </w:p>
    <w:p>
      <w:pPr>
        <w:pStyle w:val="Subsection"/>
        <w:keepNext/>
      </w:pPr>
      <w:r>
        <w:tab/>
        <w:t>(5)</w:t>
      </w:r>
      <w:r>
        <w:tab/>
        <w:t>Section 195 applies in respect of the acquisition of land included in an improvement plan in force under this section.</w:t>
      </w:r>
    </w:p>
    <w:p>
      <w:pPr>
        <w:pStyle w:val="Footnotesection"/>
      </w:pPr>
      <w:r>
        <w:tab/>
        <w:t xml:space="preserve">[Section 119 amended: No. 28 of 2010 s. 10; </w:t>
      </w:r>
      <w:r>
        <w:rPr>
          <w:spacing w:val="-4"/>
        </w:rPr>
        <w:t>No. 45 of 2011 s. 1</w:t>
      </w:r>
      <w:r>
        <w:t xml:space="preserve">41(8); No. 26 of 2020 s. 97.] </w:t>
      </w:r>
    </w:p>
    <w:p>
      <w:pPr>
        <w:pStyle w:val="Heading5"/>
        <w:spacing w:before="120"/>
      </w:pPr>
      <w:bookmarkStart w:id="431" w:name="_Toc77246317"/>
      <w:bookmarkStart w:id="432" w:name="_Toc74924066"/>
      <w:r>
        <w:rPr>
          <w:rStyle w:val="CharSectno"/>
        </w:rPr>
        <w:t>120</w:t>
      </w:r>
      <w:r>
        <w:t>.</w:t>
      </w:r>
      <w:r>
        <w:tab/>
        <w:t>Amending or revoking improvement plan</w:t>
      </w:r>
      <w:bookmarkEnd w:id="431"/>
      <w:bookmarkEnd w:id="432"/>
    </w:p>
    <w:p>
      <w:pPr>
        <w:pStyle w:val="Subsection"/>
      </w:pPr>
      <w:r>
        <w:tab/>
        <w:t>(1)</w:t>
      </w:r>
      <w:r>
        <w:tab/>
        <w:t xml:space="preserve">The Commission may — </w:t>
      </w:r>
    </w:p>
    <w:p>
      <w:pPr>
        <w:pStyle w:val="Indenta"/>
        <w:spacing w:before="60"/>
      </w:pPr>
      <w:r>
        <w:tab/>
        <w:t>(a)</w:t>
      </w:r>
      <w:r>
        <w:tab/>
        <w:t>amend an improvement plan by notice of amendment; or</w:t>
      </w:r>
    </w:p>
    <w:p>
      <w:pPr>
        <w:pStyle w:val="Indenta"/>
        <w:spacing w:before="60"/>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pPr>
      <w:bookmarkStart w:id="433" w:name="_Toc77246318"/>
      <w:bookmarkStart w:id="434" w:name="_Toc74924067"/>
      <w:r>
        <w:rPr>
          <w:rStyle w:val="CharSectno"/>
        </w:rPr>
        <w:t>121</w:t>
      </w:r>
      <w:r>
        <w:t>.</w:t>
      </w:r>
      <w:r>
        <w:tab/>
        <w:t>Commission’s powers as to land under improvement plan</w:t>
      </w:r>
      <w:bookmarkEnd w:id="433"/>
      <w:bookmarkEnd w:id="434"/>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 and</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 and</w:t>
      </w:r>
    </w:p>
    <w:p>
      <w:pPr>
        <w:pStyle w:val="Indenta"/>
        <w:keepNext/>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 and</w:t>
      </w:r>
    </w:p>
    <w:p>
      <w:pPr>
        <w:pStyle w:val="Indenti"/>
      </w:pPr>
      <w:r>
        <w:tab/>
        <w:t>(ii)</w:t>
      </w:r>
      <w:r>
        <w:tab/>
        <w:t>the construction, repair, rehabilitation or improvement of any buildings, works, services, improvements or facilities on the land; 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 and</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3"/>
        <w:keepLines/>
      </w:pPr>
      <w:bookmarkStart w:id="435" w:name="_Toc77239365"/>
      <w:bookmarkStart w:id="436" w:name="_Toc77240269"/>
      <w:bookmarkStart w:id="437" w:name="_Toc77246319"/>
      <w:bookmarkStart w:id="438" w:name="_Toc74652380"/>
      <w:bookmarkStart w:id="439" w:name="_Toc74652846"/>
      <w:bookmarkStart w:id="440" w:name="_Toc74733564"/>
      <w:bookmarkStart w:id="441" w:name="_Toc74924068"/>
      <w:r>
        <w:rPr>
          <w:rStyle w:val="CharDivNo"/>
        </w:rPr>
        <w:t>Division 2</w:t>
      </w:r>
      <w:r>
        <w:t> — </w:t>
      </w:r>
      <w:r>
        <w:rPr>
          <w:rStyle w:val="CharDivText"/>
        </w:rPr>
        <w:t>Improvement schemes</w:t>
      </w:r>
      <w:bookmarkEnd w:id="435"/>
      <w:bookmarkEnd w:id="436"/>
      <w:bookmarkEnd w:id="437"/>
      <w:bookmarkEnd w:id="438"/>
      <w:bookmarkEnd w:id="439"/>
      <w:bookmarkEnd w:id="440"/>
      <w:bookmarkEnd w:id="441"/>
    </w:p>
    <w:p>
      <w:pPr>
        <w:pStyle w:val="Footnoteheading"/>
        <w:keepNext/>
        <w:keepLines/>
      </w:pPr>
      <w:r>
        <w:tab/>
        <w:t>[Heading inserted: No. 28 of 2010 s. 11.]</w:t>
      </w:r>
    </w:p>
    <w:p>
      <w:pPr>
        <w:pStyle w:val="Heading5"/>
        <w:spacing w:before="180"/>
      </w:pPr>
      <w:bookmarkStart w:id="442" w:name="_Toc77246320"/>
      <w:bookmarkStart w:id="443" w:name="_Toc74924069"/>
      <w:r>
        <w:rPr>
          <w:rStyle w:val="CharSectno"/>
        </w:rPr>
        <w:t>122A</w:t>
      </w:r>
      <w:r>
        <w:t>.</w:t>
      </w:r>
      <w:r>
        <w:tab/>
        <w:t>Content of improvement scheme</w:t>
      </w:r>
      <w:bookmarkEnd w:id="442"/>
      <w:bookmarkEnd w:id="443"/>
    </w:p>
    <w:p>
      <w:pPr>
        <w:pStyle w:val="Subsection"/>
        <w:keepNext/>
        <w:keepLines/>
      </w:pPr>
      <w:r>
        <w:tab/>
        <w:t>(1)</w:t>
      </w:r>
      <w:r>
        <w:tab/>
        <w:t>Without limiting section 119, an improvement plan may authorise the making of an improvement scheme by the Commission in respect of some or all of the land to which the improvement plan applies.</w:t>
      </w:r>
    </w:p>
    <w:p>
      <w:pPr>
        <w:pStyle w:val="Subsection"/>
        <w:keepNext/>
        <w:keepLines/>
      </w:pPr>
      <w:r>
        <w:tab/>
        <w:t>(2)</w:t>
      </w:r>
      <w:r>
        <w:tab/>
        <w:t xml:space="preserve">An improvement scheme must specify the land to which it applies (the </w:t>
      </w:r>
      <w:r>
        <w:rPr>
          <w:rStyle w:val="CharDefText"/>
        </w:rPr>
        <w:t>improvement scheme area</w:t>
      </w:r>
      <w:r>
        <w:t>).</w:t>
      </w:r>
    </w:p>
    <w:p>
      <w:pPr>
        <w:pStyle w:val="Subsection"/>
      </w:pPr>
      <w:r>
        <w:tab/>
        <w:t>(3)</w:t>
      </w:r>
      <w:r>
        <w:tab/>
        <w:t xml:space="preserve">An improvement scheme may, in relation to the whole or any part of the relevant improvement scheme area, provide for all or any of — </w:t>
      </w:r>
    </w:p>
    <w:p>
      <w:pPr>
        <w:pStyle w:val="Indenta"/>
      </w:pPr>
      <w:r>
        <w:tab/>
        <w:t>(a)</w:t>
      </w:r>
      <w:r>
        <w:tab/>
        <w:t>the matters referred to in section 119(1)(a); and</w:t>
      </w:r>
    </w:p>
    <w:p>
      <w:pPr>
        <w:pStyle w:val="Indenta"/>
      </w:pPr>
      <w:r>
        <w:tab/>
        <w:t>(b)</w:t>
      </w:r>
      <w:r>
        <w:tab/>
        <w:t>the objects, purposes, provisions, powers and works referred to in section 69(1).</w:t>
      </w:r>
    </w:p>
    <w:p>
      <w:pPr>
        <w:pStyle w:val="Footnotesection"/>
      </w:pPr>
      <w:r>
        <w:tab/>
        <w:t xml:space="preserve">[Section 122A inserted: No. 28 of 2010 s. 11.] </w:t>
      </w:r>
    </w:p>
    <w:p>
      <w:pPr>
        <w:pStyle w:val="Heading5"/>
      </w:pPr>
      <w:bookmarkStart w:id="444" w:name="_Toc77246321"/>
      <w:bookmarkStart w:id="445" w:name="_Toc74924070"/>
      <w:r>
        <w:rPr>
          <w:rStyle w:val="CharSectno"/>
        </w:rPr>
        <w:t>122B</w:t>
      </w:r>
      <w:r>
        <w:t>.</w:t>
      </w:r>
      <w:r>
        <w:tab/>
        <w:t>Preparing, approving and reviewing improvement scheme</w:t>
      </w:r>
      <w:bookmarkEnd w:id="444"/>
      <w:bookmarkEnd w:id="445"/>
    </w:p>
    <w:p>
      <w:pPr>
        <w:pStyle w:val="Subsection"/>
      </w:pPr>
      <w:r>
        <w:tab/>
        <w:t>(1)</w:t>
      </w:r>
      <w:r>
        <w:tab/>
        <w:t xml:space="preserve">Sections 75, 77 and 79 to 95 apply, with such modifications as are necessary, to and in relation to an improvement scheme as if, in each of those provisions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 and</w:t>
      </w:r>
    </w:p>
    <w:p>
      <w:pPr>
        <w:pStyle w:val="Indenta"/>
      </w:pPr>
      <w:r>
        <w:tab/>
        <w:t>(c)</w:t>
      </w:r>
      <w:r>
        <w:tab/>
        <w:t>a reference to a local government district or land in a district were a reference to the improvement scheme area.</w:t>
      </w:r>
    </w:p>
    <w:p>
      <w:pPr>
        <w:pStyle w:val="Subsection"/>
      </w:pPr>
      <w:r>
        <w:tab/>
        <w:t>(2)</w:t>
      </w:r>
      <w:r>
        <w:tab/>
        <w:t xml:space="preserve">Section 78 applies to and in relation to an improvement scheme — </w:t>
      </w:r>
    </w:p>
    <w:p>
      <w:pPr>
        <w:pStyle w:val="Indenta"/>
      </w:pPr>
      <w:r>
        <w:tab/>
        <w:t>(a)</w:t>
      </w:r>
      <w:r>
        <w:tab/>
        <w:t>in the manner set out in subsection (1); and</w:t>
      </w:r>
    </w:p>
    <w:p>
      <w:pPr>
        <w:pStyle w:val="Indenta"/>
      </w:pPr>
      <w:r>
        <w:tab/>
        <w:t>(b)</w:t>
      </w:r>
      <w:r>
        <w:tab/>
        <w:t>as if a reference in that section to the City of Swan were a reference to the Commission; and</w:t>
      </w:r>
    </w:p>
    <w:p>
      <w:pPr>
        <w:pStyle w:val="Indenta"/>
        <w:keepNext/>
      </w:pPr>
      <w:r>
        <w:tab/>
        <w:t>(c)</w:t>
      </w:r>
      <w:r>
        <w:tab/>
        <w:t>as if subsections (4) and (5) were deleted and the following subsection were inserted:</w:t>
      </w:r>
    </w:p>
    <w:p>
      <w:pPr>
        <w:pStyle w:val="BlankOpen"/>
      </w:pPr>
    </w:p>
    <w:p>
      <w:pPr>
        <w:pStyle w:val="zSubsection"/>
        <w:tabs>
          <w:tab w:val="clear" w:pos="1162"/>
          <w:tab w:val="clear" w:pos="1446"/>
          <w:tab w:val="right" w:pos="1560"/>
          <w:tab w:val="left" w:pos="1920"/>
        </w:tabs>
        <w:ind w:left="1923"/>
      </w:pPr>
      <w:r>
        <w:tab/>
        <w:t>(4)</w:t>
      </w:r>
      <w:r>
        <w:tab/>
        <w:t>The Commission must have regard to, but is not bound to accept, the advice of the Swan Valley Planning Committee.</w:t>
      </w:r>
    </w:p>
    <w:p>
      <w:pPr>
        <w:pStyle w:val="Subsection"/>
      </w:pPr>
      <w:r>
        <w:tab/>
        <w:t>(3A)</w:t>
      </w:r>
      <w:r>
        <w:tab/>
        <w:t>Before submitting an improvement scheme or amendment to an improvement scheme to the Minister under section 87, the Commission must consult with any affected local government.</w:t>
      </w:r>
    </w:p>
    <w:p>
      <w:pPr>
        <w:pStyle w:val="Subsection"/>
      </w:pPr>
      <w:r>
        <w:tab/>
        <w:t>(3B)</w:t>
      </w:r>
      <w:r>
        <w:tab/>
        <w:t>In subsection (3A) —</w:t>
      </w:r>
    </w:p>
    <w:p>
      <w:pPr>
        <w:pStyle w:val="Defstart"/>
      </w:pPr>
      <w:r>
        <w:tab/>
      </w:r>
      <w:r>
        <w:rPr>
          <w:rStyle w:val="CharDefText"/>
        </w:rPr>
        <w:t>affected local government</w:t>
      </w:r>
      <w:r>
        <w:t xml:space="preserve"> means —</w:t>
      </w:r>
    </w:p>
    <w:p>
      <w:pPr>
        <w:pStyle w:val="Defpara"/>
      </w:pPr>
      <w:r>
        <w:tab/>
        <w:t>(a)</w:t>
      </w:r>
      <w:r>
        <w:tab/>
        <w:t>in the case of an improvement scheme — a local government in the district of which the improvement scheme is proposed to apply; and</w:t>
      </w:r>
    </w:p>
    <w:p>
      <w:pPr>
        <w:pStyle w:val="Defpara"/>
      </w:pPr>
      <w:r>
        <w:tab/>
        <w:t>(b)</w:t>
      </w:r>
      <w:r>
        <w:tab/>
        <w:t>in the case of an amendment — a local government in the district of which the improvement scheme applies.</w:t>
      </w:r>
    </w:p>
    <w:p>
      <w:pPr>
        <w:pStyle w:val="Subsection"/>
      </w:pPr>
      <w:r>
        <w:tab/>
        <w:t>(3)</w:t>
      </w:r>
      <w:r>
        <w:tab/>
        <w:t>Regulations made under section 258 apply, with such modifications as are necessary, to and in relation to an improvement scheme as if the improvement scheme were a local planning scheme.</w:t>
      </w:r>
    </w:p>
    <w:p>
      <w:pPr>
        <w:pStyle w:val="Subsection"/>
      </w:pPr>
      <w:r>
        <w:tab/>
        <w:t>(4)</w:t>
      </w:r>
      <w:r>
        <w:tab/>
        <w:t xml:space="preserve">An improvement scheme may be repealed by an instrument of repeal prepared by the Commission, approved by the Minister and published in the </w:t>
      </w:r>
      <w:r>
        <w:rPr>
          <w:i/>
          <w:iCs/>
        </w:rPr>
        <w:t>Gazette</w:t>
      </w:r>
      <w:r>
        <w:t>.</w:t>
      </w:r>
    </w:p>
    <w:p>
      <w:pPr>
        <w:pStyle w:val="Subsection"/>
      </w:pPr>
      <w:r>
        <w:tab/>
        <w:t>(5)</w:t>
      </w:r>
      <w:r>
        <w:tab/>
        <w:t xml:space="preserve">Unless otherwise specified in an instrument of repeal, the instrument has effect on the day on which it is published in the </w:t>
      </w:r>
      <w:r>
        <w:rPr>
          <w:i/>
          <w:iCs/>
        </w:rPr>
        <w:t>Gazette</w:t>
      </w:r>
      <w:r>
        <w:t>.</w:t>
      </w:r>
    </w:p>
    <w:p>
      <w:pPr>
        <w:pStyle w:val="Subsection"/>
      </w:pPr>
      <w:r>
        <w:tab/>
        <w:t>(6)</w:t>
      </w:r>
      <w:r>
        <w:tab/>
        <w:t xml:space="preserve">The Minister must not approve an amendment to an improvement scheme that removes land from an improvement scheme area, or approve an instrument of repeal under subsection (4), unless satisfied that any other planning scheme, insofar as it will apply to the improvement scheme area on the amendment day or repeal day, does not — </w:t>
      </w:r>
    </w:p>
    <w:p>
      <w:pPr>
        <w:pStyle w:val="Indenta"/>
      </w:pPr>
      <w:r>
        <w:tab/>
        <w:t>(a)</w:t>
      </w:r>
      <w:r>
        <w:tab/>
        <w:t>prevent any development that would be permitted; or</w:t>
      </w:r>
    </w:p>
    <w:p>
      <w:pPr>
        <w:pStyle w:val="Indenta"/>
      </w:pPr>
      <w:r>
        <w:tab/>
        <w:t>(b)</w:t>
      </w:r>
      <w:r>
        <w:tab/>
        <w:t>allow any development that would not be permitted,</w:t>
      </w:r>
    </w:p>
    <w:p>
      <w:pPr>
        <w:pStyle w:val="Subsection"/>
      </w:pPr>
      <w:r>
        <w:tab/>
      </w:r>
      <w:r>
        <w:tab/>
        <w:t>in the improvement scheme area immediately before the amendment day or repeal day.</w:t>
      </w:r>
    </w:p>
    <w:p>
      <w:pPr>
        <w:pStyle w:val="Subsection"/>
        <w:keepNext/>
      </w:pPr>
      <w:r>
        <w:tab/>
        <w:t>(7)</w:t>
      </w:r>
      <w:r>
        <w:tab/>
        <w:t xml:space="preserve">In subsection (6) — </w:t>
      </w:r>
    </w:p>
    <w:p>
      <w:pPr>
        <w:pStyle w:val="Defstart"/>
      </w:pPr>
      <w:r>
        <w:tab/>
      </w:r>
      <w:r>
        <w:rPr>
          <w:rStyle w:val="CharDefText"/>
        </w:rPr>
        <w:t>amendment day</w:t>
      </w:r>
      <w:r>
        <w:t>, for an improvement scheme, means the day on which the amendment to the scheme has effect;</w:t>
      </w:r>
    </w:p>
    <w:p>
      <w:pPr>
        <w:pStyle w:val="Defstart"/>
      </w:pPr>
      <w:r>
        <w:tab/>
      </w:r>
      <w:r>
        <w:rPr>
          <w:rStyle w:val="CharDefText"/>
        </w:rPr>
        <w:t>repeal day</w:t>
      </w:r>
      <w:r>
        <w:t>, for an improvement scheme, means the day on which an instrument of repeal of that scheme has effect.</w:t>
      </w:r>
    </w:p>
    <w:p>
      <w:pPr>
        <w:pStyle w:val="Footnotesection"/>
      </w:pPr>
      <w:r>
        <w:tab/>
        <w:t xml:space="preserve">[Section 122B inserted: No. 28 of 2010 s. 11.] </w:t>
      </w:r>
    </w:p>
    <w:p>
      <w:pPr>
        <w:pStyle w:val="Heading5"/>
      </w:pPr>
      <w:bookmarkStart w:id="446" w:name="_Toc77246322"/>
      <w:bookmarkStart w:id="447" w:name="_Toc74924071"/>
      <w:r>
        <w:rPr>
          <w:rStyle w:val="CharSectno"/>
        </w:rPr>
        <w:t>122C</w:t>
      </w:r>
      <w:r>
        <w:t>.</w:t>
      </w:r>
      <w:r>
        <w:tab/>
        <w:t>Existing lawful development not affected</w:t>
      </w:r>
      <w:bookmarkEnd w:id="446"/>
      <w:bookmarkEnd w:id="447"/>
    </w:p>
    <w:p>
      <w:pPr>
        <w:pStyle w:val="Subsection"/>
      </w:pPr>
      <w:r>
        <w:tab/>
        <w:t>(1)</w:t>
      </w:r>
      <w:r>
        <w:tab/>
        <w:t>This Division (other than this section) does not apply to a development that was lawfully being carried out on land immediately before an improvement scheme applied to the land.</w:t>
      </w:r>
    </w:p>
    <w:p>
      <w:pPr>
        <w:pStyle w:val="Subsection"/>
      </w:pPr>
      <w:r>
        <w:tab/>
        <w:t>(2)</w:t>
      </w:r>
      <w:r>
        <w:tab/>
        <w:t xml:space="preserve">A development referred to in subsection (1) or in respect of which all necessary approvals under the relevant region planning scheme and local planning scheme were in force immediately before the improvement scheme applied to the land — </w:t>
      </w:r>
    </w:p>
    <w:p>
      <w:pPr>
        <w:pStyle w:val="Indenta"/>
      </w:pPr>
      <w:r>
        <w:tab/>
        <w:t>(a)</w:t>
      </w:r>
      <w:r>
        <w:tab/>
        <w:t>may be lawfully carried out as if this Division had not been enacted; and</w:t>
      </w:r>
    </w:p>
    <w:p>
      <w:pPr>
        <w:pStyle w:val="Indenta"/>
      </w:pPr>
      <w:r>
        <w:tab/>
        <w:t>(b)</w:t>
      </w:r>
      <w:r>
        <w:tab/>
        <w:t>is governed by those schemes despite section 122D.</w:t>
      </w:r>
    </w:p>
    <w:p>
      <w:pPr>
        <w:pStyle w:val="Footnotesection"/>
      </w:pPr>
      <w:r>
        <w:tab/>
        <w:t xml:space="preserve">[Section 122C inserted: No. 28 of 2010 s. 11.] </w:t>
      </w:r>
    </w:p>
    <w:p>
      <w:pPr>
        <w:pStyle w:val="Heading5"/>
      </w:pPr>
      <w:bookmarkStart w:id="448" w:name="_Toc77246323"/>
      <w:bookmarkStart w:id="449" w:name="_Toc74924072"/>
      <w:r>
        <w:rPr>
          <w:rStyle w:val="CharSectno"/>
        </w:rPr>
        <w:t>122D</w:t>
      </w:r>
      <w:r>
        <w:t>.</w:t>
      </w:r>
      <w:r>
        <w:tab/>
        <w:t>Effect of improvement scheme on other planning schemes</w:t>
      </w:r>
      <w:bookmarkEnd w:id="448"/>
      <w:bookmarkEnd w:id="449"/>
    </w:p>
    <w:p>
      <w:pPr>
        <w:pStyle w:val="Subsection"/>
      </w:pPr>
      <w:r>
        <w:tab/>
        <w:t>(1)</w:t>
      </w:r>
      <w:r>
        <w:tab/>
        <w:t xml:space="preserve">In this section — </w:t>
      </w:r>
    </w:p>
    <w:p>
      <w:pPr>
        <w:pStyle w:val="Defstart"/>
      </w:pPr>
      <w:r>
        <w:tab/>
      </w:r>
      <w:r>
        <w:rPr>
          <w:rStyle w:val="CharDefText"/>
        </w:rPr>
        <w:t>start day</w:t>
      </w:r>
      <w:r>
        <w:t>, for an improvement scheme, means the day on which the improvement scheme has effect under section 87(4) as applied by section 122B(1).</w:t>
      </w:r>
    </w:p>
    <w:p>
      <w:pPr>
        <w:pStyle w:val="Subsection"/>
      </w:pPr>
      <w:r>
        <w:tab/>
        <w:t>(2)</w:t>
      </w:r>
      <w:r>
        <w:tab/>
        <w:t xml:space="preserve">On the start day for an improvement scheme, any other planning scheme that applies to land in the improvement scheme area immediately before that day ceases to apply — </w:t>
      </w:r>
    </w:p>
    <w:p>
      <w:pPr>
        <w:pStyle w:val="Indenta"/>
      </w:pPr>
      <w:r>
        <w:tab/>
        <w:t>(a)</w:t>
      </w:r>
      <w:r>
        <w:tab/>
        <w:t>to that land; and</w:t>
      </w:r>
    </w:p>
    <w:p>
      <w:pPr>
        <w:pStyle w:val="Indenta"/>
      </w:pPr>
      <w:r>
        <w:tab/>
        <w:t>(b)</w:t>
      </w:r>
      <w:r>
        <w:tab/>
        <w:t>to any development of that land commenced on or after that day.</w:t>
      </w:r>
    </w:p>
    <w:p>
      <w:pPr>
        <w:pStyle w:val="Subsection"/>
      </w:pPr>
      <w:r>
        <w:tab/>
        <w:t>(3)</w:t>
      </w:r>
      <w:r>
        <w:tab/>
        <w:t xml:space="preserve">If, after the start day, any land is added to an improvement scheme area by an amendment to the improvement scheme, any other planning scheme that applies to the land area immediately before the amendment comes into operation ceases to apply — </w:t>
      </w:r>
    </w:p>
    <w:p>
      <w:pPr>
        <w:pStyle w:val="Indenta"/>
      </w:pPr>
      <w:r>
        <w:tab/>
        <w:t>(a)</w:t>
      </w:r>
      <w:r>
        <w:tab/>
        <w:t>to that land; and</w:t>
      </w:r>
    </w:p>
    <w:p>
      <w:pPr>
        <w:pStyle w:val="Indenta"/>
      </w:pPr>
      <w:r>
        <w:tab/>
        <w:t>(b)</w:t>
      </w:r>
      <w:r>
        <w:tab/>
        <w:t>to any development of that land commenced on or after that time.</w:t>
      </w:r>
    </w:p>
    <w:p>
      <w:pPr>
        <w:pStyle w:val="Subsection"/>
      </w:pPr>
      <w:r>
        <w:tab/>
        <w:t>(4)</w:t>
      </w:r>
      <w:r>
        <w:tab/>
        <w:t>Subsections (2) and (3) do not affect the operation of sections 122I to 122K.</w:t>
      </w:r>
    </w:p>
    <w:p>
      <w:pPr>
        <w:pStyle w:val="Subsection"/>
      </w:pPr>
      <w:r>
        <w:tab/>
        <w:t>(5)</w:t>
      </w:r>
      <w:r>
        <w:tab/>
        <w:t xml:space="preserve">The </w:t>
      </w:r>
      <w:r>
        <w:rPr>
          <w:i/>
          <w:iCs/>
        </w:rPr>
        <w:t>Interpretation Act 1984</w:t>
      </w:r>
      <w:r>
        <w:t xml:space="preserve"> section 37 applies in respect of subsections (2) and (3) as if a planning scheme were an enactment and the subsections repealed the scheme in so far as it applies to the land in the improvement scheme area and development of that land.</w:t>
      </w:r>
    </w:p>
    <w:p>
      <w:pPr>
        <w:pStyle w:val="Subsection"/>
      </w:pPr>
      <w:r>
        <w:tab/>
        <w:t>(6)</w:t>
      </w:r>
      <w:r>
        <w:tab/>
        <w:t>Subsection (5) has effect subject to any provision of an improvement scheme that relates to non</w:t>
      </w:r>
      <w:r>
        <w:noBreakHyphen/>
        <w:t>conforming uses.</w:t>
      </w:r>
    </w:p>
    <w:p>
      <w:pPr>
        <w:pStyle w:val="Footnotesection"/>
      </w:pPr>
      <w:r>
        <w:tab/>
        <w:t xml:space="preserve">[Section 122D inserted: No. 28 of 2010 s. 11.] </w:t>
      </w:r>
    </w:p>
    <w:p>
      <w:pPr>
        <w:pStyle w:val="Heading5"/>
      </w:pPr>
      <w:bookmarkStart w:id="450" w:name="_Toc77246324"/>
      <w:bookmarkStart w:id="451" w:name="_Toc74924073"/>
      <w:r>
        <w:rPr>
          <w:rStyle w:val="CharSectno"/>
        </w:rPr>
        <w:t>122E</w:t>
      </w:r>
      <w:r>
        <w:t>.</w:t>
      </w:r>
      <w:r>
        <w:tab/>
        <w:t>Removal of land from improvement scheme area or repeal of improvement scheme, effect of</w:t>
      </w:r>
      <w:bookmarkEnd w:id="450"/>
      <w:bookmarkEnd w:id="451"/>
    </w:p>
    <w:p>
      <w:pPr>
        <w:pStyle w:val="Subsection"/>
      </w:pPr>
      <w:r>
        <w:tab/>
        <w:t>(1)</w:t>
      </w:r>
      <w:r>
        <w:tab/>
        <w:t xml:space="preserve">If land is removed from an improvement scheme area by an amendment to an improvement scheme (the </w:t>
      </w:r>
      <w:r>
        <w:rPr>
          <w:rStyle w:val="CharDefText"/>
        </w:rPr>
        <w:t>removed land</w:t>
      </w:r>
      <w:r>
        <w:t xml:space="preserve">) — </w:t>
      </w:r>
    </w:p>
    <w:p>
      <w:pPr>
        <w:pStyle w:val="Indenta"/>
      </w:pPr>
      <w:r>
        <w:tab/>
        <w:t>(a)</w:t>
      </w:r>
      <w:r>
        <w:tab/>
        <w:t>the improvement scheme for the area ceases to apply to the removed land; and</w:t>
      </w:r>
    </w:p>
    <w:p>
      <w:pPr>
        <w:pStyle w:val="Indenta"/>
      </w:pPr>
      <w:r>
        <w:tab/>
        <w:t>(b)</w:t>
      </w:r>
      <w:r>
        <w:tab/>
        <w:t>a planning scheme that, but for section 122D, would apply to the land, applies to the land.</w:t>
      </w:r>
    </w:p>
    <w:p>
      <w:pPr>
        <w:pStyle w:val="Subsection"/>
      </w:pPr>
      <w:r>
        <w:tab/>
        <w:t>(2)</w:t>
      </w:r>
      <w:r>
        <w:tab/>
        <w:t>If an improvement scheme is repealed, a planning scheme that, but for section 122D would apply to the improvement scheme area, applies to the area.</w:t>
      </w:r>
    </w:p>
    <w:p>
      <w:pPr>
        <w:pStyle w:val="Footnotesection"/>
      </w:pPr>
      <w:r>
        <w:tab/>
        <w:t xml:space="preserve">[Section 122E inserted: No. 28 of 2010 s. 11.] </w:t>
      </w:r>
    </w:p>
    <w:p>
      <w:pPr>
        <w:pStyle w:val="Heading5"/>
      </w:pPr>
      <w:bookmarkStart w:id="452" w:name="_Toc77246325"/>
      <w:bookmarkStart w:id="453" w:name="_Toc74924074"/>
      <w:r>
        <w:rPr>
          <w:rStyle w:val="CharSectno"/>
        </w:rPr>
        <w:t>122F</w:t>
      </w:r>
      <w:r>
        <w:t>.</w:t>
      </w:r>
      <w:r>
        <w:tab/>
        <w:t>Amended improvement scheme area, transitional provisions for</w:t>
      </w:r>
      <w:bookmarkEnd w:id="452"/>
      <w:bookmarkEnd w:id="453"/>
    </w:p>
    <w:p>
      <w:pPr>
        <w:pStyle w:val="Subsection"/>
        <w:spacing w:before="120"/>
      </w:pPr>
      <w:r>
        <w:tab/>
      </w:r>
      <w:r>
        <w:tab/>
        <w:t>If land is added to or removed from an improvement scheme area by amendment to the improvement scheme, regulations may make provisions of a transitional nature that are expedient to be made, including provisions that save rights existing at the time of the amendment, but subject to any provisions of the improvement scheme relating to non</w:t>
      </w:r>
      <w:r>
        <w:noBreakHyphen/>
        <w:t>conforming uses.</w:t>
      </w:r>
    </w:p>
    <w:p>
      <w:pPr>
        <w:pStyle w:val="Footnotesection"/>
      </w:pPr>
      <w:r>
        <w:tab/>
        <w:t xml:space="preserve">[Section 122F inserted: No. 28 of 2010 s. 11.] </w:t>
      </w:r>
    </w:p>
    <w:p>
      <w:pPr>
        <w:pStyle w:val="Heading5"/>
        <w:spacing w:before="180"/>
      </w:pPr>
      <w:bookmarkStart w:id="454" w:name="_Toc77246326"/>
      <w:bookmarkStart w:id="455" w:name="_Toc74924075"/>
      <w:r>
        <w:rPr>
          <w:rStyle w:val="CharSectno"/>
        </w:rPr>
        <w:t>122G</w:t>
      </w:r>
      <w:r>
        <w:t>.</w:t>
      </w:r>
      <w:r>
        <w:tab/>
        <w:t>Applications for development pending when land removed or improvement scheme repealed</w:t>
      </w:r>
      <w:bookmarkEnd w:id="454"/>
      <w:bookmarkEnd w:id="455"/>
    </w:p>
    <w:p>
      <w:pPr>
        <w:pStyle w:val="Subsection"/>
        <w:spacing w:before="120"/>
      </w:pPr>
      <w:r>
        <w:tab/>
        <w:t>(1)</w:t>
      </w:r>
      <w:r>
        <w:tab/>
        <w:t xml:space="preserve">This section applies if — </w:t>
      </w:r>
    </w:p>
    <w:p>
      <w:pPr>
        <w:pStyle w:val="Indenta"/>
      </w:pPr>
      <w:r>
        <w:tab/>
        <w:t>(a)</w:t>
      </w:r>
      <w:r>
        <w:tab/>
        <w:t xml:space="preserve">when land is removed from an improvement scheme area by an amendment to an improvement scheme (the </w:t>
      </w:r>
      <w:r>
        <w:rPr>
          <w:rStyle w:val="CharDefText"/>
        </w:rPr>
        <w:t>removed land</w:t>
      </w:r>
      <w:r>
        <w:t>); or</w:t>
      </w:r>
    </w:p>
    <w:p>
      <w:pPr>
        <w:pStyle w:val="Indenta"/>
      </w:pPr>
      <w:r>
        <w:tab/>
        <w:t>(b)</w:t>
      </w:r>
      <w:r>
        <w:tab/>
        <w:t>when an improvement scheme is repealed,</w:t>
      </w:r>
    </w:p>
    <w:p>
      <w:pPr>
        <w:pStyle w:val="Subsection"/>
        <w:spacing w:before="120"/>
      </w:pPr>
      <w:r>
        <w:tab/>
      </w:r>
      <w:r>
        <w:tab/>
        <w:t xml:space="preserve">an application for approval of development of any of the removed land or of any part of the improvement scheme area under the repealed improvement scheme made under this Act to the Commission — </w:t>
      </w:r>
    </w:p>
    <w:p>
      <w:pPr>
        <w:pStyle w:val="Indenta"/>
      </w:pPr>
      <w:r>
        <w:tab/>
        <w:t>(c)</w:t>
      </w:r>
      <w:r>
        <w:tab/>
        <w:t>has not been determined by the Commission; or</w:t>
      </w:r>
    </w:p>
    <w:p>
      <w:pPr>
        <w:pStyle w:val="Indenta"/>
      </w:pPr>
      <w:r>
        <w:tab/>
        <w:t>(d)</w:t>
      </w:r>
      <w:r>
        <w:tab/>
        <w:t>having been so determined, is the subject of an application to the State Administrative Tribunal for a review that has not been finalised.</w:t>
      </w:r>
    </w:p>
    <w:p>
      <w:pPr>
        <w:pStyle w:val="Subsection"/>
        <w:spacing w:before="120"/>
      </w:pPr>
      <w:r>
        <w:tab/>
        <w:t>(2)</w:t>
      </w:r>
      <w:r>
        <w:tab/>
        <w:t>This Act continues to apply, and the Commission must continue to perform its functions, in relation to the application for approval and any application for review as if the land had not been removed or the scheme had not been repealed, as the case requires.</w:t>
      </w:r>
    </w:p>
    <w:p>
      <w:pPr>
        <w:pStyle w:val="Subsection"/>
        <w:spacing w:before="120"/>
      </w:pPr>
      <w:r>
        <w:tab/>
        <w:t>(3)</w:t>
      </w:r>
      <w:r>
        <w:tab/>
        <w:t>This section applies irrespective of whether or not another planning scheme applies to the land after the land is removed or the improvement scheme is repealed.</w:t>
      </w:r>
    </w:p>
    <w:p>
      <w:pPr>
        <w:pStyle w:val="Footnotesection"/>
        <w:spacing w:before="80"/>
        <w:ind w:left="890" w:hanging="890"/>
      </w:pPr>
      <w:r>
        <w:tab/>
        <w:t xml:space="preserve">[Section 122G inserted: No. 28 of 2010 s. 11.] </w:t>
      </w:r>
    </w:p>
    <w:p>
      <w:pPr>
        <w:pStyle w:val="Heading5"/>
      </w:pPr>
      <w:bookmarkStart w:id="456" w:name="_Toc77246327"/>
      <w:bookmarkStart w:id="457" w:name="_Toc74924076"/>
      <w:r>
        <w:rPr>
          <w:rStyle w:val="CharSectno"/>
        </w:rPr>
        <w:t>122H</w:t>
      </w:r>
      <w:r>
        <w:t>.</w:t>
      </w:r>
      <w:r>
        <w:tab/>
        <w:t>Permanently closing street in improvement scheme area</w:t>
      </w:r>
      <w:bookmarkEnd w:id="456"/>
      <w:bookmarkEnd w:id="457"/>
    </w:p>
    <w:p>
      <w:pPr>
        <w:pStyle w:val="Subsection"/>
      </w:pPr>
      <w:r>
        <w:tab/>
      </w:r>
      <w:r>
        <w:tab/>
        <w:t xml:space="preserve">For the purposes of permanently closing a street in an improvement scheme area, the </w:t>
      </w:r>
      <w:r>
        <w:rPr>
          <w:i/>
          <w:iCs/>
        </w:rPr>
        <w:t>Land Administration Act 1997</w:t>
      </w:r>
      <w:r>
        <w:t xml:space="preserve"> section 58 and regulations made under that Act apply as if each reference to a local government in that section and in those regulations — </w:t>
      </w:r>
    </w:p>
    <w:p>
      <w:pPr>
        <w:pStyle w:val="Indenta"/>
      </w:pPr>
      <w:r>
        <w:tab/>
        <w:t>(a)</w:t>
      </w:r>
      <w:r>
        <w:tab/>
        <w:t>were a reference to the Commission; and</w:t>
      </w:r>
    </w:p>
    <w:p>
      <w:pPr>
        <w:pStyle w:val="Indenta"/>
      </w:pPr>
      <w:r>
        <w:tab/>
        <w:t>(b)</w:t>
      </w:r>
      <w:r>
        <w:tab/>
        <w:t>were not a reference to the local government of the district in which the street is wholly or partly situated.</w:t>
      </w:r>
    </w:p>
    <w:p>
      <w:pPr>
        <w:pStyle w:val="Footnotesection"/>
      </w:pPr>
      <w:r>
        <w:tab/>
        <w:t xml:space="preserve">[Section 122H inserted: No. 28 of 2010 s. 11.] </w:t>
      </w:r>
    </w:p>
    <w:p>
      <w:pPr>
        <w:pStyle w:val="Heading5"/>
        <w:spacing w:before="180"/>
      </w:pPr>
      <w:bookmarkStart w:id="458" w:name="_Toc77246328"/>
      <w:bookmarkStart w:id="459" w:name="_Toc74924077"/>
      <w:r>
        <w:rPr>
          <w:rStyle w:val="CharSectno"/>
        </w:rPr>
        <w:t>122I</w:t>
      </w:r>
      <w:r>
        <w:t>.</w:t>
      </w:r>
      <w:r>
        <w:tab/>
        <w:t>Some planning schemes have no force while improvement scheme in force</w:t>
      </w:r>
      <w:bookmarkEnd w:id="458"/>
      <w:bookmarkEnd w:id="459"/>
    </w:p>
    <w:p>
      <w:pPr>
        <w:pStyle w:val="Subsection"/>
      </w:pPr>
      <w:r>
        <w:tab/>
        <w:t>(1)</w:t>
      </w:r>
      <w:r>
        <w:tab/>
        <w:t>A local or region planning scheme, or an amendment to a local or region planning scheme, made after an improvement scheme has effect, insofar as it purports to apply to land in an improvement scheme area, has no effect while the improvement scheme applies to the land.</w:t>
      </w:r>
    </w:p>
    <w:p>
      <w:pPr>
        <w:pStyle w:val="Subsection"/>
      </w:pPr>
      <w:r>
        <w:tab/>
        <w:t>(2)</w:t>
      </w:r>
      <w:r>
        <w:tab/>
        <w:t>Subject to subsection (1) and without limiting sections 122J to 122L, this Division does not prevent a local or region planning scheme or amendment referred to in that subsection being made after an improvement scheme has effect so as to commence when the improvement scheme ceases to apply to the land.</w:t>
      </w:r>
    </w:p>
    <w:p>
      <w:pPr>
        <w:pStyle w:val="Footnotesection"/>
      </w:pPr>
      <w:r>
        <w:tab/>
        <w:t xml:space="preserve">[Section 122I inserted: No. 28 of 2010 s. 11.] </w:t>
      </w:r>
    </w:p>
    <w:p>
      <w:pPr>
        <w:pStyle w:val="Heading5"/>
        <w:spacing w:before="180"/>
      </w:pPr>
      <w:bookmarkStart w:id="460" w:name="_Toc77246329"/>
      <w:bookmarkStart w:id="461" w:name="_Toc74924078"/>
      <w:r>
        <w:rPr>
          <w:rStyle w:val="CharSectno"/>
        </w:rPr>
        <w:t>122J</w:t>
      </w:r>
      <w:r>
        <w:t>.</w:t>
      </w:r>
      <w:r>
        <w:tab/>
        <w:t>Minister may amend local planning scheme to conform with improvement scheme</w:t>
      </w:r>
      <w:bookmarkEnd w:id="460"/>
      <w:bookmarkEnd w:id="461"/>
    </w:p>
    <w:p>
      <w:pPr>
        <w:pStyle w:val="Subsection"/>
      </w:pPr>
      <w:r>
        <w:tab/>
        <w:t>(1)</w:t>
      </w:r>
      <w:r>
        <w:tab/>
        <w:t xml:space="preserve">The Minister may, while an improvement scheme is of effect, publish in the </w:t>
      </w:r>
      <w:r>
        <w:rPr>
          <w:i/>
          <w:iCs/>
        </w:rPr>
        <w:t>Gazette</w:t>
      </w:r>
      <w:r>
        <w:t xml:space="preserve"> a notice amending a local planning scheme so that the local planning scheme is consistent with the improvement scheme in relation to land in the improvement scheme area.</w:t>
      </w:r>
    </w:p>
    <w:p>
      <w:pPr>
        <w:pStyle w:val="Subsection"/>
      </w:pPr>
      <w:r>
        <w:tab/>
        <w:t>(2)</w:t>
      </w:r>
      <w:r>
        <w:tab/>
        <w:t>An amendment published under subsection (1) has effect, by force of this subsection and without further action under this Act, on the day on which the improvement scheme ceases to apply to the land.</w:t>
      </w:r>
    </w:p>
    <w:p>
      <w:pPr>
        <w:pStyle w:val="Footnotesection"/>
      </w:pPr>
      <w:r>
        <w:tab/>
        <w:t xml:space="preserve">[Section 122J inserted: No. 28 of 2010 s. 11.] </w:t>
      </w:r>
    </w:p>
    <w:p>
      <w:pPr>
        <w:pStyle w:val="Heading5"/>
      </w:pPr>
      <w:bookmarkStart w:id="462" w:name="_Toc77246330"/>
      <w:bookmarkStart w:id="463" w:name="_Toc74924079"/>
      <w:r>
        <w:rPr>
          <w:rStyle w:val="CharSectno"/>
        </w:rPr>
        <w:t>122K</w:t>
      </w:r>
      <w:r>
        <w:t>.</w:t>
      </w:r>
      <w:r>
        <w:tab/>
        <w:t>Region planning scheme may be amended to conform with improvement scheme</w:t>
      </w:r>
      <w:bookmarkEnd w:id="462"/>
      <w:bookmarkEnd w:id="463"/>
    </w:p>
    <w:p>
      <w:pPr>
        <w:pStyle w:val="Subsection"/>
      </w:pPr>
      <w:r>
        <w:tab/>
        <w:t>(1)</w:t>
      </w:r>
      <w:r>
        <w:tab/>
        <w:t>A region planning scheme may be amended under Part 4 Division 4 while an improvement scheme is of effect so that the region planning scheme is consistent with the improvement scheme in relation to land in the improvement scheme area.</w:t>
      </w:r>
    </w:p>
    <w:p>
      <w:pPr>
        <w:pStyle w:val="Subsection"/>
      </w:pPr>
      <w:r>
        <w:tab/>
        <w:t>(2)</w:t>
      </w:r>
      <w:r>
        <w:tab/>
        <w:t>An amendment referred to in subsection (1) has effect on the day on which the improvement scheme ceases to apply to the land.</w:t>
      </w:r>
    </w:p>
    <w:p>
      <w:pPr>
        <w:pStyle w:val="Footnotesection"/>
      </w:pPr>
      <w:r>
        <w:tab/>
        <w:t xml:space="preserve">[Section 122K inserted: No. 28 of 2010 s. 11.] </w:t>
      </w:r>
    </w:p>
    <w:p>
      <w:pPr>
        <w:pStyle w:val="Heading5"/>
      </w:pPr>
      <w:bookmarkStart w:id="464" w:name="_Toc77246331"/>
      <w:bookmarkStart w:id="465" w:name="_Toc74924080"/>
      <w:r>
        <w:rPr>
          <w:rStyle w:val="CharSectno"/>
        </w:rPr>
        <w:t>122L</w:t>
      </w:r>
      <w:r>
        <w:t>.</w:t>
      </w:r>
      <w:r>
        <w:tab/>
        <w:t>Minister has s. 211 and 212 powers for improvement scheme</w:t>
      </w:r>
      <w:bookmarkEnd w:id="464"/>
      <w:bookmarkEnd w:id="465"/>
    </w:p>
    <w:p>
      <w:pPr>
        <w:pStyle w:val="Subsection"/>
      </w:pPr>
      <w:r>
        <w:tab/>
      </w:r>
      <w:r>
        <w:tab/>
        <w:t xml:space="preserve">Sections 211 and 212 apply in relation to an improvement scheme as if, in each of those sections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w:t>
      </w:r>
    </w:p>
    <w:p>
      <w:pPr>
        <w:pStyle w:val="Footnotesection"/>
      </w:pPr>
      <w:r>
        <w:tab/>
        <w:t xml:space="preserve">[Section 122L inserted: No. 28 of 2010 s. 11.] </w:t>
      </w:r>
    </w:p>
    <w:p>
      <w:pPr>
        <w:pStyle w:val="Heading5"/>
      </w:pPr>
      <w:bookmarkStart w:id="466" w:name="_Toc77246332"/>
      <w:bookmarkStart w:id="467" w:name="_Toc74924081"/>
      <w:r>
        <w:rPr>
          <w:rStyle w:val="CharSectno"/>
        </w:rPr>
        <w:t>122M</w:t>
      </w:r>
      <w:r>
        <w:t>.</w:t>
      </w:r>
      <w:r>
        <w:tab/>
        <w:t>Fees for planning matters under improvement scheme, Commission may impose</w:t>
      </w:r>
      <w:bookmarkEnd w:id="466"/>
      <w:bookmarkEnd w:id="467"/>
    </w:p>
    <w:p>
      <w:pPr>
        <w:pStyle w:val="Subsection"/>
      </w:pPr>
      <w:r>
        <w:tab/>
      </w:r>
      <w:r>
        <w:tab/>
        <w:t>The Commission may, in relation to an improvement scheme, impose fees under section 261 as if it were a local government, and that section, and the regulations made under that section, apply accordingly.</w:t>
      </w:r>
    </w:p>
    <w:p>
      <w:pPr>
        <w:pStyle w:val="Footnotesection"/>
      </w:pPr>
      <w:r>
        <w:tab/>
        <w:t xml:space="preserve">[Section 122M inserted: No. 28 of 2010 s. 11.] </w:t>
      </w:r>
    </w:p>
    <w:p>
      <w:pPr>
        <w:pStyle w:val="Heading3"/>
      </w:pPr>
      <w:bookmarkStart w:id="468" w:name="_Toc77239379"/>
      <w:bookmarkStart w:id="469" w:name="_Toc77240283"/>
      <w:bookmarkStart w:id="470" w:name="_Toc77246333"/>
      <w:bookmarkStart w:id="471" w:name="_Toc74652394"/>
      <w:bookmarkStart w:id="472" w:name="_Toc74652860"/>
      <w:bookmarkStart w:id="473" w:name="_Toc74733578"/>
      <w:bookmarkStart w:id="474" w:name="_Toc74924082"/>
      <w:r>
        <w:rPr>
          <w:rStyle w:val="CharDivNo"/>
        </w:rPr>
        <w:t>Division 3</w:t>
      </w:r>
      <w:r>
        <w:t> — </w:t>
      </w:r>
      <w:r>
        <w:rPr>
          <w:rStyle w:val="CharDivText"/>
        </w:rPr>
        <w:t>General</w:t>
      </w:r>
      <w:bookmarkEnd w:id="468"/>
      <w:bookmarkEnd w:id="469"/>
      <w:bookmarkEnd w:id="470"/>
      <w:bookmarkEnd w:id="471"/>
      <w:bookmarkEnd w:id="472"/>
      <w:bookmarkEnd w:id="473"/>
      <w:bookmarkEnd w:id="474"/>
    </w:p>
    <w:p>
      <w:pPr>
        <w:pStyle w:val="Footnoteheading"/>
      </w:pPr>
      <w:r>
        <w:tab/>
        <w:t>[Heading inserted: No. 28 of 2010 s. 12.]</w:t>
      </w:r>
    </w:p>
    <w:p>
      <w:pPr>
        <w:pStyle w:val="Heading5"/>
      </w:pPr>
      <w:bookmarkStart w:id="475" w:name="_Toc77246334"/>
      <w:bookmarkStart w:id="476" w:name="_Toc74924083"/>
      <w:r>
        <w:rPr>
          <w:rStyle w:val="CharSectno"/>
        </w:rPr>
        <w:t>122</w:t>
      </w:r>
      <w:r>
        <w:t>.</w:t>
      </w:r>
      <w:r>
        <w:tab/>
        <w:t>This Part does not derogate from other powers</w:t>
      </w:r>
      <w:bookmarkEnd w:id="475"/>
      <w:bookmarkEnd w:id="476"/>
    </w:p>
    <w:p>
      <w:pPr>
        <w:pStyle w:val="Subsection"/>
      </w:pPr>
      <w:r>
        <w:tab/>
      </w:r>
      <w:r>
        <w:tab/>
        <w:t>Except as provided in Division 2, nothing in this Part is to be construed as taking away or in any way derogating from or diminishing any power otherwise conferred by this or any other Act upon the Commission or any other authority, body or person.</w:t>
      </w:r>
    </w:p>
    <w:p>
      <w:pPr>
        <w:pStyle w:val="Footnotesection"/>
      </w:pPr>
      <w:r>
        <w:tab/>
        <w:t xml:space="preserve">[Section 122 amended: No. 28 of 2010 s. 13.] </w:t>
      </w:r>
    </w:p>
    <w:p>
      <w:pPr>
        <w:pStyle w:val="Heading2"/>
      </w:pPr>
      <w:bookmarkStart w:id="477" w:name="_Toc77239381"/>
      <w:bookmarkStart w:id="478" w:name="_Toc77240285"/>
      <w:bookmarkStart w:id="479" w:name="_Toc77246335"/>
      <w:bookmarkStart w:id="480" w:name="_Toc74652396"/>
      <w:bookmarkStart w:id="481" w:name="_Toc74652862"/>
      <w:bookmarkStart w:id="482" w:name="_Toc74733580"/>
      <w:bookmarkStart w:id="483" w:name="_Toc74924084"/>
      <w:r>
        <w:rPr>
          <w:rStyle w:val="CharPartNo"/>
        </w:rPr>
        <w:t>Part 9</w:t>
      </w:r>
      <w:r>
        <w:rPr>
          <w:rStyle w:val="CharDivNo"/>
        </w:rPr>
        <w:t> </w:t>
      </w:r>
      <w:r>
        <w:t>—</w:t>
      </w:r>
      <w:r>
        <w:rPr>
          <w:rStyle w:val="CharDivText"/>
        </w:rPr>
        <w:t> </w:t>
      </w:r>
      <w:r>
        <w:rPr>
          <w:rStyle w:val="CharPartText"/>
        </w:rPr>
        <w:t>Relationship between planning schemes, planning control provisions and written laws</w:t>
      </w:r>
      <w:bookmarkEnd w:id="477"/>
      <w:bookmarkEnd w:id="478"/>
      <w:bookmarkEnd w:id="479"/>
      <w:bookmarkEnd w:id="480"/>
      <w:bookmarkEnd w:id="481"/>
      <w:bookmarkEnd w:id="482"/>
      <w:bookmarkEnd w:id="483"/>
    </w:p>
    <w:p>
      <w:pPr>
        <w:pStyle w:val="Footnoteheading"/>
      </w:pPr>
      <w:r>
        <w:tab/>
        <w:t>[Heading inserted: No. 28 of 2010 s. 14.]</w:t>
      </w:r>
    </w:p>
    <w:p>
      <w:pPr>
        <w:pStyle w:val="Heading5"/>
      </w:pPr>
      <w:bookmarkStart w:id="484" w:name="_Toc77246336"/>
      <w:bookmarkStart w:id="485" w:name="_Toc74924085"/>
      <w:r>
        <w:rPr>
          <w:rStyle w:val="CharSectno"/>
        </w:rPr>
        <w:t>123</w:t>
      </w:r>
      <w:r>
        <w:t>.</w:t>
      </w:r>
      <w:r>
        <w:tab/>
        <w:t>Local planning scheme and local law to be consistent with region planning scheme</w:t>
      </w:r>
      <w:bookmarkEnd w:id="484"/>
      <w:bookmarkEnd w:id="485"/>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486" w:name="_Toc77246337"/>
      <w:bookmarkStart w:id="487" w:name="_Toc74924086"/>
      <w:r>
        <w:rPr>
          <w:rStyle w:val="CharSectno"/>
        </w:rPr>
        <w:t>124</w:t>
      </w:r>
      <w:r>
        <w:t>.</w:t>
      </w:r>
      <w:r>
        <w:tab/>
        <w:t>Effect of region planning scheme on local planning scheme</w:t>
      </w:r>
      <w:bookmarkEnd w:id="486"/>
      <w:bookmarkEnd w:id="487"/>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488" w:name="_Toc77246338"/>
      <w:bookmarkStart w:id="489" w:name="_Toc74924087"/>
      <w:r>
        <w:rPr>
          <w:rStyle w:val="CharSectno"/>
        </w:rPr>
        <w:t>125</w:t>
      </w:r>
      <w:r>
        <w:t>.</w:t>
      </w:r>
      <w:r>
        <w:tab/>
        <w:t>Minister may direct local government to amend local planning scheme to be consistent with region planning scheme etc.</w:t>
      </w:r>
      <w:bookmarkEnd w:id="488"/>
      <w:bookmarkEnd w:id="489"/>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 and</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490" w:name="_Toc77246339"/>
      <w:bookmarkStart w:id="491" w:name="_Toc74924088"/>
      <w:r>
        <w:rPr>
          <w:rStyle w:val="CharSectno"/>
        </w:rPr>
        <w:t>126</w:t>
      </w:r>
      <w:r>
        <w:t>.</w:t>
      </w:r>
      <w:r>
        <w:tab/>
        <w:t>Local planning scheme, amendment of due to region planning scheme</w:t>
      </w:r>
      <w:bookmarkEnd w:id="490"/>
      <w:bookmarkEnd w:id="491"/>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r>
        <w:tab/>
        <w:t>(3)</w:t>
      </w:r>
      <w:r>
        <w:tab/>
        <w:t xml:space="preserve">If a region planning scheme delineates, or it is proposed that a region planning scheme delineate, land comprised in a local planning scheme as land in an Urban zone, the Commission may publish in the </w:t>
      </w:r>
      <w:r>
        <w:rPr>
          <w:i/>
          <w:iCs/>
        </w:rPr>
        <w:t>Gazette</w:t>
      </w:r>
      <w:r>
        <w:t xml:space="preserve"> a notice amending the local planning scheme, insofar as it operates in relation to that land, so that the land is zoned in the local planning scheme in a manner that is consistent with the objectives of the delineation or proposed delineation under the region planning scheme.</w:t>
      </w:r>
    </w:p>
    <w:p>
      <w:pPr>
        <w:pStyle w:val="Subsection"/>
      </w:pPr>
      <w:r>
        <w:tab/>
        <w:t>(4)</w:t>
      </w:r>
      <w:r>
        <w:tab/>
        <w:t>The Commission must not publish a notice under subsection (3) amending a local planning scheme until the local government that made or adopted the scheme has been consulted.</w:t>
      </w:r>
    </w:p>
    <w:p>
      <w:pPr>
        <w:pStyle w:val="Subsection"/>
      </w:pPr>
      <w:r>
        <w:tab/>
        <w:t>(5)</w:t>
      </w:r>
      <w:r>
        <w:tab/>
        <w:t xml:space="preserve">An amendment in a notice published under subsection (3) takes effect — </w:t>
      </w:r>
    </w:p>
    <w:p>
      <w:pPr>
        <w:pStyle w:val="Indenta"/>
      </w:pPr>
      <w:r>
        <w:tab/>
        <w:t>(a)</w:t>
      </w:r>
      <w:r>
        <w:tab/>
        <w:t>if the relevant region planning scheme is in operation on the day on which the notice is published under subsection (3) — on that day;</w:t>
      </w:r>
    </w:p>
    <w:p>
      <w:pPr>
        <w:pStyle w:val="Indenta"/>
      </w:pPr>
      <w:r>
        <w:tab/>
        <w:t>(b)</w:t>
      </w:r>
      <w:r>
        <w:tab/>
        <w:t>otherwise — on the day on which the relevant region planning scheme comes into operation.</w:t>
      </w:r>
    </w:p>
    <w:p>
      <w:pPr>
        <w:pStyle w:val="Subsection"/>
      </w:pPr>
      <w:r>
        <w:tab/>
        <w:t>(6)</w:t>
      </w:r>
      <w:r>
        <w:tab/>
        <w:t>When an amendment to a local planning scheme takes effect under subsection (5), the local planning scheme is, by force of this subsection and without further action under this Act, amended as set out in the notice.</w:t>
      </w:r>
    </w:p>
    <w:p>
      <w:pPr>
        <w:pStyle w:val="Footnotesection"/>
      </w:pPr>
      <w:r>
        <w:tab/>
        <w:t xml:space="preserve">[Section 126 amended: No. 28 of 2010 s. 60.] </w:t>
      </w:r>
    </w:p>
    <w:p>
      <w:pPr>
        <w:pStyle w:val="Heading5"/>
      </w:pPr>
      <w:bookmarkStart w:id="492" w:name="_Toc77246340"/>
      <w:bookmarkStart w:id="493" w:name="_Toc74924089"/>
      <w:r>
        <w:rPr>
          <w:rStyle w:val="CharSectno"/>
        </w:rPr>
        <w:t>127</w:t>
      </w:r>
      <w:r>
        <w:t>.</w:t>
      </w:r>
      <w:r>
        <w:tab/>
        <w:t>Minister may direct local government to modify proposed scheme or amendment to be consistent with region planning scheme</w:t>
      </w:r>
      <w:bookmarkEnd w:id="492"/>
      <w:bookmarkEnd w:id="493"/>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Footnotesection"/>
      </w:pPr>
      <w:r>
        <w:tab/>
        <w:t>[Section 127 amended: No. 8 of 2009 s. 100(3).]</w:t>
      </w:r>
    </w:p>
    <w:p>
      <w:pPr>
        <w:pStyle w:val="Heading5"/>
      </w:pPr>
      <w:bookmarkStart w:id="494" w:name="_Toc77246341"/>
      <w:bookmarkStart w:id="495" w:name="_Toc74924090"/>
      <w:r>
        <w:rPr>
          <w:rStyle w:val="CharSectno"/>
        </w:rPr>
        <w:t>128</w:t>
      </w:r>
      <w:r>
        <w:t>.</w:t>
      </w:r>
      <w:r>
        <w:tab/>
        <w:t>Breach of s. 124(2), 125 or 127(2), Minister’s powers in case of</w:t>
      </w:r>
      <w:bookmarkEnd w:id="494"/>
      <w:bookmarkEnd w:id="495"/>
    </w:p>
    <w:p>
      <w:pPr>
        <w:pStyle w:val="Subsection"/>
      </w:pPr>
      <w:r>
        <w:tab/>
        <w:t>(1)</w:t>
      </w:r>
      <w:r>
        <w:tab/>
        <w:t xml:space="preserve">If a local government does not comply with — </w:t>
      </w:r>
    </w:p>
    <w:p>
      <w:pPr>
        <w:pStyle w:val="Indenta"/>
      </w:pPr>
      <w:r>
        <w:tab/>
        <w:t>(a)</w:t>
      </w:r>
      <w:r>
        <w:tab/>
        <w:t>section 124(2); or</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496" w:name="_Toc77246342"/>
      <w:bookmarkStart w:id="497" w:name="_Toc74924091"/>
      <w:r>
        <w:rPr>
          <w:rStyle w:val="CharSectno"/>
        </w:rPr>
        <w:t>129</w:t>
      </w:r>
      <w:r>
        <w:t>.</w:t>
      </w:r>
      <w:r>
        <w:tab/>
        <w:t>Inconsistency between interim development order and local planning scheme or local law, effect of</w:t>
      </w:r>
      <w:bookmarkEnd w:id="496"/>
      <w:bookmarkEnd w:id="497"/>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Footnotesection"/>
      </w:pPr>
      <w:r>
        <w:tab/>
        <w:t>[Section 129 amended: No. 24 of 2011 s. 168(2).]</w:t>
      </w:r>
    </w:p>
    <w:p>
      <w:pPr>
        <w:pStyle w:val="Heading5"/>
      </w:pPr>
      <w:bookmarkStart w:id="498" w:name="_Toc77246343"/>
      <w:bookmarkStart w:id="499" w:name="_Toc74924092"/>
      <w:r>
        <w:rPr>
          <w:rStyle w:val="CharSectno"/>
        </w:rPr>
        <w:t>130</w:t>
      </w:r>
      <w:r>
        <w:t>.</w:t>
      </w:r>
      <w:r>
        <w:tab/>
        <w:t>Planning control area provisions (Part 7) prevail</w:t>
      </w:r>
      <w:bookmarkEnd w:id="498"/>
      <w:bookmarkEnd w:id="499"/>
    </w:p>
    <w:p>
      <w:pPr>
        <w:pStyle w:val="Subsection"/>
      </w:pPr>
      <w:r>
        <w:tab/>
      </w:r>
      <w:r>
        <w:tab/>
        <w:t xml:space="preserve">The provisions of Part 7 prevail over — </w:t>
      </w:r>
    </w:p>
    <w:p>
      <w:pPr>
        <w:pStyle w:val="Indenta"/>
      </w:pPr>
      <w:r>
        <w:tab/>
        <w:t>(a)</w:t>
      </w:r>
      <w:r>
        <w:tab/>
        <w:t>every other provision of this Act; and</w:t>
      </w:r>
    </w:p>
    <w:p>
      <w:pPr>
        <w:pStyle w:val="Indenta"/>
      </w:pPr>
      <w:r>
        <w:tab/>
        <w:t>(b)</w:t>
      </w:r>
      <w:r>
        <w:tab/>
        <w:t>any region planning scheme; and</w:t>
      </w:r>
    </w:p>
    <w:p>
      <w:pPr>
        <w:pStyle w:val="Indenta"/>
        <w:keepNext/>
      </w:pPr>
      <w:r>
        <w:tab/>
        <w:t>(c)</w:t>
      </w:r>
      <w:r>
        <w:tab/>
        <w:t>any local planning scheme,</w:t>
      </w:r>
    </w:p>
    <w:p>
      <w:pPr>
        <w:pStyle w:val="Subsection"/>
      </w:pPr>
      <w:r>
        <w:tab/>
      </w:r>
      <w:r>
        <w:tab/>
        <w:t>to the extent of any inconsistency with those provisions and schemes.</w:t>
      </w:r>
    </w:p>
    <w:p>
      <w:pPr>
        <w:pStyle w:val="Heading5"/>
        <w:spacing w:before="180"/>
      </w:pPr>
      <w:bookmarkStart w:id="500" w:name="_Toc77246344"/>
      <w:bookmarkStart w:id="501" w:name="_Toc74924093"/>
      <w:r>
        <w:rPr>
          <w:rStyle w:val="CharSectno"/>
        </w:rPr>
        <w:t>131</w:t>
      </w:r>
      <w:r>
        <w:t>.</w:t>
      </w:r>
      <w:r>
        <w:tab/>
      </w:r>
      <w:r>
        <w:rPr>
          <w:bCs/>
        </w:rPr>
        <w:t>Building standards etc. prevail</w:t>
      </w:r>
      <w:bookmarkEnd w:id="500"/>
      <w:bookmarkEnd w:id="501"/>
    </w:p>
    <w:p>
      <w:pPr>
        <w:pStyle w:val="Subsection"/>
      </w:pPr>
      <w:r>
        <w:tab/>
        <w:t>(1)</w:t>
      </w:r>
      <w:r>
        <w:tab/>
        <w:t xml:space="preserve">If there is any inconsistency between a local planning scheme and a regulation made under the </w:t>
      </w:r>
      <w:r>
        <w:rPr>
          <w:i/>
          <w:iCs/>
        </w:rPr>
        <w:t>Building Act 2011</w:t>
      </w:r>
      <w:r>
        <w:t>, the regulation prevails to the extent of the inconsistency.</w:t>
      </w:r>
    </w:p>
    <w:p>
      <w:pPr>
        <w:pStyle w:val="Subsection"/>
      </w:pPr>
      <w:r>
        <w:tab/>
        <w:t>(2)</w:t>
      </w:r>
      <w:r>
        <w:tab/>
        <w:t xml:space="preserve">In the exercise of any power conferred on it by a local planning scheme a local government is obliged to have regard to any regulations made under the </w:t>
      </w:r>
      <w:r>
        <w:rPr>
          <w:i/>
          <w:iCs/>
        </w:rPr>
        <w:t>Building Act 2011</w:t>
      </w:r>
      <w:r>
        <w:t>.</w:t>
      </w:r>
    </w:p>
    <w:p>
      <w:pPr>
        <w:pStyle w:val="Footnotesection"/>
      </w:pPr>
      <w:r>
        <w:tab/>
        <w:t>[Section 131 amended: No. 24 of 2011 s. 168(3) and (4).]</w:t>
      </w:r>
    </w:p>
    <w:p>
      <w:pPr>
        <w:pStyle w:val="Heading5"/>
        <w:spacing w:before="180"/>
      </w:pPr>
      <w:bookmarkStart w:id="502" w:name="_Toc77246345"/>
      <w:bookmarkStart w:id="503" w:name="_Toc74924094"/>
      <w:r>
        <w:rPr>
          <w:rStyle w:val="CharSectno"/>
        </w:rPr>
        <w:t>132</w:t>
      </w:r>
      <w:r>
        <w:t>.</w:t>
      </w:r>
      <w:r>
        <w:tab/>
        <w:t>Governor may modify or suspend law to enable planning scheme to have effect</w:t>
      </w:r>
      <w:bookmarkEnd w:id="502"/>
      <w:bookmarkEnd w:id="503"/>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spacing w:before="120"/>
      </w:pPr>
      <w:r>
        <w:tab/>
        <w:t>(3)</w:t>
      </w:r>
      <w:r>
        <w:tab/>
        <w:t>An order under subsection (2) does not take effect unless and until it has been approved by a resolution of both Houses of Parliament.</w:t>
      </w:r>
    </w:p>
    <w:p>
      <w:pPr>
        <w:pStyle w:val="Heading2"/>
      </w:pPr>
      <w:bookmarkStart w:id="504" w:name="_Toc77239392"/>
      <w:bookmarkStart w:id="505" w:name="_Toc77240296"/>
      <w:bookmarkStart w:id="506" w:name="_Toc77246346"/>
      <w:bookmarkStart w:id="507" w:name="_Toc74652407"/>
      <w:bookmarkStart w:id="508" w:name="_Toc74652873"/>
      <w:bookmarkStart w:id="509" w:name="_Toc74733591"/>
      <w:bookmarkStart w:id="510" w:name="_Toc74924095"/>
      <w:r>
        <w:rPr>
          <w:rStyle w:val="CharPartNo"/>
        </w:rPr>
        <w:t>Part 10</w:t>
      </w:r>
      <w:r>
        <w:t> — </w:t>
      </w:r>
      <w:r>
        <w:rPr>
          <w:rStyle w:val="CharPartText"/>
        </w:rPr>
        <w:t>Subdivision and development control</w:t>
      </w:r>
      <w:bookmarkEnd w:id="504"/>
      <w:bookmarkEnd w:id="505"/>
      <w:bookmarkEnd w:id="506"/>
      <w:bookmarkEnd w:id="507"/>
      <w:bookmarkEnd w:id="508"/>
      <w:bookmarkEnd w:id="509"/>
      <w:bookmarkEnd w:id="510"/>
    </w:p>
    <w:p>
      <w:pPr>
        <w:pStyle w:val="Heading3"/>
      </w:pPr>
      <w:bookmarkStart w:id="511" w:name="_Toc77239393"/>
      <w:bookmarkStart w:id="512" w:name="_Toc77240297"/>
      <w:bookmarkStart w:id="513" w:name="_Toc77246347"/>
      <w:bookmarkStart w:id="514" w:name="_Toc74652408"/>
      <w:bookmarkStart w:id="515" w:name="_Toc74652874"/>
      <w:bookmarkStart w:id="516" w:name="_Toc74733592"/>
      <w:bookmarkStart w:id="517" w:name="_Toc74924096"/>
      <w:r>
        <w:rPr>
          <w:rStyle w:val="CharDivNo"/>
        </w:rPr>
        <w:t>Division 1</w:t>
      </w:r>
      <w:r>
        <w:t> — </w:t>
      </w:r>
      <w:r>
        <w:rPr>
          <w:rStyle w:val="CharDivText"/>
        </w:rPr>
        <w:t>Application</w:t>
      </w:r>
      <w:bookmarkEnd w:id="511"/>
      <w:bookmarkEnd w:id="512"/>
      <w:bookmarkEnd w:id="513"/>
      <w:bookmarkEnd w:id="514"/>
      <w:bookmarkEnd w:id="515"/>
      <w:bookmarkEnd w:id="516"/>
      <w:bookmarkEnd w:id="517"/>
    </w:p>
    <w:p>
      <w:pPr>
        <w:pStyle w:val="Heading5"/>
      </w:pPr>
      <w:bookmarkStart w:id="518" w:name="_Toc77246348"/>
      <w:bookmarkStart w:id="519" w:name="_Toc74924097"/>
      <w:r>
        <w:rPr>
          <w:rStyle w:val="CharSectno"/>
        </w:rPr>
        <w:t>133</w:t>
      </w:r>
      <w:r>
        <w:t>.</w:t>
      </w:r>
      <w:r>
        <w:tab/>
        <w:t>Application of Part to Crown land</w:t>
      </w:r>
      <w:bookmarkEnd w:id="518"/>
      <w:bookmarkEnd w:id="519"/>
    </w:p>
    <w:p>
      <w:pPr>
        <w:pStyle w:val="Subsection"/>
      </w:pPr>
      <w:r>
        <w:tab/>
        <w:t>(1)</w:t>
      </w:r>
      <w:r>
        <w:tab/>
        <w:t>Except as provided in subsection (2) and section 168, this Part (other than Division 5)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Footnotesection"/>
      </w:pPr>
      <w:r>
        <w:tab/>
        <w:t xml:space="preserve">[Section 133 amended: No. 28 of 2010 s. 61.] </w:t>
      </w:r>
    </w:p>
    <w:p>
      <w:pPr>
        <w:pStyle w:val="Heading5"/>
      </w:pPr>
      <w:bookmarkStart w:id="520" w:name="_Toc77246349"/>
      <w:bookmarkStart w:id="521" w:name="_Toc74924098"/>
      <w:r>
        <w:rPr>
          <w:rStyle w:val="CharSectno"/>
        </w:rPr>
        <w:t>134</w:t>
      </w:r>
      <w:r>
        <w:t>.</w:t>
      </w:r>
      <w:r>
        <w:tab/>
        <w:t>Relationship of Part to some other laws and application to land in Swan Valley</w:t>
      </w:r>
      <w:bookmarkEnd w:id="520"/>
      <w:bookmarkEnd w:id="521"/>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2</w:t>
      </w:r>
      <w:r>
        <w:t xml:space="preserve"> or the </w:t>
      </w:r>
      <w:r>
        <w:rPr>
          <w:i/>
        </w:rPr>
        <w:t>Mining Act 1978</w:t>
      </w:r>
      <w:r>
        <w:t xml:space="preserve"> or a portion of such a mining tenement or any shares in the mining tenement or portion; or</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tab/>
        <w:t>(3)</w:t>
      </w:r>
      <w:r>
        <w:tab/>
        <w:t>Where an application is made to the Commission for approval under section 135 or 136 in relation to land in the Swan Valley,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 the Commission is to determine the application after having due regard to the advice of the Committee, but may determine that application otherwise than in accordance with that advice.</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Footnotesection"/>
      </w:pPr>
      <w:r>
        <w:tab/>
        <w:t>[Section 134 amended: No. 7 of 2006 s. 20(3).]</w:t>
      </w:r>
    </w:p>
    <w:p>
      <w:pPr>
        <w:pStyle w:val="Heading3"/>
      </w:pPr>
      <w:bookmarkStart w:id="522" w:name="_Toc77239396"/>
      <w:bookmarkStart w:id="523" w:name="_Toc77240300"/>
      <w:bookmarkStart w:id="524" w:name="_Toc77246350"/>
      <w:bookmarkStart w:id="525" w:name="_Toc74652411"/>
      <w:bookmarkStart w:id="526" w:name="_Toc74652877"/>
      <w:bookmarkStart w:id="527" w:name="_Toc74733595"/>
      <w:bookmarkStart w:id="528" w:name="_Toc74924099"/>
      <w:r>
        <w:rPr>
          <w:rStyle w:val="CharDivNo"/>
        </w:rPr>
        <w:t>Division 2</w:t>
      </w:r>
      <w:r>
        <w:t> — </w:t>
      </w:r>
      <w:r>
        <w:rPr>
          <w:rStyle w:val="CharDivText"/>
        </w:rPr>
        <w:t>Approval for subdivision and certain transactions</w:t>
      </w:r>
      <w:bookmarkEnd w:id="522"/>
      <w:bookmarkEnd w:id="523"/>
      <w:bookmarkEnd w:id="524"/>
      <w:bookmarkEnd w:id="525"/>
      <w:bookmarkEnd w:id="526"/>
      <w:bookmarkEnd w:id="527"/>
      <w:bookmarkEnd w:id="528"/>
    </w:p>
    <w:p>
      <w:pPr>
        <w:pStyle w:val="Heading5"/>
      </w:pPr>
      <w:bookmarkStart w:id="529" w:name="_Toc77246351"/>
      <w:bookmarkStart w:id="530" w:name="_Toc74924100"/>
      <w:r>
        <w:rPr>
          <w:rStyle w:val="CharSectno"/>
        </w:rPr>
        <w:t>135</w:t>
      </w:r>
      <w:r>
        <w:t>.</w:t>
      </w:r>
      <w:r>
        <w:tab/>
        <w:t>No subdivision etc. without approval</w:t>
      </w:r>
      <w:bookmarkEnd w:id="529"/>
      <w:bookmarkEnd w:id="530"/>
    </w:p>
    <w:p>
      <w:pPr>
        <w:pStyle w:val="Subsection"/>
      </w:pPr>
      <w:r>
        <w:tab/>
        <w:t>(1)</w:t>
      </w:r>
      <w:r>
        <w:tab/>
        <w:t xml:space="preserve">A person is not to — </w:t>
      </w:r>
    </w:p>
    <w:p>
      <w:pPr>
        <w:pStyle w:val="Indenta"/>
      </w:pPr>
      <w:r>
        <w:tab/>
        <w:t>(a)</w:t>
      </w:r>
      <w:r>
        <w:tab/>
        <w:t>subdivide any lot; or</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pPr>
      <w:r>
        <w:tab/>
      </w:r>
      <w:r>
        <w:tab/>
        <w:t>without the approval of the Commission.</w:t>
      </w:r>
    </w:p>
    <w:p>
      <w:pPr>
        <w:pStyle w:val="Subsection"/>
      </w:pPr>
      <w:r>
        <w:tab/>
        <w:t>(2)</w:t>
      </w:r>
      <w:r>
        <w:tab/>
        <w:t>A person who contravenes subsection (1) commits an offence.</w:t>
      </w:r>
    </w:p>
    <w:p>
      <w:pPr>
        <w:pStyle w:val="Subsection"/>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pPr>
      <w:bookmarkStart w:id="531" w:name="_Toc77246352"/>
      <w:bookmarkStart w:id="532" w:name="_Toc74924101"/>
      <w:r>
        <w:rPr>
          <w:rStyle w:val="CharSectno"/>
        </w:rPr>
        <w:t>136</w:t>
      </w:r>
      <w:r>
        <w:t>.</w:t>
      </w:r>
      <w:r>
        <w:tab/>
        <w:t>Approval required for some dealings as to land not dealt with as lot or lots</w:t>
      </w:r>
      <w:bookmarkEnd w:id="531"/>
      <w:bookmarkEnd w:id="532"/>
    </w:p>
    <w:p>
      <w:pPr>
        <w:pStyle w:val="Subsection"/>
      </w:pPr>
      <w:r>
        <w:tab/>
        <w:t>(1)</w:t>
      </w:r>
      <w:r>
        <w:tab/>
        <w:t xml:space="preserve">Subject to sections 139 and 140 a person is not to — </w:t>
      </w:r>
    </w:p>
    <w:p>
      <w:pPr>
        <w:pStyle w:val="Indenta"/>
      </w:pPr>
      <w:r>
        <w:tab/>
        <w:t>(a)</w:t>
      </w:r>
      <w:r>
        <w:tab/>
        <w:t>lease or grant a licence to use or occupy land for any term exceeding 20 years, including any option to extend or renew the term or period; or</w:t>
      </w:r>
    </w:p>
    <w:p>
      <w:pPr>
        <w:pStyle w:val="Indenta"/>
      </w:pPr>
      <w:r>
        <w:tab/>
        <w:t>(b)</w:t>
      </w:r>
      <w:r>
        <w:tab/>
        <w:t>lease and grant a licence to use or occupy land for terms in the aggregate exceeding 20 years, including any option to renew or extend the terms or periods; or</w:t>
      </w:r>
    </w:p>
    <w:p>
      <w:pPr>
        <w:pStyle w:val="Indenta"/>
      </w:pPr>
      <w:r>
        <w:tab/>
        <w:t>(c)</w:t>
      </w:r>
      <w:r>
        <w:tab/>
        <w:t>sell or agree to sell land; or</w:t>
      </w:r>
    </w:p>
    <w:p>
      <w:pPr>
        <w:pStyle w:val="Indenta"/>
      </w:pPr>
      <w:r>
        <w:tab/>
        <w:t>(d)</w:t>
      </w:r>
      <w:r>
        <w:tab/>
        <w:t>grant any option of purchase of land,</w:t>
      </w:r>
    </w:p>
    <w:p>
      <w:pPr>
        <w:pStyle w:val="Subsection"/>
      </w:pPr>
      <w:r>
        <w:tab/>
      </w:r>
      <w:r>
        <w:tab/>
        <w:t>without the approval of the Commission unless the land is dealt with by way of such lease, licence, agreement or option of purchase as a lot or lots.</w:t>
      </w:r>
    </w:p>
    <w:p>
      <w:pPr>
        <w:pStyle w:val="Subsection"/>
      </w:pPr>
      <w:r>
        <w:tab/>
        <w:t>(2)</w:t>
      </w:r>
      <w:r>
        <w:tab/>
        <w:t>A person who contravenes subsection (1) commits an offence.</w:t>
      </w:r>
    </w:p>
    <w:p>
      <w:pPr>
        <w:pStyle w:val="Subsection"/>
        <w:rPr>
          <w:ins w:id="533" w:author="Master Repository Process" w:date="2021-07-16T14:34:00Z"/>
        </w:rPr>
      </w:pPr>
      <w:ins w:id="534" w:author="Master Repository Process" w:date="2021-07-16T14:34:00Z">
        <w:r>
          <w:tab/>
          <w:t>(2A)</w:t>
        </w:r>
        <w:r>
          <w:tab/>
          <w:t>Subsection (1) applies to land comprised of common property or a lot in a community titles scheme and a reference in that subsection to a lot includes a reference to a lot in a community titles scheme.</w:t>
        </w:r>
      </w:ins>
    </w:p>
    <w:p>
      <w:pPr>
        <w:pStyle w:val="Subsection"/>
        <w:rPr>
          <w:ins w:id="535" w:author="Master Repository Process" w:date="2021-07-16T14:34:00Z"/>
        </w:rPr>
      </w:pPr>
      <w:ins w:id="536" w:author="Master Repository Process" w:date="2021-07-16T14:34:00Z">
        <w:r>
          <w:tab/>
          <w:t>(2B)</w:t>
        </w:r>
        <w:r>
          <w:tab/>
          <w:t>However, subsection (1) does not apply to the sale of common property or part of a lot, an agreement to sell common property or part of a lot or the grant of an option of purchase of common property or part of a lot if the transaction is associated with a subdivision by registration of an amendment of a community titles scheme.</w:t>
        </w:r>
      </w:ins>
    </w:p>
    <w:p>
      <w:pPr>
        <w:pStyle w:val="Subsection"/>
        <w:rPr>
          <w:ins w:id="537" w:author="Master Repository Process" w:date="2021-07-16T14:34:00Z"/>
        </w:rPr>
      </w:pPr>
      <w:ins w:id="538" w:author="Master Repository Process" w:date="2021-07-16T14:34:00Z">
        <w:r>
          <w:tab/>
          <w:t>(2C)</w:t>
        </w:r>
        <w:r>
          <w:tab/>
          <w:t xml:space="preserve">Words in subsections (2A) and (2B) have the meanings given in the </w:t>
        </w:r>
        <w:r>
          <w:rPr>
            <w:i/>
          </w:rPr>
          <w:t xml:space="preserve">Community Titles Act 2018 </w:t>
        </w:r>
        <w:r>
          <w:t>section 3(1) (and references to those words in sections 139 and 140 are to be read accordingly).</w:t>
        </w:r>
      </w:ins>
    </w:p>
    <w:p>
      <w:pPr>
        <w:pStyle w:val="Subsection"/>
      </w:pPr>
      <w:r>
        <w:tab/>
        <w:t>(2D)</w:t>
      </w:r>
      <w:r>
        <w:tab/>
        <w:t>Subsection (1) applies to land comprised of common property or a lot in a strata titles scheme and a reference in that subsection to a lot includes a reference to a lot in a strata titles scheme.</w:t>
      </w:r>
    </w:p>
    <w:p>
      <w:pPr>
        <w:pStyle w:val="Subsection"/>
      </w:pPr>
      <w:r>
        <w:tab/>
        <w:t>(2E)</w:t>
      </w:r>
      <w:r>
        <w:tab/>
        <w:t>However, subsection (1) does not apply to the sale of common property or part of a lot, an agreement to sell common property or part of a lot or the grant of an option of purchase of common property or part of a lot if the transaction is associated with a subdivision by registration of an amendment of a strata titles scheme.</w:t>
      </w:r>
    </w:p>
    <w:p>
      <w:pPr>
        <w:pStyle w:val="Subsection"/>
      </w:pPr>
      <w:r>
        <w:tab/>
        <w:t>(2F)</w:t>
      </w:r>
      <w:r>
        <w:tab/>
        <w:t xml:space="preserve">Words in subsections (2D) and (2E) have the meanings given in the </w:t>
      </w:r>
      <w:r>
        <w:rPr>
          <w:i/>
        </w:rPr>
        <w:t>Strata Titles Act 1985</w:t>
      </w:r>
      <w:r>
        <w:t xml:space="preserve"> section 3(1) (and references to those words in sections 139 and 140 are to be read accordingly).</w:t>
      </w:r>
    </w:p>
    <w:p>
      <w:pPr>
        <w:pStyle w:val="Ednotesubsection"/>
      </w:pPr>
      <w:r>
        <w:tab/>
        <w:t>[(3A)</w:t>
      </w:r>
      <w:r>
        <w:tab/>
        <w:t>deleted]</w:t>
      </w:r>
    </w:p>
    <w:p>
      <w:pPr>
        <w:pStyle w:val="Subsection"/>
        <w:spacing w:before="120"/>
      </w:pPr>
      <w:r>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(deleted by the </w:t>
      </w:r>
      <w:r>
        <w:rPr>
          <w:i/>
          <w:iCs/>
        </w:rPr>
        <w:t>Building Act 2011</w:t>
      </w:r>
      <w:r>
        <w:t xml:space="preserve"> section 153(2)) or a building permit granted under the </w:t>
      </w:r>
      <w:r>
        <w:rPr>
          <w:i/>
          <w:iCs/>
        </w:rPr>
        <w:t>Building Act 2011</w:t>
      </w:r>
      <w:r>
        <w:t xml:space="preserve">, or a building permit, occupancy permit or building approval certificate is in effect under the </w:t>
      </w:r>
      <w:r>
        <w:rPr>
          <w:i/>
          <w:iCs/>
        </w:rPr>
        <w:t>Building Act 2011</w:t>
      </w:r>
      <w:r>
        <w:t xml:space="preserve"> in respect of the building;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 </w:t>
      </w:r>
    </w:p>
    <w:p>
      <w:pPr>
        <w:pStyle w:val="Subsection"/>
      </w:pPr>
      <w:r>
        <w:tab/>
        <w:t>(4)</w:t>
      </w:r>
      <w:r>
        <w:tab/>
        <w:t xml:space="preserve">A reference in the definition of </w:t>
      </w:r>
      <w:r>
        <w:rPr>
          <w:b/>
          <w:bCs/>
          <w:i/>
          <w:iCs/>
        </w:rPr>
        <w:t>land</w:t>
      </w:r>
      <w:r>
        <w:t xml:space="preserve">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Footnotesection"/>
      </w:pPr>
      <w:r>
        <w:tab/>
        <w:t>[Section 136 amended: No. 28 of 2010 s. 62; No. 24 of 2011 s. 168(5); No. 30 of 2018 s. 162</w:t>
      </w:r>
      <w:ins w:id="539" w:author="Master Repository Process" w:date="2021-07-16T14:34:00Z">
        <w:r>
          <w:t>; No. 32 of 2018 s. 223</w:t>
        </w:r>
      </w:ins>
      <w:r>
        <w:t xml:space="preserve">.] </w:t>
      </w:r>
    </w:p>
    <w:p>
      <w:pPr>
        <w:pStyle w:val="Heading5"/>
      </w:pPr>
      <w:bookmarkStart w:id="540" w:name="_Toc77246353"/>
      <w:bookmarkStart w:id="541" w:name="_Toc74924102"/>
      <w:r>
        <w:rPr>
          <w:rStyle w:val="CharSectno"/>
        </w:rPr>
        <w:t>137</w:t>
      </w:r>
      <w:r>
        <w:t>.</w:t>
      </w:r>
      <w:r>
        <w:tab/>
        <w:t>Heritage land, subdivision etc. of</w:t>
      </w:r>
      <w:bookmarkEnd w:id="540"/>
      <w:bookmarkEnd w:id="541"/>
    </w:p>
    <w:p>
      <w:pPr>
        <w:pStyle w:val="Subsection"/>
      </w:pPr>
      <w:r>
        <w:tab/>
        <w:t>(1)</w:t>
      </w:r>
      <w:r>
        <w:tab/>
        <w:t xml:space="preserve">This section applies to land included in a place of a kind mentioned in the </w:t>
      </w:r>
      <w:r>
        <w:rPr>
          <w:i/>
        </w:rPr>
        <w:t xml:space="preserve">Heritage Act 2018 </w:t>
      </w:r>
      <w:r>
        <w:t>section 72(1).</w:t>
      </w:r>
    </w:p>
    <w:p>
      <w:pPr>
        <w:pStyle w:val="Subsection"/>
      </w:pPr>
      <w:r>
        <w:tab/>
        <w:t>(2)</w:t>
      </w:r>
      <w:r>
        <w:tab/>
        <w:t xml:space="preserve">The Commission must not grant an application for its approval under section 135 or 136 in respect of land to which this section applies unless the requirements of the </w:t>
      </w:r>
      <w:r>
        <w:rPr>
          <w:i/>
        </w:rPr>
        <w:t>Heritage Act 2018</w:t>
      </w:r>
      <w:r>
        <w:t xml:space="preserve"> Part 5 Division 2 have been observed.</w:t>
      </w:r>
    </w:p>
    <w:p>
      <w:pPr>
        <w:pStyle w:val="Subsection"/>
        <w:keepNext/>
      </w:pPr>
      <w:r>
        <w:tab/>
        <w:t>(3)</w:t>
      </w:r>
      <w:r>
        <w:tab/>
        <w:t xml:space="preserve">If the </w:t>
      </w:r>
      <w:r>
        <w:rPr>
          <w:i/>
        </w:rPr>
        <w:t>Heritage Act 2018</w:t>
      </w:r>
      <w:r>
        <w:t xml:space="preserve"> section 76(3) applies, the holder of an approval given by the Commission under section 135 or 136 in respect of land to which this section applies is not to give effect to that approval — </w:t>
      </w:r>
    </w:p>
    <w:p>
      <w:pPr>
        <w:pStyle w:val="Indenta"/>
      </w:pPr>
      <w:r>
        <w:tab/>
        <w:t>(a)</w:t>
      </w:r>
      <w:r>
        <w:tab/>
        <w:t xml:space="preserve">during such time as the operation of the approval is suspended the </w:t>
      </w:r>
      <w:r>
        <w:rPr>
          <w:i/>
        </w:rPr>
        <w:t>Heritage Act 2018</w:t>
      </w:r>
      <w:r>
        <w:t xml:space="preserve"> section 76(3); or</w:t>
      </w:r>
    </w:p>
    <w:p>
      <w:pPr>
        <w:pStyle w:val="Indenta"/>
      </w:pPr>
      <w:r>
        <w:tab/>
        <w:t>(b)</w:t>
      </w:r>
      <w:r>
        <w:tab/>
        <w:t xml:space="preserve">otherwise than in accordance with the </w:t>
      </w:r>
      <w:r>
        <w:rPr>
          <w:i/>
        </w:rPr>
        <w:t>Heritage Act 2018</w:t>
      </w:r>
      <w:r>
        <w:t xml:space="preserve"> section 76(6).</w:t>
      </w:r>
    </w:p>
    <w:p>
      <w:pPr>
        <w:pStyle w:val="Ednotesubsection"/>
      </w:pPr>
      <w:r>
        <w:tab/>
        <w:t>[(4)</w:t>
      </w:r>
      <w:r>
        <w:tab/>
        <w:t>deleted]</w:t>
      </w:r>
    </w:p>
    <w:p>
      <w:pPr>
        <w:pStyle w:val="Footnotesection"/>
      </w:pPr>
      <w:r>
        <w:tab/>
        <w:t>[Section 137 amended: No. 22 of 2018 s. 186(8)-(11).]</w:t>
      </w:r>
    </w:p>
    <w:p>
      <w:pPr>
        <w:pStyle w:val="Heading5"/>
      </w:pPr>
      <w:bookmarkStart w:id="542" w:name="_Toc77246354"/>
      <w:bookmarkStart w:id="543" w:name="_Toc74924103"/>
      <w:r>
        <w:rPr>
          <w:rStyle w:val="CharSectno"/>
        </w:rPr>
        <w:t>138</w:t>
      </w:r>
      <w:r>
        <w:t>.</w:t>
      </w:r>
      <w:r>
        <w:tab/>
        <w:t>Commission’s functions when approving subdivision etc.</w:t>
      </w:r>
      <w:bookmarkEnd w:id="542"/>
      <w:bookmarkEnd w:id="543"/>
    </w:p>
    <w:p>
      <w:pPr>
        <w:pStyle w:val="Subsection"/>
      </w:pPr>
      <w:r>
        <w:tab/>
        <w:t>(1)</w:t>
      </w:r>
      <w:r>
        <w:tab/>
        <w:t>The Commission may give its approval under section 135 or 136 subject to conditions which are to be carried out before the approval becomes effective.</w:t>
      </w:r>
    </w:p>
    <w:p>
      <w:pPr>
        <w:pStyle w:val="Subsection"/>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spacing w:before="180"/>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 or</w:t>
      </w:r>
    </w:p>
    <w:p>
      <w:pPr>
        <w:pStyle w:val="Indenta"/>
      </w:pPr>
      <w:r>
        <w:tab/>
        <w:t>(b)</w:t>
      </w:r>
      <w:r>
        <w:tab/>
        <w:t>the approval is consistent with a region planning scheme that deals with substantially the same matter; or</w:t>
      </w:r>
    </w:p>
    <w:p>
      <w:pPr>
        <w:pStyle w:val="Indenta"/>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r>
      <w:r>
        <w:tab/>
        <w:t>or</w:t>
      </w:r>
    </w:p>
    <w:p>
      <w:pPr>
        <w:pStyle w:val="Indenta"/>
      </w:pPr>
      <w:r>
        <w:tab/>
        <w:t>(d)</w:t>
      </w:r>
      <w:r>
        <w:tab/>
        <w:t>the local planning scheme includes provisions permitting a variation of the local planning scheme that would remove the conflict; or</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544" w:name="_Toc77246355"/>
      <w:bookmarkStart w:id="545" w:name="_Toc74924104"/>
      <w:r>
        <w:rPr>
          <w:rStyle w:val="CharSectno"/>
        </w:rPr>
        <w:t>139</w:t>
      </w:r>
      <w:r>
        <w:t>.</w:t>
      </w:r>
      <w:r>
        <w:tab/>
        <w:t>Leases and licences that do not need approval under s. 136</w:t>
      </w:r>
      <w:bookmarkEnd w:id="544"/>
      <w:bookmarkEnd w:id="545"/>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 and</w:t>
      </w:r>
    </w:p>
    <w:p>
      <w:pPr>
        <w:pStyle w:val="Indenta"/>
      </w:pPr>
      <w:r>
        <w:tab/>
        <w:t>(b)</w:t>
      </w:r>
      <w:r>
        <w:tab/>
        <w:t>the classification or zoning of the land to which leases or licences of the class concerned will relate; and</w:t>
      </w:r>
    </w:p>
    <w:p>
      <w:pPr>
        <w:pStyle w:val="Indenta"/>
      </w:pPr>
      <w:r>
        <w:tab/>
        <w:t>(c)</w:t>
      </w:r>
      <w:r>
        <w:tab/>
        <w:t>the proposed terms of leases or licences of the class concerned, whether for the lives of the proposed lessees or licensees or for fixed periods; and</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546" w:name="_Toc77246356"/>
      <w:bookmarkStart w:id="547" w:name="_Toc74924105"/>
      <w:r>
        <w:rPr>
          <w:rStyle w:val="CharSectno"/>
        </w:rPr>
        <w:t>140</w:t>
      </w:r>
      <w:r>
        <w:t>.</w:t>
      </w:r>
      <w:r>
        <w:tab/>
        <w:t>Saving of some agreements entered into without approval under s. 136</w:t>
      </w:r>
      <w:bookmarkEnd w:id="546"/>
      <w:bookmarkEnd w:id="547"/>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548" w:name="_Toc77246357"/>
      <w:bookmarkStart w:id="549" w:name="_Toc74924106"/>
      <w:r>
        <w:rPr>
          <w:rStyle w:val="CharSectno"/>
        </w:rPr>
        <w:t>141</w:t>
      </w:r>
      <w:r>
        <w:t>.</w:t>
      </w:r>
      <w:r>
        <w:tab/>
        <w:t>Refund where land transaction cannot be completed</w:t>
      </w:r>
      <w:bookmarkEnd w:id="548"/>
      <w:bookmarkEnd w:id="549"/>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550" w:name="_Toc77246358"/>
      <w:bookmarkStart w:id="551" w:name="_Toc74924107"/>
      <w:r>
        <w:rPr>
          <w:rStyle w:val="CharSectno"/>
        </w:rPr>
        <w:t>142</w:t>
      </w:r>
      <w:r>
        <w:t>.</w:t>
      </w:r>
      <w:r>
        <w:tab/>
        <w:t>Consultation requirements as to proposed subdivision</w:t>
      </w:r>
      <w:bookmarkEnd w:id="550"/>
      <w:bookmarkEnd w:id="551"/>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keepLines/>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552" w:name="_Toc77246359"/>
      <w:bookmarkStart w:id="553" w:name="_Toc74924108"/>
      <w:r>
        <w:rPr>
          <w:rStyle w:val="CharSectno"/>
        </w:rPr>
        <w:t>143</w:t>
      </w:r>
      <w:r>
        <w:t>.</w:t>
      </w:r>
      <w:r>
        <w:tab/>
        <w:t>Commission’s duties when dealing with plan of subdivision</w:t>
      </w:r>
      <w:bookmarkEnd w:id="552"/>
      <w:bookmarkEnd w:id="553"/>
    </w:p>
    <w:p>
      <w:pPr>
        <w:pStyle w:val="Subsection"/>
        <w:keepNext/>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 or</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554" w:name="_Toc77246360"/>
      <w:bookmarkStart w:id="555" w:name="_Toc74924109"/>
      <w:r>
        <w:rPr>
          <w:rStyle w:val="CharSectno"/>
        </w:rPr>
        <w:t>144</w:t>
      </w:r>
      <w:r>
        <w:t>.</w:t>
      </w:r>
      <w:r>
        <w:tab/>
        <w:t>Reconsidering refusal to approve plan of subdivision</w:t>
      </w:r>
      <w:bookmarkEnd w:id="554"/>
      <w:bookmarkEnd w:id="555"/>
    </w:p>
    <w:p>
      <w:pPr>
        <w:pStyle w:val="Subsection"/>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 or</w:t>
      </w:r>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556" w:name="_Toc77246361"/>
      <w:bookmarkStart w:id="557" w:name="_Toc74924110"/>
      <w:r>
        <w:rPr>
          <w:rStyle w:val="CharSectno"/>
        </w:rPr>
        <w:t>145</w:t>
      </w:r>
      <w:r>
        <w:t>.</w:t>
      </w:r>
      <w:r>
        <w:tab/>
        <w:t>Diagram or plan of survey of approved plan of subdivision, approval of</w:t>
      </w:r>
      <w:bookmarkEnd w:id="556"/>
      <w:bookmarkEnd w:id="557"/>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keepNext/>
        <w:keepLines/>
      </w:pPr>
      <w:r>
        <w:tab/>
        <w:t>(2)</w:t>
      </w:r>
      <w:r>
        <w:tab/>
        <w:t xml:space="preserve">In subsection (1) — </w:t>
      </w:r>
    </w:p>
    <w:p>
      <w:pPr>
        <w:pStyle w:val="Defstart"/>
        <w:keepNext/>
        <w:keepLines/>
      </w:pPr>
      <w:r>
        <w:tab/>
      </w:r>
      <w:r>
        <w:rPr>
          <w:rStyle w:val="CharDefText"/>
        </w:rPr>
        <w:t>prescribed period</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 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pPr>
      <w:r>
        <w:tab/>
      </w:r>
      <w:r>
        <w:tab/>
        <w:t>the Commission is to endorse its approval on the diagram or plan of survey.</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558" w:name="_Toc77246362"/>
      <w:bookmarkStart w:id="559" w:name="_Toc74924111"/>
      <w:r>
        <w:rPr>
          <w:rStyle w:val="CharSectno"/>
        </w:rPr>
        <w:t>146</w:t>
      </w:r>
      <w:r>
        <w:t>.</w:t>
      </w:r>
      <w:r>
        <w:tab/>
        <w:t>No certificate of title for subdivided land without approved diagram or plan of survey</w:t>
      </w:r>
      <w:bookmarkEnd w:id="558"/>
      <w:bookmarkEnd w:id="559"/>
    </w:p>
    <w:p>
      <w:pPr>
        <w:pStyle w:val="Subsection"/>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 and</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spacing w:before="180"/>
      </w:pPr>
      <w:r>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pPr>
      <w:r>
        <w:tab/>
        <w:t>(a)</w:t>
      </w:r>
      <w:r>
        <w:tab/>
        <w:t>a certificate of title; or</w:t>
      </w:r>
    </w:p>
    <w:p>
      <w:pPr>
        <w:pStyle w:val="Indenta"/>
      </w:pPr>
      <w:r>
        <w:tab/>
        <w:t>(b)</w:t>
      </w:r>
      <w:r>
        <w:tab/>
        <w:t>a registered conveyance; or</w:t>
      </w:r>
    </w:p>
    <w:p>
      <w:pPr>
        <w:pStyle w:val="Indenta"/>
      </w:pPr>
      <w:r>
        <w:tab/>
        <w:t>(c)</w:t>
      </w:r>
      <w:r>
        <w:tab/>
        <w:t>a Crown grant; or</w:t>
      </w:r>
    </w:p>
    <w:p>
      <w:pPr>
        <w:pStyle w:val="Indenta"/>
      </w:pPr>
      <w:r>
        <w:tab/>
        <w:t>(d)</w:t>
      </w:r>
      <w:r>
        <w:tab/>
        <w:t>a lot on a plan deposited with the Authority.</w:t>
      </w:r>
    </w:p>
    <w:p>
      <w:pPr>
        <w:pStyle w:val="Footnotesection"/>
        <w:spacing w:before="80"/>
        <w:ind w:left="890" w:hanging="890"/>
      </w:pPr>
      <w:r>
        <w:tab/>
        <w:t>[Section 146 amended: No. 60 of 2006 s. 147(3).]</w:t>
      </w:r>
    </w:p>
    <w:p>
      <w:pPr>
        <w:pStyle w:val="Heading5"/>
        <w:spacing w:before="180"/>
      </w:pPr>
      <w:bookmarkStart w:id="560" w:name="_Toc77246363"/>
      <w:bookmarkStart w:id="561" w:name="_Toc74924112"/>
      <w:r>
        <w:rPr>
          <w:rStyle w:val="CharSectno"/>
        </w:rPr>
        <w:t>147</w:t>
      </w:r>
      <w:r>
        <w:t>.</w:t>
      </w:r>
      <w:r>
        <w:tab/>
        <w:t>No registration etc. of some land dealings without Commission’s approval</w:t>
      </w:r>
      <w:bookmarkEnd w:id="560"/>
      <w:bookmarkEnd w:id="561"/>
    </w:p>
    <w:p>
      <w:pPr>
        <w:pStyle w:val="Subsection"/>
        <w:keepNext/>
        <w:spacing w:before="120"/>
      </w:pPr>
      <w:r>
        <w:tab/>
        <w:t>(1)</w:t>
      </w:r>
      <w:r>
        <w:tab/>
        <w:t xml:space="preserve">The Registrar of Titles is not to register a transfer, conveyance, lease or mortgage of any land unless — </w:t>
      </w:r>
    </w:p>
    <w:p>
      <w:pPr>
        <w:pStyle w:val="Indenta"/>
      </w:pPr>
      <w:r>
        <w:tab/>
        <w:t>(a)</w:t>
      </w:r>
      <w:r>
        <w:tab/>
        <w:t>it has first been approved in writing by the Commission; or</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keepNext/>
        <w:tabs>
          <w:tab w:val="left" w:pos="2280"/>
        </w:tabs>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 or</w:t>
      </w:r>
    </w:p>
    <w:p>
      <w:pPr>
        <w:pStyle w:val="Indenti"/>
      </w:pPr>
      <w:r>
        <w:tab/>
        <w:t>(ii)</w:t>
      </w:r>
      <w:r>
        <w:tab/>
        <w:t xml:space="preserve">section 136(1) does not apply to the lease by virtue of the definition of </w:t>
      </w:r>
      <w:r>
        <w:rPr>
          <w:b/>
          <w:bCs/>
          <w:i/>
          <w:iCs/>
        </w:rPr>
        <w:t>land</w:t>
      </w:r>
      <w:r>
        <w:t xml:space="preserve"> in section 136; or</w:t>
      </w:r>
    </w:p>
    <w:p>
      <w:pPr>
        <w:pStyle w:val="Indenti"/>
      </w:pPr>
      <w:r>
        <w:tab/>
        <w:t>(iii)</w:t>
      </w:r>
      <w:r>
        <w:tab/>
        <w:t>the lease is a lease which may be entered into without the approval of the Commission by virtue of section 139(1).</w:t>
      </w:r>
    </w:p>
    <w:p>
      <w:pPr>
        <w:pStyle w:val="Subsection"/>
        <w:spacing w:before="120"/>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562" w:name="_Toc77239410"/>
      <w:bookmarkStart w:id="563" w:name="_Toc77240314"/>
      <w:bookmarkStart w:id="564" w:name="_Toc77246364"/>
      <w:bookmarkStart w:id="565" w:name="_Toc74652425"/>
      <w:bookmarkStart w:id="566" w:name="_Toc74652891"/>
      <w:bookmarkStart w:id="567" w:name="_Toc74733609"/>
      <w:bookmarkStart w:id="568" w:name="_Toc74924113"/>
      <w:r>
        <w:rPr>
          <w:rStyle w:val="CharDivNo"/>
        </w:rPr>
        <w:t>Division 3</w:t>
      </w:r>
      <w:r>
        <w:t> — </w:t>
      </w:r>
      <w:r>
        <w:rPr>
          <w:rStyle w:val="CharDivText"/>
        </w:rPr>
        <w:t>Conditions of subdivision</w:t>
      </w:r>
      <w:bookmarkEnd w:id="562"/>
      <w:bookmarkEnd w:id="563"/>
      <w:bookmarkEnd w:id="564"/>
      <w:bookmarkEnd w:id="565"/>
      <w:bookmarkEnd w:id="566"/>
      <w:bookmarkEnd w:id="567"/>
      <w:bookmarkEnd w:id="568"/>
    </w:p>
    <w:p>
      <w:pPr>
        <w:pStyle w:val="Ednotesection"/>
      </w:pPr>
      <w:r>
        <w:t>[</w:t>
      </w:r>
      <w:r>
        <w:rPr>
          <w:b/>
        </w:rPr>
        <w:t>148</w:t>
      </w:r>
      <w:r>
        <w:t>.</w:t>
      </w:r>
      <w:r>
        <w:tab/>
        <w:t>Deleted: No. 30 of 2018 s. 163.]</w:t>
      </w:r>
    </w:p>
    <w:p>
      <w:pPr>
        <w:pStyle w:val="Ednotesection"/>
      </w:pPr>
      <w:r>
        <w:t>[</w:t>
      </w:r>
      <w:r>
        <w:rPr>
          <w:b/>
        </w:rPr>
        <w:t>149.</w:t>
      </w:r>
      <w:r>
        <w:tab/>
        <w:t>Has not come into operation.]</w:t>
      </w:r>
    </w:p>
    <w:p>
      <w:pPr>
        <w:pStyle w:val="Heading5"/>
      </w:pPr>
      <w:bookmarkStart w:id="569" w:name="_Toc77246365"/>
      <w:bookmarkStart w:id="570" w:name="_Toc74924114"/>
      <w:r>
        <w:rPr>
          <w:rStyle w:val="CharSectno"/>
        </w:rPr>
        <w:t>150</w:t>
      </w:r>
      <w:r>
        <w:t>.</w:t>
      </w:r>
      <w:r>
        <w:tab/>
        <w:t>Road access, conditions as to</w:t>
      </w:r>
      <w:bookmarkEnd w:id="569"/>
      <w:bookmarkEnd w:id="570"/>
    </w:p>
    <w:p>
      <w:pPr>
        <w:pStyle w:val="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Subsection"/>
      </w:pPr>
      <w:r>
        <w:tab/>
        <w:t>(2)</w:t>
      </w:r>
      <w:r>
        <w:tab/>
        <w:t>A condition referred to in subsection (1) is to specify a covenantee.</w:t>
      </w:r>
    </w:p>
    <w:p>
      <w:pPr>
        <w:pStyle w:val="Subsection"/>
      </w:pPr>
      <w:r>
        <w:tab/>
        <w:t>(3)</w:t>
      </w:r>
      <w:r>
        <w:tab/>
        <w:t xml:space="preserve">Where — </w:t>
      </w:r>
    </w:p>
    <w:p>
      <w:pPr>
        <w:pStyle w:val="Indenta"/>
      </w:pPr>
      <w:r>
        <w:tab/>
        <w:t>(a)</w:t>
      </w:r>
      <w:r>
        <w:tab/>
        <w:t xml:space="preserve">a diagram or plan of survey of a subdivision, or a scheme plan lodged for registration under the </w:t>
      </w:r>
      <w:r>
        <w:rPr>
          <w:i/>
        </w:rPr>
        <w:t>Strata Titles Act 1985</w:t>
      </w:r>
      <w:r>
        <w:rPr>
          <w:iCs/>
        </w:rPr>
        <w:t xml:space="preserve">, </w:t>
      </w:r>
      <w:r>
        <w:t>is received by the Authority; and</w:t>
      </w:r>
    </w:p>
    <w:p>
      <w:pPr>
        <w:pStyle w:val="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Subsection"/>
      </w:pPr>
      <w:r>
        <w:tab/>
      </w:r>
      <w:r>
        <w:tab/>
        <w:t xml:space="preserve">the land becomes subject to a covenant so restricting or prohibiting that access — </w:t>
      </w:r>
    </w:p>
    <w:p>
      <w:pPr>
        <w:pStyle w:val="Indenta"/>
      </w:pPr>
      <w:r>
        <w:tab/>
        <w:t>(c)</w:t>
      </w:r>
      <w:r>
        <w:tab/>
        <w:t xml:space="preserve">in the case of a scheme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(4)</w:t>
      </w:r>
      <w:r>
        <w:tab/>
        <w:t>It is sufficient description for the purposes of subsection (3)(b) if reference is made on the plan or diagram to this section and regulations made for the purposes of this section.</w:t>
      </w:r>
    </w:p>
    <w:p>
      <w:pPr>
        <w:pStyle w:val="Footnotesection"/>
      </w:pPr>
      <w:r>
        <w:tab/>
        <w:t>[Section 150 amended: No. 60 of 2006 s. 147(4); No. 30 of 2018 s. 164.]</w:t>
      </w:r>
    </w:p>
    <w:p>
      <w:pPr>
        <w:pStyle w:val="Heading5"/>
      </w:pPr>
      <w:bookmarkStart w:id="571" w:name="_Toc77246366"/>
      <w:bookmarkStart w:id="572" w:name="_Toc74924115"/>
      <w:r>
        <w:rPr>
          <w:rStyle w:val="CharSectno"/>
        </w:rPr>
        <w:t>151</w:t>
      </w:r>
      <w:r>
        <w:t>.</w:t>
      </w:r>
      <w:r>
        <w:tab/>
        <w:t>Reconsidering conditions</w:t>
      </w:r>
      <w:bookmarkEnd w:id="571"/>
      <w:bookmarkEnd w:id="572"/>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573" w:name="_Toc77246367"/>
      <w:bookmarkStart w:id="574" w:name="_Toc74924116"/>
      <w:r>
        <w:rPr>
          <w:rStyle w:val="CharSectno"/>
        </w:rPr>
        <w:t>152</w:t>
      </w:r>
      <w:r>
        <w:t>.</w:t>
      </w:r>
      <w:r>
        <w:tab/>
        <w:t>Certain land to vest in Crown</w:t>
      </w:r>
      <w:bookmarkEnd w:id="573"/>
      <w:bookmarkEnd w:id="574"/>
    </w:p>
    <w:p>
      <w:pPr>
        <w:pStyle w:val="Subsection"/>
      </w:pPr>
      <w:r>
        <w:tab/>
        <w:t>(1)</w:t>
      </w:r>
      <w:r>
        <w:tab/>
        <w:t xml:space="preserve">If the Commission has approved a subdivision of land subject to a condition that one or more portions of land shown on a diagram or plan of survey relating to the subdivision or a scheme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pPr>
      <w:r>
        <w:tab/>
        <w:t>(e)</w:t>
      </w:r>
      <w:r>
        <w:tab/>
        <w:t>a reserve for water supply, sewerage, drainage, foreshore management, waterway management or recreation;</w:t>
      </w:r>
    </w:p>
    <w:p>
      <w:pPr>
        <w:pStyle w:val="Indenta"/>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keepNext/>
      </w:pPr>
      <w:r>
        <w:tab/>
        <w:t>(2)</w:t>
      </w:r>
      <w:r>
        <w:tab/>
        <w:t xml:space="preserve">Land vested under subsection (1) is vested — </w:t>
      </w:r>
    </w:p>
    <w:p>
      <w:pPr>
        <w:pStyle w:val="Indenta"/>
      </w:pPr>
      <w:r>
        <w:tab/>
        <w:t>(a)</w:t>
      </w:r>
      <w:r>
        <w:tab/>
        <w:t xml:space="preserve">in the case of a scheme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 and</w:t>
      </w:r>
    </w:p>
    <w:p>
      <w:pPr>
        <w:pStyle w:val="Indenta"/>
      </w:pPr>
      <w:r>
        <w:tab/>
        <w:t>(b)</w:t>
      </w:r>
      <w:r>
        <w:tab/>
        <w:t xml:space="preserve">does not form part of a parcel comprised in a scheme plan that is registered under the </w:t>
      </w:r>
      <w:r>
        <w:rPr>
          <w:i/>
        </w:rPr>
        <w:t>Strata Titles Act 1985</w:t>
      </w:r>
      <w:r>
        <w:t>; and</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 and</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 and</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Footnotesection"/>
      </w:pPr>
      <w:r>
        <w:tab/>
        <w:t>[Section 152 amended: No. 30 of 2018 s. 165.]</w:t>
      </w:r>
    </w:p>
    <w:p>
      <w:pPr>
        <w:pStyle w:val="Heading5"/>
      </w:pPr>
      <w:bookmarkStart w:id="575" w:name="_Toc77246368"/>
      <w:bookmarkStart w:id="576" w:name="_Toc74924117"/>
      <w:r>
        <w:rPr>
          <w:rStyle w:val="CharSectno"/>
        </w:rPr>
        <w:t>153</w:t>
      </w:r>
      <w:r>
        <w:t>.</w:t>
      </w:r>
      <w:r>
        <w:tab/>
        <w:t>Setting aside land for open space or payment in lieu</w:t>
      </w:r>
      <w:bookmarkEnd w:id="575"/>
      <w:bookmarkEnd w:id="576"/>
    </w:p>
    <w:p>
      <w:pPr>
        <w:pStyle w:val="Subsection"/>
      </w:pPr>
      <w:r>
        <w:tab/>
        <w:t>(1)</w:t>
      </w:r>
      <w:r>
        <w:tab/>
        <w:t xml:space="preserve">The Commission may under section 143(1)(c) impose either of the following conditions on the approval of a plan of subdivision of land — </w:t>
      </w:r>
    </w:p>
    <w:p>
      <w:pPr>
        <w:pStyle w:val="Indenta"/>
      </w:pPr>
      <w:r>
        <w:tab/>
        <w:t>(a)</w:t>
      </w:r>
      <w:r>
        <w:tab/>
        <w:t>a requirement that a specified portion of the land be set aside and vested in the Crown for parks, recreation grounds or open spaces generally;</w:t>
      </w:r>
    </w:p>
    <w:p>
      <w:pPr>
        <w:pStyle w:val="Indenta"/>
      </w:pPr>
      <w:r>
        <w:tab/>
        <w:t>(b)</w:t>
      </w:r>
      <w:r>
        <w:tab/>
        <w:t>a requirement that the owner of the land make a payment to the local government in whose district the land is situated of a sum that represents the value of a specified portion of the land in lieu of a requirement to set aside and vest in the Crown that portion of the land for parks, recreation grounds or open spaces generally.</w:t>
      </w:r>
    </w:p>
    <w:p>
      <w:pPr>
        <w:pStyle w:val="Subsection"/>
      </w:pPr>
      <w:r>
        <w:tab/>
        <w:t>(2)</w:t>
      </w:r>
      <w:r>
        <w:tab/>
        <w:t>The Commission must not impose a requirement referred to in subsection (1)(b) unless the local government in whose district the land is situated has been consulted.</w:t>
      </w:r>
    </w:p>
    <w:p>
      <w:pPr>
        <w:pStyle w:val="Subsection"/>
      </w:pPr>
      <w:r>
        <w:tab/>
        <w:t>(3)</w:t>
      </w:r>
      <w:r>
        <w:tab/>
        <w:t>The Commission must not impose a requirement referred to in subsection (1)(b) in respect of a plan of subdivision that creates fewer than 3 lots.</w:t>
      </w:r>
    </w:p>
    <w:p>
      <w:pPr>
        <w:pStyle w:val="Subsection"/>
      </w:pPr>
      <w:r>
        <w:tab/>
        <w:t>(4)</w:t>
      </w:r>
      <w:r>
        <w:tab/>
        <w:t>If the Commission has imposed a condition referred to in subsection (1)(a) on an approval of a plan of subdivision, the Commission may, with the agreement of the local government in whose district the land is situated, consent to the owner of the land making a payment to the local government of a sum that represents the value of a portion of the land in lieu of setting aside that portion.</w:t>
      </w:r>
    </w:p>
    <w:p>
      <w:pPr>
        <w:pStyle w:val="Subsection"/>
      </w:pPr>
      <w:r>
        <w:tab/>
        <w:t>(5)</w:t>
      </w:r>
      <w:r>
        <w:tab/>
        <w:t>This section does not limit any other condition that the Commission may impose under section 143(1)(c).</w:t>
      </w:r>
    </w:p>
    <w:p>
      <w:pPr>
        <w:pStyle w:val="Footnotesection"/>
      </w:pPr>
      <w:r>
        <w:tab/>
        <w:t>[Section 153 inserted: No. 26 of 2020 s. 85.]</w:t>
      </w:r>
    </w:p>
    <w:p>
      <w:pPr>
        <w:pStyle w:val="Heading5"/>
      </w:pPr>
      <w:bookmarkStart w:id="577" w:name="_Toc77246369"/>
      <w:bookmarkStart w:id="578" w:name="_Toc74924118"/>
      <w:r>
        <w:rPr>
          <w:rStyle w:val="CharSectno"/>
        </w:rPr>
        <w:t>154</w:t>
      </w:r>
      <w:r>
        <w:t>.</w:t>
      </w:r>
      <w:r>
        <w:tab/>
        <w:t>Money paid in lieu of open space, application of</w:t>
      </w:r>
      <w:bookmarkEnd w:id="577"/>
      <w:bookmarkEnd w:id="578"/>
    </w:p>
    <w:p>
      <w:pPr>
        <w:pStyle w:val="Subsection"/>
        <w:spacing w:before="120"/>
      </w:pPr>
      <w:r>
        <w:tab/>
        <w:t>(1)</w:t>
      </w:r>
      <w:r>
        <w:tab/>
        <w:t xml:space="preserve">All money received by a local government under section 153 is to be paid into a separate reserve account established and maintained under the </w:t>
      </w:r>
      <w:r>
        <w:rPr>
          <w:i/>
        </w:rPr>
        <w:t>Local Government Act 1995</w:t>
      </w:r>
      <w:r>
        <w:t xml:space="preserve"> section 6.11 for the purposes set out in subsection (2)(a) to (d).</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 or</w:t>
      </w:r>
    </w:p>
    <w:p>
      <w:pPr>
        <w:pStyle w:val="Indenta"/>
      </w:pPr>
      <w:r>
        <w:tab/>
        <w:t>(b)</w:t>
      </w:r>
      <w:r>
        <w:tab/>
        <w:t>in repaying any loans raised by the local government for the purchase of any such land; or</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Footnotesection"/>
      </w:pPr>
      <w:r>
        <w:tab/>
        <w:t>[Section 154 amended: No. 26 of 2020 s. 86.]</w:t>
      </w:r>
    </w:p>
    <w:p>
      <w:pPr>
        <w:pStyle w:val="Heading5"/>
        <w:spacing w:before="180"/>
      </w:pPr>
      <w:bookmarkStart w:id="579" w:name="_Toc77246370"/>
      <w:bookmarkStart w:id="580" w:name="_Toc74924119"/>
      <w:r>
        <w:rPr>
          <w:rStyle w:val="CharSectno"/>
        </w:rPr>
        <w:t>155</w:t>
      </w:r>
      <w:r>
        <w:t>.</w:t>
      </w:r>
      <w:r>
        <w:tab/>
        <w:t>Value of land for s. 153, how determined</w:t>
      </w:r>
      <w:bookmarkEnd w:id="579"/>
      <w:bookmarkEnd w:id="580"/>
    </w:p>
    <w:p>
      <w:pPr>
        <w:pStyle w:val="Subsection"/>
        <w:keepNext/>
        <w:keepLines/>
        <w:spacing w:before="120"/>
      </w:pPr>
      <w:r>
        <w:tab/>
        <w:t>(1)</w:t>
      </w:r>
      <w:r>
        <w:tab/>
        <w:t xml:space="preserve">In this section — </w:t>
      </w:r>
    </w:p>
    <w:p>
      <w:pPr>
        <w:pStyle w:val="Defstart"/>
        <w:keepNext/>
        <w:keepLines/>
      </w:pPr>
      <w:r>
        <w:tab/>
      </w:r>
      <w:r>
        <w:rPr>
          <w:rStyle w:val="CharDefText"/>
        </w:rPr>
        <w:t>licensed valuer</w:t>
      </w:r>
      <w:r>
        <w:t xml:space="preserve"> means — </w:t>
      </w:r>
    </w:p>
    <w:p>
      <w:pPr>
        <w:pStyle w:val="Defpara"/>
        <w:keepNext/>
        <w:keepLines/>
        <w:spacing w:before="60"/>
      </w:pPr>
      <w:r>
        <w:tab/>
        <w:t>(a)</w:t>
      </w:r>
      <w:r>
        <w:tab/>
        <w:t xml:space="preserve">a licensed valuer as defined in the </w:t>
      </w:r>
      <w:r>
        <w:rPr>
          <w:i/>
        </w:rPr>
        <w:t>Land Valuers Licensing Act 1978</w:t>
      </w:r>
      <w:r>
        <w:t>; or</w:t>
      </w:r>
    </w:p>
    <w:p>
      <w:pPr>
        <w:pStyle w:val="Defpara"/>
        <w:keepNext/>
        <w:keepLines/>
        <w:spacing w:before="60"/>
      </w:pPr>
      <w:r>
        <w:tab/>
        <w:t>(b)</w:t>
      </w:r>
      <w:r>
        <w:tab/>
        <w:t>the Valuer</w:t>
      </w:r>
      <w:r>
        <w:noBreakHyphen/>
        <w:t>General,</w:t>
      </w:r>
    </w:p>
    <w:p>
      <w:pPr>
        <w:pStyle w:val="Defstart"/>
        <w:keepNext/>
        <w:keepLines/>
        <w:spacing w:before="60"/>
      </w:pPr>
      <w:r>
        <w:tab/>
        <w:t>but nothing in subsection (3)(a) or in this definition is to be construed as obliging the Valuer</w:t>
      </w:r>
      <w:r>
        <w:noBreakHyphen/>
        <w:t>General to undertake a valuation for the purposes of this section;</w:t>
      </w:r>
    </w:p>
    <w:p>
      <w:pPr>
        <w:pStyle w:val="Defstart"/>
        <w:spacing w:before="60"/>
      </w:pPr>
      <w:r>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spacing w:before="120"/>
      </w:pPr>
      <w:r>
        <w:tab/>
        <w:t>(2)</w:t>
      </w:r>
      <w:r>
        <w:tab/>
        <w:t>For the purposes of section 153, the value of the portion is to be such percentage of the market value of the land of which the portion forms part as the area of the portion bears to the area of that land.</w:t>
      </w:r>
    </w:p>
    <w:p>
      <w:pPr>
        <w:pStyle w:val="Subsection"/>
        <w:spacing w:before="120"/>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 and</w:t>
      </w:r>
    </w:p>
    <w:p>
      <w:pPr>
        <w:pStyle w:val="Indenti"/>
      </w:pPr>
      <w:r>
        <w:tab/>
        <w:t>(ii)</w:t>
      </w:r>
      <w:r>
        <w:tab/>
        <w:t>on the basis that there are no buildings, fences or other improvements of a like nature on the land; 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spacing w:before="200"/>
      </w:pPr>
      <w:r>
        <w:tab/>
        <w:t>(4)</w:t>
      </w:r>
      <w:r>
        <w:tab/>
        <w:t>The licensed valuer is to give the valuation to the owner of the land and the local government.</w:t>
      </w:r>
    </w:p>
    <w:p>
      <w:pPr>
        <w:pStyle w:val="Subsection"/>
        <w:spacing w:before="200"/>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581" w:name="_Toc77246371"/>
      <w:bookmarkStart w:id="582" w:name="_Toc74924120"/>
      <w:r>
        <w:rPr>
          <w:rStyle w:val="CharSectno"/>
        </w:rPr>
        <w:t>156</w:t>
      </w:r>
      <w:r>
        <w:t>.</w:t>
      </w:r>
      <w:r>
        <w:tab/>
        <w:t>Valuation under s. 155, dispute as to</w:t>
      </w:r>
      <w:bookmarkEnd w:id="581"/>
      <w:bookmarkEnd w:id="582"/>
    </w:p>
    <w:p>
      <w:pPr>
        <w:pStyle w:val="Subsection"/>
        <w:spacing w:before="200"/>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spacing w:before="200"/>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2012</w:t>
      </w:r>
      <w:r>
        <w:t>.</w:t>
      </w:r>
    </w:p>
    <w:p>
      <w:pPr>
        <w:pStyle w:val="Footnotesection"/>
      </w:pPr>
      <w:r>
        <w:tab/>
        <w:t>[Section 156 amended: No. 23 of 2012 s. 45.]</w:t>
      </w:r>
    </w:p>
    <w:p>
      <w:pPr>
        <w:pStyle w:val="Heading5"/>
      </w:pPr>
      <w:bookmarkStart w:id="583" w:name="_Toc77246372"/>
      <w:bookmarkStart w:id="584" w:name="_Toc74924121"/>
      <w:r>
        <w:rPr>
          <w:rStyle w:val="CharSectno"/>
        </w:rPr>
        <w:t>157</w:t>
      </w:r>
      <w:r>
        <w:t>.</w:t>
      </w:r>
      <w:r>
        <w:tab/>
        <w:t>When approval of subdivision deemed to be approval under planning scheme</w:t>
      </w:r>
      <w:bookmarkEnd w:id="583"/>
      <w:bookmarkEnd w:id="584"/>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585" w:name="_Toc77239419"/>
      <w:bookmarkStart w:id="586" w:name="_Toc77240323"/>
      <w:bookmarkStart w:id="587" w:name="_Toc77246373"/>
      <w:bookmarkStart w:id="588" w:name="_Toc74652434"/>
      <w:bookmarkStart w:id="589" w:name="_Toc74652900"/>
      <w:bookmarkStart w:id="590" w:name="_Toc74733618"/>
      <w:bookmarkStart w:id="591" w:name="_Toc74924122"/>
      <w:r>
        <w:rPr>
          <w:rStyle w:val="CharDivNo"/>
        </w:rPr>
        <w:t>Division 4</w:t>
      </w:r>
      <w:r>
        <w:t> — </w:t>
      </w:r>
      <w:r>
        <w:rPr>
          <w:rStyle w:val="CharDivText"/>
        </w:rPr>
        <w:t>Subdivision costs</w:t>
      </w:r>
      <w:bookmarkEnd w:id="585"/>
      <w:bookmarkEnd w:id="586"/>
      <w:bookmarkEnd w:id="587"/>
      <w:bookmarkEnd w:id="588"/>
      <w:bookmarkEnd w:id="589"/>
      <w:bookmarkEnd w:id="590"/>
      <w:bookmarkEnd w:id="591"/>
    </w:p>
    <w:p>
      <w:pPr>
        <w:pStyle w:val="Heading5"/>
      </w:pPr>
      <w:bookmarkStart w:id="592" w:name="_Toc77246374"/>
      <w:bookmarkStart w:id="593" w:name="_Toc74924123"/>
      <w:r>
        <w:rPr>
          <w:rStyle w:val="CharSectno"/>
        </w:rPr>
        <w:t>158</w:t>
      </w:r>
      <w:r>
        <w:t>.</w:t>
      </w:r>
      <w:r>
        <w:tab/>
        <w:t>Expenses of construction etc. of roads etc.</w:t>
      </w:r>
      <w:bookmarkEnd w:id="592"/>
      <w:bookmarkEnd w:id="593"/>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spacing w:before="60"/>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594" w:name="_Toc77246375"/>
      <w:bookmarkStart w:id="595" w:name="_Toc74924124"/>
      <w:r>
        <w:rPr>
          <w:rStyle w:val="CharSectno"/>
        </w:rPr>
        <w:t>159</w:t>
      </w:r>
      <w:r>
        <w:t>.</w:t>
      </w:r>
      <w:r>
        <w:tab/>
        <w:t>Subdivider may recover portion of road costs from later subdivider</w:t>
      </w:r>
      <w:bookmarkEnd w:id="594"/>
      <w:bookmarkEnd w:id="595"/>
    </w:p>
    <w:p>
      <w:pPr>
        <w:pStyle w:val="Subsection"/>
      </w:pPr>
      <w:r>
        <w:tab/>
        <w:t>(1)</w:t>
      </w:r>
      <w:r>
        <w:tab/>
        <w:t xml:space="preserve">Where — </w:t>
      </w:r>
    </w:p>
    <w:p>
      <w:pPr>
        <w:pStyle w:val="Indenta"/>
      </w:pPr>
      <w:r>
        <w:tab/>
        <w:t>(a)</w:t>
      </w:r>
      <w:r>
        <w:tab/>
        <w:t xml:space="preserve">a person (in this section called the </w:t>
      </w:r>
      <w:r>
        <w:rPr>
          <w:rStyle w:val="CharDefText"/>
        </w:rPr>
        <w:t>later subdivider</w:t>
      </w:r>
      <w:r>
        <w:t xml:space="preserve">) has subdivided land in which — </w:t>
      </w:r>
    </w:p>
    <w:p>
      <w:pPr>
        <w:pStyle w:val="Indenti"/>
      </w:pPr>
      <w:r>
        <w:tab/>
        <w:t>(i)</w:t>
      </w:r>
      <w:r>
        <w:tab/>
        <w:t>a lot or lots has or have a common boundary with; or</w:t>
      </w:r>
    </w:p>
    <w:p>
      <w:pPr>
        <w:pStyle w:val="Indenti"/>
      </w:pPr>
      <w:r>
        <w:tab/>
        <w:t>(ii)</w:t>
      </w:r>
      <w:r>
        <w:tab/>
        <w:t>a road joins,</w:t>
      </w:r>
    </w:p>
    <w:p>
      <w:pPr>
        <w:pStyle w:val="Indenta"/>
      </w:pPr>
      <w:r>
        <w:tab/>
      </w:r>
      <w:r>
        <w:tab/>
        <w:t>an existing road to which there is access from the subdivided land; and</w:t>
      </w:r>
    </w:p>
    <w:p>
      <w:pPr>
        <w:pStyle w:val="Indenta"/>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pPr>
        <w:pStyle w:val="Indenta"/>
        <w:keepNext/>
      </w:pPr>
      <w:r>
        <w:tab/>
        <w:t>(c)</w:t>
      </w:r>
      <w:r>
        <w:tab/>
        <w:t>the later subdivider did not contribute to that cost,</w:t>
      </w:r>
    </w:p>
    <w:p>
      <w:pPr>
        <w:pStyle w:val="Subsection"/>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keepLines/>
      </w:pPr>
      <w:r>
        <w:tab/>
        <w:t>(2)</w:t>
      </w:r>
      <w:r>
        <w:tab/>
        <w:t xml:space="preserve">In this section — </w:t>
      </w:r>
    </w:p>
    <w:p>
      <w:pPr>
        <w:pStyle w:val="Defstart"/>
        <w:keepNext/>
        <w:keepLines/>
      </w:pPr>
      <w:r>
        <w:tab/>
      </w:r>
      <w:r>
        <w:rPr>
          <w:rStyle w:val="CharDefText"/>
        </w:rPr>
        <w:t>CPI</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spacing w:before="120"/>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 and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spacing w:before="120"/>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spacing w:before="180"/>
      </w:pPr>
      <w:bookmarkStart w:id="596" w:name="_Toc77246376"/>
      <w:bookmarkStart w:id="597" w:name="_Toc74924125"/>
      <w:r>
        <w:rPr>
          <w:rStyle w:val="CharSectno"/>
        </w:rPr>
        <w:t>160</w:t>
      </w:r>
      <w:r>
        <w:t>.</w:t>
      </w:r>
      <w:r>
        <w:tab/>
        <w:t>Money payable under s. 159, recovery of</w:t>
      </w:r>
      <w:bookmarkEnd w:id="596"/>
      <w:bookmarkEnd w:id="597"/>
    </w:p>
    <w:p>
      <w:pPr>
        <w:pStyle w:val="Subsection"/>
        <w:spacing w:before="120"/>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keepNext w:val="0"/>
        <w:keepLines w:val="0"/>
        <w:spacing w:before="180"/>
      </w:pPr>
      <w:bookmarkStart w:id="598" w:name="_Toc77246377"/>
      <w:bookmarkStart w:id="599" w:name="_Toc74924126"/>
      <w:r>
        <w:rPr>
          <w:rStyle w:val="CharSectno"/>
        </w:rPr>
        <w:t>161</w:t>
      </w:r>
      <w:r>
        <w:t>.</w:t>
      </w:r>
      <w:r>
        <w:tab/>
        <w:t>When subdivision occurs</w:t>
      </w:r>
      <w:bookmarkEnd w:id="598"/>
      <w:bookmarkEnd w:id="599"/>
    </w:p>
    <w:p>
      <w:pPr>
        <w:pStyle w:val="Subsection"/>
        <w:spacing w:before="120"/>
      </w:pPr>
      <w:r>
        <w:tab/>
      </w:r>
      <w:r>
        <w:tab/>
        <w:t>For the purposes of this Division land is subdivided on the date on which the approval of the Commission is endorsed on the diagram or plan of survey relating to the subdivision of the land.</w:t>
      </w:r>
    </w:p>
    <w:p>
      <w:pPr>
        <w:pStyle w:val="Heading3"/>
      </w:pPr>
      <w:bookmarkStart w:id="600" w:name="_Toc77239424"/>
      <w:bookmarkStart w:id="601" w:name="_Toc77240328"/>
      <w:bookmarkStart w:id="602" w:name="_Toc77246378"/>
      <w:bookmarkStart w:id="603" w:name="_Toc74652439"/>
      <w:bookmarkStart w:id="604" w:name="_Toc74652905"/>
      <w:bookmarkStart w:id="605" w:name="_Toc74733623"/>
      <w:bookmarkStart w:id="606" w:name="_Toc74924127"/>
      <w:r>
        <w:rPr>
          <w:rStyle w:val="CharDivNo"/>
        </w:rPr>
        <w:t>Division 5</w:t>
      </w:r>
      <w:r>
        <w:t> — </w:t>
      </w:r>
      <w:r>
        <w:rPr>
          <w:rStyle w:val="CharDivText"/>
        </w:rPr>
        <w:t>Development controls</w:t>
      </w:r>
      <w:bookmarkEnd w:id="600"/>
      <w:bookmarkEnd w:id="601"/>
      <w:bookmarkEnd w:id="602"/>
      <w:bookmarkEnd w:id="603"/>
      <w:bookmarkEnd w:id="604"/>
      <w:bookmarkEnd w:id="605"/>
      <w:bookmarkEnd w:id="606"/>
    </w:p>
    <w:p>
      <w:pPr>
        <w:pStyle w:val="Heading5"/>
        <w:spacing w:before="180"/>
      </w:pPr>
      <w:bookmarkStart w:id="607" w:name="_Toc77246379"/>
      <w:bookmarkStart w:id="608" w:name="_Toc74924128"/>
      <w:r>
        <w:rPr>
          <w:rStyle w:val="CharSectno"/>
        </w:rPr>
        <w:t>162</w:t>
      </w:r>
      <w:r>
        <w:t>.</w:t>
      </w:r>
      <w:r>
        <w:tab/>
        <w:t>No development except with approval</w:t>
      </w:r>
      <w:bookmarkEnd w:id="607"/>
      <w:bookmarkEnd w:id="608"/>
    </w:p>
    <w:p>
      <w:pPr>
        <w:pStyle w:val="Subsection"/>
        <w:spacing w:before="120"/>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pPr>
      <w:bookmarkStart w:id="609" w:name="_Toc77246380"/>
      <w:bookmarkStart w:id="610" w:name="_Toc74924129"/>
      <w:r>
        <w:rPr>
          <w:rStyle w:val="CharSectno"/>
        </w:rPr>
        <w:t>163</w:t>
      </w:r>
      <w:r>
        <w:t>.</w:t>
      </w:r>
      <w:r>
        <w:tab/>
        <w:t>Application for development of heritage place</w:t>
      </w:r>
      <w:bookmarkEnd w:id="609"/>
      <w:bookmarkEnd w:id="610"/>
    </w:p>
    <w:p>
      <w:pPr>
        <w:pStyle w:val="Subsection"/>
        <w:keepNext/>
      </w:pPr>
      <w:r>
        <w:tab/>
      </w:r>
      <w:r>
        <w:tab/>
        <w:t xml:space="preserve">An application for approval of development must, if the application is a proposal to which the </w:t>
      </w:r>
      <w:r>
        <w:rPr>
          <w:i/>
        </w:rPr>
        <w:t xml:space="preserve">Heritage Act 2018 </w:t>
      </w:r>
      <w:r>
        <w:t xml:space="preserve">section 73(1) applies, be made — </w:t>
      </w:r>
    </w:p>
    <w:p>
      <w:pPr>
        <w:pStyle w:val="Indenta"/>
        <w:keepNext/>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Footnotesection"/>
      </w:pPr>
      <w:r>
        <w:tab/>
        <w:t>[Section 163 inserted: No. 22 of 2018 s. 186(12).]</w:t>
      </w:r>
    </w:p>
    <w:p>
      <w:pPr>
        <w:pStyle w:val="Heading5"/>
      </w:pPr>
      <w:bookmarkStart w:id="611" w:name="_Toc77246381"/>
      <w:bookmarkStart w:id="612" w:name="_Toc74924130"/>
      <w:r>
        <w:rPr>
          <w:rStyle w:val="CharSectno"/>
        </w:rPr>
        <w:t>164</w:t>
      </w:r>
      <w:r>
        <w:t>.</w:t>
      </w:r>
      <w:r>
        <w:tab/>
        <w:t>Development commenced or carried out, subsequent approval of</w:t>
      </w:r>
      <w:bookmarkEnd w:id="611"/>
      <w:bookmarkEnd w:id="612"/>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pPr>
      <w:bookmarkStart w:id="613" w:name="_Toc77239428"/>
      <w:bookmarkStart w:id="614" w:name="_Toc77240332"/>
      <w:bookmarkStart w:id="615" w:name="_Toc77246382"/>
      <w:bookmarkStart w:id="616" w:name="_Toc74652443"/>
      <w:bookmarkStart w:id="617" w:name="_Toc74652909"/>
      <w:bookmarkStart w:id="618" w:name="_Toc74733627"/>
      <w:bookmarkStart w:id="619" w:name="_Toc74924131"/>
      <w:r>
        <w:rPr>
          <w:rStyle w:val="CharDivNo"/>
        </w:rPr>
        <w:t>Division 5A</w:t>
      </w:r>
      <w:r>
        <w:t> — </w:t>
      </w:r>
      <w:r>
        <w:rPr>
          <w:rStyle w:val="CharDivText"/>
        </w:rPr>
        <w:t>Integration of subdivision and development</w:t>
      </w:r>
      <w:bookmarkEnd w:id="613"/>
      <w:bookmarkEnd w:id="614"/>
      <w:bookmarkEnd w:id="615"/>
      <w:bookmarkEnd w:id="616"/>
      <w:bookmarkEnd w:id="617"/>
      <w:bookmarkEnd w:id="618"/>
      <w:bookmarkEnd w:id="619"/>
    </w:p>
    <w:p>
      <w:pPr>
        <w:pStyle w:val="Footnoteheading"/>
        <w:keepNext/>
      </w:pPr>
      <w:r>
        <w:tab/>
        <w:t>[Heading inserted: No. 30 of 2018 s. 166.]</w:t>
      </w:r>
    </w:p>
    <w:p>
      <w:pPr>
        <w:pStyle w:val="Heading5"/>
      </w:pPr>
      <w:bookmarkStart w:id="620" w:name="_Toc77246383"/>
      <w:bookmarkStart w:id="621" w:name="_Toc74924132"/>
      <w:r>
        <w:rPr>
          <w:rStyle w:val="CharSectno"/>
        </w:rPr>
        <w:t>164A</w:t>
      </w:r>
      <w:r>
        <w:t>.</w:t>
      </w:r>
      <w:r>
        <w:tab/>
        <w:t>Integration of subdivision and development</w:t>
      </w:r>
      <w:bookmarkEnd w:id="620"/>
      <w:bookmarkEnd w:id="621"/>
    </w:p>
    <w:p>
      <w:pPr>
        <w:pStyle w:val="Subsection"/>
      </w:pPr>
      <w:r>
        <w:tab/>
        <w:t>(1)</w:t>
      </w:r>
      <w:r>
        <w:tab/>
        <w:t>This section applies if, on an application for subdivision approval or development approval, the Commission or responsible authority forms the opinion that the integration of subdivision and development approvals or multiple subdivision or development approvals is necessary or desirable —</w:t>
      </w:r>
    </w:p>
    <w:p>
      <w:pPr>
        <w:pStyle w:val="Indenta"/>
      </w:pPr>
      <w:r>
        <w:tab/>
        <w:t>(a)</w:t>
      </w:r>
      <w:r>
        <w:tab/>
        <w:t>due to the size of the lots and potential impact on the amenity of the locality; or</w:t>
      </w:r>
    </w:p>
    <w:p>
      <w:pPr>
        <w:pStyle w:val="Indenta"/>
      </w:pPr>
      <w:r>
        <w:tab/>
        <w:t>(b)</w:t>
      </w:r>
      <w:r>
        <w:tab/>
        <w:t>for other reasons associated with the achievement of orderly and proper planning, and the preservation of the amenity, of the locality.</w:t>
      </w:r>
    </w:p>
    <w:p>
      <w:pPr>
        <w:pStyle w:val="Subsection"/>
      </w:pPr>
      <w:r>
        <w:tab/>
        <w:t>(2)</w:t>
      </w:r>
      <w:r>
        <w:tab/>
        <w:t>The main purposes of integrating subdivision and development approvals are —</w:t>
      </w:r>
    </w:p>
    <w:p>
      <w:pPr>
        <w:pStyle w:val="Indenta"/>
      </w:pPr>
      <w:r>
        <w:tab/>
        <w:t>(a)</w:t>
      </w:r>
      <w:r>
        <w:tab/>
        <w:t>to facilitate a cohesive approach to planning and development in circumstances where subdivision and development should only be undertaken in conjunction with each other; and</w:t>
      </w:r>
    </w:p>
    <w:p>
      <w:pPr>
        <w:pStyle w:val="Indenta"/>
      </w:pPr>
      <w:r>
        <w:tab/>
        <w:t>(b)</w:t>
      </w:r>
      <w:r>
        <w:tab/>
        <w:t>to ensure that, in those circumstances, appropriate conditions for both the subdivision and development of land are determined as early as is practicable.</w:t>
      </w:r>
    </w:p>
    <w:p>
      <w:pPr>
        <w:pStyle w:val="Subsection"/>
      </w:pPr>
      <w:r>
        <w:tab/>
        <w:t>(3)</w:t>
      </w:r>
      <w:r>
        <w:tab/>
        <w:t>If this section applies —</w:t>
      </w:r>
    </w:p>
    <w:p>
      <w:pPr>
        <w:pStyle w:val="Indenta"/>
      </w:pPr>
      <w:r>
        <w:tab/>
        <w:t>(a)</w:t>
      </w:r>
      <w:r>
        <w:tab/>
        <w:t>the Commission may, in order to achieve the necessary or desirable integration of subdivision and development approvals, refuse to determine an application for subdivision approval until other applications for subdivision or development approvals are made or are made and determined; and</w:t>
      </w:r>
    </w:p>
    <w:p>
      <w:pPr>
        <w:pStyle w:val="Indenta"/>
      </w:pPr>
      <w:r>
        <w:tab/>
        <w:t>(b)</w:t>
      </w:r>
      <w:r>
        <w:tab/>
        <w:t xml:space="preserve">the Commission may refuse to unconditionally endorse a diagram or plan of survey with a subdivision approval in order for the plan to be registered in the Register under the </w:t>
      </w:r>
      <w:r>
        <w:rPr>
          <w:i/>
          <w:iCs/>
        </w:rPr>
        <w:t>Transfer of Land Act 1893</w:t>
      </w:r>
      <w:r>
        <w:t xml:space="preserve"> unless satisfied that —</w:t>
      </w:r>
    </w:p>
    <w:p>
      <w:pPr>
        <w:pStyle w:val="Indenti"/>
      </w:pPr>
      <w:r>
        <w:tab/>
        <w:t>(i)</w:t>
      </w:r>
      <w:r>
        <w:tab/>
        <w:t>the diagram or plan of survey is an accurate depiction of the subdivision that has been prepared after completion of the works necessary for the subdivision and the construction or modification of the buildings necessary for the development, the approvals of which have been required to be integrated; and</w:t>
      </w:r>
    </w:p>
    <w:p>
      <w:pPr>
        <w:pStyle w:val="Indenti"/>
      </w:pPr>
      <w:r>
        <w:tab/>
        <w:t>(ii)</w:t>
      </w:r>
      <w:r>
        <w:tab/>
        <w:t>the subdivision and development has been undertaken consistently with the relevant approvals, including their conditions; and</w:t>
      </w:r>
    </w:p>
    <w:p>
      <w:pPr>
        <w:pStyle w:val="Indenti"/>
      </w:pPr>
      <w:r>
        <w:tab/>
        <w:t>(iii)</w:t>
      </w:r>
      <w:r>
        <w:tab/>
        <w:t xml:space="preserve">the requirements of the </w:t>
      </w:r>
      <w:r>
        <w:rPr>
          <w:i/>
          <w:iCs/>
        </w:rPr>
        <w:t>Building Act 2011</w:t>
      </w:r>
      <w:r>
        <w:t xml:space="preserve"> have been complied with for the development.</w:t>
      </w:r>
    </w:p>
    <w:p>
      <w:pPr>
        <w:pStyle w:val="Subsection"/>
      </w:pPr>
      <w:r>
        <w:tab/>
        <w:t>(4)</w:t>
      </w:r>
      <w:r>
        <w:tab/>
        <w:t>Regulations may be made —</w:t>
      </w:r>
    </w:p>
    <w:p>
      <w:pPr>
        <w:pStyle w:val="Indenta"/>
      </w:pPr>
      <w:r>
        <w:tab/>
        <w:t>(a)</w:t>
      </w:r>
      <w:r>
        <w:tab/>
        <w:t>requiring the Commission or a responsible authority to inform each other and share information about an application for subdivision approval or development approval; or</w:t>
      </w:r>
    </w:p>
    <w:p>
      <w:pPr>
        <w:pStyle w:val="Indenta"/>
      </w:pPr>
      <w:r>
        <w:tab/>
        <w:t>(b)</w:t>
      </w:r>
      <w:r>
        <w:tab/>
        <w:t>requiring an applicant to provide additional documents or information reasonably required to determine whether subdivision and development approvals should be integrated under this section and to give effect to any such integration; or</w:t>
      </w:r>
    </w:p>
    <w:p>
      <w:pPr>
        <w:pStyle w:val="Indenta"/>
      </w:pPr>
      <w:r>
        <w:tab/>
        <w:t>(c)</w:t>
      </w:r>
      <w:r>
        <w:tab/>
        <w:t>establishing processes for the concurrent or separate consideration of subdivision and development approvals to which this section applies and for the imposition of conditions of approvals to which this section applies; or</w:t>
      </w:r>
    </w:p>
    <w:p>
      <w:pPr>
        <w:pStyle w:val="Indenta"/>
      </w:pPr>
      <w:r>
        <w:tab/>
        <w:t>(d)</w:t>
      </w:r>
      <w:r>
        <w:tab/>
        <w:t>otherwise facilitating the integration of subdivision and development approvals.</w:t>
      </w:r>
    </w:p>
    <w:p>
      <w:pPr>
        <w:pStyle w:val="Footnotesection"/>
      </w:pPr>
      <w:r>
        <w:tab/>
        <w:t>[Section 164A inserted: No. 30 of 2018 s. 166.]</w:t>
      </w:r>
    </w:p>
    <w:p>
      <w:pPr>
        <w:pStyle w:val="Heading3"/>
        <w:spacing w:before="300"/>
      </w:pPr>
      <w:bookmarkStart w:id="622" w:name="_Toc77239430"/>
      <w:bookmarkStart w:id="623" w:name="_Toc77240334"/>
      <w:bookmarkStart w:id="624" w:name="_Toc77246384"/>
      <w:bookmarkStart w:id="625" w:name="_Toc74652445"/>
      <w:bookmarkStart w:id="626" w:name="_Toc74652911"/>
      <w:bookmarkStart w:id="627" w:name="_Toc74733629"/>
      <w:bookmarkStart w:id="628" w:name="_Toc74924133"/>
      <w:r>
        <w:rPr>
          <w:rStyle w:val="CharDivNo"/>
        </w:rPr>
        <w:t>Division 6</w:t>
      </w:r>
      <w:r>
        <w:t> — </w:t>
      </w:r>
      <w:r>
        <w:rPr>
          <w:rStyle w:val="CharDivText"/>
        </w:rPr>
        <w:t>Miscellaneous</w:t>
      </w:r>
      <w:bookmarkEnd w:id="622"/>
      <w:bookmarkEnd w:id="623"/>
      <w:bookmarkEnd w:id="624"/>
      <w:bookmarkEnd w:id="625"/>
      <w:bookmarkEnd w:id="626"/>
      <w:bookmarkEnd w:id="627"/>
      <w:bookmarkEnd w:id="628"/>
    </w:p>
    <w:p>
      <w:pPr>
        <w:pStyle w:val="Heading5"/>
      </w:pPr>
      <w:bookmarkStart w:id="629" w:name="_Toc77246385"/>
      <w:bookmarkStart w:id="630" w:name="_Toc74924134"/>
      <w:r>
        <w:rPr>
          <w:rStyle w:val="CharSectno"/>
        </w:rPr>
        <w:t>165</w:t>
      </w:r>
      <w:r>
        <w:t>.</w:t>
      </w:r>
      <w:r>
        <w:tab/>
        <w:t>Hazard etc. affecting land, notating titles as to</w:t>
      </w:r>
      <w:bookmarkEnd w:id="629"/>
      <w:bookmarkEnd w:id="630"/>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pPr>
      <w:r>
        <w:tab/>
        <w:t>(b)</w:t>
      </w:r>
      <w:r>
        <w:tab/>
        <w:t xml:space="preserve">a strata titles scheme as defined in the </w:t>
      </w:r>
      <w:r>
        <w:rPr>
          <w:i/>
        </w:rPr>
        <w:t>Strata Titles Act 1985</w:t>
      </w:r>
      <w:r>
        <w:t xml:space="preserve"> section 3(1), registered, or lodged for registration, under that Act,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with the Authority.</w:t>
      </w:r>
    </w:p>
    <w:p>
      <w:pPr>
        <w:pStyle w:val="Subsection"/>
        <w:spacing w:before="120"/>
      </w:pPr>
      <w:r>
        <w:tab/>
        <w:t>(5)</w:t>
      </w:r>
      <w:r>
        <w:tab/>
        <w:t>A withdrawal of a notification under subsection (4) is to be in a form acceptable to the Registrar of Titles.</w:t>
      </w:r>
    </w:p>
    <w:p>
      <w:pPr>
        <w:pStyle w:val="Footnotesection"/>
      </w:pPr>
      <w:r>
        <w:tab/>
        <w:t>[Section 165 amended: No. 60 of 2006 s. 147(5); No. 30 of 2018 s. 167.]</w:t>
      </w:r>
    </w:p>
    <w:p>
      <w:pPr>
        <w:pStyle w:val="Heading5"/>
        <w:spacing w:before="180"/>
      </w:pPr>
      <w:bookmarkStart w:id="631" w:name="_Toc77246386"/>
      <w:bookmarkStart w:id="632" w:name="_Toc74924135"/>
      <w:r>
        <w:rPr>
          <w:rStyle w:val="CharSectno"/>
        </w:rPr>
        <w:t>166</w:t>
      </w:r>
      <w:r>
        <w:t>.</w:t>
      </w:r>
      <w:r>
        <w:tab/>
        <w:t>Encroachment that leads to approved subdivision</w:t>
      </w:r>
      <w:bookmarkEnd w:id="631"/>
      <w:bookmarkEnd w:id="632"/>
    </w:p>
    <w:p>
      <w:pPr>
        <w:pStyle w:val="Subsection"/>
        <w:spacing w:before="120"/>
      </w:pPr>
      <w:r>
        <w:tab/>
      </w:r>
      <w:r>
        <w:tab/>
        <w:t xml:space="preserve">If, after the erection of a building on land the property of one owner — </w:t>
      </w:r>
    </w:p>
    <w:p>
      <w:pPr>
        <w:pStyle w:val="Indenta"/>
        <w:spacing w:before="60"/>
      </w:pPr>
      <w:r>
        <w:tab/>
        <w:t>(a)</w:t>
      </w:r>
      <w:r>
        <w:tab/>
        <w:t>it is found that the building encroaches upon land the property of another owner to the extent of not more than one metre; and</w:t>
      </w:r>
    </w:p>
    <w:p>
      <w:pPr>
        <w:pStyle w:val="Indenta"/>
        <w:spacing w:before="60"/>
      </w:pPr>
      <w:r>
        <w:tab/>
        <w:t>(b)</w:t>
      </w:r>
      <w:r>
        <w:tab/>
        <w:t>the encroaching owner desires to purchase the land upon which the encroachment stands; and</w:t>
      </w:r>
    </w:p>
    <w:p>
      <w:pPr>
        <w:pStyle w:val="Indenta"/>
        <w:spacing w:before="60"/>
      </w:pPr>
      <w:r>
        <w:tab/>
        <w:t>(c)</w:t>
      </w:r>
      <w:r>
        <w:tab/>
        <w:t>an application for approval of the necessary subdivision is made by the owner of the land encroached upon; and</w:t>
      </w:r>
    </w:p>
    <w:p>
      <w:pPr>
        <w:pStyle w:val="Indenta"/>
        <w:spacing w:before="60"/>
      </w:pPr>
      <w:r>
        <w:tab/>
        <w:t>(d)</w:t>
      </w:r>
      <w:r>
        <w:tab/>
        <w:t>the Commission is satisfied that there has not been collusion and that everything has been done in good faith without intention to evade the law,</w:t>
      </w:r>
    </w:p>
    <w:p>
      <w:pPr>
        <w:pStyle w:val="Subsection"/>
        <w:spacing w:before="100"/>
      </w:pPr>
      <w:r>
        <w:tab/>
      </w:r>
      <w:r>
        <w:tab/>
        <w:t>the Commission is to approve of the necessary subdivision.</w:t>
      </w:r>
    </w:p>
    <w:p>
      <w:pPr>
        <w:pStyle w:val="Heading5"/>
      </w:pPr>
      <w:bookmarkStart w:id="633" w:name="_Toc77246387"/>
      <w:bookmarkStart w:id="634" w:name="_Toc74924136"/>
      <w:r>
        <w:rPr>
          <w:rStyle w:val="CharSectno"/>
        </w:rPr>
        <w:t>167</w:t>
      </w:r>
      <w:r>
        <w:t>.</w:t>
      </w:r>
      <w:r>
        <w:tab/>
        <w:t>Easement, creation of etc. on subdivision etc.</w:t>
      </w:r>
      <w:bookmarkEnd w:id="633"/>
      <w:bookmarkEnd w:id="634"/>
    </w:p>
    <w:p>
      <w:pPr>
        <w:pStyle w:val="Subsection"/>
        <w:spacing w:before="120"/>
      </w:pPr>
      <w:r>
        <w:tab/>
        <w:t>(1)</w:t>
      </w:r>
      <w:r>
        <w:tab/>
        <w:t xml:space="preserve">Where — </w:t>
      </w:r>
    </w:p>
    <w:p>
      <w:pPr>
        <w:pStyle w:val="Indenta"/>
        <w:spacing w:before="56"/>
      </w:pPr>
      <w:r>
        <w:tab/>
        <w:t>(a)</w:t>
      </w:r>
      <w:r>
        <w:tab/>
        <w:t xml:space="preserve">a diagram or plan of survey of a subdivision, or a scheme plan lodged for registration under the </w:t>
      </w:r>
      <w:r>
        <w:rPr>
          <w:i/>
        </w:rPr>
        <w:t>Strata Titles Act 1985</w:t>
      </w:r>
      <w:r>
        <w:rPr>
          <w:iCs/>
        </w:rPr>
        <w:t xml:space="preserve">, </w:t>
      </w:r>
      <w:r>
        <w:t>is received by the Authority; and</w:t>
      </w:r>
    </w:p>
    <w:p>
      <w:pPr>
        <w:pStyle w:val="Indenta"/>
        <w:spacing w:before="56"/>
      </w:pPr>
      <w:r>
        <w:tab/>
        <w:t>(b)</w:t>
      </w:r>
      <w:r>
        <w:tab/>
        <w:t xml:space="preserve">it is shown on the plan or diagram that any land comprised in the diagram or plan is subject to or intended to be subject to an easement in favour of — </w:t>
      </w:r>
    </w:p>
    <w:p>
      <w:pPr>
        <w:pStyle w:val="Indenti"/>
        <w:spacing w:before="56"/>
      </w:pPr>
      <w:r>
        <w:tab/>
        <w:t>(i)</w:t>
      </w:r>
      <w:r>
        <w:tab/>
        <w:t>the local government in whose district the land is situated, for the purposes of sewerage or drainage or access to sewerage or drainage works; or</w:t>
      </w:r>
    </w:p>
    <w:p>
      <w:pPr>
        <w:pStyle w:val="Indenti"/>
      </w:pPr>
      <w:r>
        <w:tab/>
        <w:t>(ii)</w:t>
      </w:r>
      <w:r>
        <w:tab/>
        <w:t xml:space="preserve">a licensee as defined in the </w:t>
      </w:r>
      <w:r>
        <w:rPr>
          <w:i/>
          <w:iCs/>
        </w:rPr>
        <w:t xml:space="preserve">Water Services Act 2012 </w:t>
      </w:r>
      <w:r>
        <w:t>section 3(1), for the purpose of water supply, sewerage, irrigation or drainage works or access to water supply, sewerage, irrigation or drainage works; or</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 or</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spacing w:before="80"/>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scheme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keepNext/>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No. 60 of 2006 s. 147(6); No. 25 of 2012 s. 222(3); No. 30 of 2018 s. 168.]</w:t>
      </w:r>
    </w:p>
    <w:p>
      <w:pPr>
        <w:pStyle w:val="Heading5"/>
      </w:pPr>
      <w:bookmarkStart w:id="635" w:name="_Toc77246388"/>
      <w:bookmarkStart w:id="636" w:name="_Toc74924137"/>
      <w:r>
        <w:rPr>
          <w:rStyle w:val="CharSectno"/>
        </w:rPr>
        <w:t>168</w:t>
      </w:r>
      <w:r>
        <w:t>.</w:t>
      </w:r>
      <w:r>
        <w:tab/>
        <w:t>Road, creation of etc. on subdivision etc.</w:t>
      </w:r>
      <w:bookmarkEnd w:id="635"/>
      <w:bookmarkEnd w:id="636"/>
    </w:p>
    <w:p>
      <w:pPr>
        <w:pStyle w:val="Subsection"/>
      </w:pPr>
      <w:r>
        <w:tab/>
        <w:t>(1)</w:t>
      </w:r>
      <w:r>
        <w:tab/>
        <w:t xml:space="preserve">All land on a diagram or plan of survey of a subdivision, or a scheme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scheme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scheme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keepNext/>
      </w:pPr>
      <w:r>
        <w:tab/>
        <w:t>(8)</w:t>
      </w:r>
      <w:r>
        <w:tab/>
        <w:t xml:space="preserve">Subsection (6) operates — </w:t>
      </w:r>
    </w:p>
    <w:p>
      <w:pPr>
        <w:pStyle w:val="Indenta"/>
      </w:pPr>
      <w:r>
        <w:tab/>
        <w:t>(a)</w:t>
      </w:r>
      <w:r>
        <w:tab/>
        <w:t xml:space="preserve">in the case of a scheme plan lodged for registration under the </w:t>
      </w:r>
      <w:r>
        <w:rPr>
          <w:i/>
        </w:rPr>
        <w:t>Strata Titles Act 1985</w:t>
      </w:r>
      <w:r>
        <w:t>, at the time the Registrar of Titles registers the plan under that Act;</w:t>
      </w:r>
    </w:p>
    <w:p>
      <w:pPr>
        <w:pStyle w:val="Indenta"/>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keepLines/>
      </w:pPr>
      <w:r>
        <w:tab/>
        <w:t>(c)</w:t>
      </w:r>
      <w:r>
        <w:tab/>
        <w:t>in the case of a plan lodged with an application for registration of a document giving effect to the rounding off or truncation, at the time of the registration of that document.</w:t>
      </w:r>
    </w:p>
    <w:p>
      <w:pPr>
        <w:pStyle w:val="Subsection"/>
      </w:pPr>
      <w:r>
        <w:tab/>
        <w:t>(9)</w:t>
      </w:r>
      <w:r>
        <w:tab/>
        <w:t xml:space="preserve">Land referred to in subsection (1), (3) or (6) does not form part of a parcel comprised in a scheme plan that is registered under the </w:t>
      </w:r>
      <w:r>
        <w:rPr>
          <w:i/>
        </w:rPr>
        <w:t>Strata Titles Act 1985</w:t>
      </w:r>
      <w:r>
        <w:t>.</w:t>
      </w:r>
    </w:p>
    <w:p>
      <w:pPr>
        <w:pStyle w:val="Footnotesection"/>
        <w:ind w:left="890" w:hanging="890"/>
      </w:pPr>
      <w:r>
        <w:tab/>
        <w:t>[Section 168 amended: No. 60 of 2006 s. 147(7); No. 30 of 2018 s. 169.]</w:t>
      </w:r>
    </w:p>
    <w:p>
      <w:pPr>
        <w:pStyle w:val="Heading5"/>
      </w:pPr>
      <w:bookmarkStart w:id="637" w:name="_Toc77246389"/>
      <w:bookmarkStart w:id="638" w:name="_Toc74924138"/>
      <w:r>
        <w:rPr>
          <w:rStyle w:val="CharSectno"/>
        </w:rPr>
        <w:t>169</w:t>
      </w:r>
      <w:r>
        <w:t>.</w:t>
      </w:r>
      <w:r>
        <w:tab/>
        <w:t>Roads and waterways, minimum standards of construction for</w:t>
      </w:r>
      <w:bookmarkEnd w:id="637"/>
      <w:bookmarkEnd w:id="638"/>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spacing w:before="180"/>
      </w:pPr>
      <w:bookmarkStart w:id="639" w:name="_Toc77246390"/>
      <w:bookmarkStart w:id="640" w:name="_Toc74924139"/>
      <w:r>
        <w:rPr>
          <w:rStyle w:val="CharSectno"/>
        </w:rPr>
        <w:t>170</w:t>
      </w:r>
      <w:r>
        <w:t>.</w:t>
      </w:r>
      <w:r>
        <w:tab/>
        <w:t>Proposed road or waterway, drawings etc. of required</w:t>
      </w:r>
      <w:bookmarkEnd w:id="639"/>
      <w:bookmarkEnd w:id="640"/>
    </w:p>
    <w:p>
      <w:pPr>
        <w:pStyle w:val="Subsection"/>
        <w:keepNext/>
      </w:pPr>
      <w:r>
        <w:tab/>
        <w:t>(1A)</w:t>
      </w:r>
      <w:r>
        <w:tab/>
        <w:t xml:space="preserve">In this section — </w:t>
      </w:r>
    </w:p>
    <w:p>
      <w:pPr>
        <w:pStyle w:val="Defstart"/>
        <w:keepNext/>
      </w:pPr>
      <w:r>
        <w:tab/>
      </w:r>
      <w:r>
        <w:rPr>
          <w:rStyle w:val="CharDefText"/>
        </w:rPr>
        <w:t>responsible authority</w:t>
      </w:r>
      <w:r>
        <w:t xml:space="preserve"> means — </w:t>
      </w:r>
    </w:p>
    <w:p>
      <w:pPr>
        <w:pStyle w:val="Defpara"/>
        <w:spacing w:before="60"/>
      </w:pPr>
      <w:r>
        <w:tab/>
        <w:t>(a)</w:t>
      </w:r>
      <w:r>
        <w:tab/>
        <w:t>in relation to land that is subject to a local planning scheme — the local government responsible for the enforcement of the observance of the scheme; and</w:t>
      </w:r>
    </w:p>
    <w:p>
      <w:pPr>
        <w:pStyle w:val="Defpara"/>
        <w:spacing w:before="60"/>
      </w:pPr>
      <w:r>
        <w:tab/>
        <w:t>(b)</w:t>
      </w:r>
      <w:r>
        <w:tab/>
        <w:t>in relation to land that is subject to an improvement scheme — the Commission.</w:t>
      </w:r>
    </w:p>
    <w:p>
      <w:pPr>
        <w:pStyle w:val="Subsection"/>
      </w:pPr>
      <w:r>
        <w:tab/>
        <w:t>(1)</w:t>
      </w:r>
      <w:r>
        <w:tab/>
        <w:t>Before a person who is subdividing land commences to construct and drain roads or construct artificial waterways shown in the diagram or plan of survey, that person is to give to the responsible authority —</w:t>
      </w:r>
    </w:p>
    <w:p>
      <w:pPr>
        <w:pStyle w:val="Indenta"/>
      </w:pPr>
      <w:r>
        <w:tab/>
        <w:t>(a)</w:t>
      </w:r>
      <w:r>
        <w:tab/>
        <w:t>drawings showing longitudinal and cross sections of the proposed road or artificial waterway; and</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local government requires.</w:t>
      </w:r>
    </w:p>
    <w:p>
      <w:pPr>
        <w:pStyle w:val="Subsection"/>
      </w:pPr>
      <w:r>
        <w:tab/>
        <w:t>(2)</w:t>
      </w:r>
      <w:r>
        <w:tab/>
        <w:t>A person who does not comply with subsection (1) commits an offence.</w:t>
      </w:r>
    </w:p>
    <w:p>
      <w:pPr>
        <w:pStyle w:val="Subsection"/>
      </w:pPr>
      <w:r>
        <w:tab/>
        <w:t>(3)</w:t>
      </w:r>
      <w:r>
        <w:tab/>
        <w:t xml:space="preserve">The responsible authority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responsible authority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keepNext/>
      </w:pPr>
      <w:r>
        <w:tab/>
        <w:t>(4)</w:t>
      </w:r>
      <w:r>
        <w:tab/>
        <w:t xml:space="preserve">Without limiting the powers conferred on a responsible authority by subsection (3), where — </w:t>
      </w:r>
    </w:p>
    <w:p>
      <w:pPr>
        <w:pStyle w:val="Indenta"/>
      </w:pPr>
      <w:r>
        <w:tab/>
        <w:t>(a)</w:t>
      </w:r>
      <w:r>
        <w:tab/>
        <w:t>a person delivers drawings and specifications of a proposed road or artificial waterway to a responsible authority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responsible authority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responsible authority made under subsection (3) may apply to the State Administrative Tribunal for a review, in accordance with Part 14, of the responsible authority’s decision.</w:t>
      </w:r>
    </w:p>
    <w:p>
      <w:pPr>
        <w:pStyle w:val="Subsection"/>
      </w:pPr>
      <w:r>
        <w:tab/>
        <w:t>(6)</w:t>
      </w:r>
      <w:r>
        <w:tab/>
        <w:t>A person who does not comply with a requirement of a responsible authority made by written notice given to that person under subsection (3) commits an offence.</w:t>
      </w:r>
    </w:p>
    <w:p>
      <w:pPr>
        <w:pStyle w:val="Footnotesection"/>
      </w:pPr>
      <w:r>
        <w:tab/>
        <w:t xml:space="preserve">[Section 170 amended: No. 28 of 2010 s. 15.] </w:t>
      </w:r>
    </w:p>
    <w:p>
      <w:pPr>
        <w:pStyle w:val="Heading2"/>
      </w:pPr>
      <w:bookmarkStart w:id="641" w:name="_Toc77239437"/>
      <w:bookmarkStart w:id="642" w:name="_Toc77240341"/>
      <w:bookmarkStart w:id="643" w:name="_Toc77246391"/>
      <w:bookmarkStart w:id="644" w:name="_Toc74652452"/>
      <w:bookmarkStart w:id="645" w:name="_Toc74652918"/>
      <w:bookmarkStart w:id="646" w:name="_Toc74733636"/>
      <w:bookmarkStart w:id="647" w:name="_Toc74924140"/>
      <w:r>
        <w:rPr>
          <w:rStyle w:val="CharPartNo"/>
        </w:rPr>
        <w:t>Part 11A</w:t>
      </w:r>
      <w:r>
        <w:rPr>
          <w:b w:val="0"/>
        </w:rPr>
        <w:t> </w:t>
      </w:r>
      <w:r>
        <w:t>—</w:t>
      </w:r>
      <w:r>
        <w:rPr>
          <w:b w:val="0"/>
        </w:rPr>
        <w:t> </w:t>
      </w:r>
      <w:r>
        <w:rPr>
          <w:rStyle w:val="CharPartText"/>
        </w:rPr>
        <w:t>Development Assessment Panels and development control</w:t>
      </w:r>
      <w:bookmarkEnd w:id="641"/>
      <w:bookmarkEnd w:id="642"/>
      <w:bookmarkEnd w:id="643"/>
      <w:bookmarkEnd w:id="644"/>
      <w:bookmarkEnd w:id="645"/>
      <w:bookmarkEnd w:id="646"/>
      <w:bookmarkEnd w:id="647"/>
    </w:p>
    <w:p>
      <w:pPr>
        <w:pStyle w:val="Footnoteheading"/>
      </w:pPr>
      <w:r>
        <w:tab/>
        <w:t xml:space="preserve">[Heading inserted: No. 28 of 2010 s. 43.] </w:t>
      </w:r>
    </w:p>
    <w:p>
      <w:pPr>
        <w:pStyle w:val="Heading3"/>
      </w:pPr>
      <w:bookmarkStart w:id="648" w:name="_Toc77239438"/>
      <w:bookmarkStart w:id="649" w:name="_Toc77240342"/>
      <w:bookmarkStart w:id="650" w:name="_Toc77246392"/>
      <w:bookmarkStart w:id="651" w:name="_Toc74652453"/>
      <w:bookmarkStart w:id="652" w:name="_Toc74652919"/>
      <w:bookmarkStart w:id="653" w:name="_Toc74733637"/>
      <w:bookmarkStart w:id="654" w:name="_Toc74924141"/>
      <w:r>
        <w:rPr>
          <w:rStyle w:val="CharDivNo"/>
        </w:rPr>
        <w:t>Division 1</w:t>
      </w:r>
      <w:r>
        <w:t> — </w:t>
      </w:r>
      <w:r>
        <w:rPr>
          <w:rStyle w:val="CharDivText"/>
        </w:rPr>
        <w:t>Functions of DAPs</w:t>
      </w:r>
      <w:bookmarkEnd w:id="648"/>
      <w:bookmarkEnd w:id="649"/>
      <w:bookmarkEnd w:id="650"/>
      <w:bookmarkEnd w:id="651"/>
      <w:bookmarkEnd w:id="652"/>
      <w:bookmarkEnd w:id="653"/>
      <w:bookmarkEnd w:id="654"/>
    </w:p>
    <w:p>
      <w:pPr>
        <w:pStyle w:val="Footnoteheading"/>
      </w:pPr>
      <w:r>
        <w:tab/>
        <w:t xml:space="preserve">[Heading inserted: No. 28 of 2010 s. 43.] </w:t>
      </w:r>
    </w:p>
    <w:p>
      <w:pPr>
        <w:pStyle w:val="Heading5"/>
      </w:pPr>
      <w:bookmarkStart w:id="655" w:name="_Toc77246393"/>
      <w:bookmarkStart w:id="656" w:name="_Toc74924142"/>
      <w:r>
        <w:rPr>
          <w:rStyle w:val="CharSectno"/>
        </w:rPr>
        <w:t>171A</w:t>
      </w:r>
      <w:r>
        <w:t>.</w:t>
      </w:r>
      <w:r>
        <w:tab/>
        <w:t>Prescribed development applications, DAP to determine and regulations for</w:t>
      </w:r>
      <w:bookmarkEnd w:id="655"/>
      <w:bookmarkEnd w:id="656"/>
    </w:p>
    <w:p>
      <w:pPr>
        <w:pStyle w:val="Subsection"/>
      </w:pPr>
      <w:r>
        <w:tab/>
        <w:t>(1)</w:t>
      </w:r>
      <w:r>
        <w:tab/>
        <w:t xml:space="preserve">In this section — </w:t>
      </w:r>
    </w:p>
    <w:p>
      <w:pPr>
        <w:pStyle w:val="Defstart"/>
      </w:pPr>
      <w:r>
        <w:tab/>
      </w:r>
      <w:r>
        <w:rPr>
          <w:rStyle w:val="CharDefText"/>
        </w:rPr>
        <w:t>planning instrument</w:t>
      </w:r>
      <w:r>
        <w:t xml:space="preserve"> means — </w:t>
      </w:r>
    </w:p>
    <w:p>
      <w:pPr>
        <w:pStyle w:val="Defpara"/>
      </w:pPr>
      <w:r>
        <w:tab/>
        <w:t>(a)</w:t>
      </w:r>
      <w:r>
        <w:tab/>
        <w:t>a planning scheme; or</w:t>
      </w:r>
    </w:p>
    <w:p>
      <w:pPr>
        <w:pStyle w:val="Defpara"/>
      </w:pPr>
      <w:r>
        <w:tab/>
        <w:t>(b)</w:t>
      </w:r>
      <w:r>
        <w:tab/>
        <w:t>an interim development order;</w:t>
      </w:r>
    </w:p>
    <w:p>
      <w:pPr>
        <w:pStyle w:val="Defstart"/>
      </w:pPr>
      <w:r>
        <w:tab/>
      </w:r>
      <w:r>
        <w:rPr>
          <w:rStyle w:val="CharDefText"/>
        </w:rPr>
        <w:t>prescribed development application</w:t>
      </w:r>
      <w:r>
        <w:t xml:space="preserve"> means — </w:t>
      </w:r>
    </w:p>
    <w:p>
      <w:pPr>
        <w:pStyle w:val="Indenta"/>
      </w:pPr>
      <w:r>
        <w:tab/>
        <w:t>(a)</w:t>
      </w:r>
      <w:r>
        <w:tab/>
        <w:t>a development application of a class or kind prescribed for the purposes of subsection (2)(a); or</w:t>
      </w:r>
    </w:p>
    <w:p>
      <w:pPr>
        <w:pStyle w:val="Indenta"/>
      </w:pPr>
      <w:r>
        <w:tab/>
        <w:t>(b)</w:t>
      </w:r>
      <w:r>
        <w:tab/>
        <w:t>a development application of a class or kind prescribed for the purposes of subsection (2)(ba) in respect of which an applicant has made an election in accordance with regulations made under subsection (2)(ba)(i);</w:t>
      </w:r>
    </w:p>
    <w:p>
      <w:pPr>
        <w:pStyle w:val="Subsection"/>
      </w:pPr>
      <w:r>
        <w:tab/>
        <w:t>(2)</w:t>
      </w:r>
      <w:r>
        <w:tab/>
        <w:t xml:space="preserve">The Governor may make regulations — </w:t>
      </w:r>
    </w:p>
    <w:p>
      <w:pPr>
        <w:pStyle w:val="Indenta"/>
      </w:pPr>
      <w:r>
        <w:tab/>
        <w:t>(a)</w:t>
      </w:r>
      <w:r>
        <w:tab/>
        <w:t xml:space="preserve">providing that, despite any other provision of this Act or a planning instrument, a development application of a class or kind prescribed for the purposes of this paragraph — </w:t>
      </w:r>
    </w:p>
    <w:p>
      <w:pPr>
        <w:pStyle w:val="Indenti"/>
      </w:pPr>
      <w:r>
        <w:tab/>
        <w:t>(i)</w:t>
      </w:r>
      <w:r>
        <w:tab/>
        <w:t>must be determined by a DAP as if the DAP were the responsible authority under the relevant planning instrument in relation to the development; and</w:t>
      </w:r>
    </w:p>
    <w:p>
      <w:pPr>
        <w:pStyle w:val="Indenti"/>
      </w:pPr>
      <w:r>
        <w:tab/>
        <w:t>(ii)</w:t>
      </w:r>
      <w:r>
        <w:tab/>
        <w:t>cannot be determined by a local government or the Commission;</w:t>
      </w:r>
    </w:p>
    <w:p>
      <w:pPr>
        <w:pStyle w:val="Indenta"/>
      </w:pPr>
      <w:r>
        <w:tab/>
        <w:t>(ba)</w:t>
      </w:r>
      <w:r>
        <w:tab/>
        <w:t xml:space="preserve">providing that, despite any other provision of this Act or a planning instrument, if — </w:t>
      </w:r>
    </w:p>
    <w:p>
      <w:pPr>
        <w:pStyle w:val="Indenti"/>
      </w:pPr>
      <w:r>
        <w:tab/>
        <w:t>(i)</w:t>
      </w:r>
      <w:r>
        <w:tab/>
        <w:t>an applicant for approval of development elects in accordance with the prescribed procedure to have a development application determined by a DAP; and</w:t>
      </w:r>
    </w:p>
    <w:p>
      <w:pPr>
        <w:pStyle w:val="Indenti"/>
      </w:pPr>
      <w:r>
        <w:tab/>
        <w:t>(ii)</w:t>
      </w:r>
      <w:r>
        <w:tab/>
        <w:t>the development application is of a class or kind prescribed by the regulations for the purposes of this paragraph,</w:t>
      </w:r>
    </w:p>
    <w:p>
      <w:pPr>
        <w:pStyle w:val="Indenta"/>
      </w:pPr>
      <w:r>
        <w:tab/>
      </w:r>
      <w:r>
        <w:tab/>
        <w:t xml:space="preserve">the development application — </w:t>
      </w:r>
    </w:p>
    <w:p>
      <w:pPr>
        <w:pStyle w:val="Indenti"/>
      </w:pPr>
      <w:r>
        <w:tab/>
        <w:t>(iii)</w:t>
      </w:r>
      <w:r>
        <w:tab/>
        <w:t>must be determined by a DAP as if the DAP were the responsible authority under the relevant planning instrument in relation to the development; and</w:t>
      </w:r>
    </w:p>
    <w:p>
      <w:pPr>
        <w:pStyle w:val="Indenti"/>
      </w:pPr>
      <w:r>
        <w:tab/>
        <w:t>(iv)</w:t>
      </w:r>
      <w:r>
        <w:tab/>
        <w:t>cannot be determined by a local government or the Commission;</w:t>
      </w:r>
    </w:p>
    <w:p>
      <w:pPr>
        <w:pStyle w:val="Indenta"/>
      </w:pPr>
      <w:r>
        <w:tab/>
        <w:t>(b)</w:t>
      </w:r>
      <w:r>
        <w:tab/>
        <w:t>providing for the duties and responsibilities of local governments and the Commission in relation to prescribed development applications;</w:t>
      </w:r>
    </w:p>
    <w:p>
      <w:pPr>
        <w:pStyle w:val="Indenta"/>
      </w:pPr>
      <w:r>
        <w:tab/>
        <w:t>(c)</w:t>
      </w:r>
      <w:r>
        <w:tab/>
        <w:t>providing for the procedures for dealing with prescribed development applications;</w:t>
      </w:r>
    </w:p>
    <w:p>
      <w:pPr>
        <w:pStyle w:val="Indenta"/>
      </w:pPr>
      <w:r>
        <w:tab/>
        <w:t>(d)</w:t>
      </w:r>
      <w:r>
        <w:tab/>
        <w:t>providing for the application of the provisions of this Act and planning instruments in relation to prescribed development applications;</w:t>
      </w:r>
    </w:p>
    <w:p>
      <w:pPr>
        <w:pStyle w:val="Indenta"/>
      </w:pPr>
      <w:r>
        <w:tab/>
        <w:t>(e)</w:t>
      </w:r>
      <w:r>
        <w:tab/>
        <w:t>providing for the procedures to be followed by, and powers of, a DAP when determining a prescribed development application;</w:t>
      </w:r>
    </w:p>
    <w:p>
      <w:pPr>
        <w:pStyle w:val="Indenta"/>
      </w:pPr>
      <w:r>
        <w:tab/>
        <w:t>(f)</w:t>
      </w:r>
      <w:r>
        <w:tab/>
        <w:t>providing for the effect of a determination of a prescribed development application;</w:t>
      </w:r>
    </w:p>
    <w:p>
      <w:pPr>
        <w:pStyle w:val="Indenta"/>
      </w:pPr>
      <w:r>
        <w:tab/>
        <w:t>(g)</w:t>
      </w:r>
      <w:r>
        <w:tab/>
        <w:t>providing for the notification of a determination of a prescribed development application;</w:t>
      </w:r>
    </w:p>
    <w:p>
      <w:pPr>
        <w:pStyle w:val="Indenta"/>
      </w:pPr>
      <w:r>
        <w:tab/>
        <w:t>(h)</w:t>
      </w:r>
      <w:r>
        <w:tab/>
        <w:t>providing for the review of a determination of a prescribed development application.</w:t>
      </w:r>
    </w:p>
    <w:p>
      <w:pPr>
        <w:pStyle w:val="Subsection"/>
      </w:pPr>
      <w:r>
        <w:tab/>
        <w:t>(3)</w:t>
      </w:r>
      <w:r>
        <w:tab/>
        <w:t xml:space="preserve">Unless otherwise provided under regulations made for the purposes of subsection (2) — </w:t>
      </w:r>
    </w:p>
    <w:p>
      <w:pPr>
        <w:pStyle w:val="Indenta"/>
      </w:pPr>
      <w:r>
        <w:tab/>
        <w:t>(a)</w:t>
      </w:r>
      <w:r>
        <w:tab/>
        <w:t>a determination by a DAP of a prescribed development application; and</w:t>
      </w:r>
    </w:p>
    <w:p>
      <w:pPr>
        <w:pStyle w:val="Indenta"/>
      </w:pPr>
      <w:r>
        <w:tab/>
        <w:t>(b)</w:t>
      </w:r>
      <w:r>
        <w:tab/>
        <w:t>a failure by a DAP to make a determination of a prescribed development application,</w:t>
      </w:r>
    </w:p>
    <w:p>
      <w:pPr>
        <w:pStyle w:val="Subsection"/>
      </w:pPr>
      <w:r>
        <w:tab/>
      </w:r>
      <w:r>
        <w:tab/>
        <w:t>is to be regarded as, and has effect as if it were, a determination or failure of the responsible authority to which the application was made.</w:t>
      </w:r>
    </w:p>
    <w:p>
      <w:pPr>
        <w:pStyle w:val="Footnotesection"/>
      </w:pPr>
      <w:r>
        <w:tab/>
        <w:t xml:space="preserve">[Section 171A inserted: No. 28 of 2010 s. 43.] </w:t>
      </w:r>
    </w:p>
    <w:p>
      <w:pPr>
        <w:pStyle w:val="Heading5"/>
      </w:pPr>
      <w:bookmarkStart w:id="657" w:name="_Toc77246394"/>
      <w:bookmarkStart w:id="658" w:name="_Toc74924143"/>
      <w:r>
        <w:rPr>
          <w:rStyle w:val="CharSectno"/>
        </w:rPr>
        <w:t>171B</w:t>
      </w:r>
      <w:r>
        <w:t>.</w:t>
      </w:r>
      <w:r>
        <w:tab/>
        <w:t>DAP to carry out delegated functions</w:t>
      </w:r>
      <w:bookmarkEnd w:id="657"/>
      <w:bookmarkEnd w:id="658"/>
    </w:p>
    <w:p>
      <w:pPr>
        <w:pStyle w:val="Subsection"/>
      </w:pPr>
      <w:r>
        <w:tab/>
        <w:t>(1)</w:t>
      </w:r>
      <w:r>
        <w:tab/>
        <w:t>In addition to the functions conferred on it by regulations made under section 171A, a DAP is to perform the functions that are delegated to it by a responsible authority in accordance with regulations made under subsection (2).</w:t>
      </w:r>
    </w:p>
    <w:p>
      <w:pPr>
        <w:pStyle w:val="Subsection"/>
      </w:pPr>
      <w:r>
        <w:tab/>
        <w:t>(2)</w:t>
      </w:r>
      <w:r>
        <w:tab/>
        <w:t xml:space="preserve">The Governor may make regulations — </w:t>
      </w:r>
    </w:p>
    <w:p>
      <w:pPr>
        <w:pStyle w:val="Indenta"/>
      </w:pPr>
      <w:r>
        <w:tab/>
        <w:t>(a)</w:t>
      </w:r>
      <w:r>
        <w:tab/>
        <w:t>prescribing the functions under this Act or a planning scheme that may be delegated by a responsible authority to a DAP; and</w:t>
      </w:r>
    </w:p>
    <w:p>
      <w:pPr>
        <w:pStyle w:val="Indenta"/>
      </w:pPr>
      <w:r>
        <w:tab/>
        <w:t>(b)</w:t>
      </w:r>
      <w:r>
        <w:tab/>
        <w:t>making provision in relation to the making and effect of the delegation of functions by a responsible authority to a DAP.</w:t>
      </w:r>
    </w:p>
    <w:p>
      <w:pPr>
        <w:pStyle w:val="Footnotesection"/>
      </w:pPr>
      <w:r>
        <w:tab/>
        <w:t xml:space="preserve">[Section 171B inserted: No. 28 of 2010 s. 43.] </w:t>
      </w:r>
    </w:p>
    <w:p>
      <w:pPr>
        <w:pStyle w:val="Heading3"/>
      </w:pPr>
      <w:bookmarkStart w:id="659" w:name="_Toc77239441"/>
      <w:bookmarkStart w:id="660" w:name="_Toc77240345"/>
      <w:bookmarkStart w:id="661" w:name="_Toc77246395"/>
      <w:bookmarkStart w:id="662" w:name="_Toc74652456"/>
      <w:bookmarkStart w:id="663" w:name="_Toc74652922"/>
      <w:bookmarkStart w:id="664" w:name="_Toc74733640"/>
      <w:bookmarkStart w:id="665" w:name="_Toc74924144"/>
      <w:r>
        <w:rPr>
          <w:rStyle w:val="CharDivNo"/>
        </w:rPr>
        <w:t>Division 2</w:t>
      </w:r>
      <w:r>
        <w:t> — </w:t>
      </w:r>
      <w:r>
        <w:rPr>
          <w:rStyle w:val="CharDivText"/>
        </w:rPr>
        <w:t>Development Assessment Panels: establishment and administration</w:t>
      </w:r>
      <w:bookmarkEnd w:id="659"/>
      <w:bookmarkEnd w:id="660"/>
      <w:bookmarkEnd w:id="661"/>
      <w:bookmarkEnd w:id="662"/>
      <w:bookmarkEnd w:id="663"/>
      <w:bookmarkEnd w:id="664"/>
      <w:bookmarkEnd w:id="665"/>
    </w:p>
    <w:p>
      <w:pPr>
        <w:pStyle w:val="Footnoteheading"/>
      </w:pPr>
      <w:r>
        <w:tab/>
        <w:t xml:space="preserve">[Heading inserted: No. 28 of 2010 s. 43.] </w:t>
      </w:r>
    </w:p>
    <w:p>
      <w:pPr>
        <w:pStyle w:val="Heading5"/>
        <w:spacing w:before="180"/>
      </w:pPr>
      <w:bookmarkStart w:id="666" w:name="_Toc77246396"/>
      <w:bookmarkStart w:id="667" w:name="_Toc74924145"/>
      <w:r>
        <w:rPr>
          <w:rStyle w:val="CharSectno"/>
        </w:rPr>
        <w:t>171C</w:t>
      </w:r>
      <w:r>
        <w:t>.</w:t>
      </w:r>
      <w:r>
        <w:tab/>
        <w:t>Establishment of DAPs</w:t>
      </w:r>
      <w:bookmarkEnd w:id="666"/>
      <w:bookmarkEnd w:id="667"/>
    </w:p>
    <w:p>
      <w:pPr>
        <w:pStyle w:val="Subsection"/>
      </w:pPr>
      <w:r>
        <w:tab/>
        <w:t>(1)</w:t>
      </w:r>
      <w:r>
        <w:tab/>
        <w:t xml:space="preserve">The Minister may, by order published in the </w:t>
      </w:r>
      <w:r>
        <w:rPr>
          <w:i/>
          <w:iCs/>
        </w:rPr>
        <w:t>Gazette</w:t>
      </w:r>
      <w:r>
        <w:t xml:space="preserve">, establish — </w:t>
      </w:r>
    </w:p>
    <w:p>
      <w:pPr>
        <w:pStyle w:val="Indenta"/>
      </w:pPr>
      <w:r>
        <w:tab/>
        <w:t>(a)</w:t>
      </w:r>
      <w:r>
        <w:tab/>
        <w:t>a LDAP for a district;</w:t>
      </w:r>
    </w:p>
    <w:p>
      <w:pPr>
        <w:pStyle w:val="Indenta"/>
      </w:pPr>
      <w:r>
        <w:tab/>
        <w:t>(b)</w:t>
      </w:r>
      <w:r>
        <w:tab/>
        <w:t>a JDAP for 2 or more districts.</w:t>
      </w:r>
    </w:p>
    <w:p>
      <w:pPr>
        <w:pStyle w:val="Subsection"/>
      </w:pPr>
      <w:r>
        <w:tab/>
        <w:t>(2)</w:t>
      </w:r>
      <w:r>
        <w:tab/>
        <w:t>The order must give the DAP a name.</w:t>
      </w:r>
    </w:p>
    <w:p>
      <w:pPr>
        <w:pStyle w:val="Subsection"/>
      </w:pPr>
      <w:r>
        <w:tab/>
        <w:t>(3)</w:t>
      </w:r>
      <w:r>
        <w:tab/>
        <w:t>A JDAP cannot be established for a district for which a LDAP is established.</w:t>
      </w:r>
    </w:p>
    <w:p>
      <w:pPr>
        <w:pStyle w:val="Subsection"/>
      </w:pPr>
      <w:r>
        <w:tab/>
        <w:t>(4)</w:t>
      </w:r>
      <w:r>
        <w:tab/>
        <w:t>A LDAP cannot be established for a district for which a JDAP is established.</w:t>
      </w:r>
    </w:p>
    <w:p>
      <w:pPr>
        <w:pStyle w:val="Subsection"/>
      </w:pPr>
      <w:r>
        <w:tab/>
        <w:t>(5)</w:t>
      </w:r>
      <w:r>
        <w:tab/>
        <w:t>If a JDAP is established for 2 or more districts, the districts need not be contiguous.</w:t>
      </w:r>
    </w:p>
    <w:p>
      <w:pPr>
        <w:pStyle w:val="Subsection"/>
      </w:pPr>
      <w:r>
        <w:tab/>
        <w:t>(6)</w:t>
      </w:r>
      <w:r>
        <w:tab/>
        <w:t xml:space="preserve">The Minister may revoke or amend an order made under subsection (1) by further order published in the </w:t>
      </w:r>
      <w:r>
        <w:rPr>
          <w:i/>
          <w:iCs/>
        </w:rPr>
        <w:t>Gazette</w:t>
      </w:r>
      <w:r>
        <w:t>.</w:t>
      </w:r>
    </w:p>
    <w:p>
      <w:pPr>
        <w:pStyle w:val="Subsection"/>
      </w:pPr>
      <w:r>
        <w:tab/>
        <w:t>(7)</w:t>
      </w:r>
      <w:r>
        <w:tab/>
        <w:t>The regulations may prescribe transitional provisions in relation to the revocation or amendment of an order under this section.</w:t>
      </w:r>
    </w:p>
    <w:p>
      <w:pPr>
        <w:pStyle w:val="Footnotesection"/>
      </w:pPr>
      <w:r>
        <w:tab/>
        <w:t xml:space="preserve">[Section 171C inserted: No. 28 of 2010 s. 43.] </w:t>
      </w:r>
    </w:p>
    <w:p>
      <w:pPr>
        <w:pStyle w:val="Heading5"/>
      </w:pPr>
      <w:bookmarkStart w:id="668" w:name="_Toc77246397"/>
      <w:bookmarkStart w:id="669" w:name="_Toc74924146"/>
      <w:r>
        <w:rPr>
          <w:rStyle w:val="CharSectno"/>
        </w:rPr>
        <w:t>171D</w:t>
      </w:r>
      <w:r>
        <w:t>.</w:t>
      </w:r>
      <w:r>
        <w:tab/>
        <w:t>Constitution, procedure and conduct of DAPs</w:t>
      </w:r>
      <w:bookmarkEnd w:id="668"/>
      <w:bookmarkEnd w:id="669"/>
    </w:p>
    <w:p>
      <w:pPr>
        <w:pStyle w:val="Subsection"/>
      </w:pPr>
      <w:r>
        <w:tab/>
        <w:t>(1)</w:t>
      </w:r>
      <w:r>
        <w:tab/>
        <w:t>The Governor may make regulations prescribing all matters that are required or permitted by this Act to be prescribed, or that are necessary or convenient to be prescribed, for the establishment and functioning of DAPs.</w:t>
      </w:r>
    </w:p>
    <w:p>
      <w:pPr>
        <w:pStyle w:val="Subsection"/>
      </w:pPr>
      <w:r>
        <w:tab/>
        <w:t>(2)</w:t>
      </w:r>
      <w:r>
        <w:tab/>
        <w:t xml:space="preserve">Without limiting subsection (1), regulations may be made about the constitution, procedure and conduct of DAPs, including but not limited to regulations about the following — </w:t>
      </w:r>
    </w:p>
    <w:p>
      <w:pPr>
        <w:pStyle w:val="Indenta"/>
      </w:pPr>
      <w:r>
        <w:tab/>
        <w:t>(a)</w:t>
      </w:r>
      <w:r>
        <w:tab/>
        <w:t>the total number of persons who are to be on a DAP;</w:t>
      </w:r>
    </w:p>
    <w:p>
      <w:pPr>
        <w:pStyle w:val="Indenta"/>
      </w:pPr>
      <w:r>
        <w:tab/>
        <w:t>(b)</w:t>
      </w:r>
      <w:r>
        <w:tab/>
        <w:t>the qualifications to be held by each person on a DAP;</w:t>
      </w:r>
    </w:p>
    <w:p>
      <w:pPr>
        <w:pStyle w:val="Indenta"/>
      </w:pPr>
      <w:r>
        <w:tab/>
        <w:t>(c)</w:t>
      </w:r>
      <w:r>
        <w:tab/>
        <w:t>the procedure to be followed for nominating and appointing DAP members;</w:t>
      </w:r>
    </w:p>
    <w:p>
      <w:pPr>
        <w:pStyle w:val="Indenta"/>
      </w:pPr>
      <w:r>
        <w:tab/>
        <w:t>(d)</w:t>
      </w:r>
      <w:r>
        <w:tab/>
        <w:t>the remuneration and allowances payable to DAP members;</w:t>
      </w:r>
    </w:p>
    <w:p>
      <w:pPr>
        <w:pStyle w:val="Indenta"/>
      </w:pPr>
      <w:r>
        <w:tab/>
        <w:t>(e)</w:t>
      </w:r>
      <w:r>
        <w:tab/>
        <w:t>the term of office of DAP members;</w:t>
      </w:r>
    </w:p>
    <w:p>
      <w:pPr>
        <w:pStyle w:val="Indenta"/>
      </w:pPr>
      <w:r>
        <w:tab/>
        <w:t>(f)</w:t>
      </w:r>
      <w:r>
        <w:tab/>
        <w:t>the removal of DAP members;</w:t>
      </w:r>
    </w:p>
    <w:p>
      <w:pPr>
        <w:pStyle w:val="Indenta"/>
      </w:pPr>
      <w:r>
        <w:tab/>
        <w:t>(g)</w:t>
      </w:r>
      <w:r>
        <w:tab/>
        <w:t>compiling and maintaining a register of persons who are eligible to be DAP members;</w:t>
      </w:r>
    </w:p>
    <w:p>
      <w:pPr>
        <w:pStyle w:val="Indenta"/>
      </w:pPr>
      <w:r>
        <w:tab/>
        <w:t>(h)</w:t>
      </w:r>
      <w:r>
        <w:tab/>
        <w:t>the paid training of persons appointed to be DAP members;</w:t>
      </w:r>
    </w:p>
    <w:p>
      <w:pPr>
        <w:pStyle w:val="Indenta"/>
      </w:pPr>
      <w:r>
        <w:tab/>
        <w:t>(i)</w:t>
      </w:r>
      <w:r>
        <w:tab/>
        <w:t>procedures at DAP meetings;</w:t>
      </w:r>
    </w:p>
    <w:p>
      <w:pPr>
        <w:pStyle w:val="Indenta"/>
      </w:pPr>
      <w:r>
        <w:tab/>
        <w:t>(j)</w:t>
      </w:r>
      <w:r>
        <w:tab/>
        <w:t>the conduct of DAP members.</w:t>
      </w:r>
    </w:p>
    <w:p>
      <w:pPr>
        <w:pStyle w:val="Subsection"/>
      </w:pPr>
      <w:r>
        <w:tab/>
        <w:t>(3)</w:t>
      </w:r>
      <w:r>
        <w:tab/>
        <w:t xml:space="preserve">The qualifications to be held by a person on a DAP may be specified in the regulations by reference to one or more of these — </w:t>
      </w:r>
    </w:p>
    <w:p>
      <w:pPr>
        <w:pStyle w:val="Indenta"/>
      </w:pPr>
      <w:r>
        <w:tab/>
        <w:t>(a)</w:t>
      </w:r>
      <w:r>
        <w:tab/>
        <w:t>an office or position;</w:t>
      </w:r>
    </w:p>
    <w:p>
      <w:pPr>
        <w:pStyle w:val="Indenta"/>
      </w:pPr>
      <w:r>
        <w:tab/>
        <w:t>(b)</w:t>
      </w:r>
      <w:r>
        <w:tab/>
        <w:t>an educational qualification;</w:t>
      </w:r>
    </w:p>
    <w:p>
      <w:pPr>
        <w:pStyle w:val="Indenta"/>
      </w:pPr>
      <w:r>
        <w:tab/>
        <w:t>(c)</w:t>
      </w:r>
      <w:r>
        <w:tab/>
        <w:t>a type or level of knowledge;</w:t>
      </w:r>
    </w:p>
    <w:p>
      <w:pPr>
        <w:pStyle w:val="Indenta"/>
      </w:pPr>
      <w:r>
        <w:tab/>
        <w:t>(d)</w:t>
      </w:r>
      <w:r>
        <w:tab/>
        <w:t>a type or level of experience.</w:t>
      </w:r>
    </w:p>
    <w:p>
      <w:pPr>
        <w:pStyle w:val="Footnotesection"/>
      </w:pPr>
      <w:r>
        <w:tab/>
        <w:t xml:space="preserve">[Section 171D inserted: No. 28 of 2010 s. 43.] </w:t>
      </w:r>
    </w:p>
    <w:p>
      <w:pPr>
        <w:pStyle w:val="Heading5"/>
      </w:pPr>
      <w:bookmarkStart w:id="670" w:name="_Toc77246398"/>
      <w:bookmarkStart w:id="671" w:name="_Toc74924147"/>
      <w:r>
        <w:rPr>
          <w:rStyle w:val="CharSectno"/>
        </w:rPr>
        <w:t>171E</w:t>
      </w:r>
      <w:r>
        <w:t>.</w:t>
      </w:r>
      <w:r>
        <w:tab/>
        <w:t>Administration and costs of DAPs</w:t>
      </w:r>
      <w:bookmarkEnd w:id="670"/>
      <w:bookmarkEnd w:id="671"/>
    </w:p>
    <w:p>
      <w:pPr>
        <w:pStyle w:val="Subsection"/>
      </w:pPr>
      <w:r>
        <w:tab/>
        <w:t>(1)</w:t>
      </w:r>
      <w:r>
        <w:tab/>
        <w:t xml:space="preserve">The Governor may make regulations about — </w:t>
      </w:r>
    </w:p>
    <w:p>
      <w:pPr>
        <w:pStyle w:val="Indenta"/>
      </w:pPr>
      <w:r>
        <w:tab/>
        <w:t>(a)</w:t>
      </w:r>
      <w:r>
        <w:tab/>
        <w:t>the administration of DAPs; and</w:t>
      </w:r>
    </w:p>
    <w:p>
      <w:pPr>
        <w:pStyle w:val="Indenta"/>
      </w:pPr>
      <w:r>
        <w:tab/>
        <w:t>(b)</w:t>
      </w:r>
      <w:r>
        <w:tab/>
        <w:t>the payment of the costs and expenses of DAPs.</w:t>
      </w:r>
    </w:p>
    <w:p>
      <w:pPr>
        <w:pStyle w:val="Subsection"/>
      </w:pPr>
      <w:r>
        <w:tab/>
        <w:t>(2)</w:t>
      </w:r>
      <w:r>
        <w:tab/>
        <w:t xml:space="preserve">Without limiting subsection (1), regulations may be made — </w:t>
      </w:r>
    </w:p>
    <w:p>
      <w:pPr>
        <w:pStyle w:val="Indenta"/>
      </w:pPr>
      <w:r>
        <w:tab/>
        <w:t>(a)</w:t>
      </w:r>
      <w:r>
        <w:tab/>
        <w:t>about the staffing, facilities and services that are to be provided to DAPs by the chief executive officer or by local governments; and</w:t>
      </w:r>
    </w:p>
    <w:p>
      <w:pPr>
        <w:pStyle w:val="Indenta"/>
      </w:pPr>
      <w:r>
        <w:tab/>
        <w:t>(b)</w:t>
      </w:r>
      <w:r>
        <w:tab/>
        <w:t>about the access of the Minister to information in the possession of a DAP; and</w:t>
      </w:r>
    </w:p>
    <w:p>
      <w:pPr>
        <w:pStyle w:val="Indenta"/>
      </w:pPr>
      <w:r>
        <w:tab/>
        <w:t>(c)</w:t>
      </w:r>
      <w:r>
        <w:tab/>
        <w:t xml:space="preserve">about reporting requirements in relation to — </w:t>
      </w:r>
    </w:p>
    <w:p>
      <w:pPr>
        <w:pStyle w:val="Indenti"/>
      </w:pPr>
      <w:r>
        <w:tab/>
        <w:t>(i)</w:t>
      </w:r>
      <w:r>
        <w:tab/>
        <w:t>directions under the regulations; and</w:t>
      </w:r>
    </w:p>
    <w:p>
      <w:pPr>
        <w:pStyle w:val="Indenti"/>
      </w:pPr>
      <w:r>
        <w:tab/>
        <w:t>(ii)</w:t>
      </w:r>
      <w:r>
        <w:tab/>
        <w:t>expenditure in relation to DAPs; and</w:t>
      </w:r>
    </w:p>
    <w:p>
      <w:pPr>
        <w:pStyle w:val="Indenti"/>
      </w:pPr>
      <w:r>
        <w:tab/>
        <w:t>(iii)</w:t>
      </w:r>
      <w:r>
        <w:tab/>
        <w:t>determinations by DAPs; and</w:t>
      </w:r>
    </w:p>
    <w:p>
      <w:pPr>
        <w:pStyle w:val="Indenti"/>
      </w:pPr>
      <w:r>
        <w:tab/>
        <w:t>(iv)</w:t>
      </w:r>
      <w:r>
        <w:tab/>
        <w:t>any other matter specified in the regulations.</w:t>
      </w:r>
    </w:p>
    <w:p>
      <w:pPr>
        <w:pStyle w:val="Subsection"/>
      </w:pPr>
      <w:r>
        <w:tab/>
        <w:t>(3)</w:t>
      </w:r>
      <w:r>
        <w:tab/>
        <w:t>A local government must comply with a direction given and requirements prescribed under subsection (2)</w:t>
      </w:r>
      <w:r>
        <w:rPr>
          <w:iCs/>
          <w:szCs w:val="24"/>
        </w:rPr>
        <w:t>.</w:t>
      </w:r>
    </w:p>
    <w:p>
      <w:pPr>
        <w:pStyle w:val="Footnotesection"/>
      </w:pPr>
      <w:r>
        <w:tab/>
        <w:t xml:space="preserve">[Section 171E inserted: No. 28 of 2010 s. 43.] </w:t>
      </w:r>
    </w:p>
    <w:p>
      <w:pPr>
        <w:pStyle w:val="Heading5"/>
      </w:pPr>
      <w:bookmarkStart w:id="672" w:name="_Toc77246399"/>
      <w:bookmarkStart w:id="673" w:name="_Toc74924148"/>
      <w:r>
        <w:rPr>
          <w:rStyle w:val="CharSectno"/>
        </w:rPr>
        <w:t>171F</w:t>
      </w:r>
      <w:r>
        <w:t>.</w:t>
      </w:r>
      <w:r>
        <w:tab/>
        <w:t>Review of regulations</w:t>
      </w:r>
      <w:bookmarkEnd w:id="672"/>
      <w:bookmarkEnd w:id="673"/>
    </w:p>
    <w:p>
      <w:pPr>
        <w:pStyle w:val="Subsection"/>
      </w:pPr>
      <w:r>
        <w:tab/>
        <w:t>(1)</w:t>
      </w:r>
      <w:r>
        <w:tab/>
        <w:t>An appropriate Standing Committee of the Legislative Council is to carry out a review of the operation and effectiveness of all regulations made under this Part as soon as practicable  after the expiry of 2 years from the day on which regulations made under this Part first come into operation.</w:t>
      </w:r>
    </w:p>
    <w:p>
      <w:pPr>
        <w:pStyle w:val="Subsection"/>
      </w:pPr>
      <w:r>
        <w:tab/>
        <w:t>(2)</w:t>
      </w:r>
      <w:r>
        <w:tab/>
        <w:t>The Standing Committee is to prepare a report based on the review and, as soon as practicable after the report is prepared, is to cause the report to be laid before each House of Parliament.</w:t>
      </w:r>
    </w:p>
    <w:p>
      <w:pPr>
        <w:pStyle w:val="Footnotesection"/>
      </w:pPr>
      <w:r>
        <w:tab/>
        <w:t xml:space="preserve">[Section 171F inserted: No. 28 of 2010 s. 43.] </w:t>
      </w:r>
    </w:p>
    <w:p>
      <w:pPr>
        <w:pStyle w:val="Heading2"/>
      </w:pPr>
      <w:bookmarkStart w:id="674" w:name="_Toc77239446"/>
      <w:bookmarkStart w:id="675" w:name="_Toc77240350"/>
      <w:bookmarkStart w:id="676" w:name="_Toc77246400"/>
      <w:bookmarkStart w:id="677" w:name="_Toc74652461"/>
      <w:bookmarkStart w:id="678" w:name="_Toc74652927"/>
      <w:bookmarkStart w:id="679" w:name="_Toc74733645"/>
      <w:bookmarkStart w:id="680" w:name="_Toc74924149"/>
      <w:r>
        <w:rPr>
          <w:rStyle w:val="CharPartNo"/>
        </w:rPr>
        <w:t>Part 11</w:t>
      </w:r>
      <w:r>
        <w:t> — </w:t>
      </w:r>
      <w:r>
        <w:rPr>
          <w:rStyle w:val="CharPartText"/>
        </w:rPr>
        <w:t>Compensation and acquisition</w:t>
      </w:r>
      <w:bookmarkEnd w:id="674"/>
      <w:bookmarkEnd w:id="675"/>
      <w:bookmarkEnd w:id="676"/>
      <w:bookmarkEnd w:id="677"/>
      <w:bookmarkEnd w:id="678"/>
      <w:bookmarkEnd w:id="679"/>
      <w:bookmarkEnd w:id="680"/>
    </w:p>
    <w:p>
      <w:pPr>
        <w:pStyle w:val="Heading3"/>
      </w:pPr>
      <w:bookmarkStart w:id="681" w:name="_Toc77239447"/>
      <w:bookmarkStart w:id="682" w:name="_Toc77240351"/>
      <w:bookmarkStart w:id="683" w:name="_Toc77246401"/>
      <w:bookmarkStart w:id="684" w:name="_Toc74652462"/>
      <w:bookmarkStart w:id="685" w:name="_Toc74652928"/>
      <w:bookmarkStart w:id="686" w:name="_Toc74733646"/>
      <w:bookmarkStart w:id="687" w:name="_Toc74924150"/>
      <w:r>
        <w:rPr>
          <w:rStyle w:val="CharDivNo"/>
        </w:rPr>
        <w:t>Division 1</w:t>
      </w:r>
      <w:r>
        <w:t> — </w:t>
      </w:r>
      <w:r>
        <w:rPr>
          <w:rStyle w:val="CharDivText"/>
        </w:rPr>
        <w:t>General matters in relation to compensation</w:t>
      </w:r>
      <w:bookmarkEnd w:id="681"/>
      <w:bookmarkEnd w:id="682"/>
      <w:bookmarkEnd w:id="683"/>
      <w:bookmarkEnd w:id="684"/>
      <w:bookmarkEnd w:id="685"/>
      <w:bookmarkEnd w:id="686"/>
      <w:bookmarkEnd w:id="687"/>
    </w:p>
    <w:p>
      <w:pPr>
        <w:pStyle w:val="Heading5"/>
      </w:pPr>
      <w:bookmarkStart w:id="688" w:name="_Toc77246402"/>
      <w:bookmarkStart w:id="689" w:name="_Toc74924151"/>
      <w:r>
        <w:rPr>
          <w:rStyle w:val="CharSectno"/>
        </w:rPr>
        <w:t>171</w:t>
      </w:r>
      <w:r>
        <w:t>.</w:t>
      </w:r>
      <w:r>
        <w:tab/>
        <w:t>Entitlement to compensation, limits on</w:t>
      </w:r>
      <w:bookmarkEnd w:id="688"/>
      <w:bookmarkEnd w:id="689"/>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690" w:name="_Toc77239449"/>
      <w:bookmarkStart w:id="691" w:name="_Toc77240353"/>
      <w:bookmarkStart w:id="692" w:name="_Toc77246403"/>
      <w:bookmarkStart w:id="693" w:name="_Toc74652464"/>
      <w:bookmarkStart w:id="694" w:name="_Toc74652930"/>
      <w:bookmarkStart w:id="695" w:name="_Toc74733648"/>
      <w:bookmarkStart w:id="696" w:name="_Toc74924152"/>
      <w:r>
        <w:rPr>
          <w:rStyle w:val="CharDivNo"/>
        </w:rPr>
        <w:t>Division 2</w:t>
      </w:r>
      <w:r>
        <w:t> — </w:t>
      </w:r>
      <w:r>
        <w:rPr>
          <w:rStyle w:val="CharDivText"/>
        </w:rPr>
        <w:t>Compensation where land injuriously affected by planning scheme</w:t>
      </w:r>
      <w:bookmarkEnd w:id="690"/>
      <w:bookmarkEnd w:id="691"/>
      <w:bookmarkEnd w:id="692"/>
      <w:bookmarkEnd w:id="693"/>
      <w:bookmarkEnd w:id="694"/>
      <w:bookmarkEnd w:id="695"/>
      <w:bookmarkEnd w:id="696"/>
    </w:p>
    <w:p>
      <w:pPr>
        <w:pStyle w:val="Heading5"/>
      </w:pPr>
      <w:bookmarkStart w:id="697" w:name="_Toc77246404"/>
      <w:bookmarkStart w:id="698" w:name="_Toc74924153"/>
      <w:r>
        <w:rPr>
          <w:rStyle w:val="CharSectno"/>
        </w:rPr>
        <w:t>172</w:t>
      </w:r>
      <w:r>
        <w:t>.</w:t>
      </w:r>
      <w:r>
        <w:tab/>
        <w:t>Terms used</w:t>
      </w:r>
      <w:bookmarkEnd w:id="697"/>
      <w:bookmarkEnd w:id="698"/>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699" w:name="_Toc77246405"/>
      <w:bookmarkStart w:id="700" w:name="_Toc74924154"/>
      <w:r>
        <w:rPr>
          <w:rStyle w:val="CharSectno"/>
        </w:rPr>
        <w:t>173</w:t>
      </w:r>
      <w:r>
        <w:t>.</w:t>
      </w:r>
      <w:r>
        <w:tab/>
        <w:t>Injurious affection, compensation for</w:t>
      </w:r>
      <w:bookmarkEnd w:id="699"/>
      <w:bookmarkEnd w:id="700"/>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701" w:name="_Toc77246406"/>
      <w:bookmarkStart w:id="702" w:name="_Toc74924155"/>
      <w:r>
        <w:rPr>
          <w:rStyle w:val="CharSectno"/>
        </w:rPr>
        <w:t>174</w:t>
      </w:r>
      <w:r>
        <w:t>.</w:t>
      </w:r>
      <w:r>
        <w:tab/>
        <w:t>When land is injuriously affected</w:t>
      </w:r>
      <w:bookmarkEnd w:id="701"/>
      <w:bookmarkEnd w:id="702"/>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 or</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 or</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 or</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703" w:name="_Toc77246407"/>
      <w:bookmarkStart w:id="704" w:name="_Toc74924156"/>
      <w:r>
        <w:rPr>
          <w:rStyle w:val="CharSectno"/>
        </w:rPr>
        <w:t>175</w:t>
      </w:r>
      <w:r>
        <w:t>.</w:t>
      </w:r>
      <w:r>
        <w:tab/>
        <w:t>No compensation if scheme’s provisions are, or could have been, in certain other laws</w:t>
      </w:r>
      <w:bookmarkEnd w:id="703"/>
      <w:bookmarkEnd w:id="704"/>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705" w:name="_Toc77246408"/>
      <w:bookmarkStart w:id="706" w:name="_Toc74924157"/>
      <w:r>
        <w:rPr>
          <w:rStyle w:val="CharSectno"/>
        </w:rPr>
        <w:t>176</w:t>
      </w:r>
      <w:r>
        <w:t>.</w:t>
      </w:r>
      <w:r>
        <w:tab/>
        <w:t>Questions as to injurious affection etc., how determined</w:t>
      </w:r>
      <w:bookmarkEnd w:id="705"/>
      <w:bookmarkEnd w:id="706"/>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2012</w:t>
      </w:r>
      <w:r>
        <w:t>, unless the parties agree on some other method of determination.</w:t>
      </w:r>
    </w:p>
    <w:p>
      <w:pPr>
        <w:pStyle w:val="Footnotesection"/>
      </w:pPr>
      <w:r>
        <w:tab/>
        <w:t>[Section 176 amended: No. 23 of 2012 s. 45.]</w:t>
      </w:r>
    </w:p>
    <w:p>
      <w:pPr>
        <w:pStyle w:val="Heading5"/>
        <w:keepLines w:val="0"/>
      </w:pPr>
      <w:bookmarkStart w:id="707" w:name="_Toc77246409"/>
      <w:bookmarkStart w:id="708" w:name="_Toc74924158"/>
      <w:r>
        <w:rPr>
          <w:rStyle w:val="CharSectno"/>
        </w:rPr>
        <w:t>177</w:t>
      </w:r>
      <w:r>
        <w:t>.</w:t>
      </w:r>
      <w:r>
        <w:tab/>
        <w:t>When compensation payable if land reserved</w:t>
      </w:r>
      <w:bookmarkEnd w:id="707"/>
      <w:bookmarkEnd w:id="708"/>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 and</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709" w:name="_Toc77246410"/>
      <w:bookmarkStart w:id="710" w:name="_Toc74924159"/>
      <w:r>
        <w:rPr>
          <w:rStyle w:val="CharSectno"/>
        </w:rPr>
        <w:t>178</w:t>
      </w:r>
      <w:r>
        <w:t>.</w:t>
      </w:r>
      <w:r>
        <w:tab/>
        <w:t>Claim for compensation, time for making</w:t>
      </w:r>
      <w:bookmarkEnd w:id="709"/>
      <w:bookmarkEnd w:id="710"/>
    </w:p>
    <w:p>
      <w:pPr>
        <w:pStyle w:val="Subsection"/>
      </w:pPr>
      <w:r>
        <w:tab/>
        <w:t>(1)</w:t>
      </w:r>
      <w:r>
        <w:tab/>
        <w:t xml:space="preserve">A claim for compensation for injurious affection to land by the making or amendment of a planning scheme is to be made — </w:t>
      </w:r>
    </w:p>
    <w:p>
      <w:pPr>
        <w:pStyle w:val="Indenta"/>
      </w:pPr>
      <w:r>
        <w:tab/>
        <w:t>(a)</w:t>
      </w:r>
      <w:r>
        <w:tab/>
        <w:t xml:space="preserve">in the case of a claim in respect of injurious affection referred to in section 174(1)(a) or (b), at any time within 6 months after — </w:t>
      </w:r>
    </w:p>
    <w:p>
      <w:pPr>
        <w:pStyle w:val="Indenti"/>
      </w:pPr>
      <w:r>
        <w:tab/>
        <w:t>(i)</w:t>
      </w:r>
      <w:r>
        <w:tab/>
        <w:t>the land is sold; or</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keepLines/>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711" w:name="_Toc77246411"/>
      <w:bookmarkStart w:id="712" w:name="_Toc74924160"/>
      <w:r>
        <w:rPr>
          <w:rStyle w:val="CharSectno"/>
        </w:rPr>
        <w:t>179</w:t>
      </w:r>
      <w:r>
        <w:t>.</w:t>
      </w:r>
      <w:r>
        <w:tab/>
        <w:t>Injurious affection due to land being reserved, amount of compensation for</w:t>
      </w:r>
      <w:bookmarkEnd w:id="711"/>
      <w:bookmarkEnd w:id="712"/>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 or</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713" w:name="_Toc77246412"/>
      <w:bookmarkStart w:id="714" w:name="_Toc74924161"/>
      <w:r>
        <w:rPr>
          <w:rStyle w:val="CharSectno"/>
        </w:rPr>
        <w:t>180</w:t>
      </w:r>
      <w:r>
        <w:t>.</w:t>
      </w:r>
      <w:r>
        <w:tab/>
        <w:t>Notating title to land after compensation paid</w:t>
      </w:r>
      <w:bookmarkEnd w:id="713"/>
      <w:bookmarkEnd w:id="714"/>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 and</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715" w:name="_Toc77246413"/>
      <w:bookmarkStart w:id="716" w:name="_Toc74924162"/>
      <w:r>
        <w:rPr>
          <w:rStyle w:val="CharSectno"/>
        </w:rPr>
        <w:t>181</w:t>
      </w:r>
      <w:r>
        <w:t>.</w:t>
      </w:r>
      <w:r>
        <w:tab/>
        <w:t>Recovering paid compensation if reservation revoked or reduced</w:t>
      </w:r>
      <w:bookmarkEnd w:id="715"/>
      <w:bookmarkEnd w:id="716"/>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 and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NAm"/>
              <w:tabs>
                <w:tab w:val="clear" w:pos="567"/>
                <w:tab w:val="left" w:pos="1157"/>
              </w:tabs>
            </w:pPr>
            <w:r>
              <w:rPr>
                <w:i/>
              </w:rPr>
              <w:t>Example</w:t>
            </w:r>
            <w:r>
              <w:t>:</w:t>
            </w:r>
            <w:r>
              <w:tab/>
              <w:t>Original compensation</w:t>
            </w:r>
            <w:r>
              <w:br/>
            </w:r>
            <w:r>
              <w:tab/>
              <w:t>proportion</w:t>
            </w:r>
          </w:p>
        </w:tc>
        <w:tc>
          <w:tcPr>
            <w:tcW w:w="1134" w:type="dxa"/>
          </w:tcPr>
          <w:p>
            <w:pPr>
              <w:pStyle w:val="TableNAm"/>
            </w:pPr>
            <w:r>
              <w:br/>
              <w:t>25%</w:t>
            </w:r>
          </w:p>
        </w:tc>
      </w:tr>
      <w:tr>
        <w:trPr>
          <w:cantSplit/>
        </w:trPr>
        <w:tc>
          <w:tcPr>
            <w:tcW w:w="4252" w:type="dxa"/>
          </w:tcPr>
          <w:p>
            <w:pPr>
              <w:pStyle w:val="TableNAm"/>
              <w:tabs>
                <w:tab w:val="clear" w:pos="567"/>
                <w:tab w:val="left" w:pos="1157"/>
              </w:tabs>
            </w:pPr>
            <w:r>
              <w:tab/>
              <w:t xml:space="preserve">      Less</w:t>
            </w:r>
          </w:p>
        </w:tc>
        <w:tc>
          <w:tcPr>
            <w:tcW w:w="1134" w:type="dxa"/>
          </w:tcPr>
          <w:p>
            <w:pPr>
              <w:pStyle w:val="TableNAm"/>
            </w:pPr>
          </w:p>
        </w:tc>
      </w:tr>
      <w:tr>
        <w:trPr>
          <w:cantSplit/>
        </w:trPr>
        <w:tc>
          <w:tcPr>
            <w:tcW w:w="4252" w:type="dxa"/>
          </w:tcPr>
          <w:p>
            <w:pPr>
              <w:pStyle w:val="TableNAm"/>
              <w:tabs>
                <w:tab w:val="clear" w:pos="567"/>
                <w:tab w:val="left" w:pos="1157"/>
              </w:tabs>
            </w:pPr>
            <w:r>
              <w:tab/>
              <w:t>Notional compensation</w:t>
            </w:r>
            <w:r>
              <w:br/>
            </w:r>
            <w:r>
              <w:tab/>
              <w:t>proportion</w:t>
            </w:r>
          </w:p>
        </w:tc>
        <w:tc>
          <w:tcPr>
            <w:tcW w:w="1134" w:type="dxa"/>
          </w:tcPr>
          <w:p>
            <w:pPr>
              <w:pStyle w:val="TableNAm"/>
              <w:rPr>
                <w:u w:val="single"/>
              </w:rPr>
            </w:pPr>
            <w:r>
              <w:rPr>
                <w:u w:val="single"/>
              </w:rPr>
              <w:br/>
              <w:t>15%</w:t>
            </w:r>
          </w:p>
        </w:tc>
      </w:tr>
      <w:tr>
        <w:trPr>
          <w:cantSplit/>
        </w:trPr>
        <w:tc>
          <w:tcPr>
            <w:tcW w:w="4252" w:type="dxa"/>
          </w:tcPr>
          <w:p>
            <w:pPr>
              <w:pStyle w:val="TableNAm"/>
              <w:tabs>
                <w:tab w:val="clear" w:pos="567"/>
                <w:tab w:val="left" w:pos="1157"/>
              </w:tabs>
            </w:pPr>
            <w:r>
              <w:tab/>
              <w:t>Relevant proportion =</w:t>
            </w:r>
          </w:p>
        </w:tc>
        <w:tc>
          <w:tcPr>
            <w:tcW w:w="1134" w:type="dxa"/>
          </w:tcPr>
          <w:p>
            <w:pPr>
              <w:pStyle w:val="TableNAm"/>
            </w:pPr>
            <w: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NAm"/>
              <w:tabs>
                <w:tab w:val="clear" w:pos="567"/>
                <w:tab w:val="left" w:pos="1157"/>
              </w:tabs>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NAm"/>
            </w:pPr>
            <w:r>
              <w:br/>
            </w:r>
            <w:r>
              <w:br/>
            </w:r>
            <w:r>
              <w:br/>
            </w:r>
            <w:r>
              <w:br/>
              <w:t>15%</w:t>
            </w:r>
          </w:p>
        </w:tc>
      </w:tr>
      <w:tr>
        <w:tc>
          <w:tcPr>
            <w:tcW w:w="4252" w:type="dxa"/>
          </w:tcPr>
          <w:p>
            <w:pPr>
              <w:pStyle w:val="TableNAm"/>
              <w:tabs>
                <w:tab w:val="clear" w:pos="567"/>
                <w:tab w:val="left" w:pos="1157"/>
              </w:tabs>
            </w:pPr>
            <w:r>
              <w:tab/>
              <w:t xml:space="preserve">      Less</w:t>
            </w:r>
          </w:p>
        </w:tc>
        <w:tc>
          <w:tcPr>
            <w:tcW w:w="1134" w:type="dxa"/>
          </w:tcPr>
          <w:p>
            <w:pPr>
              <w:pStyle w:val="TableNAm"/>
            </w:pPr>
          </w:p>
        </w:tc>
      </w:tr>
      <w:tr>
        <w:tc>
          <w:tcPr>
            <w:tcW w:w="4252" w:type="dxa"/>
          </w:tcPr>
          <w:p>
            <w:pPr>
              <w:pStyle w:val="TableNAm"/>
              <w:tabs>
                <w:tab w:val="clear" w:pos="567"/>
                <w:tab w:val="left" w:pos="1157"/>
              </w:tabs>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NAm"/>
              <w:rPr>
                <w:u w:val="single"/>
              </w:rPr>
            </w:pPr>
            <w:r>
              <w:rPr>
                <w:u w:val="single"/>
              </w:rPr>
              <w:br/>
            </w:r>
            <w:r>
              <w:rPr>
                <w:u w:val="single"/>
              </w:rPr>
              <w:br/>
            </w:r>
            <w:r>
              <w:rPr>
                <w:u w:val="single"/>
              </w:rPr>
              <w:br/>
            </w:r>
            <w:r>
              <w:rPr>
                <w:u w:val="single"/>
              </w:rPr>
              <w:br/>
              <w:t>8%</w:t>
            </w:r>
          </w:p>
        </w:tc>
      </w:tr>
      <w:tr>
        <w:tc>
          <w:tcPr>
            <w:tcW w:w="4252" w:type="dxa"/>
          </w:tcPr>
          <w:p>
            <w:pPr>
              <w:pStyle w:val="TableNAm"/>
              <w:tabs>
                <w:tab w:val="clear" w:pos="567"/>
                <w:tab w:val="left" w:pos="1157"/>
              </w:tabs>
            </w:pPr>
            <w:r>
              <w:tab/>
              <w:t>Relevant proportion</w:t>
            </w:r>
            <w:r>
              <w:br/>
            </w:r>
            <w:r>
              <w:tab/>
              <w:t>on subsequent</w:t>
            </w:r>
            <w:r>
              <w:br/>
            </w:r>
            <w:r>
              <w:tab/>
              <w:t>reduction</w:t>
            </w:r>
            <w:r>
              <w:tab/>
              <w:t>=</w:t>
            </w:r>
          </w:p>
        </w:tc>
        <w:tc>
          <w:tcPr>
            <w:tcW w:w="1134" w:type="dxa"/>
          </w:tcPr>
          <w:p>
            <w:pPr>
              <w:pStyle w:val="TableNAm"/>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1988;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181 amended: No. 28 of 2010 s. 63.] </w:t>
      </w:r>
    </w:p>
    <w:p>
      <w:pPr>
        <w:pStyle w:val="Heading5"/>
      </w:pPr>
      <w:bookmarkStart w:id="717" w:name="_Toc77246414"/>
      <w:bookmarkStart w:id="718" w:name="_Toc74924163"/>
      <w:r>
        <w:rPr>
          <w:rStyle w:val="CharSectno"/>
        </w:rPr>
        <w:t>182</w:t>
      </w:r>
      <w:r>
        <w:t>.</w:t>
      </w:r>
      <w:r>
        <w:tab/>
        <w:t>Board of Valuers</w:t>
      </w:r>
      <w:bookmarkEnd w:id="717"/>
      <w:bookmarkEnd w:id="718"/>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 incorporated association under the </w:t>
      </w:r>
      <w:r>
        <w:rPr>
          <w:i/>
        </w:rPr>
        <w:t>Associations Incorporation Act 2015</w:t>
      </w:r>
      <w:r>
        <w:t>.</w:t>
      </w:r>
    </w:p>
    <w:p>
      <w:pPr>
        <w:pStyle w:val="Subsection"/>
      </w:pPr>
      <w:r>
        <w:tab/>
        <w:t>(3)</w:t>
      </w:r>
      <w:r>
        <w:tab/>
        <w:t>Each of the persons appointed to the Board is to be an Associate or a Fellow of the Australian Property Institute, an association incorporated under the laws of South Australia.</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Footnotesection"/>
      </w:pPr>
      <w:r>
        <w:tab/>
        <w:t>[Section 182 amended: No. 30 of 2015 s. 226.]</w:t>
      </w:r>
    </w:p>
    <w:p>
      <w:pPr>
        <w:pStyle w:val="Heading5"/>
      </w:pPr>
      <w:bookmarkStart w:id="719" w:name="_Toc77246415"/>
      <w:bookmarkStart w:id="720" w:name="_Toc74924164"/>
      <w:r>
        <w:rPr>
          <w:rStyle w:val="CharSectno"/>
        </w:rPr>
        <w:t>183</w:t>
      </w:r>
      <w:r>
        <w:t>.</w:t>
      </w:r>
      <w:r>
        <w:tab/>
        <w:t>Valuations by Board</w:t>
      </w:r>
      <w:bookmarkEnd w:id="719"/>
      <w:bookmarkEnd w:id="720"/>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721" w:name="_Toc77239462"/>
      <w:bookmarkStart w:id="722" w:name="_Toc77240366"/>
      <w:bookmarkStart w:id="723" w:name="_Toc77246416"/>
      <w:bookmarkStart w:id="724" w:name="_Toc74652477"/>
      <w:bookmarkStart w:id="725" w:name="_Toc74652943"/>
      <w:bookmarkStart w:id="726" w:name="_Toc74733661"/>
      <w:bookmarkStart w:id="727" w:name="_Toc74924165"/>
      <w:r>
        <w:rPr>
          <w:rStyle w:val="CharDivNo"/>
        </w:rPr>
        <w:t>Division 3</w:t>
      </w:r>
      <w:r>
        <w:t> — </w:t>
      </w:r>
      <w:r>
        <w:rPr>
          <w:rStyle w:val="CharDivText"/>
        </w:rPr>
        <w:t>Other compensation</w:t>
      </w:r>
      <w:bookmarkEnd w:id="721"/>
      <w:bookmarkEnd w:id="722"/>
      <w:bookmarkEnd w:id="723"/>
      <w:bookmarkEnd w:id="724"/>
      <w:bookmarkEnd w:id="725"/>
      <w:bookmarkEnd w:id="726"/>
      <w:bookmarkEnd w:id="727"/>
    </w:p>
    <w:p>
      <w:pPr>
        <w:pStyle w:val="Heading5"/>
      </w:pPr>
      <w:bookmarkStart w:id="728" w:name="_Toc77246417"/>
      <w:bookmarkStart w:id="729" w:name="_Toc74924166"/>
      <w:r>
        <w:rPr>
          <w:rStyle w:val="CharSectno"/>
        </w:rPr>
        <w:t>184</w:t>
      </w:r>
      <w:r>
        <w:t>.</w:t>
      </w:r>
      <w:r>
        <w:tab/>
        <w:t>Betterment; compensation for expenses rendered abortive by amendment or repeal of scheme</w:t>
      </w:r>
      <w:bookmarkEnd w:id="728"/>
      <w:bookmarkEnd w:id="729"/>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2012</w:t>
      </w:r>
      <w:r>
        <w:t xml:space="preserve"> or by some other method agreed by the parties.</w:t>
      </w:r>
    </w:p>
    <w:p>
      <w:pPr>
        <w:pStyle w:val="Footnotesection"/>
      </w:pPr>
      <w:r>
        <w:tab/>
        <w:t>[Section 184 amended: No. 23 of 2012 s. 45.]</w:t>
      </w:r>
    </w:p>
    <w:p>
      <w:pPr>
        <w:pStyle w:val="Heading5"/>
        <w:spacing w:before="180"/>
      </w:pPr>
      <w:bookmarkStart w:id="730" w:name="_Toc77246418"/>
      <w:bookmarkStart w:id="731" w:name="_Toc74924167"/>
      <w:r>
        <w:rPr>
          <w:rStyle w:val="CharSectno"/>
        </w:rPr>
        <w:t>185</w:t>
      </w:r>
      <w:r>
        <w:t>.</w:t>
      </w:r>
      <w:r>
        <w:tab/>
        <w:t>Injurious affection due to interim development order</w:t>
      </w:r>
      <w:bookmarkEnd w:id="730"/>
      <w:bookmarkEnd w:id="731"/>
    </w:p>
    <w:p>
      <w:pPr>
        <w:pStyle w:val="Subsection"/>
        <w:spacing w:before="120"/>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spacing w:before="120"/>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2012</w:t>
      </w:r>
      <w:r>
        <w:t xml:space="preserve"> or by some other method agreed by the parties.</w:t>
      </w:r>
    </w:p>
    <w:p>
      <w:pPr>
        <w:pStyle w:val="Footnotesection"/>
      </w:pPr>
      <w:r>
        <w:tab/>
        <w:t>[Section 185 amended: No. 23 of 2012 s. 45.]</w:t>
      </w:r>
    </w:p>
    <w:p>
      <w:pPr>
        <w:pStyle w:val="Heading5"/>
        <w:spacing w:before="180"/>
      </w:pPr>
      <w:bookmarkStart w:id="732" w:name="_Toc77246419"/>
      <w:bookmarkStart w:id="733" w:name="_Toc74924168"/>
      <w:r>
        <w:rPr>
          <w:rStyle w:val="CharSectno"/>
        </w:rPr>
        <w:t>186</w:t>
      </w:r>
      <w:r>
        <w:t>.</w:t>
      </w:r>
      <w:r>
        <w:tab/>
        <w:t>Injurious affection due to planning control area</w:t>
      </w:r>
      <w:bookmarkEnd w:id="732"/>
      <w:bookmarkEnd w:id="733"/>
    </w:p>
    <w:p>
      <w:pPr>
        <w:pStyle w:val="Subsection"/>
        <w:spacing w:before="120"/>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keepNext/>
        <w:keepLines/>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180"/>
      </w:pPr>
      <w:bookmarkStart w:id="734" w:name="_Toc77239466"/>
      <w:bookmarkStart w:id="735" w:name="_Toc77240370"/>
      <w:bookmarkStart w:id="736" w:name="_Toc77246420"/>
      <w:bookmarkStart w:id="737" w:name="_Toc74652481"/>
      <w:bookmarkStart w:id="738" w:name="_Toc74652947"/>
      <w:bookmarkStart w:id="739" w:name="_Toc74733665"/>
      <w:bookmarkStart w:id="740" w:name="_Toc74924169"/>
      <w:r>
        <w:rPr>
          <w:rStyle w:val="CharDivNo"/>
        </w:rPr>
        <w:t>Division 4</w:t>
      </w:r>
      <w:r>
        <w:t> — </w:t>
      </w:r>
      <w:r>
        <w:rPr>
          <w:rStyle w:val="CharDivText"/>
        </w:rPr>
        <w:t>Purchase or compulsory acquisition</w:t>
      </w:r>
      <w:bookmarkEnd w:id="734"/>
      <w:bookmarkEnd w:id="735"/>
      <w:bookmarkEnd w:id="736"/>
      <w:bookmarkEnd w:id="737"/>
      <w:bookmarkEnd w:id="738"/>
      <w:bookmarkEnd w:id="739"/>
      <w:bookmarkEnd w:id="740"/>
    </w:p>
    <w:p>
      <w:pPr>
        <w:pStyle w:val="Heading5"/>
        <w:spacing w:before="180"/>
      </w:pPr>
      <w:bookmarkStart w:id="741" w:name="_Toc77246421"/>
      <w:bookmarkStart w:id="742" w:name="_Toc74924170"/>
      <w:r>
        <w:rPr>
          <w:rStyle w:val="CharSectno"/>
        </w:rPr>
        <w:t>187</w:t>
      </w:r>
      <w:r>
        <w:t>.</w:t>
      </w:r>
      <w:r>
        <w:tab/>
        <w:t>Acquiring land in lieu of paying compensation</w:t>
      </w:r>
      <w:bookmarkEnd w:id="741"/>
      <w:bookmarkEnd w:id="742"/>
    </w:p>
    <w:p>
      <w:pPr>
        <w:pStyle w:val="Subsection"/>
        <w:spacing w:before="120"/>
      </w:pPr>
      <w:r>
        <w:tab/>
        <w:t>(1)</w:t>
      </w:r>
      <w:r>
        <w:tab/>
        <w:t>Where compensation for injurious affection is claimed as a result of the operation of the provisions of section 174(1), the responsible authority may at its option elect to acquire the land so affected instead of paying compensation.</w:t>
      </w:r>
    </w:p>
    <w:p>
      <w:pPr>
        <w:pStyle w:val="Subsection"/>
        <w:spacing w:before="120"/>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spacing w:before="120"/>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spacing w:before="120"/>
      </w:pPr>
      <w:r>
        <w:tab/>
        <w:t>(4)</w:t>
      </w:r>
      <w:r>
        <w:tab/>
        <w:t xml:space="preserve">If — </w:t>
      </w:r>
    </w:p>
    <w:p>
      <w:pPr>
        <w:pStyle w:val="Indenta"/>
      </w:pPr>
      <w:r>
        <w:tab/>
        <w:t>(a)</w:t>
      </w:r>
      <w:r>
        <w:tab/>
        <w:t>an owner of land claims compensation and the responsible authority elects to purchase the land instead of paying compensation; and</w:t>
      </w:r>
    </w:p>
    <w:p>
      <w:pPr>
        <w:pStyle w:val="Indenta"/>
      </w:pPr>
      <w:r>
        <w:tab/>
        <w:t>(b)</w:t>
      </w:r>
      <w:r>
        <w:tab/>
        <w:t>the price to be paid for the land by the responsible authority has not been determined for the purposes of subsection (3),</w:t>
      </w:r>
    </w:p>
    <w:p>
      <w:pPr>
        <w:pStyle w:val="Subsection"/>
      </w:pPr>
      <w:r>
        <w:tab/>
      </w:r>
      <w:r>
        <w:tab/>
        <w:t>the owner of the land may withdraw the claim for compensation and, upon that withdrawal, the election has no effect.</w:t>
      </w:r>
    </w:p>
    <w:p>
      <w:pPr>
        <w:pStyle w:val="Footnotesection"/>
      </w:pPr>
      <w:r>
        <w:tab/>
        <w:t>[Section 187 amended: No. 8 of 2009 s. 100(4).]</w:t>
      </w:r>
    </w:p>
    <w:p>
      <w:pPr>
        <w:pStyle w:val="Heading5"/>
      </w:pPr>
      <w:bookmarkStart w:id="743" w:name="_Toc77246422"/>
      <w:bookmarkStart w:id="744" w:name="_Toc74924171"/>
      <w:r>
        <w:rPr>
          <w:rStyle w:val="CharSectno"/>
        </w:rPr>
        <w:t>188</w:t>
      </w:r>
      <w:r>
        <w:t>.</w:t>
      </w:r>
      <w:r>
        <w:tab/>
        <w:t>Land to be acquired under s. 187, valuing</w:t>
      </w:r>
      <w:bookmarkEnd w:id="743"/>
      <w:bookmarkEnd w:id="744"/>
    </w:p>
    <w:p>
      <w:pPr>
        <w:pStyle w:val="Subsection"/>
        <w:keepNext/>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2012</w:t>
      </w:r>
      <w:r>
        <w:t>; or</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Commercial Arbitration Act 2012</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2012</w:t>
      </w:r>
      <w:r>
        <w:t>, an arbitration agreement to refer the dispute, and the parties to the agreement are to be taken to be the owner of the land and the responsible authority.</w:t>
      </w:r>
    </w:p>
    <w:p>
      <w:pPr>
        <w:pStyle w:val="Footnotesection"/>
      </w:pPr>
      <w:r>
        <w:tab/>
        <w:t>[Section 188 amended: No. 23 of 2012 s. 45.]</w:t>
      </w:r>
    </w:p>
    <w:p>
      <w:pPr>
        <w:pStyle w:val="Heading5"/>
      </w:pPr>
      <w:bookmarkStart w:id="745" w:name="_Toc77246423"/>
      <w:bookmarkStart w:id="746" w:name="_Toc74924172"/>
      <w:r>
        <w:rPr>
          <w:rStyle w:val="CharSectno"/>
        </w:rPr>
        <w:t>189</w:t>
      </w:r>
      <w:r>
        <w:t>.</w:t>
      </w:r>
      <w:r>
        <w:tab/>
        <w:t>Land in proposed region planning scheme, Commission may purchase</w:t>
      </w:r>
      <w:bookmarkEnd w:id="745"/>
      <w:bookmarkEnd w:id="746"/>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747" w:name="_Toc77246424"/>
      <w:bookmarkStart w:id="748" w:name="_Toc74924173"/>
      <w:r>
        <w:rPr>
          <w:rStyle w:val="CharSectno"/>
        </w:rPr>
        <w:t>190</w:t>
      </w:r>
      <w:r>
        <w:t>.</w:t>
      </w:r>
      <w:r>
        <w:tab/>
        <w:t>Responsible authority may purchase land for planning scheme</w:t>
      </w:r>
      <w:bookmarkEnd w:id="747"/>
      <w:bookmarkEnd w:id="748"/>
    </w:p>
    <w:p>
      <w:pPr>
        <w:pStyle w:val="Subsection"/>
        <w:keepNext/>
        <w:keepLines/>
      </w:pPr>
      <w:r>
        <w:tab/>
        <w:t>(1)</w:t>
      </w:r>
      <w:r>
        <w:tab/>
        <w:t>The responsible authority may, for the purpose of a planning scheme, in the name and on behalf of such responsible authority, purchase any land comprised in the planning scheme from any person who may be willing to sell the same.</w:t>
      </w:r>
    </w:p>
    <w:p>
      <w:pPr>
        <w:pStyle w:val="Subsection"/>
      </w:pPr>
      <w:r>
        <w:tab/>
        <w:t>(2)</w:t>
      </w:r>
      <w:r>
        <w:tab/>
        <w:t xml:space="preserve">If the land to be purchased under subsection (1) (the </w:t>
      </w:r>
      <w:r>
        <w:rPr>
          <w:rStyle w:val="CharDefText"/>
        </w:rPr>
        <w:t>relevant land</w:t>
      </w:r>
      <w:r>
        <w:t>) forms only part of a lot, the responsible authority may also purchase under subsection (1) the rest of the lot, or any part of the rest of the lot, for purposes related to the purchase of the relevant land.</w:t>
      </w:r>
    </w:p>
    <w:p>
      <w:pPr>
        <w:pStyle w:val="Subsection"/>
      </w:pPr>
      <w:r>
        <w:tab/>
        <w:t>(3)</w:t>
      </w:r>
      <w:r>
        <w:tab/>
        <w:t>Subsection (2) applies whether or not the rest of the lot, or the part of the rest of the lot, is comprised in the planning scheme and whether or not its purchase is for the purpose of the scheme.</w:t>
      </w:r>
    </w:p>
    <w:p>
      <w:pPr>
        <w:pStyle w:val="Footnotesection"/>
      </w:pPr>
      <w:r>
        <w:tab/>
        <w:t>[Section 190 amended: No. 26 of 2020 s. 15.]</w:t>
      </w:r>
    </w:p>
    <w:p>
      <w:pPr>
        <w:pStyle w:val="Heading5"/>
      </w:pPr>
      <w:bookmarkStart w:id="749" w:name="_Toc77246425"/>
      <w:bookmarkStart w:id="750" w:name="_Toc74924174"/>
      <w:r>
        <w:rPr>
          <w:rStyle w:val="CharSectno"/>
        </w:rPr>
        <w:t>191</w:t>
      </w:r>
      <w:r>
        <w:t>.</w:t>
      </w:r>
      <w:r>
        <w:tab/>
        <w:t>Compulsory acquisition of land in scheme area</w:t>
      </w:r>
      <w:bookmarkEnd w:id="749"/>
      <w:bookmarkEnd w:id="750"/>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 as if the land were required for a public work (as defined in section 151(1) of that Act).</w:t>
      </w:r>
    </w:p>
    <w:p>
      <w:pPr>
        <w:pStyle w:val="Subsection"/>
      </w:pPr>
      <w:r>
        <w:tab/>
        <w:t>(1A)</w:t>
      </w:r>
      <w:r>
        <w:tab/>
        <w:t xml:space="preserve">If the land to be taken under subsection (1) (the </w:t>
      </w:r>
      <w:r>
        <w:rPr>
          <w:rStyle w:val="CharDefText"/>
        </w:rPr>
        <w:t>relevant land</w:t>
      </w:r>
      <w:r>
        <w:t>) forms only part of a lot, the responsible authority may also take under subsection (1) the rest of the lot, or any part of the rest of the lot, for purposes related to the taking of the relevant land.</w:t>
      </w:r>
    </w:p>
    <w:p>
      <w:pPr>
        <w:pStyle w:val="Subsection"/>
      </w:pPr>
      <w:r>
        <w:tab/>
        <w:t>(1B)</w:t>
      </w:r>
      <w:r>
        <w:tab/>
        <w:t>Subsection (1A) applies whether or not the rest of the lot, or the part of the rest of the lot, is comprised in the planning scheme and whether or not the taking of the rest of the lot, or the part of the rest of the lot, is for the purpose of the scheme.</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Footnotesection"/>
      </w:pPr>
      <w:r>
        <w:tab/>
        <w:t>[Section 191 amended: No. 26 of 2020 s. 16.]</w:t>
      </w:r>
    </w:p>
    <w:p>
      <w:pPr>
        <w:pStyle w:val="Heading5"/>
      </w:pPr>
      <w:bookmarkStart w:id="751" w:name="_Toc77246426"/>
      <w:bookmarkStart w:id="752" w:name="_Toc74924175"/>
      <w:r>
        <w:rPr>
          <w:rStyle w:val="CharSectno"/>
        </w:rPr>
        <w:t>192</w:t>
      </w:r>
      <w:r>
        <w:t>.</w:t>
      </w:r>
      <w:r>
        <w:tab/>
        <w:t>Land etc. to be acquired under s. 191, valuing</w:t>
      </w:r>
      <w:bookmarkEnd w:id="751"/>
      <w:bookmarkEnd w:id="752"/>
    </w:p>
    <w:p>
      <w:pPr>
        <w:pStyle w:val="Subsection"/>
        <w:spacing w:before="120"/>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spacing w:before="60"/>
      </w:pPr>
      <w:r>
        <w:tab/>
        <w:t>(a)</w:t>
      </w:r>
      <w:r>
        <w:tab/>
        <w:t>without regard to any increase or decrease in value attributed wholly or in part to any of the provisions contained in, or to the operation or effect of, the relevant planning scheme; and</w:t>
      </w:r>
    </w:p>
    <w:p>
      <w:pPr>
        <w:pStyle w:val="Indenta"/>
        <w:spacing w:before="60"/>
      </w:pPr>
      <w:r>
        <w:tab/>
        <w:t>(b)</w:t>
      </w:r>
      <w:r>
        <w:tab/>
        <w:t>having regard to values current at the time of acquisition,</w:t>
      </w:r>
    </w:p>
    <w:p>
      <w:pPr>
        <w:pStyle w:val="Subsection"/>
        <w:spacing w:before="100"/>
      </w:pPr>
      <w:r>
        <w:tab/>
      </w:r>
      <w:r>
        <w:tab/>
        <w:t>but in assessing the amount of compensation regard is to be had to any amounts of compensation already paid, or payable, by the responsible authority in respect of the land under Division 2.</w:t>
      </w:r>
    </w:p>
    <w:p>
      <w:pPr>
        <w:pStyle w:val="Subsection"/>
        <w:spacing w:before="120"/>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spacing w:before="120"/>
      </w:pPr>
      <w:r>
        <w:tab/>
        <w:t>(3)</w:t>
      </w:r>
      <w:r>
        <w:tab/>
        <w:t xml:space="preserve">In assessing the amount to be deducted from compensation under subsection (2), the person lawfully appointed to determine the amount of compensation is to have regard to — </w:t>
      </w:r>
    </w:p>
    <w:p>
      <w:pPr>
        <w:pStyle w:val="Indenta"/>
        <w:spacing w:before="60"/>
      </w:pPr>
      <w:r>
        <w:tab/>
        <w:t>(a)</w:t>
      </w:r>
      <w:r>
        <w:tab/>
        <w:t>any improvements or demolitions lawfully made to or on the land, subsequently to the determination of the unaffected value of the land; and</w:t>
      </w:r>
    </w:p>
    <w:p>
      <w:pPr>
        <w:pStyle w:val="Indenta"/>
        <w:keepNext/>
        <w:keepLines/>
        <w:spacing w:before="60"/>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753" w:name="_Toc77246427"/>
      <w:bookmarkStart w:id="754" w:name="_Toc74924176"/>
      <w:r>
        <w:rPr>
          <w:rStyle w:val="CharSectno"/>
        </w:rPr>
        <w:t>193</w:t>
      </w:r>
      <w:r>
        <w:t>.</w:t>
      </w:r>
      <w:r>
        <w:tab/>
        <w:t>Responsible authority’s powers as to acquired land</w:t>
      </w:r>
      <w:bookmarkEnd w:id="753"/>
      <w:bookmarkEnd w:id="754"/>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755" w:name="_Toc77246428"/>
      <w:bookmarkStart w:id="756" w:name="_Toc74924177"/>
      <w:r>
        <w:rPr>
          <w:rStyle w:val="CharSectno"/>
        </w:rPr>
        <w:t>194</w:t>
      </w:r>
      <w:r>
        <w:t>.</w:t>
      </w:r>
      <w:r>
        <w:tab/>
        <w:t>Responsible authority may grant easement over acquired land</w:t>
      </w:r>
      <w:bookmarkEnd w:id="755"/>
      <w:bookmarkEnd w:id="756"/>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757" w:name="_Toc77246429"/>
      <w:bookmarkStart w:id="758" w:name="_Toc74924178"/>
      <w:r>
        <w:rPr>
          <w:rStyle w:val="CharSectno"/>
        </w:rPr>
        <w:t>195</w:t>
      </w:r>
      <w:r>
        <w:t>.</w:t>
      </w:r>
      <w:r>
        <w:tab/>
        <w:t>Commission’s powers to acquire land in improvement plan</w:t>
      </w:r>
      <w:bookmarkEnd w:id="757"/>
      <w:bookmarkEnd w:id="758"/>
    </w:p>
    <w:p>
      <w:pPr>
        <w:pStyle w:val="Subsection"/>
      </w:pPr>
      <w:r>
        <w:tab/>
        <w:t>(1)</w:t>
      </w:r>
      <w:r>
        <w:tab/>
        <w:t>The Commission may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 xml:space="preserve">Land Administration Act 1997 </w:t>
      </w:r>
      <w:r>
        <w:t>as if the land were required for a public work (as defined in section 151(1) of that Act), subject to subsection (3).</w:t>
      </w:r>
    </w:p>
    <w:p>
      <w:pPr>
        <w:pStyle w:val="Subsection"/>
      </w:pPr>
      <w:r>
        <w:tab/>
        <w:t>(3)</w:t>
      </w:r>
      <w:r>
        <w:tab/>
        <w:t>Sections 191(3) and 192 apply with any necessary modifications to the taking of land under subsection (2) as they apply to the taking of land under section 191.</w:t>
      </w:r>
    </w:p>
    <w:p>
      <w:pPr>
        <w:pStyle w:val="Subsection"/>
      </w:pPr>
      <w:r>
        <w:tab/>
        <w:t>(3A)</w:t>
      </w:r>
      <w:r>
        <w:tab/>
        <w:t>For the purposes of subsection (3), in section 192(1)(a), the reference to the relevant planning scheme is to be read as a reference to the improvement plan.</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Footnotesection"/>
      </w:pPr>
      <w:r>
        <w:tab/>
        <w:t xml:space="preserve">[Section 195 amended: No. 28 of 2010 s. 16; No. 26 of 2020 s. 17.] </w:t>
      </w:r>
    </w:p>
    <w:p>
      <w:pPr>
        <w:pStyle w:val="Heading5"/>
      </w:pPr>
      <w:bookmarkStart w:id="759" w:name="_Toc77246430"/>
      <w:bookmarkStart w:id="760" w:name="_Toc74924179"/>
      <w:r>
        <w:rPr>
          <w:rStyle w:val="CharSectno"/>
        </w:rPr>
        <w:t>196</w:t>
      </w:r>
      <w:r>
        <w:t>.</w:t>
      </w:r>
      <w:r>
        <w:tab/>
        <w:t>Commission may sell etc. acquired land</w:t>
      </w:r>
      <w:bookmarkEnd w:id="759"/>
      <w:bookmarkEnd w:id="760"/>
    </w:p>
    <w:p>
      <w:pPr>
        <w:pStyle w:val="Subsection"/>
        <w:keepNext/>
        <w:keepLines/>
      </w:pPr>
      <w:r>
        <w:tab/>
        <w:t>(1)</w:t>
      </w:r>
      <w:r>
        <w:tab/>
        <w:t xml:space="preserve">The Commission is to hold for the purposes of the relevant region planning scheme or improvement plan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or improvement plan;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 or improvement plan.</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Subsection"/>
      </w:pPr>
      <w:r>
        <w:tab/>
        <w:t>(4)</w:t>
      </w:r>
      <w:r>
        <w:tab/>
        <w:t>In relation to a part of a lot purchased or taken by the Commission in accordance with section 190(2) or 191(1A), in subsection (1), the reference to the purposes of the relevant region planning scheme is a reference to the purposes for which the part of the lot was purchased or taken.</w:t>
      </w:r>
    </w:p>
    <w:p>
      <w:pPr>
        <w:pStyle w:val="Footnotesection"/>
      </w:pPr>
      <w:r>
        <w:tab/>
        <w:t xml:space="preserve">[Section 196 amended: No. 28 of 2010 s. 17; No. 26 of 2020 s. 18.] </w:t>
      </w:r>
    </w:p>
    <w:p>
      <w:pPr>
        <w:pStyle w:val="Heading5"/>
      </w:pPr>
      <w:bookmarkStart w:id="761" w:name="_Toc77246431"/>
      <w:bookmarkStart w:id="762" w:name="_Toc74924180"/>
      <w:r>
        <w:rPr>
          <w:rStyle w:val="CharSectno"/>
        </w:rPr>
        <w:t>197</w:t>
      </w:r>
      <w:r>
        <w:t>.</w:t>
      </w:r>
      <w:r>
        <w:tab/>
        <w:t>Declaring land for public work to be instead held etc. for region planning scheme or improvement plan</w:t>
      </w:r>
      <w:bookmarkEnd w:id="761"/>
      <w:bookmarkEnd w:id="762"/>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or improvement plan,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 or improvement plan.</w:t>
      </w:r>
    </w:p>
    <w:p>
      <w:pPr>
        <w:pStyle w:val="Subsection"/>
      </w:pPr>
      <w:r>
        <w:tab/>
        <w:t>(2)</w:t>
      </w:r>
      <w:r>
        <w:tab/>
        <w:t>From the date of the publication of the notice the land described in the notice, by force of this section, vests in the Commission for the purposes of the region planning scheme or improvement plan.</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197 amended: No. 28 of 2010 s. 18.] </w:t>
      </w:r>
    </w:p>
    <w:p>
      <w:pPr>
        <w:pStyle w:val="Heading5"/>
      </w:pPr>
      <w:bookmarkStart w:id="763" w:name="_Toc77246432"/>
      <w:bookmarkStart w:id="764" w:name="_Toc74924181"/>
      <w:r>
        <w:rPr>
          <w:rStyle w:val="CharSectno"/>
        </w:rPr>
        <w:t>197A</w:t>
      </w:r>
      <w:r>
        <w:t>.</w:t>
      </w:r>
      <w:r>
        <w:tab/>
        <w:t>Planning control areas</w:t>
      </w:r>
      <w:bookmarkEnd w:id="763"/>
      <w:bookmarkEnd w:id="764"/>
    </w:p>
    <w:p>
      <w:pPr>
        <w:pStyle w:val="Subsection"/>
      </w:pPr>
      <w:r>
        <w:tab/>
        <w:t>(1)</w:t>
      </w:r>
      <w:r>
        <w:tab/>
        <w:t>In section 187(1), the reference to the provisions of section 174(1) includes those provisions as applied by section 186(2).</w:t>
      </w:r>
    </w:p>
    <w:p>
      <w:pPr>
        <w:pStyle w:val="Subsection"/>
        <w:keepNext/>
      </w:pPr>
      <w:r>
        <w:tab/>
        <w:t>(2)</w:t>
      </w:r>
      <w:r>
        <w:tab/>
        <w:t xml:space="preserve">The Commission may purchase any of the following land — </w:t>
      </w:r>
    </w:p>
    <w:p>
      <w:pPr>
        <w:pStyle w:val="Indenta"/>
      </w:pPr>
      <w:r>
        <w:tab/>
        <w:t>(a)</w:t>
      </w:r>
      <w:r>
        <w:tab/>
        <w:t>land within a proposed planning control area;</w:t>
      </w:r>
    </w:p>
    <w:p>
      <w:pPr>
        <w:pStyle w:val="Indenta"/>
      </w:pPr>
      <w:r>
        <w:tab/>
        <w:t>(b)</w:t>
      </w:r>
      <w:r>
        <w:tab/>
        <w:t>land that would be brought within a planning control area as a result of a proposed change to the area;</w:t>
      </w:r>
    </w:p>
    <w:p>
      <w:pPr>
        <w:pStyle w:val="Indenta"/>
      </w:pPr>
      <w:r>
        <w:tab/>
        <w:t>(c)</w:t>
      </w:r>
      <w:r>
        <w:tab/>
        <w:t>land within a planning control area.</w:t>
      </w:r>
    </w:p>
    <w:p>
      <w:pPr>
        <w:pStyle w:val="Subsection"/>
      </w:pPr>
      <w:r>
        <w:tab/>
        <w:t>(3)</w:t>
      </w:r>
      <w:r>
        <w:tab/>
        <w:t xml:space="preserve">The Commission may compulsorily take any land within a planning control area under and subject to the </w:t>
      </w:r>
      <w:r>
        <w:rPr>
          <w:i/>
        </w:rPr>
        <w:t xml:space="preserve">Land Administration Act 1997 </w:t>
      </w:r>
      <w:r>
        <w:t>Part 9 as if the land were required for a public work (as defined in section 151(1) of that Act).</w:t>
      </w:r>
    </w:p>
    <w:p>
      <w:pPr>
        <w:pStyle w:val="Subsection"/>
      </w:pPr>
      <w:r>
        <w:tab/>
        <w:t>(4)</w:t>
      </w:r>
      <w:r>
        <w:tab/>
        <w:t>Sections 191(3) and 192 apply with any necessary modifications to the taking of land under subsection (3) as they apply to the taking of land under section 191.</w:t>
      </w:r>
    </w:p>
    <w:p>
      <w:pPr>
        <w:pStyle w:val="Subsection"/>
      </w:pPr>
      <w:r>
        <w:tab/>
        <w:t>(5)</w:t>
      </w:r>
      <w:r>
        <w:tab/>
        <w:t>For the purposes of subsection (4), in section 192(1)(a), the reference to the relevant planning scheme is to be read as a reference to the declaration of the planning control area under section 112.</w:t>
      </w:r>
    </w:p>
    <w:p>
      <w:pPr>
        <w:pStyle w:val="Subsection"/>
      </w:pPr>
      <w:r>
        <w:tab/>
        <w:t>(6)</w:t>
      </w:r>
      <w:r>
        <w:tab/>
        <w:t xml:space="preserve">The Commission — </w:t>
      </w:r>
    </w:p>
    <w:p>
      <w:pPr>
        <w:pStyle w:val="Indenta"/>
      </w:pPr>
      <w:r>
        <w:tab/>
        <w:t>(a)</w:t>
      </w:r>
      <w:r>
        <w:tab/>
        <w:t>must hold any land acquired by the Commission under this section for the purpose, or for any 1 or more of the purposes, for which the land is required as referred to in section 112(1); and</w:t>
      </w:r>
    </w:p>
    <w:p>
      <w:pPr>
        <w:pStyle w:val="Indenta"/>
      </w:pPr>
      <w:r>
        <w:tab/>
        <w:t>(b)</w:t>
      </w:r>
      <w:r>
        <w:tab/>
        <w:t xml:space="preserve">may dispose of or alienate the land — </w:t>
      </w:r>
    </w:p>
    <w:p>
      <w:pPr>
        <w:pStyle w:val="Indenti"/>
      </w:pPr>
      <w:r>
        <w:tab/>
        <w:t>(i)</w:t>
      </w:r>
      <w:r>
        <w:tab/>
        <w:t>for that purpose or 1 or more of those purposes; or</w:t>
      </w:r>
    </w:p>
    <w:p>
      <w:pPr>
        <w:pStyle w:val="Indenti"/>
      </w:pPr>
      <w:r>
        <w:tab/>
        <w:t>(ii)</w:t>
      </w:r>
      <w:r>
        <w:tab/>
        <w:t>if the land is no longer required for that purpose or any of those purposes.</w:t>
      </w:r>
    </w:p>
    <w:p>
      <w:pPr>
        <w:pStyle w:val="Subsection"/>
      </w:pPr>
      <w:r>
        <w:tab/>
        <w:t>(7)</w:t>
      </w:r>
      <w:r>
        <w:tab/>
        <w:t>Land acquired under subsection (3) can be disposed of or alienated under subsection (6)(b)(ii) only with the Governor’s consent.</w:t>
      </w:r>
    </w:p>
    <w:p>
      <w:pPr>
        <w:pStyle w:val="Subsection"/>
      </w:pPr>
      <w:r>
        <w:tab/>
        <w:t>(8)</w:t>
      </w:r>
      <w:r>
        <w:tab/>
        <w:t>Section 196(3) applies to the power to dispose of or alienate land conferred by subsection (6)(b) as it applies to a power conferred by section 196.</w:t>
      </w:r>
    </w:p>
    <w:p>
      <w:pPr>
        <w:pStyle w:val="Subsection"/>
      </w:pPr>
      <w:r>
        <w:tab/>
        <w:t>(9)</w:t>
      </w:r>
      <w:r>
        <w:tab/>
        <w:t>In section 197, references to the purposes of a region planning scheme include the purposes, or any 1 or more of the purposes, for which land within a planning control area is required as referred to in section 112(1).</w:t>
      </w:r>
    </w:p>
    <w:p>
      <w:pPr>
        <w:pStyle w:val="Footnotesection"/>
      </w:pPr>
      <w:r>
        <w:tab/>
        <w:t>[Section 197A inserted: No. 26 of 2020 s. 19.]</w:t>
      </w:r>
    </w:p>
    <w:p>
      <w:pPr>
        <w:pStyle w:val="Heading2"/>
      </w:pPr>
      <w:bookmarkStart w:id="765" w:name="_Toc77239479"/>
      <w:bookmarkStart w:id="766" w:name="_Toc77240383"/>
      <w:bookmarkStart w:id="767" w:name="_Toc77246433"/>
      <w:bookmarkStart w:id="768" w:name="_Toc74652494"/>
      <w:bookmarkStart w:id="769" w:name="_Toc74652960"/>
      <w:bookmarkStart w:id="770" w:name="_Toc74733678"/>
      <w:bookmarkStart w:id="771" w:name="_Toc74924182"/>
      <w:r>
        <w:rPr>
          <w:rStyle w:val="CharPartNo"/>
        </w:rPr>
        <w:t>Part 12</w:t>
      </w:r>
      <w:r>
        <w:t> — </w:t>
      </w:r>
      <w:r>
        <w:rPr>
          <w:rStyle w:val="CharPartText"/>
        </w:rPr>
        <w:t>Financial provisions</w:t>
      </w:r>
      <w:bookmarkEnd w:id="765"/>
      <w:bookmarkEnd w:id="766"/>
      <w:bookmarkEnd w:id="767"/>
      <w:bookmarkEnd w:id="768"/>
      <w:bookmarkEnd w:id="769"/>
      <w:bookmarkEnd w:id="770"/>
      <w:bookmarkEnd w:id="771"/>
    </w:p>
    <w:p>
      <w:pPr>
        <w:pStyle w:val="Heading3"/>
      </w:pPr>
      <w:bookmarkStart w:id="772" w:name="_Toc77239480"/>
      <w:bookmarkStart w:id="773" w:name="_Toc77240384"/>
      <w:bookmarkStart w:id="774" w:name="_Toc77246434"/>
      <w:bookmarkStart w:id="775" w:name="_Toc74652495"/>
      <w:bookmarkStart w:id="776" w:name="_Toc74652961"/>
      <w:bookmarkStart w:id="777" w:name="_Toc74733679"/>
      <w:bookmarkStart w:id="778" w:name="_Toc74924183"/>
      <w:r>
        <w:rPr>
          <w:rStyle w:val="CharDivNo"/>
        </w:rPr>
        <w:t>Division 1</w:t>
      </w:r>
      <w:r>
        <w:t> — </w:t>
      </w:r>
      <w:r>
        <w:rPr>
          <w:rStyle w:val="CharDivText"/>
        </w:rPr>
        <w:t>Metropolitan Region Improvement Fund</w:t>
      </w:r>
      <w:bookmarkEnd w:id="772"/>
      <w:bookmarkEnd w:id="773"/>
      <w:bookmarkEnd w:id="774"/>
      <w:bookmarkEnd w:id="775"/>
      <w:bookmarkEnd w:id="776"/>
      <w:bookmarkEnd w:id="777"/>
      <w:bookmarkEnd w:id="778"/>
    </w:p>
    <w:p>
      <w:pPr>
        <w:pStyle w:val="Heading5"/>
        <w:spacing w:before="240"/>
      </w:pPr>
      <w:bookmarkStart w:id="779" w:name="_Toc77246435"/>
      <w:bookmarkStart w:id="780" w:name="_Toc74924184"/>
      <w:r>
        <w:rPr>
          <w:rStyle w:val="CharSectno"/>
        </w:rPr>
        <w:t>198</w:t>
      </w:r>
      <w:r>
        <w:t>.</w:t>
      </w:r>
      <w:r>
        <w:tab/>
        <w:t>Metropolitan Region Improvement Account</w:t>
      </w:r>
      <w:bookmarkEnd w:id="779"/>
      <w:bookmarkEnd w:id="780"/>
    </w:p>
    <w:p>
      <w:pPr>
        <w:pStyle w:val="Subsection"/>
        <w:spacing w:before="180"/>
      </w:pPr>
      <w:r>
        <w:tab/>
        <w:t>(1)</w:t>
      </w:r>
      <w:r>
        <w:tab/>
        <w:t xml:space="preserve">For the purposes of reviewing, amending, carrying out and giving effect to the Metropolitan Region Scheme and any improvement scheme that has effect in part or all of the metropolitan region, an agency special purpose account called the Metropolitan Region Improvement Account is established under section 16 of the </w:t>
      </w:r>
      <w:r>
        <w:rPr>
          <w:i/>
        </w:rPr>
        <w:t>Financial Management Act 2006</w:t>
      </w:r>
      <w:r>
        <w:t>.</w:t>
      </w:r>
    </w:p>
    <w:p>
      <w:pPr>
        <w:pStyle w:val="Subsection"/>
        <w:spacing w:before="180"/>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spacing w:before="180"/>
      </w:pPr>
      <w:r>
        <w:tab/>
        <w:t>(3)</w:t>
      </w:r>
      <w:r>
        <w:tab/>
        <w:t xml:space="preserve">The Commission is to credit to the MRI Account — </w:t>
      </w:r>
    </w:p>
    <w:p>
      <w:pPr>
        <w:pStyle w:val="Indenta"/>
        <w:spacing w:before="100"/>
      </w:pPr>
      <w:r>
        <w:tab/>
        <w:t>(a)</w:t>
      </w:r>
      <w:r>
        <w:tab/>
        <w:t>moneys appropriated to the MRI Account under section 201(2); and</w:t>
      </w:r>
    </w:p>
    <w:p>
      <w:pPr>
        <w:pStyle w:val="Indenta"/>
        <w:spacing w:before="100"/>
      </w:pPr>
      <w:r>
        <w:tab/>
        <w:t>(b)</w:t>
      </w:r>
      <w:r>
        <w:tab/>
        <w:t>any purchase moneys or rents or profits or other money received by the Commission from land acquired by it or arising out of the use or occupation of the land by the Commission; and</w:t>
      </w:r>
    </w:p>
    <w:p>
      <w:pPr>
        <w:pStyle w:val="Indenta"/>
        <w:spacing w:before="100"/>
      </w:pPr>
      <w:r>
        <w:tab/>
        <w:t>(c)</w:t>
      </w:r>
      <w:r>
        <w:tab/>
        <w:t>moneys borrowed by the Commission for the performance of any function referred to in section 14 in relation to the metropolitan region; and</w:t>
      </w:r>
    </w:p>
    <w:p>
      <w:pPr>
        <w:pStyle w:val="Indenta"/>
        <w:spacing w:before="100"/>
      </w:pPr>
      <w:r>
        <w:tab/>
        <w:t>(d)</w:t>
      </w:r>
      <w:r>
        <w:tab/>
        <w:t>any other payments made to the Commission in connection with the performance of a function referred to in paragraph (c).</w:t>
      </w:r>
    </w:p>
    <w:p>
      <w:pPr>
        <w:pStyle w:val="Footnotesection"/>
      </w:pPr>
      <w:r>
        <w:tab/>
        <w:t>[Section 198 amended: No. 77 of 2006 Sch. 1 cl. 127(3) and (5); No. 28 of 2010 s. 19.]</w:t>
      </w:r>
    </w:p>
    <w:p>
      <w:pPr>
        <w:pStyle w:val="Heading5"/>
        <w:spacing w:before="240"/>
      </w:pPr>
      <w:bookmarkStart w:id="781" w:name="_Toc77246436"/>
      <w:bookmarkStart w:id="782" w:name="_Toc74924185"/>
      <w:r>
        <w:rPr>
          <w:rStyle w:val="CharSectno"/>
        </w:rPr>
        <w:t>199</w:t>
      </w:r>
      <w:r>
        <w:t>.</w:t>
      </w:r>
      <w:r>
        <w:tab/>
        <w:t>MRI Account, application of</w:t>
      </w:r>
      <w:bookmarkEnd w:id="781"/>
      <w:bookmarkEnd w:id="782"/>
    </w:p>
    <w:p>
      <w:pPr>
        <w:pStyle w:val="Subsection"/>
        <w:keepNext/>
      </w:pPr>
      <w:r>
        <w:tab/>
        <w:t>(1A)</w:t>
      </w:r>
      <w:r>
        <w:tab/>
        <w:t xml:space="preserve">In this section — </w:t>
      </w:r>
    </w:p>
    <w:p>
      <w:pPr>
        <w:pStyle w:val="Defstart"/>
      </w:pPr>
      <w:r>
        <w:tab/>
      </w:r>
      <w:r>
        <w:rPr>
          <w:rStyle w:val="CharDefText"/>
        </w:rPr>
        <w:t>metropolitan improvement scheme</w:t>
      </w:r>
      <w:r>
        <w:t xml:space="preserve"> means an improvement scheme that has effect in part or all of the metropolitan region. </w:t>
      </w:r>
    </w:p>
    <w:p>
      <w:pPr>
        <w:pStyle w:val="Subsection"/>
      </w:pPr>
      <w:r>
        <w:tab/>
        <w:t>(1)</w:t>
      </w:r>
      <w:r>
        <w:tab/>
        <w:t>The Commission may apply money in the MRI Account to payment of all expenditure incurred by it for the purpose of reviewing, amending, carrying out and giving effect to the Metropolitan Region Scheme and any metropolitan improvement scheme, including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a regional interim development order in respect of land in the metropolitan region or a metropolitan improvement scheme or the establishment and maintenance of any works in connection with the Metropolitan Region Scheme, regional interim development order or metropolitan improvement scheme; or</w:t>
      </w:r>
    </w:p>
    <w:p>
      <w:pPr>
        <w:pStyle w:val="Indenti"/>
        <w:spacing w:before="60"/>
      </w:pPr>
      <w:r>
        <w:tab/>
        <w:t>(ii)</w:t>
      </w:r>
      <w:r>
        <w:tab/>
        <w:t>the development, maintenance and management of any land held by the Commission that is reserved under the Metropolitan Region Scheme or metropolitan improvement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pPr>
      <w:r>
        <w:tab/>
        <w:t>(2)</w:t>
      </w:r>
      <w:r>
        <w:tab/>
        <w:t xml:space="preserve">The Commission is also authorised to apply money standing to the credit of the MRI Account to payment of expenditure required for the purpose of carrying out the </w:t>
      </w:r>
      <w:r>
        <w:rPr>
          <w:i/>
        </w:rPr>
        <w:t>Metropolitan Redevelopment Authority Act 2011</w:t>
      </w:r>
      <w:r>
        <w:rPr>
          <w:iCs/>
        </w:rPr>
        <w:t xml:space="preserve"> or the </w:t>
      </w:r>
      <w:r>
        <w:rPr>
          <w:i/>
          <w:iCs/>
        </w:rPr>
        <w:t>Hope Valley</w:t>
      </w:r>
      <w:r>
        <w:rPr>
          <w:i/>
          <w:iCs/>
        </w:rPr>
        <w:noBreakHyphen/>
        <w:t>Wattleup Redevelopment Act 2000</w:t>
      </w:r>
      <w:r>
        <w:t>.</w:t>
      </w:r>
    </w:p>
    <w:p>
      <w:pPr>
        <w:pStyle w:val="Footnotesection"/>
      </w:pPr>
      <w:r>
        <w:tab/>
        <w:t xml:space="preserve">[Section 199 amended: No. 77 of 2006 Sch. 1 cl. 127(5); No. 28 of 2010 s. 20; </w:t>
      </w:r>
      <w:r>
        <w:rPr>
          <w:spacing w:val="-4"/>
        </w:rPr>
        <w:t>No. 45 of 2011 s. 1</w:t>
      </w:r>
      <w:r>
        <w:t xml:space="preserve">41(9).] </w:t>
      </w:r>
    </w:p>
    <w:p>
      <w:pPr>
        <w:pStyle w:val="Heading3"/>
      </w:pPr>
      <w:bookmarkStart w:id="783" w:name="_Toc77239483"/>
      <w:bookmarkStart w:id="784" w:name="_Toc77240387"/>
      <w:bookmarkStart w:id="785" w:name="_Toc77246437"/>
      <w:bookmarkStart w:id="786" w:name="_Toc74652498"/>
      <w:bookmarkStart w:id="787" w:name="_Toc74652964"/>
      <w:bookmarkStart w:id="788" w:name="_Toc74733682"/>
      <w:bookmarkStart w:id="789" w:name="_Toc74924186"/>
      <w:r>
        <w:rPr>
          <w:rStyle w:val="CharDivNo"/>
        </w:rPr>
        <w:t>Division 2</w:t>
      </w:r>
      <w:r>
        <w:t> — </w:t>
      </w:r>
      <w:r>
        <w:rPr>
          <w:rStyle w:val="CharDivText"/>
        </w:rPr>
        <w:t>Metropolitan Region Improvement Tax</w:t>
      </w:r>
      <w:bookmarkEnd w:id="783"/>
      <w:bookmarkEnd w:id="784"/>
      <w:bookmarkEnd w:id="785"/>
      <w:bookmarkEnd w:id="786"/>
      <w:bookmarkEnd w:id="787"/>
      <w:bookmarkEnd w:id="788"/>
      <w:bookmarkEnd w:id="789"/>
    </w:p>
    <w:p>
      <w:pPr>
        <w:pStyle w:val="Heading5"/>
      </w:pPr>
      <w:bookmarkStart w:id="790" w:name="_Toc77246438"/>
      <w:bookmarkStart w:id="791" w:name="_Toc74924187"/>
      <w:r>
        <w:rPr>
          <w:rStyle w:val="CharSectno"/>
        </w:rPr>
        <w:t>200</w:t>
      </w:r>
      <w:r>
        <w:t>.</w:t>
      </w:r>
      <w:r>
        <w:tab/>
        <w:t>Owners’ liability to pay tax</w:t>
      </w:r>
      <w:bookmarkEnd w:id="790"/>
      <w:bookmarkEnd w:id="791"/>
    </w:p>
    <w:p>
      <w:pPr>
        <w:pStyle w:val="Subsection"/>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792" w:name="_Toc77246439"/>
      <w:bookmarkStart w:id="793" w:name="_Toc74924188"/>
      <w:r>
        <w:rPr>
          <w:rStyle w:val="CharSectno"/>
        </w:rPr>
        <w:t>201</w:t>
      </w:r>
      <w:r>
        <w:t>.</w:t>
      </w:r>
      <w:ins w:id="794" w:author="Master Repository Process" w:date="2021-07-16T14:34:00Z">
        <w:r>
          <w:rPr>
            <w:vertAlign w:val="superscript"/>
          </w:rPr>
          <w:t> 1MC</w:t>
        </w:r>
      </w:ins>
      <w:r>
        <w:tab/>
        <w:t>Tax collections, how to be dealt with</w:t>
      </w:r>
      <w:bookmarkEnd w:id="792"/>
      <w:bookmarkEnd w:id="793"/>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No. 77 of 2006 s. 4 and Sch. 1 cl. 127(4).]</w:t>
      </w:r>
    </w:p>
    <w:p>
      <w:pPr>
        <w:pStyle w:val="Ednotesection"/>
        <w:rPr>
          <w:ins w:id="795" w:author="Master Repository Process" w:date="2021-07-16T14:34:00Z"/>
        </w:rPr>
      </w:pPr>
      <w:ins w:id="796" w:author="Master Repository Process" w:date="2021-07-16T14:34:00Z">
        <w:r>
          <w:t>[</w:t>
        </w:r>
        <w:r>
          <w:rPr>
            <w:b/>
            <w:bCs/>
          </w:rPr>
          <w:t xml:space="preserve">201. </w:t>
        </w:r>
        <w:r>
          <w:rPr>
            <w:vertAlign w:val="superscript"/>
          </w:rPr>
          <w:t>1MC</w:t>
        </w:r>
        <w:r>
          <w:tab/>
          <w:t>Modification, to replace section 201, to have effect under the Commonwealth Places (Mirror Taxes) Act 1998 (Commonwealth) s. 8, see Commonwealth Places (Mirror Taxes) (Modification of Applied Laws (WA)) Notice 2007 cl. 25 and endnote 1MC.]</w:t>
        </w:r>
      </w:ins>
    </w:p>
    <w:p>
      <w:pPr>
        <w:pStyle w:val="Ednotesection"/>
        <w:rPr>
          <w:ins w:id="797" w:author="Master Repository Process" w:date="2021-07-16T14:34:00Z"/>
        </w:rPr>
      </w:pPr>
      <w:ins w:id="798" w:author="Master Repository Process" w:date="2021-07-16T14:34:00Z">
        <w:r>
          <w:t>[</w:t>
        </w:r>
        <w:r>
          <w:rPr>
            <w:b/>
            <w:bCs/>
          </w:rPr>
          <w:t xml:space="preserve">201A. </w:t>
        </w:r>
        <w:r>
          <w:rPr>
            <w:vertAlign w:val="superscript"/>
          </w:rPr>
          <w:t>1M</w:t>
        </w:r>
        <w:r>
          <w:tab/>
          <w:t>Modification, to insert section 201A, to have effect under the Commonwealth Places (Mirror Taxes Administration) Act 1999 s. 7, see Commonwealth Places (Mirror Taxes Administration) Regulations 2007 r. 24 and endnote 1M.]</w:t>
        </w:r>
      </w:ins>
    </w:p>
    <w:p>
      <w:pPr>
        <w:pStyle w:val="Heading3"/>
      </w:pPr>
      <w:bookmarkStart w:id="799" w:name="_Toc77239486"/>
      <w:bookmarkStart w:id="800" w:name="_Toc77240390"/>
      <w:bookmarkStart w:id="801" w:name="_Toc77246440"/>
      <w:bookmarkStart w:id="802" w:name="_Toc74652501"/>
      <w:bookmarkStart w:id="803" w:name="_Toc74652967"/>
      <w:bookmarkStart w:id="804" w:name="_Toc74733685"/>
      <w:bookmarkStart w:id="805" w:name="_Toc74924189"/>
      <w:r>
        <w:rPr>
          <w:rStyle w:val="CharDivNo"/>
        </w:rPr>
        <w:t>Division 3</w:t>
      </w:r>
      <w:r>
        <w:t> — </w:t>
      </w:r>
      <w:r>
        <w:rPr>
          <w:rStyle w:val="CharDivText"/>
        </w:rPr>
        <w:t>Financial provisions relating to the Commission</w:t>
      </w:r>
      <w:bookmarkEnd w:id="799"/>
      <w:bookmarkEnd w:id="800"/>
      <w:bookmarkEnd w:id="801"/>
      <w:bookmarkEnd w:id="802"/>
      <w:bookmarkEnd w:id="803"/>
      <w:bookmarkEnd w:id="804"/>
      <w:bookmarkEnd w:id="805"/>
    </w:p>
    <w:p>
      <w:pPr>
        <w:pStyle w:val="Heading5"/>
      </w:pPr>
      <w:bookmarkStart w:id="806" w:name="_Toc77246441"/>
      <w:bookmarkStart w:id="807" w:name="_Toc74924190"/>
      <w:r>
        <w:rPr>
          <w:rStyle w:val="CharSectno"/>
        </w:rPr>
        <w:t>202</w:t>
      </w:r>
      <w:r>
        <w:t>.</w:t>
      </w:r>
      <w:r>
        <w:tab/>
        <w:t>Saving</w:t>
      </w:r>
      <w:bookmarkEnd w:id="806"/>
      <w:bookmarkEnd w:id="807"/>
    </w:p>
    <w:p>
      <w:pPr>
        <w:pStyle w:val="Subsection"/>
      </w:pPr>
      <w:r>
        <w:tab/>
      </w:r>
      <w:r>
        <w:tab/>
        <w:t>Nothing in this Division is to be read as derogating from Division 1 and this Division has effect subject to that Division.</w:t>
      </w:r>
    </w:p>
    <w:p>
      <w:pPr>
        <w:pStyle w:val="Heading5"/>
      </w:pPr>
      <w:bookmarkStart w:id="808" w:name="_Toc77246442"/>
      <w:bookmarkStart w:id="809" w:name="_Toc74924191"/>
      <w:r>
        <w:rPr>
          <w:rStyle w:val="CharSectno"/>
        </w:rPr>
        <w:t>203</w:t>
      </w:r>
      <w:r>
        <w:t>.</w:t>
      </w:r>
      <w:r>
        <w:tab/>
        <w:t>Funds of Commission</w:t>
      </w:r>
      <w:bookmarkEnd w:id="808"/>
      <w:bookmarkEnd w:id="809"/>
    </w:p>
    <w:p>
      <w:pPr>
        <w:pStyle w:val="Subsection"/>
        <w:keepNext/>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No. 77 of 2006 Sch. 1 cl. 127(6).]</w:t>
      </w:r>
    </w:p>
    <w:p>
      <w:pPr>
        <w:pStyle w:val="Heading5"/>
      </w:pPr>
      <w:bookmarkStart w:id="810" w:name="_Toc77246443"/>
      <w:bookmarkStart w:id="811" w:name="_Toc74924192"/>
      <w:r>
        <w:rPr>
          <w:rStyle w:val="CharSectno"/>
        </w:rPr>
        <w:t>204</w:t>
      </w:r>
      <w:r>
        <w:t>.</w:t>
      </w:r>
      <w:r>
        <w:tab/>
        <w:t>Minister’s approval needed for some contracts and expenditure</w:t>
      </w:r>
      <w:bookmarkEnd w:id="810"/>
      <w:bookmarkEnd w:id="811"/>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812" w:name="_Toc77246444"/>
      <w:bookmarkStart w:id="813" w:name="_Toc74924193"/>
      <w:r>
        <w:rPr>
          <w:rStyle w:val="CharSectno"/>
        </w:rPr>
        <w:t>205</w:t>
      </w:r>
      <w:r>
        <w:t>.</w:t>
      </w:r>
      <w:r>
        <w:tab/>
        <w:t>Borrowing powers</w:t>
      </w:r>
      <w:bookmarkEnd w:id="812"/>
      <w:bookmarkEnd w:id="813"/>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814" w:name="_Toc77246445"/>
      <w:bookmarkStart w:id="815" w:name="_Toc74924194"/>
      <w:r>
        <w:rPr>
          <w:rStyle w:val="CharSectno"/>
        </w:rPr>
        <w:t>206</w:t>
      </w:r>
      <w:r>
        <w:t>.</w:t>
      </w:r>
      <w:r>
        <w:tab/>
        <w:t>Borrowing from Treasurer</w:t>
      </w:r>
      <w:bookmarkEnd w:id="814"/>
      <w:bookmarkEnd w:id="815"/>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816" w:name="_Toc77246446"/>
      <w:bookmarkStart w:id="817" w:name="_Toc74924195"/>
      <w:r>
        <w:rPr>
          <w:rStyle w:val="CharSectno"/>
        </w:rPr>
        <w:t>207</w:t>
      </w:r>
      <w:r>
        <w:t>.</w:t>
      </w:r>
      <w:r>
        <w:tab/>
        <w:t>Guarantees by Treasurer</w:t>
      </w:r>
      <w:bookmarkEnd w:id="816"/>
      <w:bookmarkEnd w:id="817"/>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No. 77 of 2006 s. 4.]</w:t>
      </w:r>
    </w:p>
    <w:p>
      <w:pPr>
        <w:pStyle w:val="Heading5"/>
        <w:rPr>
          <w:i/>
        </w:rPr>
      </w:pPr>
      <w:bookmarkStart w:id="818" w:name="_Toc77246447"/>
      <w:bookmarkStart w:id="819" w:name="_Toc74924196"/>
      <w:r>
        <w:rPr>
          <w:rStyle w:val="CharSectno"/>
        </w:rPr>
        <w:t>208</w:t>
      </w:r>
      <w:r>
        <w:t>.</w:t>
      </w:r>
      <w:r>
        <w:tab/>
      </w:r>
      <w:r>
        <w:rPr>
          <w:i/>
        </w:rPr>
        <w:t>Financial Management Act 2006</w:t>
      </w:r>
      <w:r>
        <w:t xml:space="preserve"> and </w:t>
      </w:r>
      <w:r>
        <w:rPr>
          <w:i/>
        </w:rPr>
        <w:t>Auditor General Act 2006</w:t>
      </w:r>
      <w:r>
        <w:t>, application of</w:t>
      </w:r>
      <w:bookmarkEnd w:id="818"/>
      <w:bookmarkEnd w:id="819"/>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No. 77 of 2006 Sch. 1 cl. 127(7).]</w:t>
      </w:r>
    </w:p>
    <w:p>
      <w:pPr>
        <w:pStyle w:val="Heading5"/>
      </w:pPr>
      <w:bookmarkStart w:id="820" w:name="_Toc77246448"/>
      <w:bookmarkStart w:id="821" w:name="_Toc74924197"/>
      <w:r>
        <w:rPr>
          <w:rStyle w:val="CharSectno"/>
        </w:rPr>
        <w:t>209</w:t>
      </w:r>
      <w:r>
        <w:t>.</w:t>
      </w:r>
      <w:r>
        <w:tab/>
        <w:t>Commission’s land not subject to rates etc.</w:t>
      </w:r>
      <w:bookmarkEnd w:id="820"/>
      <w:bookmarkEnd w:id="821"/>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822" w:name="_Toc77239495"/>
      <w:bookmarkStart w:id="823" w:name="_Toc77240399"/>
      <w:bookmarkStart w:id="824" w:name="_Toc77246449"/>
      <w:bookmarkStart w:id="825" w:name="_Toc74652510"/>
      <w:bookmarkStart w:id="826" w:name="_Toc74652976"/>
      <w:bookmarkStart w:id="827" w:name="_Toc74733694"/>
      <w:bookmarkStart w:id="828" w:name="_Toc74924198"/>
      <w:r>
        <w:rPr>
          <w:rStyle w:val="CharDivNo"/>
        </w:rPr>
        <w:t>Division 4</w:t>
      </w:r>
      <w:r>
        <w:t> — </w:t>
      </w:r>
      <w:r>
        <w:rPr>
          <w:rStyle w:val="CharDivText"/>
        </w:rPr>
        <w:t>Financial provisions relating to local governments</w:t>
      </w:r>
      <w:bookmarkEnd w:id="822"/>
      <w:bookmarkEnd w:id="823"/>
      <w:bookmarkEnd w:id="824"/>
      <w:bookmarkEnd w:id="825"/>
      <w:bookmarkEnd w:id="826"/>
      <w:bookmarkEnd w:id="827"/>
      <w:bookmarkEnd w:id="828"/>
    </w:p>
    <w:p>
      <w:pPr>
        <w:pStyle w:val="Heading5"/>
      </w:pPr>
      <w:bookmarkStart w:id="829" w:name="_Toc77246450"/>
      <w:bookmarkStart w:id="830" w:name="_Toc74924199"/>
      <w:r>
        <w:rPr>
          <w:rStyle w:val="CharSectno"/>
        </w:rPr>
        <w:t>210</w:t>
      </w:r>
      <w:r>
        <w:t>.</w:t>
      </w:r>
      <w:r>
        <w:tab/>
        <w:t>Apportioning expenses between local governments</w:t>
      </w:r>
      <w:bookmarkEnd w:id="829"/>
      <w:bookmarkEnd w:id="830"/>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831" w:name="_Toc77239497"/>
      <w:bookmarkStart w:id="832" w:name="_Toc77240401"/>
      <w:bookmarkStart w:id="833" w:name="_Toc77246451"/>
      <w:bookmarkStart w:id="834" w:name="_Toc74652512"/>
      <w:bookmarkStart w:id="835" w:name="_Toc74652978"/>
      <w:bookmarkStart w:id="836" w:name="_Toc74733696"/>
      <w:bookmarkStart w:id="837" w:name="_Toc74924200"/>
      <w:r>
        <w:rPr>
          <w:rStyle w:val="CharPartNo"/>
        </w:rPr>
        <w:t>Part 13</w:t>
      </w:r>
      <w:r>
        <w:t> — </w:t>
      </w:r>
      <w:r>
        <w:rPr>
          <w:rStyle w:val="CharPartText"/>
        </w:rPr>
        <w:t>Enforcement and legal proceedings</w:t>
      </w:r>
      <w:bookmarkEnd w:id="831"/>
      <w:bookmarkEnd w:id="832"/>
      <w:bookmarkEnd w:id="833"/>
      <w:bookmarkEnd w:id="834"/>
      <w:bookmarkEnd w:id="835"/>
      <w:bookmarkEnd w:id="836"/>
      <w:bookmarkEnd w:id="837"/>
    </w:p>
    <w:p>
      <w:pPr>
        <w:pStyle w:val="Heading3"/>
      </w:pPr>
      <w:bookmarkStart w:id="838" w:name="_Toc77239498"/>
      <w:bookmarkStart w:id="839" w:name="_Toc77240402"/>
      <w:bookmarkStart w:id="840" w:name="_Toc77246452"/>
      <w:bookmarkStart w:id="841" w:name="_Toc74652513"/>
      <w:bookmarkStart w:id="842" w:name="_Toc74652979"/>
      <w:bookmarkStart w:id="843" w:name="_Toc74733697"/>
      <w:bookmarkStart w:id="844" w:name="_Toc74924201"/>
      <w:r>
        <w:rPr>
          <w:rStyle w:val="CharDivNo"/>
        </w:rPr>
        <w:t>Division 1</w:t>
      </w:r>
      <w:r>
        <w:t> — </w:t>
      </w:r>
      <w:r>
        <w:rPr>
          <w:rStyle w:val="CharDivText"/>
        </w:rPr>
        <w:t>Enforcement</w:t>
      </w:r>
      <w:bookmarkEnd w:id="838"/>
      <w:bookmarkEnd w:id="839"/>
      <w:bookmarkEnd w:id="840"/>
      <w:bookmarkEnd w:id="841"/>
      <w:bookmarkEnd w:id="842"/>
      <w:bookmarkEnd w:id="843"/>
      <w:bookmarkEnd w:id="844"/>
    </w:p>
    <w:p>
      <w:pPr>
        <w:pStyle w:val="Heading5"/>
      </w:pPr>
      <w:bookmarkStart w:id="845" w:name="_Toc77246453"/>
      <w:bookmarkStart w:id="846" w:name="_Toc74924202"/>
      <w:r>
        <w:rPr>
          <w:rStyle w:val="CharSectno"/>
        </w:rPr>
        <w:t>211</w:t>
      </w:r>
      <w:r>
        <w:t>.</w:t>
      </w:r>
      <w:r>
        <w:tab/>
        <w:t>Person aggrieved by local government’s omission may go to Minister; Minister’s powers</w:t>
      </w:r>
      <w:bookmarkEnd w:id="845"/>
      <w:bookmarkEnd w:id="846"/>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847" w:name="_Toc77246454"/>
      <w:bookmarkStart w:id="848" w:name="_Toc74924203"/>
      <w:r>
        <w:rPr>
          <w:rStyle w:val="CharSectno"/>
        </w:rPr>
        <w:t>212</w:t>
      </w:r>
      <w:r>
        <w:t>.</w:t>
      </w:r>
      <w:r>
        <w:tab/>
        <w:t>Breach of order etc. by local government, Minister’s powers as to</w:t>
      </w:r>
      <w:bookmarkEnd w:id="847"/>
      <w:bookmarkEnd w:id="848"/>
    </w:p>
    <w:p>
      <w:pPr>
        <w:pStyle w:val="Subsection"/>
      </w:pPr>
      <w:r>
        <w:tab/>
        <w:t>(1)</w:t>
      </w:r>
      <w:r>
        <w:tab/>
        <w:t xml:space="preserve">If the Minister is satisfied that a local government has failed to — </w:t>
      </w:r>
    </w:p>
    <w:p>
      <w:pPr>
        <w:pStyle w:val="Indenta"/>
      </w:pPr>
      <w:r>
        <w:tab/>
        <w:t>(a)</w:t>
      </w:r>
      <w:r>
        <w:tab/>
        <w:t>comply with an order under section 76; or</w:t>
      </w:r>
    </w:p>
    <w:p>
      <w:pPr>
        <w:pStyle w:val="Indenta"/>
      </w:pPr>
      <w:r>
        <w:tab/>
        <w:t>(ba)</w:t>
      </w:r>
      <w:r>
        <w:tab/>
        <w:t>comply with an order made under section 77A; or</w:t>
      </w:r>
    </w:p>
    <w:p>
      <w:pPr>
        <w:pStyle w:val="Indenta"/>
      </w:pPr>
      <w:r>
        <w:tab/>
        <w:t>(b)</w:t>
      </w:r>
      <w:r>
        <w:tab/>
        <w:t xml:space="preserve">comply with a provision of Part 5 Division 5; or </w:t>
      </w:r>
    </w:p>
    <w:p>
      <w:pPr>
        <w:pStyle w:val="Indenta"/>
      </w:pPr>
      <w:r>
        <w:tab/>
        <w:t>(c)</w:t>
      </w:r>
      <w:r>
        <w:tab/>
        <w:t>comply with an order under section 211; or</w:t>
      </w:r>
    </w:p>
    <w:p>
      <w:pPr>
        <w:pStyle w:val="Indenta"/>
      </w:pPr>
      <w:r>
        <w:tab/>
        <w:t>(d)</w:t>
      </w:r>
      <w:r>
        <w:tab/>
        <w:t>comply with a provision of regulations made under this Act,</w:t>
      </w:r>
    </w:p>
    <w:p>
      <w:pPr>
        <w:pStyle w:val="Subsection"/>
      </w:pPr>
      <w:r>
        <w:tab/>
      </w:r>
      <w:r>
        <w:tab/>
        <w:t>the Minister may serve written notice on the local government under this section.</w:t>
      </w:r>
    </w:p>
    <w:p>
      <w:pPr>
        <w:pStyle w:val="Subsection"/>
        <w:keepNext/>
      </w:pPr>
      <w:r>
        <w:tab/>
        <w:t>(2)</w:t>
      </w:r>
      <w:r>
        <w:tab/>
        <w:t xml:space="preserve">The notice is to — </w:t>
      </w:r>
    </w:p>
    <w:p>
      <w:pPr>
        <w:pStyle w:val="Indenta"/>
      </w:pPr>
      <w:r>
        <w:tab/>
        <w:t>(a)</w:t>
      </w:r>
      <w:r>
        <w:tab/>
        <w:t>set out the relevant order or provision and the manner in which the local government has failed to comply with it; and</w:t>
      </w:r>
    </w:p>
    <w:p>
      <w:pPr>
        <w:pStyle w:val="Indenta"/>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spacing w:before="180"/>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spacing w:before="180"/>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spacing w:before="180"/>
      </w:pPr>
      <w:r>
        <w:tab/>
        <w:t>(5)</w:t>
      </w:r>
      <w:r>
        <w:tab/>
        <w:t>The Minister is to cause a copy of an order directed to a local government under subsection (4) to be served on the local government, and the local government is to comply with the order.</w:t>
      </w:r>
    </w:p>
    <w:p>
      <w:pPr>
        <w:pStyle w:val="Subsection"/>
        <w:spacing w:before="180"/>
      </w:pPr>
      <w:r>
        <w:tab/>
        <w:t>(6)</w:t>
      </w:r>
      <w:r>
        <w:tab/>
        <w:t>For the purposes of subsection (3), the provisions of the regulations that would have applied to the local government apply to the Minister with such modifications as are necessary or are prescribed.</w:t>
      </w:r>
    </w:p>
    <w:p>
      <w:pPr>
        <w:pStyle w:val="Subsection"/>
        <w:keepLines/>
        <w:spacing w:before="180"/>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Subsection"/>
      </w:pPr>
      <w:r>
        <w:tab/>
        <w:t>(8)</w:t>
      </w:r>
      <w:r>
        <w:tab/>
        <w:t xml:space="preserve">The Minister must, as soon as is practicable after a notice is served on a local government under subsection (1) — </w:t>
      </w:r>
    </w:p>
    <w:p>
      <w:pPr>
        <w:pStyle w:val="Indenta"/>
      </w:pPr>
      <w:r>
        <w:tab/>
        <w:t>(a)</w:t>
      </w:r>
      <w:r>
        <w:tab/>
        <w:t>give a copy of the notice to the Commission; and</w:t>
      </w:r>
    </w:p>
    <w:p>
      <w:pPr>
        <w:pStyle w:val="Indenta"/>
      </w:pPr>
      <w:r>
        <w:tab/>
        <w:t>(b)</w:t>
      </w:r>
      <w:r>
        <w:tab/>
        <w:t xml:space="preserve">cause to be laid before each House of Parliament or dealt with under section 268A — </w:t>
      </w:r>
    </w:p>
    <w:p>
      <w:pPr>
        <w:pStyle w:val="Indenti"/>
      </w:pPr>
      <w:r>
        <w:tab/>
        <w:t>(i)</w:t>
      </w:r>
      <w:r>
        <w:tab/>
        <w:t>a copy of the notice; and</w:t>
      </w:r>
    </w:p>
    <w:p>
      <w:pPr>
        <w:pStyle w:val="Indenti"/>
      </w:pPr>
      <w:r>
        <w:tab/>
        <w:t>(ii)</w:t>
      </w:r>
      <w:r>
        <w:tab/>
        <w:t>a copy of the reasons for giving the notice.</w:t>
      </w:r>
    </w:p>
    <w:p>
      <w:pPr>
        <w:pStyle w:val="Footnotesection"/>
      </w:pPr>
      <w:r>
        <w:tab/>
        <w:t xml:space="preserve">[Section 212 amended: No. 28 of 2010 s. 47; No. 26 of 2020 s. 101.] </w:t>
      </w:r>
    </w:p>
    <w:p>
      <w:pPr>
        <w:pStyle w:val="Heading5"/>
        <w:spacing w:before="240"/>
      </w:pPr>
      <w:bookmarkStart w:id="849" w:name="_Toc77246455"/>
      <w:bookmarkStart w:id="850" w:name="_Toc74924204"/>
      <w:r>
        <w:rPr>
          <w:rStyle w:val="CharSectno"/>
        </w:rPr>
        <w:t>213</w:t>
      </w:r>
      <w:r>
        <w:t>.</w:t>
      </w:r>
      <w:r>
        <w:tab/>
        <w:t>Minister’s action under s. 212, effect of</w:t>
      </w:r>
      <w:bookmarkEnd w:id="849"/>
      <w:bookmarkEnd w:id="850"/>
    </w:p>
    <w:p>
      <w:pPr>
        <w:pStyle w:val="Subsection"/>
        <w:spacing w:before="180"/>
      </w:pPr>
      <w:r>
        <w:tab/>
        <w:t>(1)</w:t>
      </w:r>
      <w:r>
        <w:tab/>
        <w:t xml:space="preserve">When the Minister exercises powers conferred under section 212 and prepares or causes to be prepared and published in the </w:t>
      </w:r>
      <w:r>
        <w:rPr>
          <w:i/>
        </w:rPr>
        <w:t>Gazette</w:t>
      </w:r>
      <w:r>
        <w:t xml:space="preserve"> — </w:t>
      </w:r>
    </w:p>
    <w:p>
      <w:pPr>
        <w:pStyle w:val="Indenta"/>
        <w:spacing w:before="100"/>
      </w:pPr>
      <w:r>
        <w:tab/>
        <w:t>(a)</w:t>
      </w:r>
      <w:r>
        <w:tab/>
        <w:t>an amendment to a local planning scheme; or</w:t>
      </w:r>
    </w:p>
    <w:p>
      <w:pPr>
        <w:pStyle w:val="Indenta"/>
        <w:spacing w:before="100"/>
      </w:pPr>
      <w:r>
        <w:tab/>
        <w:t>(b)</w:t>
      </w:r>
      <w:r>
        <w:tab/>
        <w:t>a local planning scheme, incorporating, if necessary, any modifications to, or conditions on, the scheme; or</w:t>
      </w:r>
    </w:p>
    <w:p>
      <w:pPr>
        <w:pStyle w:val="Indenta"/>
        <w:spacing w:before="100"/>
      </w:pPr>
      <w:r>
        <w:tab/>
        <w:t>(c)</w:t>
      </w:r>
      <w:r>
        <w:tab/>
        <w:t>a consolidated local planning scheme; or</w:t>
      </w:r>
    </w:p>
    <w:p>
      <w:pPr>
        <w:pStyle w:val="Indenta"/>
        <w:spacing w:before="100"/>
      </w:pPr>
      <w:r>
        <w:tab/>
        <w:t>(d)</w:t>
      </w:r>
      <w:r>
        <w:tab/>
        <w:t>the repeal of a local planning scheme,</w:t>
      </w:r>
    </w:p>
    <w:p>
      <w:pPr>
        <w:pStyle w:val="Subsection"/>
        <w:spacing w:before="180"/>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keepNext/>
        <w:spacing w:before="180"/>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851" w:name="_Toc77246456"/>
      <w:bookmarkStart w:id="852" w:name="_Toc74924205"/>
      <w:r>
        <w:rPr>
          <w:rStyle w:val="CharSectno"/>
        </w:rPr>
        <w:t>214</w:t>
      </w:r>
      <w:r>
        <w:t>.</w:t>
      </w:r>
      <w:r>
        <w:tab/>
        <w:t>Illegal development, responsible authority’s powers as to</w:t>
      </w:r>
      <w:bookmarkEnd w:id="851"/>
      <w:bookmarkEnd w:id="852"/>
    </w:p>
    <w:p>
      <w:pPr>
        <w:pStyle w:val="Subsection"/>
        <w:keepNext/>
        <w:keepLines/>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spacing w:before="50"/>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50"/>
      </w:pPr>
      <w:r>
        <w:tab/>
        <w:t>(b)</w:t>
      </w:r>
      <w:r>
        <w:tab/>
        <w:t xml:space="preserve">a development is undertaken in contravention of planning control area requirements if the development — </w:t>
      </w:r>
    </w:p>
    <w:p>
      <w:pPr>
        <w:pStyle w:val="Indenti"/>
        <w:spacing w:before="50"/>
      </w:pPr>
      <w:r>
        <w:tab/>
        <w:t>(i)</w:t>
      </w:r>
      <w:r>
        <w:tab/>
        <w:t>is commenced, continued or carried out in a planning control area without the prior approval of that development obtained under section 116; or</w:t>
      </w:r>
    </w:p>
    <w:p>
      <w:pPr>
        <w:pStyle w:val="Indenti"/>
        <w:spacing w:before="5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2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12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spacing w:before="50"/>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853" w:name="_Toc77246457"/>
      <w:bookmarkStart w:id="854" w:name="_Toc74924206"/>
      <w:r>
        <w:rPr>
          <w:rStyle w:val="CharSectno"/>
        </w:rPr>
        <w:t>215</w:t>
      </w:r>
      <w:r>
        <w:t>.</w:t>
      </w:r>
      <w:r>
        <w:tab/>
        <w:t>Illegal development, responsible authority’s powers to remove etc.</w:t>
      </w:r>
      <w:bookmarkEnd w:id="853"/>
      <w:bookmarkEnd w:id="854"/>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855" w:name="_Toc77246458"/>
      <w:bookmarkStart w:id="856" w:name="_Toc74924207"/>
      <w:r>
        <w:rPr>
          <w:rStyle w:val="CharSectno"/>
        </w:rPr>
        <w:t>216</w:t>
      </w:r>
      <w:r>
        <w:t>.</w:t>
      </w:r>
      <w:r>
        <w:tab/>
        <w:t>Breach of Act etc. or development approval, injunctions as to</w:t>
      </w:r>
      <w:bookmarkEnd w:id="855"/>
      <w:bookmarkEnd w:id="856"/>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keepNext/>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spacing w:before="160"/>
      </w:pPr>
      <w:bookmarkStart w:id="857" w:name="_Toc77246459"/>
      <w:bookmarkStart w:id="858" w:name="_Toc74924208"/>
      <w:r>
        <w:rPr>
          <w:rStyle w:val="CharSectno"/>
        </w:rPr>
        <w:t>217</w:t>
      </w:r>
      <w:r>
        <w:t>.</w:t>
      </w:r>
      <w:r>
        <w:tab/>
        <w:t>Environmental conditions, Minister’s powers to enforce</w:t>
      </w:r>
      <w:bookmarkEnd w:id="857"/>
      <w:bookmarkEnd w:id="858"/>
    </w:p>
    <w:p>
      <w:pPr>
        <w:pStyle w:val="Subsection"/>
        <w:spacing w:before="120"/>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 or</w:t>
      </w:r>
    </w:p>
    <w:p>
      <w:pPr>
        <w:pStyle w:val="Indenta"/>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pPr>
      <w:r>
        <w:tab/>
        <w:t>(4)</w:t>
      </w:r>
      <w:r>
        <w:tab/>
        <w:t>A person who fails to comply with an order or notice served on the person under subsection (3)(a) or (b) commits an offence.</w:t>
      </w:r>
    </w:p>
    <w:p>
      <w:pPr>
        <w:pStyle w:val="Subsection"/>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859" w:name="_Toc77239506"/>
      <w:bookmarkStart w:id="860" w:name="_Toc77240410"/>
      <w:bookmarkStart w:id="861" w:name="_Toc77246460"/>
      <w:bookmarkStart w:id="862" w:name="_Toc74652521"/>
      <w:bookmarkStart w:id="863" w:name="_Toc74652987"/>
      <w:bookmarkStart w:id="864" w:name="_Toc74733705"/>
      <w:bookmarkStart w:id="865" w:name="_Toc74924209"/>
      <w:r>
        <w:rPr>
          <w:rStyle w:val="CharDivNo"/>
        </w:rPr>
        <w:t>Division 2</w:t>
      </w:r>
      <w:r>
        <w:t> — </w:t>
      </w:r>
      <w:r>
        <w:rPr>
          <w:rStyle w:val="CharDivText"/>
        </w:rPr>
        <w:t>Offences</w:t>
      </w:r>
      <w:bookmarkEnd w:id="859"/>
      <w:bookmarkEnd w:id="860"/>
      <w:bookmarkEnd w:id="861"/>
      <w:bookmarkEnd w:id="862"/>
      <w:bookmarkEnd w:id="863"/>
      <w:bookmarkEnd w:id="864"/>
      <w:bookmarkEnd w:id="865"/>
    </w:p>
    <w:p>
      <w:pPr>
        <w:pStyle w:val="Heading5"/>
      </w:pPr>
      <w:bookmarkStart w:id="866" w:name="_Toc77246461"/>
      <w:bookmarkStart w:id="867" w:name="_Toc74924210"/>
      <w:r>
        <w:rPr>
          <w:rStyle w:val="CharSectno"/>
        </w:rPr>
        <w:t>218</w:t>
      </w:r>
      <w:r>
        <w:t>.</w:t>
      </w:r>
      <w:r>
        <w:tab/>
        <w:t>Planning scheme or condition on development, contravening etc.</w:t>
      </w:r>
      <w:bookmarkEnd w:id="866"/>
      <w:bookmarkEnd w:id="867"/>
    </w:p>
    <w:p>
      <w:pPr>
        <w:pStyle w:val="Subsection"/>
      </w:pPr>
      <w:r>
        <w:tab/>
      </w:r>
      <w:r>
        <w:tab/>
        <w:t xml:space="preserve">A person who — </w:t>
      </w:r>
    </w:p>
    <w:p>
      <w:pPr>
        <w:pStyle w:val="Indenta"/>
      </w:pPr>
      <w:r>
        <w:tab/>
        <w:t>(a)</w:t>
      </w:r>
      <w:r>
        <w:tab/>
        <w:t>contravenes the provisions of a planning scheme; or</w:t>
      </w:r>
    </w:p>
    <w:p>
      <w:pPr>
        <w:pStyle w:val="Indenta"/>
      </w:pPr>
      <w:r>
        <w:tab/>
        <w:t>(b)</w:t>
      </w:r>
      <w:r>
        <w:tab/>
        <w:t>commences, continues or carries out any development in any part of a region the subject of a region planning scheme or any part of an area the subject of a local planning scheme or improvement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Footnotesection"/>
      </w:pPr>
      <w:r>
        <w:tab/>
        <w:t xml:space="preserve">[Section 218 amended: No. 28 of 2010 s. 21.] </w:t>
      </w:r>
    </w:p>
    <w:p>
      <w:pPr>
        <w:pStyle w:val="Heading5"/>
      </w:pPr>
      <w:bookmarkStart w:id="868" w:name="_Toc77246462"/>
      <w:bookmarkStart w:id="869" w:name="_Toc74924211"/>
      <w:r>
        <w:rPr>
          <w:rStyle w:val="CharSectno"/>
        </w:rPr>
        <w:t>219</w:t>
      </w:r>
      <w:r>
        <w:t>.</w:t>
      </w:r>
      <w:r>
        <w:tab/>
        <w:t>Unauthorised subdivision works</w:t>
      </w:r>
      <w:bookmarkEnd w:id="868"/>
      <w:bookmarkEnd w:id="869"/>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870" w:name="_Toc77246463"/>
      <w:bookmarkStart w:id="871" w:name="_Toc74924212"/>
      <w:r>
        <w:rPr>
          <w:rStyle w:val="CharSectno"/>
        </w:rPr>
        <w:t>220</w:t>
      </w:r>
      <w:r>
        <w:t>.</w:t>
      </w:r>
      <w:r>
        <w:tab/>
        <w:t>Planning control area, unauthorised development in</w:t>
      </w:r>
      <w:bookmarkEnd w:id="870"/>
      <w:bookmarkEnd w:id="871"/>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872" w:name="_Toc77246464"/>
      <w:bookmarkStart w:id="873" w:name="_Toc74924213"/>
      <w:r>
        <w:rPr>
          <w:rStyle w:val="CharSectno"/>
        </w:rPr>
        <w:t>221</w:t>
      </w:r>
      <w:r>
        <w:t>.</w:t>
      </w:r>
      <w:r>
        <w:tab/>
        <w:t>Interim development order, contravening</w:t>
      </w:r>
      <w:bookmarkEnd w:id="872"/>
      <w:bookmarkEnd w:id="873"/>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874" w:name="_Toc77246465"/>
      <w:bookmarkStart w:id="875" w:name="_Toc74924214"/>
      <w:r>
        <w:rPr>
          <w:rStyle w:val="CharSectno"/>
        </w:rPr>
        <w:t>222</w:t>
      </w:r>
      <w:r>
        <w:t>.</w:t>
      </w:r>
      <w:r>
        <w:tab/>
        <w:t>Heritage place, unauthorised development in</w:t>
      </w:r>
      <w:bookmarkEnd w:id="874"/>
      <w:bookmarkEnd w:id="875"/>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spacing w:before="120"/>
      </w:pPr>
      <w:r>
        <w:tab/>
      </w:r>
      <w:r>
        <w:tab/>
        <w:t>commits an offence.</w:t>
      </w:r>
    </w:p>
    <w:p>
      <w:pPr>
        <w:pStyle w:val="Heading5"/>
      </w:pPr>
      <w:bookmarkStart w:id="876" w:name="_Toc77246466"/>
      <w:bookmarkStart w:id="877" w:name="_Toc74924215"/>
      <w:r>
        <w:rPr>
          <w:rStyle w:val="CharSectno"/>
        </w:rPr>
        <w:t>223</w:t>
      </w:r>
      <w:r>
        <w:t>.</w:t>
      </w:r>
      <w:r>
        <w:tab/>
        <w:t>General penalty</w:t>
      </w:r>
      <w:bookmarkEnd w:id="876"/>
      <w:bookmarkEnd w:id="877"/>
    </w:p>
    <w:p>
      <w:pPr>
        <w:pStyle w:val="Subsection"/>
      </w:pPr>
      <w:r>
        <w:tab/>
      </w:r>
      <w:r>
        <w:tab/>
        <w:t>Unless otherwise provided, a person who commits an offence under this Act is liable to a fine of $200 000 and, in the case of a continuing offence, a further fine of $25 000 for each day during which the offence continues.</w:t>
      </w:r>
    </w:p>
    <w:p>
      <w:pPr>
        <w:pStyle w:val="Footnotesection"/>
      </w:pPr>
      <w:r>
        <w:tab/>
        <w:t>[Section 223 amended: No. 4 of 2011 s. 10.]</w:t>
      </w:r>
    </w:p>
    <w:p>
      <w:pPr>
        <w:pStyle w:val="Heading5"/>
      </w:pPr>
      <w:bookmarkStart w:id="878" w:name="_Toc77246467"/>
      <w:bookmarkStart w:id="879" w:name="_Toc74924216"/>
      <w:r>
        <w:rPr>
          <w:rStyle w:val="CharSectno"/>
        </w:rPr>
        <w:t>224</w:t>
      </w:r>
      <w:r>
        <w:t>.</w:t>
      </w:r>
      <w:r>
        <w:tab/>
        <w:t>Other enforcement provisions not affected</w:t>
      </w:r>
      <w:bookmarkEnd w:id="878"/>
      <w:bookmarkEnd w:id="879"/>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pPr>
      <w:bookmarkStart w:id="880" w:name="_Toc77246468"/>
      <w:bookmarkStart w:id="881" w:name="_Toc74924217"/>
      <w:r>
        <w:rPr>
          <w:rStyle w:val="CharSectno"/>
        </w:rPr>
        <w:t>225</w:t>
      </w:r>
      <w:r>
        <w:t>.</w:t>
      </w:r>
      <w:r>
        <w:tab/>
        <w:t>Onus of proof in vehicle offence may be shifted</w:t>
      </w:r>
      <w:bookmarkEnd w:id="880"/>
      <w:bookmarkEnd w:id="881"/>
    </w:p>
    <w:p>
      <w:pPr>
        <w:pStyle w:val="Subsection"/>
      </w:pPr>
      <w:r>
        <w:tab/>
        <w:t>(1)</w:t>
      </w:r>
      <w:r>
        <w:tab/>
        <w:t xml:space="preserve">In this section — </w:t>
      </w:r>
    </w:p>
    <w:p>
      <w:pPr>
        <w:pStyle w:val="Defstart"/>
      </w:pPr>
      <w:r>
        <w:tab/>
      </w:r>
      <w:r>
        <w:rPr>
          <w:rStyle w:val="CharDefText"/>
        </w:rPr>
        <w:t>vehicle offence</w:t>
      </w:r>
      <w:r>
        <w:t xml:space="preserve"> means an offence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225 amended: No. 8 of 2009 s. 100(5).]</w:t>
      </w:r>
    </w:p>
    <w:p>
      <w:pPr>
        <w:pStyle w:val="Heading3"/>
      </w:pPr>
      <w:bookmarkStart w:id="882" w:name="_Toc77239515"/>
      <w:bookmarkStart w:id="883" w:name="_Toc77240419"/>
      <w:bookmarkStart w:id="884" w:name="_Toc77246469"/>
      <w:bookmarkStart w:id="885" w:name="_Toc74652530"/>
      <w:bookmarkStart w:id="886" w:name="_Toc74652996"/>
      <w:bookmarkStart w:id="887" w:name="_Toc74733714"/>
      <w:bookmarkStart w:id="888" w:name="_Toc74924218"/>
      <w:r>
        <w:rPr>
          <w:rStyle w:val="CharDivNo"/>
        </w:rPr>
        <w:t>Division 3</w:t>
      </w:r>
      <w:r>
        <w:t> — </w:t>
      </w:r>
      <w:r>
        <w:rPr>
          <w:rStyle w:val="CharDivText"/>
        </w:rPr>
        <w:t>Infringement notices</w:t>
      </w:r>
      <w:bookmarkEnd w:id="882"/>
      <w:bookmarkEnd w:id="883"/>
      <w:bookmarkEnd w:id="884"/>
      <w:bookmarkEnd w:id="885"/>
      <w:bookmarkEnd w:id="886"/>
      <w:bookmarkEnd w:id="887"/>
      <w:bookmarkEnd w:id="888"/>
    </w:p>
    <w:p>
      <w:pPr>
        <w:pStyle w:val="Heading5"/>
      </w:pPr>
      <w:bookmarkStart w:id="889" w:name="_Toc77246470"/>
      <w:bookmarkStart w:id="890" w:name="_Toc74924219"/>
      <w:r>
        <w:rPr>
          <w:rStyle w:val="CharSectno"/>
        </w:rPr>
        <w:t>226</w:t>
      </w:r>
      <w:r>
        <w:t>.</w:t>
      </w:r>
      <w:r>
        <w:tab/>
        <w:t>Terms used</w:t>
      </w:r>
      <w:bookmarkEnd w:id="889"/>
      <w:bookmarkEnd w:id="890"/>
    </w:p>
    <w:p>
      <w:pPr>
        <w:pStyle w:val="Subsection"/>
      </w:pPr>
      <w:r>
        <w:tab/>
      </w:r>
      <w:r>
        <w:tab/>
        <w:t xml:space="preserve">In this Division — </w:t>
      </w:r>
    </w:p>
    <w:p>
      <w:pPr>
        <w:pStyle w:val="Defstart"/>
      </w:pPr>
      <w:r>
        <w:tab/>
      </w:r>
      <w:r>
        <w:rPr>
          <w:rStyle w:val="CharDefText"/>
        </w:rPr>
        <w:t>alleged offender</w:t>
      </w:r>
      <w:r>
        <w:t xml:space="preserve"> means a person who or which is suspected of having committed an offence under this Act or under regulations made under this Act;</w:t>
      </w:r>
    </w:p>
    <w:p>
      <w:pPr>
        <w:pStyle w:val="Defstart"/>
      </w:pPr>
      <w:r>
        <w:tab/>
      </w:r>
      <w:r>
        <w:rPr>
          <w:rStyle w:val="CharDefText"/>
        </w:rPr>
        <w:t>designated person</w:t>
      </w:r>
      <w:r>
        <w:t xml:space="preserve"> in section 228, 229, 230 or 231 means a person appointed under section 234 to be a designated person for the purposes of the section in which the term is used;</w:t>
      </w:r>
    </w:p>
    <w:p>
      <w:pPr>
        <w:pStyle w:val="Defstart"/>
      </w:pPr>
      <w:r>
        <w:tab/>
      </w:r>
      <w:r>
        <w:rPr>
          <w:rStyle w:val="CharDefText"/>
        </w:rPr>
        <w:t>prescribed offence</w:t>
      </w:r>
      <w:r>
        <w:t xml:space="preserve"> means an offence prescribed under section 227(1).</w:t>
      </w:r>
    </w:p>
    <w:p>
      <w:pPr>
        <w:pStyle w:val="Heading5"/>
      </w:pPr>
      <w:bookmarkStart w:id="891" w:name="_Toc77246471"/>
      <w:bookmarkStart w:id="892" w:name="_Toc74924220"/>
      <w:r>
        <w:rPr>
          <w:rStyle w:val="CharSectno"/>
        </w:rPr>
        <w:t>227</w:t>
      </w:r>
      <w:r>
        <w:t>.</w:t>
      </w:r>
      <w:r>
        <w:tab/>
        <w:t>Prescribed offences</w:t>
      </w:r>
      <w:bookmarkEnd w:id="891"/>
      <w:bookmarkEnd w:id="892"/>
    </w:p>
    <w:p>
      <w:pPr>
        <w:pStyle w:val="Subsection"/>
      </w:pPr>
      <w:r>
        <w:tab/>
        <w:t>(1)</w:t>
      </w:r>
      <w:r>
        <w:tab/>
        <w:t>The regulations may prescribe an offence under this Act, or under any regulations made under this Act, to be an offence for which an infringement notice may be issued under this Division.</w:t>
      </w:r>
    </w:p>
    <w:p>
      <w:pPr>
        <w:pStyle w:val="Subsection"/>
      </w:pPr>
      <w:r>
        <w:tab/>
        <w:t>(2)</w:t>
      </w:r>
      <w:r>
        <w:tab/>
        <w:t xml:space="preserve">For each prescribed offence the regulations must prescribe — </w:t>
      </w:r>
    </w:p>
    <w:p>
      <w:pPr>
        <w:pStyle w:val="Indenta"/>
      </w:pPr>
      <w:r>
        <w:tab/>
        <w:t>(a)</w:t>
      </w:r>
      <w:r>
        <w:tab/>
        <w:t>a modified penalty applicable in whatever the circumstances in which the offence is committed; or</w:t>
      </w:r>
    </w:p>
    <w:p>
      <w:pPr>
        <w:pStyle w:val="Indenta"/>
      </w:pPr>
      <w:r>
        <w:tab/>
        <w:t>(b)</w:t>
      </w:r>
      <w:r>
        <w:tab/>
        <w:t>a modified penalty applicable if the offence is committed in circumstances specified in the regulations.</w:t>
      </w:r>
    </w:p>
    <w:p>
      <w:pPr>
        <w:pStyle w:val="Subsection"/>
      </w:pPr>
      <w:r>
        <w:tab/>
        <w:t>(3)</w:t>
      </w:r>
      <w:r>
        <w:tab/>
        <w:t>The modified penalty for an offence is not to exceed 20% of the maximum penalty that could be imposed for that offence by a court.</w:t>
      </w:r>
    </w:p>
    <w:p>
      <w:pPr>
        <w:pStyle w:val="Heading5"/>
      </w:pPr>
      <w:bookmarkStart w:id="893" w:name="_Toc77246472"/>
      <w:bookmarkStart w:id="894" w:name="_Toc74924221"/>
      <w:r>
        <w:rPr>
          <w:rStyle w:val="CharSectno"/>
        </w:rPr>
        <w:t>228</w:t>
      </w:r>
      <w:r>
        <w:t>.</w:t>
      </w:r>
      <w:r>
        <w:tab/>
        <w:t>Giving of infringement notice</w:t>
      </w:r>
      <w:bookmarkEnd w:id="893"/>
      <w:bookmarkEnd w:id="894"/>
    </w:p>
    <w:p>
      <w:pPr>
        <w:pStyle w:val="Subsection"/>
      </w:pPr>
      <w:r>
        <w:tab/>
        <w:t>(1)</w:t>
      </w:r>
      <w:r>
        <w:tab/>
        <w:t>A designated person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895" w:name="_Toc77246473"/>
      <w:bookmarkStart w:id="896" w:name="_Toc74924222"/>
      <w:r>
        <w:rPr>
          <w:rStyle w:val="CharSectno"/>
        </w:rPr>
        <w:t>229</w:t>
      </w:r>
      <w:r>
        <w:t>.</w:t>
      </w:r>
      <w:r>
        <w:tab/>
        <w:t>Content of infringement notice</w:t>
      </w:r>
      <w:bookmarkEnd w:id="895"/>
      <w:bookmarkEnd w:id="896"/>
    </w:p>
    <w:p>
      <w:pPr>
        <w:pStyle w:val="Subsection"/>
      </w:pPr>
      <w:r>
        <w:tab/>
        <w:t>(1)</w:t>
      </w:r>
      <w:r>
        <w:tab/>
        <w:t xml:space="preserve">An infringement notice is to be in the prescribed form and is to —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Indenta"/>
      </w:pPr>
      <w:r>
        <w:tab/>
        <w:t>(d)</w:t>
      </w:r>
      <w:r>
        <w:tab/>
        <w:t>inform the alleged offender as to who are designated persons for the purposes of receiving payment of modified penalties.</w:t>
      </w:r>
    </w:p>
    <w:p>
      <w:pPr>
        <w:pStyle w:val="Subsection"/>
      </w:pPr>
      <w:r>
        <w:tab/>
        <w:t>(2)</w:t>
      </w:r>
      <w:r>
        <w:tab/>
        <w:t>The amount referred to in subsection (1)(b) is to be the amount that was the prescribed modified penalty at the time the alleged offence is believed to have been committed.</w:t>
      </w:r>
    </w:p>
    <w:p>
      <w:pPr>
        <w:pStyle w:val="Heading5"/>
        <w:spacing w:before="180"/>
      </w:pPr>
      <w:bookmarkStart w:id="897" w:name="_Toc77246474"/>
      <w:bookmarkStart w:id="898" w:name="_Toc74924223"/>
      <w:r>
        <w:rPr>
          <w:rStyle w:val="CharSectno"/>
        </w:rPr>
        <w:t>230</w:t>
      </w:r>
      <w:r>
        <w:t>.</w:t>
      </w:r>
      <w:r>
        <w:tab/>
        <w:t>Extending time to pay modified penalty</w:t>
      </w:r>
      <w:bookmarkEnd w:id="897"/>
      <w:bookmarkEnd w:id="898"/>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Heading5"/>
        <w:spacing w:before="180"/>
      </w:pPr>
      <w:bookmarkStart w:id="899" w:name="_Toc77246475"/>
      <w:bookmarkStart w:id="900" w:name="_Toc74924224"/>
      <w:r>
        <w:rPr>
          <w:rStyle w:val="CharSectno"/>
        </w:rPr>
        <w:t>231</w:t>
      </w:r>
      <w:r>
        <w:t>.</w:t>
      </w:r>
      <w:r>
        <w:tab/>
        <w:t>Withdrawal of infringement notice</w:t>
      </w:r>
      <w:bookmarkEnd w:id="899"/>
      <w:bookmarkEnd w:id="900"/>
    </w:p>
    <w:p>
      <w:pPr>
        <w:pStyle w:val="Subsection"/>
        <w:spacing w:before="120"/>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Heading5"/>
      </w:pPr>
      <w:bookmarkStart w:id="901" w:name="_Toc77246476"/>
      <w:bookmarkStart w:id="902" w:name="_Toc74924225"/>
      <w:r>
        <w:rPr>
          <w:rStyle w:val="CharSectno"/>
        </w:rPr>
        <w:t>232</w:t>
      </w:r>
      <w:r>
        <w:t>.</w:t>
      </w:r>
      <w:r>
        <w:tab/>
        <w:t>Benefit of paying modified penalty</w:t>
      </w:r>
      <w:bookmarkEnd w:id="901"/>
      <w:bookmarkEnd w:id="902"/>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pPr>
      <w:bookmarkStart w:id="903" w:name="_Toc77246477"/>
      <w:bookmarkStart w:id="904" w:name="_Toc74924226"/>
      <w:r>
        <w:rPr>
          <w:rStyle w:val="CharSectno"/>
        </w:rPr>
        <w:t>233</w:t>
      </w:r>
      <w:r>
        <w:t>.</w:t>
      </w:r>
      <w:r>
        <w:tab/>
        <w:t>Paid modified penalty, application of</w:t>
      </w:r>
      <w:bookmarkEnd w:id="903"/>
      <w:bookmarkEnd w:id="904"/>
    </w:p>
    <w:p>
      <w:pPr>
        <w:pStyle w:val="Subsection"/>
      </w:pPr>
      <w:r>
        <w:tab/>
      </w:r>
      <w:r>
        <w:tab/>
        <w:t>An amount paid as a modified penalty is, subject to section 231(2), to be dealt with as if it were a penalty imposed by a court as a penalty for an offence.</w:t>
      </w:r>
    </w:p>
    <w:p>
      <w:pPr>
        <w:pStyle w:val="Heading5"/>
      </w:pPr>
      <w:bookmarkStart w:id="905" w:name="_Toc77246478"/>
      <w:bookmarkStart w:id="906" w:name="_Toc74924227"/>
      <w:r>
        <w:rPr>
          <w:rStyle w:val="CharSectno"/>
        </w:rPr>
        <w:t>234</w:t>
      </w:r>
      <w:r>
        <w:t>.</w:t>
      </w:r>
      <w:r>
        <w:tab/>
        <w:t>Designated persons, appointment of</w:t>
      </w:r>
      <w:bookmarkEnd w:id="905"/>
      <w:bookmarkEnd w:id="906"/>
    </w:p>
    <w:p>
      <w:pPr>
        <w:pStyle w:val="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Subsection"/>
      </w:pPr>
      <w:r>
        <w:tab/>
        <w:t>(2)</w:t>
      </w:r>
      <w:r>
        <w:tab/>
        <w:t>A person who is authorised to give infringement notices under section 228 is not eligible to be a designated person for the purposes of any of the other sections.</w:t>
      </w:r>
    </w:p>
    <w:p>
      <w:pPr>
        <w:pStyle w:val="Heading5"/>
        <w:spacing w:before="180"/>
      </w:pPr>
      <w:bookmarkStart w:id="907" w:name="_Toc77246479"/>
      <w:bookmarkStart w:id="908" w:name="_Toc74924228"/>
      <w:r>
        <w:rPr>
          <w:rStyle w:val="CharSectno"/>
        </w:rPr>
        <w:t>235</w:t>
      </w:r>
      <w:r>
        <w:t>.</w:t>
      </w:r>
      <w:r>
        <w:tab/>
        <w:t>Notice placing onus on vehicle owner</w:t>
      </w:r>
      <w:bookmarkEnd w:id="907"/>
      <w:bookmarkEnd w:id="908"/>
    </w:p>
    <w:p>
      <w:pPr>
        <w:pStyle w:val="Subsection"/>
        <w:keepNext/>
        <w:keepLines/>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Subsection"/>
      </w:pPr>
      <w:r>
        <w:tab/>
        <w:t>(2)</w:t>
      </w:r>
      <w:r>
        <w:tab/>
        <w:t xml:space="preserve">For the purpose of giving the vehicle owner an infringement notice that is with a notice under section 225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225(4).</w:t>
      </w:r>
    </w:p>
    <w:p>
      <w:pPr>
        <w:pStyle w:val="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Subsection"/>
      </w:pPr>
      <w:r>
        <w:tab/>
        <w:t>(4)</w:t>
      </w:r>
      <w:r>
        <w:tab/>
        <w:t>The statement required by section 225(5) is to include a description of the effect of subsection (3) if an infringement notice is given with a notice under section 225.</w:t>
      </w:r>
    </w:p>
    <w:p>
      <w:pPr>
        <w:pStyle w:val="Heading2"/>
      </w:pPr>
      <w:bookmarkStart w:id="909" w:name="_Toc77239526"/>
      <w:bookmarkStart w:id="910" w:name="_Toc77240430"/>
      <w:bookmarkStart w:id="911" w:name="_Toc77246480"/>
      <w:bookmarkStart w:id="912" w:name="_Toc74652541"/>
      <w:bookmarkStart w:id="913" w:name="_Toc74653007"/>
      <w:bookmarkStart w:id="914" w:name="_Toc74733725"/>
      <w:bookmarkStart w:id="915" w:name="_Toc74924229"/>
      <w:r>
        <w:rPr>
          <w:rStyle w:val="CharPartNo"/>
        </w:rPr>
        <w:t>Part 14</w:t>
      </w:r>
      <w:r>
        <w:t> — </w:t>
      </w:r>
      <w:r>
        <w:rPr>
          <w:rStyle w:val="CharPartText"/>
        </w:rPr>
        <w:t>Applications for review</w:t>
      </w:r>
      <w:bookmarkEnd w:id="909"/>
      <w:bookmarkEnd w:id="910"/>
      <w:bookmarkEnd w:id="911"/>
      <w:bookmarkEnd w:id="912"/>
      <w:bookmarkEnd w:id="913"/>
      <w:bookmarkEnd w:id="914"/>
      <w:bookmarkEnd w:id="915"/>
    </w:p>
    <w:p>
      <w:pPr>
        <w:pStyle w:val="Heading3"/>
      </w:pPr>
      <w:bookmarkStart w:id="916" w:name="_Toc77239527"/>
      <w:bookmarkStart w:id="917" w:name="_Toc77240431"/>
      <w:bookmarkStart w:id="918" w:name="_Toc77246481"/>
      <w:bookmarkStart w:id="919" w:name="_Toc74652542"/>
      <w:bookmarkStart w:id="920" w:name="_Toc74653008"/>
      <w:bookmarkStart w:id="921" w:name="_Toc74733726"/>
      <w:bookmarkStart w:id="922" w:name="_Toc74924230"/>
      <w:r>
        <w:rPr>
          <w:rStyle w:val="CharDivNo"/>
        </w:rPr>
        <w:t>Division 1</w:t>
      </w:r>
      <w:r>
        <w:t> — </w:t>
      </w:r>
      <w:r>
        <w:rPr>
          <w:rStyle w:val="CharDivText"/>
        </w:rPr>
        <w:t>Making and determination of applications for review</w:t>
      </w:r>
      <w:bookmarkEnd w:id="916"/>
      <w:bookmarkEnd w:id="917"/>
      <w:bookmarkEnd w:id="918"/>
      <w:bookmarkEnd w:id="919"/>
      <w:bookmarkEnd w:id="920"/>
      <w:bookmarkEnd w:id="921"/>
      <w:bookmarkEnd w:id="922"/>
    </w:p>
    <w:p>
      <w:pPr>
        <w:pStyle w:val="Heading5"/>
      </w:pPr>
      <w:bookmarkStart w:id="923" w:name="_Toc77246482"/>
      <w:bookmarkStart w:id="924" w:name="_Toc74924231"/>
      <w:r>
        <w:rPr>
          <w:rStyle w:val="CharSectno"/>
        </w:rPr>
        <w:t>236</w:t>
      </w:r>
      <w:r>
        <w:t>.</w:t>
      </w:r>
      <w:r>
        <w:tab/>
        <w:t>When this Part applies</w:t>
      </w:r>
      <w:bookmarkEnd w:id="923"/>
      <w:bookmarkEnd w:id="924"/>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925" w:name="_Toc77246483"/>
      <w:bookmarkStart w:id="926" w:name="_Toc74924232"/>
      <w:r>
        <w:rPr>
          <w:rStyle w:val="CharSectno"/>
        </w:rPr>
        <w:t>237</w:t>
      </w:r>
      <w:r>
        <w:t>.</w:t>
      </w:r>
      <w:r>
        <w:tab/>
        <w:t>Terms used</w:t>
      </w:r>
      <w:bookmarkEnd w:id="925"/>
      <w:bookmarkEnd w:id="926"/>
    </w:p>
    <w:p>
      <w:pPr>
        <w:pStyle w:val="Subsection"/>
      </w:pPr>
      <w:r>
        <w:tab/>
      </w:r>
      <w:r>
        <w:tab/>
        <w:t xml:space="preserve">In this Part, unless the contrary intention appears — </w:t>
      </w:r>
    </w:p>
    <w:p>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Defstart"/>
      </w:pPr>
      <w:r>
        <w:rPr>
          <w:b/>
        </w:rPr>
        <w:tab/>
      </w:r>
      <w:r>
        <w:rPr>
          <w:rStyle w:val="CharDefText"/>
        </w:rPr>
        <w:t>Tribunal member</w:t>
      </w:r>
      <w:r>
        <w:t xml:space="preserve"> has the meaning given to that term in section 3(1) of the </w:t>
      </w:r>
      <w:r>
        <w:rPr>
          <w:i/>
        </w:rPr>
        <w:t>State Administrative Tribunal Act 2004</w:t>
      </w:r>
      <w:r>
        <w:t>.</w:t>
      </w:r>
    </w:p>
    <w:p>
      <w:pPr>
        <w:pStyle w:val="Footnotesection"/>
      </w:pPr>
      <w:r>
        <w:tab/>
        <w:t>[Section 237 amended: No. 5 of 2008 s. 84.]</w:t>
      </w:r>
    </w:p>
    <w:p>
      <w:pPr>
        <w:pStyle w:val="Heading5"/>
      </w:pPr>
      <w:bookmarkStart w:id="927" w:name="_Toc77246484"/>
      <w:bookmarkStart w:id="928" w:name="_Toc74924233"/>
      <w:r>
        <w:rPr>
          <w:rStyle w:val="CharSectno"/>
        </w:rPr>
        <w:t>237A</w:t>
      </w:r>
      <w:r>
        <w:t>.</w:t>
      </w:r>
      <w:r>
        <w:tab/>
        <w:t>How SAT to be constituted</w:t>
      </w:r>
      <w:bookmarkEnd w:id="927"/>
      <w:bookmarkEnd w:id="928"/>
    </w:p>
    <w:p>
      <w:pPr>
        <w:pStyle w:val="Subsection"/>
      </w:pPr>
      <w:r>
        <w:tab/>
        <w:t>(1)</w:t>
      </w:r>
      <w:r>
        <w:tab/>
        <w:t>When exercising the jurisdiction referred to in section 236(2), the State Administrative Tribunal is to be constituted under this section and section 238.</w:t>
      </w:r>
    </w:p>
    <w:p>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a"/>
      </w:pPr>
      <w:r>
        <w:tab/>
        <w:t>(c)</w:t>
      </w:r>
      <w:r>
        <w:tab/>
        <w:t>an application for approval to subdivide a lot into not more than 3 lots.</w:t>
      </w:r>
    </w:p>
    <w:p>
      <w:pPr>
        <w:pStyle w:val="Subsection"/>
      </w:pPr>
      <w:r>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Subsection"/>
      </w:pPr>
      <w:r>
        <w:tab/>
        <w:t>(4)</w:t>
      </w:r>
      <w:r>
        <w:tab/>
        <w:t xml:space="preserve">If — </w:t>
      </w:r>
    </w:p>
    <w:p>
      <w:pPr>
        <w:pStyle w:val="Indenta"/>
      </w:pPr>
      <w:r>
        <w:tab/>
        <w:t>(a)</w:t>
      </w:r>
      <w:r>
        <w:tab/>
        <w:t>subsection (2) or (3) does not apply; or</w:t>
      </w:r>
    </w:p>
    <w:p>
      <w:pPr>
        <w:pStyle w:val="Indenta"/>
      </w:pPr>
      <w:r>
        <w:tab/>
        <w:t>(b)</w:t>
      </w:r>
      <w:r>
        <w:tab/>
        <w:t>the President is of the opinion that an application referred to in subsection (2) or (3) is likely to raise complex or significant planning issues,</w:t>
      </w:r>
    </w:p>
    <w:p>
      <w:pPr>
        <w:pStyle w:val="Subsection"/>
      </w:pPr>
      <w:r>
        <w:tab/>
      </w:r>
      <w:r>
        <w:tab/>
        <w:t xml:space="preserve">the State Administrative Tribunal is to be constituted under section 11 of the </w:t>
      </w:r>
      <w:r>
        <w:rPr>
          <w:i/>
          <w:iCs/>
        </w:rPr>
        <w:t>State Administrative Tribunal Act 2004</w:t>
      </w:r>
      <w:r>
        <w:t>.</w:t>
      </w:r>
    </w:p>
    <w:p>
      <w:pPr>
        <w:pStyle w:val="Footnotesection"/>
        <w:ind w:left="890" w:hanging="890"/>
      </w:pPr>
      <w:r>
        <w:tab/>
        <w:t>[Section 237A inserted: No. 5 of 2008 s. 85.]</w:t>
      </w:r>
    </w:p>
    <w:p>
      <w:pPr>
        <w:pStyle w:val="Heading5"/>
      </w:pPr>
      <w:bookmarkStart w:id="929" w:name="_Toc77246485"/>
      <w:bookmarkStart w:id="930" w:name="_Toc74924234"/>
      <w:r>
        <w:rPr>
          <w:rStyle w:val="CharSectno"/>
        </w:rPr>
        <w:t>238</w:t>
      </w:r>
      <w:r>
        <w:t>.</w:t>
      </w:r>
      <w:r>
        <w:tab/>
        <w:t>SAT members, qualifications of</w:t>
      </w:r>
      <w:bookmarkEnd w:id="929"/>
      <w:bookmarkEnd w:id="930"/>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Footnotesection"/>
        <w:spacing w:before="100"/>
        <w:ind w:left="890" w:hanging="890"/>
      </w:pPr>
      <w:r>
        <w:tab/>
        <w:t>[Section 238 amended: No. 5 of 2008 s. 86.]</w:t>
      </w:r>
    </w:p>
    <w:p>
      <w:pPr>
        <w:pStyle w:val="Heading5"/>
      </w:pPr>
      <w:bookmarkStart w:id="931" w:name="_Toc77246486"/>
      <w:bookmarkStart w:id="932" w:name="_Toc74924235"/>
      <w:r>
        <w:rPr>
          <w:rStyle w:val="CharSectno"/>
        </w:rPr>
        <w:t>239</w:t>
      </w:r>
      <w:r>
        <w:t>.</w:t>
      </w:r>
      <w:r>
        <w:tab/>
        <w:t>Legal representation, some applicants may elect there will be none</w:t>
      </w:r>
      <w:bookmarkEnd w:id="931"/>
      <w:bookmarkEnd w:id="932"/>
    </w:p>
    <w:p>
      <w:pPr>
        <w:pStyle w:val="Subsection"/>
      </w:pPr>
      <w:r>
        <w:tab/>
        <w:t>(1)</w:t>
      </w:r>
      <w:r>
        <w:tab/>
        <w:t>In the case of an application described in section 237A(2)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 or</w:t>
      </w:r>
    </w:p>
    <w:p>
      <w:pPr>
        <w:pStyle w:val="Indenta"/>
      </w:pPr>
      <w:r>
        <w:tab/>
        <w:t>(b)</w:t>
      </w:r>
      <w:r>
        <w:tab/>
        <w:t>the President, having regard to whether the application involves a question of law, directs in any other case that the parties may be so represented; or</w:t>
      </w:r>
    </w:p>
    <w:p>
      <w:pPr>
        <w:pStyle w:val="Indenta"/>
      </w:pPr>
      <w:r>
        <w:tab/>
        <w:t>(c)</w:t>
      </w:r>
      <w:r>
        <w:tab/>
        <w:t>the applicant is a legal practitioner; or</w:t>
      </w:r>
    </w:p>
    <w:p>
      <w:pPr>
        <w:pStyle w:val="Indenta"/>
      </w:pPr>
      <w:r>
        <w:tab/>
        <w:t>(d)</w:t>
      </w:r>
      <w:r>
        <w:tab/>
        <w:t>the applicant withdraws the election.</w:t>
      </w:r>
    </w:p>
    <w:p>
      <w:pPr>
        <w:pStyle w:val="Footnotesection"/>
        <w:ind w:left="890" w:hanging="890"/>
      </w:pPr>
      <w:r>
        <w:tab/>
        <w:t>[Section 239 amended: No. 5 of 2008 s. 87.]</w:t>
      </w:r>
    </w:p>
    <w:p>
      <w:pPr>
        <w:pStyle w:val="Heading5"/>
      </w:pPr>
      <w:bookmarkStart w:id="933" w:name="_Toc77246487"/>
      <w:bookmarkStart w:id="934" w:name="_Toc74924236"/>
      <w:r>
        <w:rPr>
          <w:rStyle w:val="CharSectno"/>
        </w:rPr>
        <w:t>240</w:t>
      </w:r>
      <w:r>
        <w:t>.</w:t>
      </w:r>
      <w:r>
        <w:tab/>
        <w:t>SAT to invite Minister for the Environment to make submission before determining certain applications</w:t>
      </w:r>
      <w:bookmarkEnd w:id="933"/>
      <w:bookmarkEnd w:id="934"/>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935" w:name="_Toc77246488"/>
      <w:bookmarkStart w:id="936" w:name="_Toc74924237"/>
      <w:r>
        <w:rPr>
          <w:rStyle w:val="CharSectno"/>
        </w:rPr>
        <w:t>241</w:t>
      </w:r>
      <w:r>
        <w:t>.</w:t>
      </w:r>
      <w:r>
        <w:tab/>
        <w:t>SAT to have regard to certain matters</w:t>
      </w:r>
      <w:bookmarkEnd w:id="935"/>
      <w:bookmarkEnd w:id="936"/>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w:t>
      </w:r>
    </w:p>
    <w:p>
      <w:pPr>
        <w:pStyle w:val="Subsection"/>
      </w:pPr>
      <w:r>
        <w:tab/>
        <w:t>(2)</w:t>
      </w:r>
      <w:r>
        <w:tab/>
        <w:t xml:space="preserve">In the case of an application that relates to land to which the </w:t>
      </w:r>
      <w:r>
        <w:rPr>
          <w:i/>
        </w:rPr>
        <w:t xml:space="preserve">Heritage Act 2018 </w:t>
      </w:r>
      <w:r>
        <w:t xml:space="preserve">applies, and whether or not a State planning policy provides for the conservation of that land, the State Administrative Tribunal — </w:t>
      </w:r>
    </w:p>
    <w:p>
      <w:pPr>
        <w:pStyle w:val="Indenta"/>
      </w:pPr>
      <w:r>
        <w:tab/>
        <w:t>(a)</w:t>
      </w:r>
      <w:r>
        <w:tab/>
        <w:t>is to refer the matter to the Heritage Council for advice; and</w:t>
      </w:r>
    </w:p>
    <w:p>
      <w:pPr>
        <w:pStyle w:val="Indenta"/>
      </w:pPr>
      <w:r>
        <w:tab/>
        <w:t>(b)</w:t>
      </w:r>
      <w:r>
        <w:tab/>
        <w:t>may receive and hear submissions made on behalf of the Heritage Council; and</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Heritage Act 2018</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No. 52 of 2006 s. 6; No. 22 of 2018 s. 186(13).]</w:t>
      </w:r>
    </w:p>
    <w:p>
      <w:pPr>
        <w:pStyle w:val="Heading5"/>
      </w:pPr>
      <w:bookmarkStart w:id="937" w:name="_Toc77246489"/>
      <w:bookmarkStart w:id="938" w:name="_Toc74924238"/>
      <w:r>
        <w:rPr>
          <w:rStyle w:val="CharSectno"/>
        </w:rPr>
        <w:t>242</w:t>
      </w:r>
      <w:r>
        <w:t>.</w:t>
      </w:r>
      <w:r>
        <w:tab/>
        <w:t>Persons who are not parties, submissions from</w:t>
      </w:r>
      <w:bookmarkEnd w:id="937"/>
      <w:bookmarkEnd w:id="938"/>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939" w:name="_Toc77246490"/>
      <w:bookmarkStart w:id="940" w:name="_Toc74924239"/>
      <w:r>
        <w:rPr>
          <w:rStyle w:val="CharSectno"/>
        </w:rPr>
        <w:t>243</w:t>
      </w:r>
      <w:r>
        <w:t>.</w:t>
      </w:r>
      <w:r>
        <w:tab/>
        <w:t>Exclusion of powers to join parties</w:t>
      </w:r>
      <w:bookmarkEnd w:id="939"/>
      <w:bookmarkEnd w:id="940"/>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941" w:name="_Toc77246491"/>
      <w:bookmarkStart w:id="942" w:name="_Toc74924240"/>
      <w:r>
        <w:rPr>
          <w:rStyle w:val="CharSectno"/>
        </w:rPr>
        <w:t>244</w:t>
      </w:r>
      <w:r>
        <w:t>.</w:t>
      </w:r>
      <w:r>
        <w:tab/>
        <w:t>SAT review of some SAT decisions</w:t>
      </w:r>
      <w:bookmarkEnd w:id="941"/>
      <w:bookmarkEnd w:id="942"/>
    </w:p>
    <w:p>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a judicial member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Ednotesubsection"/>
      </w:pPr>
      <w:r>
        <w:tab/>
        <w:t>[(4)</w:t>
      </w:r>
      <w:r>
        <w:tab/>
        <w:t>deleted]</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Footnotesection"/>
      </w:pPr>
      <w:r>
        <w:tab/>
        <w:t>[Section 244 amended: No. 5 of 2008 s. 88.]</w:t>
      </w:r>
    </w:p>
    <w:p>
      <w:pPr>
        <w:pStyle w:val="Heading5"/>
        <w:spacing w:before="180"/>
      </w:pPr>
      <w:bookmarkStart w:id="943" w:name="_Toc77246492"/>
      <w:bookmarkStart w:id="944" w:name="_Toc74924241"/>
      <w:r>
        <w:rPr>
          <w:rStyle w:val="CharSectno"/>
        </w:rPr>
        <w:t>245</w:t>
      </w:r>
      <w:r>
        <w:t>.</w:t>
      </w:r>
      <w:r>
        <w:tab/>
        <w:t>Submissions by Minister to SAT</w:t>
      </w:r>
      <w:bookmarkEnd w:id="943"/>
      <w:bookmarkEnd w:id="944"/>
    </w:p>
    <w:p>
      <w:pPr>
        <w:pStyle w:val="Subsection"/>
        <w:keepNext/>
        <w:keepLines/>
        <w:spacing w:before="120"/>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Swan and Canning Rivers Management Act 2006</w:t>
      </w:r>
      <w:r>
        <w:t>,</w:t>
      </w:r>
      <w:r>
        <w:rPr>
          <w:bCs/>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included in a place of a kind mentioned in the </w:t>
      </w:r>
      <w:r>
        <w:rPr>
          <w:i/>
        </w:rPr>
        <w:t xml:space="preserve">Heritage Act 2018 </w:t>
      </w:r>
      <w:r>
        <w:t xml:space="preserve">section 72(1), </w:t>
      </w:r>
      <w:r>
        <w:rPr>
          <w:rStyle w:val="CharDefText"/>
        </w:rPr>
        <w:t>Minister</w:t>
      </w:r>
      <w:r>
        <w:t xml:space="preserve"> includes the Minister to whom the administration of that Act is committed.</w:t>
      </w:r>
    </w:p>
    <w:p>
      <w:pPr>
        <w:pStyle w:val="Footnotesection"/>
      </w:pPr>
      <w:r>
        <w:tab/>
        <w:t>[Section 245 amended: No. 52 of 2006 s. 6; No. 22 of 2018 s. 186(14).]</w:t>
      </w:r>
    </w:p>
    <w:p>
      <w:pPr>
        <w:pStyle w:val="Heading5"/>
      </w:pPr>
      <w:bookmarkStart w:id="945" w:name="_Toc77246493"/>
      <w:bookmarkStart w:id="946" w:name="_Toc74924242"/>
      <w:r>
        <w:rPr>
          <w:rStyle w:val="CharSectno"/>
        </w:rPr>
        <w:t>246</w:t>
      </w:r>
      <w:r>
        <w:t>.</w:t>
      </w:r>
      <w:r>
        <w:tab/>
        <w:t>Minister may call in application to SAT for review</w:t>
      </w:r>
      <w:bookmarkEnd w:id="945"/>
      <w:bookmarkEnd w:id="946"/>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Heritage Act 2018</w:t>
      </w:r>
      <w:r>
        <w:t>; or</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each House of Parliament or dealt with under section 268A.</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keepNext/>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Footnotesection"/>
        <w:ind w:left="890" w:hanging="890"/>
      </w:pPr>
      <w:r>
        <w:tab/>
        <w:t xml:space="preserve">[Section 246 amended: No. 28 of 2010 s. 48; No. 22 of 2018 s. 186(15).] </w:t>
      </w:r>
    </w:p>
    <w:p>
      <w:pPr>
        <w:pStyle w:val="Heading5"/>
      </w:pPr>
      <w:bookmarkStart w:id="947" w:name="_Toc77246494"/>
      <w:bookmarkStart w:id="948" w:name="_Toc74924243"/>
      <w:r>
        <w:rPr>
          <w:rStyle w:val="CharSectno"/>
        </w:rPr>
        <w:t>247</w:t>
      </w:r>
      <w:r>
        <w:t>.</w:t>
      </w:r>
      <w:r>
        <w:tab/>
        <w:t>Determination of application by Minister</w:t>
      </w:r>
      <w:bookmarkEnd w:id="947"/>
      <w:bookmarkEnd w:id="948"/>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 and</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Ednotesection"/>
        <w:spacing w:before="180"/>
      </w:pPr>
      <w:r>
        <w:t>[</w:t>
      </w:r>
      <w:r>
        <w:rPr>
          <w:b/>
          <w:bCs/>
        </w:rPr>
        <w:t>248.</w:t>
      </w:r>
      <w:r>
        <w:tab/>
        <w:t>Deleted: No. 28 of 2010 s. 49.]</w:t>
      </w:r>
    </w:p>
    <w:p>
      <w:pPr>
        <w:pStyle w:val="Heading3"/>
        <w:spacing w:before="180"/>
      </w:pPr>
      <w:bookmarkStart w:id="949" w:name="_Toc77239541"/>
      <w:bookmarkStart w:id="950" w:name="_Toc77240445"/>
      <w:bookmarkStart w:id="951" w:name="_Toc77246495"/>
      <w:bookmarkStart w:id="952" w:name="_Toc74652556"/>
      <w:bookmarkStart w:id="953" w:name="_Toc74653022"/>
      <w:bookmarkStart w:id="954" w:name="_Toc74733740"/>
      <w:bookmarkStart w:id="955" w:name="_Toc74924244"/>
      <w:r>
        <w:rPr>
          <w:rStyle w:val="CharDivNo"/>
        </w:rPr>
        <w:t>Division 2</w:t>
      </w:r>
      <w:r>
        <w:t> — </w:t>
      </w:r>
      <w:r>
        <w:rPr>
          <w:rStyle w:val="CharDivText"/>
        </w:rPr>
        <w:t>Decisions which may be reviewed</w:t>
      </w:r>
      <w:bookmarkEnd w:id="949"/>
      <w:bookmarkEnd w:id="950"/>
      <w:bookmarkEnd w:id="951"/>
      <w:bookmarkEnd w:id="952"/>
      <w:bookmarkEnd w:id="953"/>
      <w:bookmarkEnd w:id="954"/>
      <w:bookmarkEnd w:id="955"/>
    </w:p>
    <w:p>
      <w:pPr>
        <w:pStyle w:val="Heading5"/>
        <w:spacing w:before="180"/>
      </w:pPr>
      <w:bookmarkStart w:id="956" w:name="_Toc77246496"/>
      <w:bookmarkStart w:id="957" w:name="_Toc74924245"/>
      <w:r>
        <w:rPr>
          <w:rStyle w:val="CharSectno"/>
        </w:rPr>
        <w:t>249</w:t>
      </w:r>
      <w:r>
        <w:t>.</w:t>
      </w:r>
      <w:r>
        <w:tab/>
        <w:t>Decision as to development under interim development order</w:t>
      </w:r>
      <w:bookmarkEnd w:id="956"/>
      <w:bookmarkEnd w:id="957"/>
    </w:p>
    <w:p>
      <w:pPr>
        <w:pStyle w:val="Subsection"/>
        <w:spacing w:before="120"/>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spacing w:before="120"/>
      </w:pPr>
      <w:r>
        <w:tab/>
        <w:t>(2)</w:t>
      </w:r>
      <w:r>
        <w:tab/>
        <w:t xml:space="preserve">No application for a review is to be made or heard in respect of a development that contravenes a provision of — </w:t>
      </w:r>
    </w:p>
    <w:p>
      <w:pPr>
        <w:pStyle w:val="Indenta"/>
      </w:pPr>
      <w:r>
        <w:tab/>
        <w:t>(a)</w:t>
      </w:r>
      <w:r>
        <w:tab/>
        <w:t>a local planning scheme; or</w:t>
      </w:r>
    </w:p>
    <w:p>
      <w:pPr>
        <w:pStyle w:val="Indenta"/>
      </w:pPr>
      <w:r>
        <w:tab/>
        <w:t>(b)</w:t>
      </w:r>
      <w:r>
        <w:tab/>
        <w:t>a local law of a local government that is not superseded by the interim development order; or</w:t>
      </w:r>
    </w:p>
    <w:p>
      <w:pPr>
        <w:pStyle w:val="Indenta"/>
      </w:pPr>
      <w:r>
        <w:tab/>
        <w:t>(c)</w:t>
      </w:r>
      <w:r>
        <w:tab/>
        <w:t xml:space="preserve">an order made under the </w:t>
      </w:r>
      <w:r>
        <w:rPr>
          <w:i/>
        </w:rPr>
        <w:t>Heritage Act 2018</w:t>
      </w:r>
      <w:r>
        <w:t xml:space="preserve"> Part 4 or Part 11 Division 4.</w:t>
      </w:r>
    </w:p>
    <w:p>
      <w:pPr>
        <w:pStyle w:val="Subsection"/>
        <w:spacing w:before="120"/>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Footnotesection"/>
        <w:ind w:left="890" w:hanging="890"/>
      </w:pPr>
      <w:r>
        <w:tab/>
        <w:t xml:space="preserve">[Section 249 amended: No. 22 of 2018 s. 186(16).] </w:t>
      </w:r>
    </w:p>
    <w:p>
      <w:pPr>
        <w:pStyle w:val="Heading5"/>
      </w:pPr>
      <w:bookmarkStart w:id="958" w:name="_Toc77246497"/>
      <w:bookmarkStart w:id="959" w:name="_Toc74924246"/>
      <w:r>
        <w:rPr>
          <w:rStyle w:val="CharSectno"/>
        </w:rPr>
        <w:t>250</w:t>
      </w:r>
      <w:r>
        <w:t>.</w:t>
      </w:r>
      <w:r>
        <w:tab/>
        <w:t>Decision as to development in planning control area</w:t>
      </w:r>
      <w:bookmarkEnd w:id="958"/>
      <w:bookmarkEnd w:id="959"/>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Ednotesubsection"/>
      </w:pPr>
      <w:r>
        <w:tab/>
        <w:t>[(2)</w:t>
      </w:r>
      <w:r>
        <w:tab/>
        <w:t>deleted]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Footnotesection"/>
        <w:ind w:left="890" w:hanging="890"/>
      </w:pPr>
      <w:r>
        <w:tab/>
        <w:t xml:space="preserve">[Section 250 amended: No. 22 of 2018 s. 186(17).] </w:t>
      </w:r>
    </w:p>
    <w:p>
      <w:pPr>
        <w:pStyle w:val="Heading5"/>
      </w:pPr>
      <w:bookmarkStart w:id="960" w:name="_Toc77246498"/>
      <w:bookmarkStart w:id="961" w:name="_Toc74924247"/>
      <w:r>
        <w:rPr>
          <w:rStyle w:val="CharSectno"/>
        </w:rPr>
        <w:t>251</w:t>
      </w:r>
      <w:r>
        <w:t>.</w:t>
      </w:r>
      <w:r>
        <w:tab/>
        <w:t>Some decisions made under Part 10</w:t>
      </w:r>
      <w:bookmarkEnd w:id="960"/>
      <w:bookmarkEnd w:id="961"/>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spacing w:before="120"/>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962" w:name="_Toc77246499"/>
      <w:bookmarkStart w:id="963" w:name="_Toc74924248"/>
      <w:r>
        <w:rPr>
          <w:rStyle w:val="CharSectno"/>
        </w:rPr>
        <w:t>252</w:t>
      </w:r>
      <w:r>
        <w:t>.</w:t>
      </w:r>
      <w:r>
        <w:tab/>
        <w:t>Decision made in exercise of discretionary power under planning scheme</w:t>
      </w:r>
      <w:bookmarkEnd w:id="962"/>
      <w:bookmarkEnd w:id="963"/>
    </w:p>
    <w:p>
      <w:pPr>
        <w:pStyle w:val="Subsection"/>
      </w:pPr>
      <w:r>
        <w:tab/>
        <w:t>(1)</w:t>
      </w:r>
      <w:r>
        <w:tab/>
        <w:t xml:space="preserve">Subject to subsection (3), if — </w:t>
      </w:r>
    </w:p>
    <w:p>
      <w:pPr>
        <w:pStyle w:val="Indenta"/>
      </w:pPr>
      <w:r>
        <w:tab/>
        <w:t>(a)</w:t>
      </w:r>
      <w:r>
        <w:tab/>
        <w:t>under a planning scheme, the grant of any consent, permission, approval or other authorisation is in the discretion of a responsible authority; and</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or an improvement scheme as to — </w:t>
      </w:r>
    </w:p>
    <w:p>
      <w:pPr>
        <w:pStyle w:val="Indenta"/>
      </w:pPr>
      <w:r>
        <w:tab/>
        <w:t>(a)</w:t>
      </w:r>
      <w:r>
        <w:tab/>
        <w:t>the classification of a use under the planning scheme; or</w:t>
      </w:r>
    </w:p>
    <w:p>
      <w:pPr>
        <w:pStyle w:val="Indenta"/>
      </w:pPr>
      <w:r>
        <w:tab/>
        <w:t>(b)</w:t>
      </w:r>
      <w:r>
        <w:tab/>
        <w:t>the permissibility of a use that is not listed under the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Footnotesection"/>
        <w:spacing w:before="80"/>
        <w:ind w:left="890" w:hanging="890"/>
      </w:pPr>
      <w:r>
        <w:tab/>
        <w:t xml:space="preserve">[Section 252 amended: No. 28 of 2010 s. 22.] </w:t>
      </w:r>
    </w:p>
    <w:p>
      <w:pPr>
        <w:pStyle w:val="Heading5"/>
      </w:pPr>
      <w:bookmarkStart w:id="964" w:name="_Toc77246500"/>
      <w:bookmarkStart w:id="965" w:name="_Toc74924249"/>
      <w:r>
        <w:rPr>
          <w:rStyle w:val="CharSectno"/>
        </w:rPr>
        <w:t>253</w:t>
      </w:r>
      <w:r>
        <w:t>.</w:t>
      </w:r>
      <w:r>
        <w:tab/>
        <w:t>Responsible authority not making decision, notice of default to and deemed refusal by</w:t>
      </w:r>
      <w:bookmarkEnd w:id="964"/>
      <w:bookmarkEnd w:id="965"/>
    </w:p>
    <w:p>
      <w:pPr>
        <w:pStyle w:val="Subsection"/>
        <w:keepNext/>
        <w:keepLines/>
      </w:pPr>
      <w:r>
        <w:tab/>
        <w:t>(1)</w:t>
      </w:r>
      <w:r>
        <w:tab/>
        <w:t xml:space="preserve">In this section — </w:t>
      </w:r>
    </w:p>
    <w:p>
      <w:pPr>
        <w:pStyle w:val="Defstart"/>
      </w:pPr>
      <w:r>
        <w:tab/>
      </w:r>
      <w:r>
        <w:rPr>
          <w:rStyle w:val="CharDefText"/>
        </w:rPr>
        <w:t>applicant</w:t>
      </w:r>
      <w:r>
        <w:t xml:space="preserve"> includes a person making a request under section 144(1), 145(1) or 151(1);</w:t>
      </w:r>
    </w:p>
    <w:p>
      <w:pPr>
        <w:pStyle w:val="Defstart"/>
      </w:pPr>
      <w:r>
        <w:tab/>
      </w:r>
      <w:r>
        <w:rPr>
          <w:rStyle w:val="CharDefText"/>
        </w:rPr>
        <w:t>decision period</w:t>
      </w:r>
      <w:r>
        <w:t xml:space="preserve"> means — </w:t>
      </w:r>
    </w:p>
    <w:p>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 and</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keepNext/>
      </w:pPr>
      <w:r>
        <w:tab/>
        <w:t>(2)</w:t>
      </w:r>
      <w:r>
        <w:tab/>
        <w:t xml:space="preserve">If at any time after the end of the decision period the responsible authority has not — </w:t>
      </w:r>
    </w:p>
    <w:p>
      <w:pPr>
        <w:pStyle w:val="Indenta"/>
        <w:spacing w:before="60"/>
      </w:pPr>
      <w:r>
        <w:tab/>
        <w:t>(a)</w:t>
      </w:r>
      <w:r>
        <w:tab/>
        <w:t>approved, or refused to approve, an application referred to in section 251(1); or</w:t>
      </w:r>
    </w:p>
    <w:p>
      <w:pPr>
        <w:pStyle w:val="Indenta"/>
        <w:spacing w:before="60"/>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966" w:name="_Toc77239547"/>
      <w:bookmarkStart w:id="967" w:name="_Toc77240451"/>
      <w:bookmarkStart w:id="968" w:name="_Toc77246501"/>
      <w:bookmarkStart w:id="969" w:name="_Toc74652562"/>
      <w:bookmarkStart w:id="970" w:name="_Toc74653028"/>
      <w:bookmarkStart w:id="971" w:name="_Toc74733746"/>
      <w:bookmarkStart w:id="972" w:name="_Toc74924250"/>
      <w:r>
        <w:rPr>
          <w:rStyle w:val="CharDivNo"/>
        </w:rPr>
        <w:t>Division 3</w:t>
      </w:r>
      <w:r>
        <w:t> — </w:t>
      </w:r>
      <w:r>
        <w:rPr>
          <w:rStyle w:val="CharDivText"/>
        </w:rPr>
        <w:t>Other applications for review</w:t>
      </w:r>
      <w:bookmarkEnd w:id="966"/>
      <w:bookmarkEnd w:id="967"/>
      <w:bookmarkEnd w:id="968"/>
      <w:bookmarkEnd w:id="969"/>
      <w:bookmarkEnd w:id="970"/>
      <w:bookmarkEnd w:id="971"/>
      <w:bookmarkEnd w:id="972"/>
    </w:p>
    <w:p>
      <w:pPr>
        <w:pStyle w:val="Heading5"/>
      </w:pPr>
      <w:bookmarkStart w:id="973" w:name="_Toc77246502"/>
      <w:bookmarkStart w:id="974" w:name="_Toc74924251"/>
      <w:r>
        <w:rPr>
          <w:rStyle w:val="CharSectno"/>
        </w:rPr>
        <w:t>254</w:t>
      </w:r>
      <w:r>
        <w:t>.</w:t>
      </w:r>
      <w:r>
        <w:tab/>
        <w:t>Decision made under EP Act s. 48I</w:t>
      </w:r>
      <w:bookmarkEnd w:id="973"/>
      <w:bookmarkEnd w:id="974"/>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975" w:name="_Toc77246503"/>
      <w:bookmarkStart w:id="976" w:name="_Toc74924252"/>
      <w:r>
        <w:rPr>
          <w:rStyle w:val="CharSectno"/>
        </w:rPr>
        <w:t>255</w:t>
      </w:r>
      <w:r>
        <w:t>.</w:t>
      </w:r>
      <w:r>
        <w:tab/>
        <w:t>Direction given under s. 214</w:t>
      </w:r>
      <w:bookmarkEnd w:id="975"/>
      <w:bookmarkEnd w:id="976"/>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977" w:name="_Toc77239550"/>
      <w:bookmarkStart w:id="978" w:name="_Toc77240454"/>
      <w:bookmarkStart w:id="979" w:name="_Toc77246504"/>
      <w:bookmarkStart w:id="980" w:name="_Toc74652565"/>
      <w:bookmarkStart w:id="981" w:name="_Toc74653031"/>
      <w:bookmarkStart w:id="982" w:name="_Toc74733749"/>
      <w:bookmarkStart w:id="983" w:name="_Toc74924253"/>
      <w:r>
        <w:rPr>
          <w:rStyle w:val="CharPartNo"/>
        </w:rPr>
        <w:t>Part 15</w:t>
      </w:r>
      <w:r>
        <w:rPr>
          <w:rStyle w:val="CharDivNo"/>
        </w:rPr>
        <w:t> </w:t>
      </w:r>
      <w:r>
        <w:t>—</w:t>
      </w:r>
      <w:r>
        <w:rPr>
          <w:rStyle w:val="CharDivText"/>
        </w:rPr>
        <w:t> </w:t>
      </w:r>
      <w:r>
        <w:rPr>
          <w:rStyle w:val="CharPartText"/>
        </w:rPr>
        <w:t>Subsidiary legislation</w:t>
      </w:r>
      <w:bookmarkEnd w:id="977"/>
      <w:bookmarkEnd w:id="978"/>
      <w:bookmarkEnd w:id="979"/>
      <w:bookmarkEnd w:id="980"/>
      <w:bookmarkEnd w:id="981"/>
      <w:bookmarkEnd w:id="982"/>
      <w:bookmarkEnd w:id="983"/>
    </w:p>
    <w:p>
      <w:pPr>
        <w:pStyle w:val="Ednotedivision"/>
      </w:pPr>
      <w:r>
        <w:t>[Heading deleted: No. 26 of 2020 s. 73.]</w:t>
      </w:r>
    </w:p>
    <w:p>
      <w:pPr>
        <w:pStyle w:val="Heading5"/>
      </w:pPr>
      <w:bookmarkStart w:id="984" w:name="_Toc77246505"/>
      <w:bookmarkStart w:id="985" w:name="_Toc74924254"/>
      <w:r>
        <w:rPr>
          <w:rStyle w:val="CharSectno"/>
        </w:rPr>
        <w:t>256</w:t>
      </w:r>
      <w:r>
        <w:t>.</w:t>
      </w:r>
      <w:r>
        <w:tab/>
        <w:t>Regulations for content of local planning schemes</w:t>
      </w:r>
      <w:bookmarkEnd w:id="984"/>
      <w:bookmarkEnd w:id="985"/>
    </w:p>
    <w:p>
      <w:pPr>
        <w:pStyle w:val="Subsection"/>
      </w:pPr>
      <w:r>
        <w:tab/>
        <w:t>(1)</w:t>
      </w:r>
      <w:r>
        <w:tab/>
        <w:t xml:space="preserve">The Governor may, on the recommendation of the Minister, make regulations prescribing provisions that deal with any or all of the following — </w:t>
      </w:r>
    </w:p>
    <w:p>
      <w:pPr>
        <w:pStyle w:val="Indenta"/>
      </w:pPr>
      <w:r>
        <w:tab/>
        <w:t>(a)</w:t>
      </w:r>
      <w:r>
        <w:tab/>
        <w:t>carrying out the general objects of local planning schemes;</w:t>
      </w:r>
    </w:p>
    <w:p>
      <w:pPr>
        <w:pStyle w:val="Indenta"/>
      </w:pPr>
      <w:r>
        <w:tab/>
        <w:t>(b)</w:t>
      </w:r>
      <w:r>
        <w:tab/>
        <w:t>any matter set out in Schedule 7.</w:t>
      </w:r>
    </w:p>
    <w:p>
      <w:pPr>
        <w:pStyle w:val="Subsection"/>
      </w:pPr>
      <w:r>
        <w:tab/>
        <w:t>(2)</w:t>
      </w:r>
      <w:r>
        <w:tab/>
        <w:t xml:space="preserve">Before making a recommendation under subsection (1) the Minister — </w:t>
      </w:r>
    </w:p>
    <w:p>
      <w:pPr>
        <w:pStyle w:val="Indenta"/>
      </w:pPr>
      <w:r>
        <w:tab/>
        <w:t>(a)</w:t>
      </w:r>
      <w:r>
        <w:tab/>
        <w:t>must consult with the EPA and local governments; and</w:t>
      </w:r>
    </w:p>
    <w:p>
      <w:pPr>
        <w:pStyle w:val="Indenta"/>
      </w:pPr>
      <w:r>
        <w:tab/>
        <w:t>(b)</w:t>
      </w:r>
      <w:r>
        <w:tab/>
        <w:t>may consult with any other public authority or person the Minister considers is likely to be affected by the proposed regulations; and</w:t>
      </w:r>
    </w:p>
    <w:p>
      <w:pPr>
        <w:pStyle w:val="Indenta"/>
      </w:pPr>
      <w:r>
        <w:tab/>
        <w:t>(c)</w:t>
      </w:r>
      <w:r>
        <w:tab/>
        <w:t>must have regard to any submissions made pursuant to consultation under paragraphs (a) and (b).</w:t>
      </w:r>
    </w:p>
    <w:p>
      <w:pPr>
        <w:pStyle w:val="Subsection"/>
      </w:pPr>
      <w:r>
        <w:tab/>
        <w:t>(3)</w:t>
      </w:r>
      <w:r>
        <w:tab/>
        <w:t>Consultation under subsection (2) may be undertaken in any way and within such period as the Minister considers appropriate in the circumstances.</w:t>
      </w:r>
    </w:p>
    <w:p>
      <w:pPr>
        <w:pStyle w:val="Subsection"/>
      </w:pPr>
      <w:r>
        <w:tab/>
        <w:t>(4)</w:t>
      </w:r>
      <w:r>
        <w:tab/>
        <w:t>Unless the regulations otherwise provide, provisions prescribed under subsection (1) apply to all local planning schemes.</w:t>
      </w:r>
    </w:p>
    <w:p>
      <w:pPr>
        <w:pStyle w:val="Subsection"/>
      </w:pPr>
      <w:r>
        <w:tab/>
        <w:t>(5)</w:t>
      </w:r>
      <w:r>
        <w:tab/>
        <w:t xml:space="preserve">The regulations must designate each provision prescribed under subsection (1) as — </w:t>
      </w:r>
    </w:p>
    <w:p>
      <w:pPr>
        <w:pStyle w:val="Indenta"/>
      </w:pPr>
      <w:r>
        <w:tab/>
        <w:t>(a)</w:t>
      </w:r>
      <w:r>
        <w:tab/>
        <w:t>a model provision, being a provision to which section 257A applies; or</w:t>
      </w:r>
    </w:p>
    <w:p>
      <w:pPr>
        <w:pStyle w:val="Indenta"/>
      </w:pPr>
      <w:r>
        <w:tab/>
        <w:t>(b)</w:t>
      </w:r>
      <w:r>
        <w:tab/>
        <w:t>a deemed provision, being a provision to which section 257B applies.</w:t>
      </w:r>
    </w:p>
    <w:p>
      <w:pPr>
        <w:pStyle w:val="Subsection"/>
      </w:pPr>
      <w:r>
        <w:tab/>
        <w:t>(6)</w:t>
      </w:r>
      <w:r>
        <w:tab/>
        <w:t>The regulations may include provisions of a savings or transitional nature that are necessary or convenient to be made for the purpose of dealing with matters that are incidental to or consequential on the prescribing of a model provision or a deemed provision under this section.</w:t>
      </w:r>
    </w:p>
    <w:p>
      <w:pPr>
        <w:pStyle w:val="Subsection"/>
      </w:pPr>
      <w:r>
        <w:tab/>
        <w:t>(7)</w:t>
      </w:r>
      <w:r>
        <w:tab/>
        <w:t xml:space="preserve">Without limiting subsection (6), regulations made under that subsection may provide that specified model provisions or deemed provisions of a local planning scheme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Footnotesection"/>
      </w:pPr>
      <w:r>
        <w:tab/>
        <w:t xml:space="preserve">[Section 256 inserted: No. 28 of 2010 s. 64; amended: No. 26 of 2020 s. 74.] </w:t>
      </w:r>
    </w:p>
    <w:p>
      <w:pPr>
        <w:pStyle w:val="Heading5"/>
      </w:pPr>
      <w:bookmarkStart w:id="986" w:name="_Toc77246506"/>
      <w:bookmarkStart w:id="987" w:name="_Toc74924255"/>
      <w:r>
        <w:rPr>
          <w:rStyle w:val="CharSectno"/>
        </w:rPr>
        <w:t>257A</w:t>
      </w:r>
      <w:r>
        <w:t>.</w:t>
      </w:r>
      <w:r>
        <w:tab/>
        <w:t>Model provisions, effect of</w:t>
      </w:r>
      <w:bookmarkEnd w:id="986"/>
      <w:bookmarkEnd w:id="987"/>
    </w:p>
    <w:p>
      <w:pPr>
        <w:pStyle w:val="Subsection"/>
      </w:pPr>
      <w:r>
        <w:tab/>
        <w:t>(1)</w:t>
      </w:r>
      <w:r>
        <w:tab/>
        <w:t xml:space="preserve">In this section — </w:t>
      </w:r>
    </w:p>
    <w:p>
      <w:pPr>
        <w:pStyle w:val="Defstart"/>
      </w:pPr>
      <w:r>
        <w:tab/>
      </w:r>
      <w:r>
        <w:rPr>
          <w:rStyle w:val="CharDefText"/>
        </w:rPr>
        <w:t>model provision</w:t>
      </w:r>
      <w:r>
        <w:t xml:space="preserve"> means a provision designated as a model provision under section 256(5)(a).</w:t>
      </w:r>
    </w:p>
    <w:p>
      <w:pPr>
        <w:pStyle w:val="Subsection"/>
      </w:pPr>
      <w:r>
        <w:tab/>
        <w:t>(2)</w:t>
      </w:r>
      <w:r>
        <w:tab/>
        <w:t xml:space="preserve">Subject to subsection (3), a local planning scheme prepared or adopted by a local government must include any model provisions that — </w:t>
      </w:r>
    </w:p>
    <w:p>
      <w:pPr>
        <w:pStyle w:val="Indenta"/>
      </w:pPr>
      <w:r>
        <w:tab/>
        <w:t>(a)</w:t>
      </w:r>
      <w:r>
        <w:tab/>
        <w:t>are prescribed by regulations in force at the time the scheme is approved under section 87; and</w:t>
      </w:r>
    </w:p>
    <w:p>
      <w:pPr>
        <w:pStyle w:val="Indenta"/>
      </w:pPr>
      <w:r>
        <w:tab/>
        <w:t>(b)</w:t>
      </w:r>
      <w:r>
        <w:tab/>
        <w:t>apply to the scheme.</w:t>
      </w:r>
    </w:p>
    <w:p>
      <w:pPr>
        <w:pStyle w:val="Subsection"/>
      </w:pPr>
      <w:r>
        <w:tab/>
        <w:t>(3)</w:t>
      </w:r>
      <w:r>
        <w:tab/>
        <w:t>When approving a local planning scheme under section 87, the Minister may approve the exclusion from, or variation in, the scheme of a model provision.</w:t>
      </w:r>
    </w:p>
    <w:p>
      <w:pPr>
        <w:pStyle w:val="Footnotesection"/>
      </w:pPr>
      <w:r>
        <w:tab/>
        <w:t xml:space="preserve">[Section 257A inserted: No. 28 of 2010 s. 64.] </w:t>
      </w:r>
    </w:p>
    <w:p>
      <w:pPr>
        <w:pStyle w:val="Heading5"/>
      </w:pPr>
      <w:bookmarkStart w:id="988" w:name="_Toc77246507"/>
      <w:bookmarkStart w:id="989" w:name="_Toc74924256"/>
      <w:r>
        <w:rPr>
          <w:rStyle w:val="CharSectno"/>
        </w:rPr>
        <w:t>257B</w:t>
      </w:r>
      <w:r>
        <w:t>.</w:t>
      </w:r>
      <w:r>
        <w:tab/>
        <w:t>Deemed provisions, effect of</w:t>
      </w:r>
      <w:bookmarkEnd w:id="988"/>
      <w:bookmarkEnd w:id="989"/>
    </w:p>
    <w:p>
      <w:pPr>
        <w:pStyle w:val="Subsection"/>
      </w:pPr>
      <w:r>
        <w:tab/>
        <w:t>(1)</w:t>
      </w:r>
      <w:r>
        <w:tab/>
        <w:t xml:space="preserve">In this section — </w:t>
      </w:r>
    </w:p>
    <w:p>
      <w:pPr>
        <w:pStyle w:val="Defstart"/>
      </w:pPr>
      <w:r>
        <w:tab/>
      </w:r>
      <w:r>
        <w:rPr>
          <w:rStyle w:val="CharDefText"/>
        </w:rPr>
        <w:t>deemed provision</w:t>
      </w:r>
      <w:r>
        <w:t xml:space="preserve"> means a provision designated as a deemed provision under section 256(5)(b).</w:t>
      </w:r>
    </w:p>
    <w:p>
      <w:pPr>
        <w:pStyle w:val="Subsection"/>
      </w:pPr>
      <w:r>
        <w:tab/>
        <w:t>(2)</w:t>
      </w:r>
      <w:r>
        <w:tab/>
        <w:t>Deemed provisions, as amended from time to time, have effect and may be enforced as part of each local planning scheme to which they apply, whether they are prescribed before or after the scheme comes into force.</w:t>
      </w:r>
    </w:p>
    <w:p>
      <w:pPr>
        <w:pStyle w:val="Subsection"/>
      </w:pPr>
      <w:r>
        <w:tab/>
        <w:t>(3)</w:t>
      </w:r>
      <w:r>
        <w:tab/>
        <w:t>If a deemed provision that has effect as part of a local planning scheme is inconsistent with another provision of the scheme, the deemed provision prevails and the other provision is to the extent of the inconsistency of no effect.</w:t>
      </w:r>
    </w:p>
    <w:p>
      <w:pPr>
        <w:pStyle w:val="Subsection"/>
      </w:pPr>
      <w:r>
        <w:tab/>
        <w:t>(4)</w:t>
      </w:r>
      <w:r>
        <w:tab/>
        <w:t>It is sufficient compliance with section 54(a), 87(3)(a), 91(1) or 92(2)(b) if a local planning scheme is published under that provision without the deemed provisions.</w:t>
      </w:r>
    </w:p>
    <w:p>
      <w:pPr>
        <w:pStyle w:val="Subsection"/>
      </w:pPr>
      <w:r>
        <w:tab/>
        <w:t>(5)</w:t>
      </w:r>
      <w:r>
        <w:tab/>
        <w:t>Each local government, in preparing a local planning scheme or a consolidation of a local planning scheme, must ensure that the scheme is consistent with any deemed provision that applies to the scheme.</w:t>
      </w:r>
    </w:p>
    <w:p>
      <w:pPr>
        <w:pStyle w:val="Footnotesection"/>
      </w:pPr>
      <w:r>
        <w:tab/>
        <w:t xml:space="preserve">[Section 257B inserted: No. 28 of 2010 s. 64.] </w:t>
      </w:r>
    </w:p>
    <w:p>
      <w:pPr>
        <w:pStyle w:val="Ednotesection"/>
      </w:pPr>
      <w:r>
        <w:t>[</w:t>
      </w:r>
      <w:r>
        <w:rPr>
          <w:b/>
          <w:bCs/>
        </w:rPr>
        <w:t>257.</w:t>
      </w:r>
      <w:r>
        <w:tab/>
        <w:t>Deleted: No. 28 of 2010 s. 65.]</w:t>
      </w:r>
    </w:p>
    <w:p>
      <w:pPr>
        <w:pStyle w:val="Heading5"/>
      </w:pPr>
      <w:bookmarkStart w:id="990" w:name="_Toc77246508"/>
      <w:bookmarkStart w:id="991" w:name="_Toc74924257"/>
      <w:r>
        <w:rPr>
          <w:rStyle w:val="CharSectno"/>
        </w:rPr>
        <w:t>258</w:t>
      </w:r>
      <w:r>
        <w:t>.</w:t>
      </w:r>
      <w:r>
        <w:tab/>
        <w:t>Regulations for procedure and costs for local planning schemes</w:t>
      </w:r>
      <w:bookmarkEnd w:id="990"/>
      <w:bookmarkEnd w:id="991"/>
    </w:p>
    <w:p>
      <w:pPr>
        <w:pStyle w:val="Subsection"/>
      </w:pPr>
      <w:r>
        <w:tab/>
        <w:t>(1)</w:t>
      </w:r>
      <w:r>
        <w:tab/>
        <w:t xml:space="preserve">The Governor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w:t>
      </w:r>
    </w:p>
    <w:p>
      <w:pPr>
        <w:pStyle w:val="Subsection"/>
        <w:keepNext/>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 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Footnotesection"/>
      </w:pPr>
      <w:r>
        <w:tab/>
        <w:t xml:space="preserve">[Section 258 amended: No. 28 of 2010 s. 66; No. 26 of 2020 s. 75.] </w:t>
      </w:r>
    </w:p>
    <w:p>
      <w:pPr>
        <w:pStyle w:val="Heading5"/>
      </w:pPr>
      <w:bookmarkStart w:id="992" w:name="_Toc77246509"/>
      <w:bookmarkStart w:id="993" w:name="_Toc74924258"/>
      <w:r>
        <w:rPr>
          <w:rStyle w:val="CharSectno"/>
        </w:rPr>
        <w:t>259</w:t>
      </w:r>
      <w:r>
        <w:t>.</w:t>
      </w:r>
      <w:r>
        <w:tab/>
        <w:t>Regulations for environmental review expenses</w:t>
      </w:r>
      <w:bookmarkEnd w:id="992"/>
      <w:bookmarkEnd w:id="993"/>
    </w:p>
    <w:p>
      <w:pPr>
        <w:pStyle w:val="Subsection"/>
      </w:pPr>
      <w:r>
        <w:tab/>
      </w:r>
      <w:r>
        <w:tab/>
        <w:t>The Governor may make regulations with respect to the persons from whom, and the means by which, a responsible authority may recover expenses incurred by it in undertaking an environmental review required by the EP Act under section 48C(1)(a) of the EP Act.</w:t>
      </w:r>
    </w:p>
    <w:p>
      <w:pPr>
        <w:pStyle w:val="Footnotesection"/>
      </w:pPr>
      <w:r>
        <w:tab/>
        <w:t>[Section 259 amended: No. 26 of 2020 s. 76.]</w:t>
      </w:r>
    </w:p>
    <w:p>
      <w:pPr>
        <w:pStyle w:val="Ednotesection"/>
      </w:pPr>
      <w:r>
        <w:t>[</w:t>
      </w:r>
      <w:r>
        <w:rPr>
          <w:b/>
        </w:rPr>
        <w:t>260.</w:t>
      </w:r>
      <w:r>
        <w:tab/>
        <w:t>Deleted: No. 26 of 2020 s. 77.]</w:t>
      </w:r>
    </w:p>
    <w:p>
      <w:pPr>
        <w:pStyle w:val="Ednotedivision"/>
      </w:pPr>
      <w:r>
        <w:t>[Heading deleted: No. 26 of 2020 s. 78.]</w:t>
      </w:r>
    </w:p>
    <w:p>
      <w:pPr>
        <w:pStyle w:val="Heading5"/>
      </w:pPr>
      <w:bookmarkStart w:id="994" w:name="_Toc77246510"/>
      <w:bookmarkStart w:id="995" w:name="_Toc74924259"/>
      <w:r>
        <w:rPr>
          <w:rStyle w:val="CharSectno"/>
        </w:rPr>
        <w:t>261</w:t>
      </w:r>
      <w:r>
        <w:t>.</w:t>
      </w:r>
      <w:r>
        <w:tab/>
        <w:t>Local government fees for planning matters etc., regulations as to</w:t>
      </w:r>
      <w:bookmarkEnd w:id="994"/>
      <w:bookmarkEnd w:id="995"/>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 or</w:t>
      </w:r>
    </w:p>
    <w:p>
      <w:pPr>
        <w:pStyle w:val="Defpara"/>
      </w:pPr>
      <w:r>
        <w:tab/>
        <w:t>(b)</w:t>
      </w:r>
      <w:r>
        <w:tab/>
        <w:t>subdivision; or</w:t>
      </w:r>
    </w:p>
    <w:p>
      <w:pPr>
        <w:pStyle w:val="Defpara"/>
      </w:pPr>
      <w:r>
        <w:tab/>
        <w:t>(c)</w:t>
      </w:r>
      <w:r>
        <w:tab/>
        <w:t>approval of development.</w:t>
      </w:r>
    </w:p>
    <w:p>
      <w:pPr>
        <w:pStyle w:val="Subsection"/>
        <w:keepNext/>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 and</w:t>
      </w:r>
    </w:p>
    <w:p>
      <w:pPr>
        <w:pStyle w:val="Indenta"/>
      </w:pPr>
      <w:r>
        <w:tab/>
        <w:t>(b)</w:t>
      </w:r>
      <w:r>
        <w:tab/>
        <w:t>the fees that may be imposed for those licences and the provision of those services, and the recovery of those fees; and</w:t>
      </w:r>
    </w:p>
    <w:p>
      <w:pPr>
        <w:pStyle w:val="Indenta"/>
      </w:pPr>
      <w:r>
        <w:tab/>
        <w:t>(c)</w:t>
      </w:r>
      <w:r>
        <w:tab/>
        <w:t>any formula, index or other base to be used for the purposes of calculating or ascertaining the fee; and</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996" w:name="_Toc77246511"/>
      <w:bookmarkStart w:id="997" w:name="_Toc74924260"/>
      <w:r>
        <w:rPr>
          <w:rStyle w:val="CharSectno"/>
        </w:rPr>
        <w:t>262</w:t>
      </w:r>
      <w:r>
        <w:t>.</w:t>
      </w:r>
      <w:r>
        <w:tab/>
        <w:t>Uniform general local laws</w:t>
      </w:r>
      <w:bookmarkEnd w:id="996"/>
      <w:bookmarkEnd w:id="997"/>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rPr>
          <w:i/>
          <w:vertAlign w:val="superscript"/>
        </w:rPr>
        <w:t> </w:t>
      </w:r>
      <w:r>
        <w:rPr>
          <w:vertAlign w:val="superscript"/>
        </w:rPr>
        <w:t>3</w:t>
      </w:r>
      <w:r>
        <w:t>.</w:t>
      </w:r>
    </w:p>
    <w:p>
      <w:pPr>
        <w:pStyle w:val="Subsection"/>
      </w:pPr>
      <w:r>
        <w:tab/>
        <w:t>(4)</w:t>
      </w:r>
      <w:r>
        <w:tab/>
        <w:t>If a by</w:t>
      </w:r>
      <w:r>
        <w:noBreakHyphen/>
        <w:t xml:space="preserve">law made under section 248 of the </w:t>
      </w:r>
      <w:r>
        <w:rPr>
          <w:i/>
        </w:rPr>
        <w:t>Local Government Act 1960</w:t>
      </w:r>
      <w:r>
        <w:rPr>
          <w:vertAlign w:val="superscript"/>
        </w:rPr>
        <w:t> 3</w:t>
      </w:r>
      <w:r>
        <w:t>, or a local law made under subsection (1), is inconsistent with any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planning scheme has effect, the provisions of the planning scheme prevail.</w:t>
      </w:r>
    </w:p>
    <w:p>
      <w:pPr>
        <w:pStyle w:val="Subsection"/>
      </w:pPr>
      <w:r>
        <w:tab/>
        <w:t>(5)</w:t>
      </w:r>
      <w:r>
        <w:tab/>
        <w:t xml:space="preserve">In subsection (4) a reference to a planning scheme includes a reference to — </w:t>
      </w:r>
    </w:p>
    <w:p>
      <w:pPr>
        <w:pStyle w:val="Indenta"/>
      </w:pPr>
      <w:r>
        <w:tab/>
        <w:t>(a)</w:t>
      </w:r>
      <w:r>
        <w:tab/>
        <w:t xml:space="preserve">an approved redevelopment scheme as defined in the </w:t>
      </w:r>
      <w:r>
        <w:rPr>
          <w:i/>
        </w:rPr>
        <w:t xml:space="preserve">Metropolitan Redevelopment Authority Act 2011 </w:t>
      </w:r>
      <w:r>
        <w:t>section 3; and</w:t>
      </w:r>
    </w:p>
    <w:p>
      <w:pPr>
        <w:pStyle w:val="Indenta"/>
      </w:pPr>
      <w:r>
        <w:tab/>
        <w:t>(b)</w:t>
      </w:r>
      <w:r>
        <w:tab/>
        <w:t xml:space="preserve">a master plan approved under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3</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Footnotesection"/>
      </w:pPr>
      <w:r>
        <w:tab/>
        <w:t xml:space="preserve">[Section 262 amended: No. 28 of 2010 s. 23; </w:t>
      </w:r>
      <w:r>
        <w:rPr>
          <w:spacing w:val="-4"/>
        </w:rPr>
        <w:t>No. 45 of 2011 s. 1</w:t>
      </w:r>
      <w:r>
        <w:t xml:space="preserve">41(10).] </w:t>
      </w:r>
    </w:p>
    <w:p>
      <w:pPr>
        <w:pStyle w:val="Heading5"/>
      </w:pPr>
      <w:bookmarkStart w:id="998" w:name="_Toc77246512"/>
      <w:bookmarkStart w:id="999" w:name="_Toc74924261"/>
      <w:r>
        <w:rPr>
          <w:rStyle w:val="CharSectno"/>
        </w:rPr>
        <w:t>263</w:t>
      </w:r>
      <w:r>
        <w:t>.</w:t>
      </w:r>
      <w:r>
        <w:tab/>
        <w:t>Regulations: general</w:t>
      </w:r>
      <w:bookmarkEnd w:id="998"/>
      <w:bookmarkEnd w:id="99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any other provision of this Act, regulations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(ea)</w:t>
      </w:r>
      <w:r>
        <w:tab/>
        <w:t>provide for and regulate reporting by local governments in relation to planning matters;</w:t>
      </w:r>
    </w:p>
    <w:p>
      <w:pPr>
        <w:pStyle w:val="Indenta"/>
      </w:pPr>
      <w:r>
        <w:tab/>
        <w:t>(eb)</w:t>
      </w:r>
      <w:r>
        <w:tab/>
        <w:t>regulate procedures in relation to the carrying out and enforcement of local planning schemes;</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sections 256 to 259, the regulation made under sections 256 to 259 prevails.</w:t>
      </w:r>
    </w:p>
    <w:p>
      <w:pPr>
        <w:pStyle w:val="Subsection"/>
      </w:pPr>
      <w:r>
        <w:tab/>
        <w:t>(5)</w:t>
      </w:r>
      <w:r>
        <w:tab/>
        <w:t>If a regulation is inconsistent with a rule, the regulation prevails to the extent of the inconsistency.</w:t>
      </w:r>
    </w:p>
    <w:p>
      <w:pPr>
        <w:pStyle w:val="Footnotesection"/>
      </w:pPr>
      <w:r>
        <w:tab/>
        <w:t xml:space="preserve">[Section 263 amended: No. 28 of 2010 s. 67; No. 26 of 2020 s. 79.] </w:t>
      </w:r>
    </w:p>
    <w:p>
      <w:pPr>
        <w:pStyle w:val="Ednotedivision"/>
      </w:pPr>
      <w:r>
        <w:t>[Heading deleted: No. 26 of 2020 s. 80.]</w:t>
      </w:r>
    </w:p>
    <w:p>
      <w:pPr>
        <w:pStyle w:val="Heading5"/>
      </w:pPr>
      <w:bookmarkStart w:id="1000" w:name="_Toc77246513"/>
      <w:bookmarkStart w:id="1001" w:name="_Toc74924262"/>
      <w:r>
        <w:rPr>
          <w:rStyle w:val="CharSectno"/>
        </w:rPr>
        <w:t>264</w:t>
      </w:r>
      <w:r>
        <w:t>.</w:t>
      </w:r>
      <w:r>
        <w:tab/>
        <w:t>Regulations may adopt codes and other texts</w:t>
      </w:r>
      <w:bookmarkEnd w:id="1000"/>
      <w:bookmarkEnd w:id="1001"/>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1002" w:name="_Toc77239560"/>
      <w:bookmarkStart w:id="1003" w:name="_Toc77240464"/>
      <w:bookmarkStart w:id="1004" w:name="_Toc77246514"/>
      <w:bookmarkStart w:id="1005" w:name="_Toc74652575"/>
      <w:bookmarkStart w:id="1006" w:name="_Toc74653041"/>
      <w:bookmarkStart w:id="1007" w:name="_Toc74733759"/>
      <w:bookmarkStart w:id="1008" w:name="_Toc74924263"/>
      <w:r>
        <w:rPr>
          <w:rStyle w:val="CharPartNo"/>
        </w:rPr>
        <w:t>Part 16</w:t>
      </w:r>
      <w:r>
        <w:rPr>
          <w:rStyle w:val="CharDivNo"/>
        </w:rPr>
        <w:t> </w:t>
      </w:r>
      <w:r>
        <w:t>—</w:t>
      </w:r>
      <w:r>
        <w:rPr>
          <w:rStyle w:val="CharDivText"/>
        </w:rPr>
        <w:t> </w:t>
      </w:r>
      <w:r>
        <w:rPr>
          <w:rStyle w:val="CharPartText"/>
        </w:rPr>
        <w:t>Miscellaneous</w:t>
      </w:r>
      <w:bookmarkEnd w:id="1002"/>
      <w:bookmarkEnd w:id="1003"/>
      <w:bookmarkEnd w:id="1004"/>
      <w:bookmarkEnd w:id="1005"/>
      <w:bookmarkEnd w:id="1006"/>
      <w:bookmarkEnd w:id="1007"/>
      <w:bookmarkEnd w:id="1008"/>
    </w:p>
    <w:p>
      <w:pPr>
        <w:pStyle w:val="Heading5"/>
      </w:pPr>
      <w:bookmarkStart w:id="1009" w:name="_Toc77246515"/>
      <w:bookmarkStart w:id="1010" w:name="_Toc74924264"/>
      <w:r>
        <w:rPr>
          <w:rStyle w:val="CharSectno"/>
        </w:rPr>
        <w:t>265</w:t>
      </w:r>
      <w:r>
        <w:t>.</w:t>
      </w:r>
      <w:r>
        <w:tab/>
        <w:t>Delegation by Minister</w:t>
      </w:r>
      <w:bookmarkEnd w:id="1009"/>
      <w:bookmarkEnd w:id="1010"/>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1011" w:name="_Toc77246516"/>
      <w:bookmarkStart w:id="1012" w:name="_Toc74924265"/>
      <w:r>
        <w:rPr>
          <w:rStyle w:val="CharSectno"/>
        </w:rPr>
        <w:t>266</w:t>
      </w:r>
      <w:r>
        <w:t>.</w:t>
      </w:r>
      <w:r>
        <w:tab/>
        <w:t>Duties and liabilities of persons performing functions under this Act</w:t>
      </w:r>
      <w:bookmarkEnd w:id="1011"/>
      <w:bookmarkEnd w:id="1012"/>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w:t>
      </w:r>
    </w:p>
    <w:p>
      <w:pPr>
        <w:pStyle w:val="Defstart"/>
      </w:pPr>
      <w:r>
        <w:tab/>
      </w:r>
      <w:r>
        <w:rPr>
          <w:rStyle w:val="CharDefText"/>
        </w:rPr>
        <w:t>meeting</w:t>
      </w:r>
      <w:r>
        <w:t xml:space="preserve"> means a meeting held in connection with the carrying out of this Act;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p>
    <w:p>
      <w:pPr>
        <w:pStyle w:val="Defpara"/>
      </w:pPr>
      <w:r>
        <w:tab/>
        <w:t>(f)</w:t>
      </w:r>
      <w:r>
        <w:tab/>
        <w:t>a member of a DAP.</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 or any other person.</w:t>
      </w:r>
    </w:p>
    <w:p>
      <w:pPr>
        <w:pStyle w:val="Penstart"/>
      </w:pPr>
      <w:r>
        <w:tab/>
        <w:t>Penalty: $5 000.</w:t>
      </w:r>
    </w:p>
    <w:p>
      <w:pPr>
        <w:pStyle w:val="Subsection"/>
        <w:keepLines/>
      </w:pPr>
      <w:r>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Footnotesection"/>
        <w:ind w:left="890" w:hanging="890"/>
      </w:pPr>
      <w:r>
        <w:tab/>
        <w:t xml:space="preserve">[Section 266 amended: No. 28 of 2010 s. 44.] </w:t>
      </w:r>
    </w:p>
    <w:p>
      <w:pPr>
        <w:pStyle w:val="Heading5"/>
      </w:pPr>
      <w:bookmarkStart w:id="1013" w:name="_Toc77246517"/>
      <w:bookmarkStart w:id="1014" w:name="_Toc74924266"/>
      <w:r>
        <w:rPr>
          <w:rStyle w:val="CharSectno"/>
        </w:rPr>
        <w:t>267A</w:t>
      </w:r>
      <w:r>
        <w:t>.</w:t>
      </w:r>
      <w:r>
        <w:tab/>
        <w:t>Crown and State land, who may sign documents as to</w:t>
      </w:r>
      <w:bookmarkEnd w:id="1013"/>
      <w:bookmarkEnd w:id="1014"/>
    </w:p>
    <w:p>
      <w:pPr>
        <w:pStyle w:val="Subsection"/>
      </w:pPr>
      <w:r>
        <w:tab/>
        <w:t>(1)</w:t>
      </w:r>
      <w:r>
        <w:tab/>
        <w:t xml:space="preserve">If the approval or signature of the owner of Crown land or freehold land in the name of the State is required for the purposes of this Act, the approval or signature may be given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a person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as an owner of land mentioned in subsection (1), has under this Act in relation to that land; or </w:t>
      </w:r>
    </w:p>
    <w:p>
      <w:pPr>
        <w:pStyle w:val="Indenta"/>
      </w:pPr>
      <w:r>
        <w:tab/>
        <w:t>(b)</w:t>
      </w:r>
      <w:r>
        <w:tab/>
        <w:t>how that right may be exercised or that obligation may be satisfied.</w:t>
      </w:r>
    </w:p>
    <w:p>
      <w:pPr>
        <w:pStyle w:val="Footnotesection"/>
        <w:ind w:left="890" w:hanging="890"/>
      </w:pPr>
      <w:r>
        <w:tab/>
        <w:t>[Section 267A inserted: No. 8 of 2010 s. 25.]</w:t>
      </w:r>
    </w:p>
    <w:p>
      <w:pPr>
        <w:pStyle w:val="Heading5"/>
      </w:pPr>
      <w:bookmarkStart w:id="1015" w:name="_Toc77246518"/>
      <w:bookmarkStart w:id="1016" w:name="_Toc74924267"/>
      <w:r>
        <w:rPr>
          <w:rStyle w:val="CharSectno"/>
        </w:rPr>
        <w:t>267</w:t>
      </w:r>
      <w:r>
        <w:t>.</w:t>
      </w:r>
      <w:r>
        <w:tab/>
        <w:t>Protection from personal liability</w:t>
      </w:r>
      <w:bookmarkEnd w:id="1015"/>
      <w:bookmarkEnd w:id="1016"/>
    </w:p>
    <w:p>
      <w:pPr>
        <w:pStyle w:val="Subsection"/>
        <w:keepNext/>
        <w:keepLines/>
      </w:pPr>
      <w:r>
        <w:tab/>
        <w:t>(1)</w:t>
      </w:r>
      <w:r>
        <w:tab/>
        <w:t xml:space="preserve">An action in tort does not lie against —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152(5)(c) or 267A(1) for anything that the person has done, in good faith, in the performance or purported performance of a function to which the authority applies.</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Commission, the State nor a local government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Footnotesection"/>
      </w:pPr>
      <w:r>
        <w:tab/>
        <w:t>[Section 267 amended: No. 8 of 2010 s. 26.]</w:t>
      </w:r>
    </w:p>
    <w:p>
      <w:pPr>
        <w:pStyle w:val="Heading5"/>
      </w:pPr>
      <w:bookmarkStart w:id="1017" w:name="_Toc77246519"/>
      <w:bookmarkStart w:id="1018" w:name="_Toc74924268"/>
      <w:r>
        <w:rPr>
          <w:rStyle w:val="CharSectno"/>
        </w:rPr>
        <w:t>268A</w:t>
      </w:r>
      <w:r>
        <w:t>.</w:t>
      </w:r>
      <w:r>
        <w:tab/>
        <w:t>Laying documents before House of Parliament that is not sitting</w:t>
      </w:r>
      <w:bookmarkEnd w:id="1017"/>
      <w:bookmarkEnd w:id="1018"/>
    </w:p>
    <w:p>
      <w:pPr>
        <w:pStyle w:val="Subsection"/>
      </w:pPr>
      <w:r>
        <w:tab/>
        <w:t>(1)</w:t>
      </w:r>
      <w:r>
        <w:tab/>
        <w:t xml:space="preserve">If a provision of this Act requires the Minister, as soon as is practicable, to cause a copy of an order, improvement plan or direction to be laid before each House of Parliament, or dealt with under this section, and — </w:t>
      </w:r>
    </w:p>
    <w:p>
      <w:pPr>
        <w:pStyle w:val="Indenta"/>
      </w:pPr>
      <w:r>
        <w:tab/>
        <w:t>(a)</w:t>
      </w:r>
      <w:r>
        <w:tab/>
        <w:t>at the commencement of the period after the day on which the order, improvement plan or direction is given, a House of Parliament is not sitting; and</w:t>
      </w:r>
    </w:p>
    <w:p>
      <w:pPr>
        <w:pStyle w:val="Indenta"/>
      </w:pPr>
      <w:r>
        <w:tab/>
        <w:t>(b)</w:t>
      </w:r>
      <w:r>
        <w:tab/>
        <w:t>the Minister is of the opinion that the House will not sit during the period of 14 days after the order or direction is given,</w:t>
      </w:r>
    </w:p>
    <w:p>
      <w:pPr>
        <w:pStyle w:val="Subsection"/>
      </w:pPr>
      <w:r>
        <w:tab/>
      </w:r>
      <w:r>
        <w:tab/>
        <w:t>the Minister is to transmit a copy of the order, improvement plan or direction to the Clerk of that House.</w:t>
      </w:r>
    </w:p>
    <w:p>
      <w:pPr>
        <w:pStyle w:val="Subsection"/>
      </w:pPr>
      <w:r>
        <w:tab/>
        <w:t>(2)</w:t>
      </w:r>
      <w:r>
        <w:tab/>
        <w:t>A copy of an order, improvement plan or direction transmitted to the Clerk of a House is to be taken to have been laid before that House.</w:t>
      </w:r>
    </w:p>
    <w:p>
      <w:pPr>
        <w:pStyle w:val="Subsection"/>
      </w:pPr>
      <w:r>
        <w:tab/>
        <w:t>(3)</w:t>
      </w:r>
      <w:r>
        <w:tab/>
        <w:t>The laying of a copy of an order, improvement plan or direction that is regarded as having occurred under subsection (2) is to be recorded in the Minutes, or Votes and Proceedings, of the House on the first sitting day of the House after the Clerk received the copy.</w:t>
      </w:r>
    </w:p>
    <w:p>
      <w:pPr>
        <w:pStyle w:val="Footnotesection"/>
      </w:pPr>
      <w:r>
        <w:tab/>
        <w:t xml:space="preserve">[Section 268A inserted: No. 28 of 2010 s. 50; amended: </w:t>
      </w:r>
      <w:r>
        <w:rPr>
          <w:spacing w:val="-4"/>
        </w:rPr>
        <w:t>No. 45 of 2011 s. 1</w:t>
      </w:r>
      <w:r>
        <w:t xml:space="preserve">41(11).] </w:t>
      </w:r>
    </w:p>
    <w:p>
      <w:pPr>
        <w:pStyle w:val="Heading5"/>
      </w:pPr>
      <w:bookmarkStart w:id="1019" w:name="_Toc77246520"/>
      <w:bookmarkStart w:id="1020" w:name="_Toc74924269"/>
      <w:r>
        <w:rPr>
          <w:rStyle w:val="CharSectno"/>
        </w:rPr>
        <w:t>268</w:t>
      </w:r>
      <w:r>
        <w:t>.</w:t>
      </w:r>
      <w:r>
        <w:tab/>
        <w:t>Review of Act</w:t>
      </w:r>
      <w:bookmarkEnd w:id="1019"/>
      <w:bookmarkEnd w:id="1020"/>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Heading2"/>
      </w:pPr>
      <w:bookmarkStart w:id="1021" w:name="_Toc77239567"/>
      <w:bookmarkStart w:id="1022" w:name="_Toc77240471"/>
      <w:bookmarkStart w:id="1023" w:name="_Toc77246521"/>
      <w:bookmarkStart w:id="1024" w:name="_Toc74652582"/>
      <w:bookmarkStart w:id="1025" w:name="_Toc74653048"/>
      <w:bookmarkStart w:id="1026" w:name="_Toc74733766"/>
      <w:bookmarkStart w:id="1027" w:name="_Toc74924270"/>
      <w:r>
        <w:rPr>
          <w:rStyle w:val="CharPartNo"/>
        </w:rPr>
        <w:t>Part 17</w:t>
      </w:r>
      <w:r>
        <w:t> — </w:t>
      </w:r>
      <w:r>
        <w:rPr>
          <w:rStyle w:val="CharPartText"/>
        </w:rPr>
        <w:t>Special provisions for COVID</w:t>
      </w:r>
      <w:r>
        <w:rPr>
          <w:rStyle w:val="CharPartText"/>
        </w:rPr>
        <w:noBreakHyphen/>
        <w:t>19 pandemic relating to development applications</w:t>
      </w:r>
      <w:bookmarkEnd w:id="1021"/>
      <w:bookmarkEnd w:id="1022"/>
      <w:bookmarkEnd w:id="1023"/>
      <w:bookmarkEnd w:id="1024"/>
      <w:bookmarkEnd w:id="1025"/>
      <w:bookmarkEnd w:id="1026"/>
      <w:bookmarkEnd w:id="1027"/>
    </w:p>
    <w:p>
      <w:pPr>
        <w:pStyle w:val="Footnoteheading"/>
      </w:pPr>
      <w:r>
        <w:tab/>
        <w:t>[Heading inserted: No. 26 of 2020 s. 4.]</w:t>
      </w:r>
    </w:p>
    <w:p>
      <w:pPr>
        <w:pStyle w:val="Heading3"/>
      </w:pPr>
      <w:bookmarkStart w:id="1028" w:name="_Toc77239568"/>
      <w:bookmarkStart w:id="1029" w:name="_Toc77240472"/>
      <w:bookmarkStart w:id="1030" w:name="_Toc77246522"/>
      <w:bookmarkStart w:id="1031" w:name="_Toc74652583"/>
      <w:bookmarkStart w:id="1032" w:name="_Toc74653049"/>
      <w:bookmarkStart w:id="1033" w:name="_Toc74733767"/>
      <w:bookmarkStart w:id="1034" w:name="_Toc74924271"/>
      <w:r>
        <w:rPr>
          <w:rStyle w:val="CharDivNo"/>
        </w:rPr>
        <w:t>Division 1</w:t>
      </w:r>
      <w:r>
        <w:t> — </w:t>
      </w:r>
      <w:r>
        <w:rPr>
          <w:rStyle w:val="CharDivText"/>
        </w:rPr>
        <w:t>Preliminary</w:t>
      </w:r>
      <w:bookmarkEnd w:id="1028"/>
      <w:bookmarkEnd w:id="1029"/>
      <w:bookmarkEnd w:id="1030"/>
      <w:bookmarkEnd w:id="1031"/>
      <w:bookmarkEnd w:id="1032"/>
      <w:bookmarkEnd w:id="1033"/>
      <w:bookmarkEnd w:id="1034"/>
    </w:p>
    <w:p>
      <w:pPr>
        <w:pStyle w:val="Footnoteheading"/>
      </w:pPr>
      <w:r>
        <w:tab/>
        <w:t>[Heading inserted: No. 26 of 2020 s. 4.]</w:t>
      </w:r>
    </w:p>
    <w:p>
      <w:pPr>
        <w:pStyle w:val="Heading5"/>
      </w:pPr>
      <w:bookmarkStart w:id="1035" w:name="_Toc77246523"/>
      <w:bookmarkStart w:id="1036" w:name="_Toc74924272"/>
      <w:r>
        <w:rPr>
          <w:rStyle w:val="CharSectno"/>
        </w:rPr>
        <w:t>269</w:t>
      </w:r>
      <w:r>
        <w:t>.</w:t>
      </w:r>
      <w:r>
        <w:tab/>
        <w:t>Terms used</w:t>
      </w:r>
      <w:bookmarkEnd w:id="1035"/>
      <w:bookmarkEnd w:id="1036"/>
    </w:p>
    <w:p>
      <w:pPr>
        <w:pStyle w:val="Subsection"/>
      </w:pPr>
      <w:r>
        <w:tab/>
        <w:t>(1)</w:t>
      </w:r>
      <w:r>
        <w:tab/>
        <w:t xml:space="preserve">In this Part — </w:t>
      </w:r>
    </w:p>
    <w:p>
      <w:pPr>
        <w:pStyle w:val="Defstart"/>
      </w:pPr>
      <w:r>
        <w:tab/>
      </w:r>
      <w:r>
        <w:rPr>
          <w:rStyle w:val="CharDefText"/>
        </w:rPr>
        <w:t>applicable legal instrument</w:t>
      </w:r>
      <w:r>
        <w:t>, in relation to a development application, means a legal instrument under which the application could, apart from this Part, be determined;</w:t>
      </w:r>
    </w:p>
    <w:p>
      <w:pPr>
        <w:pStyle w:val="Defstart"/>
      </w:pPr>
      <w:r>
        <w:tab/>
      </w:r>
      <w:r>
        <w:rPr>
          <w:rStyle w:val="CharDefText"/>
        </w:rPr>
        <w:t>development</w:t>
      </w:r>
      <w:r>
        <w:t xml:space="preserve">, in relation to a development application that is an application for approval under the </w:t>
      </w:r>
      <w:r>
        <w:rPr>
          <w:i/>
        </w:rPr>
        <w:t>Swan and Canning Rivers Management Act 2006</w:t>
      </w:r>
      <w:r>
        <w:t xml:space="preserve"> section 72(1) or (4) or to a determination of such an application, has the meaning given in section 3(1) of that Act;</w:t>
      </w:r>
    </w:p>
    <w:p>
      <w:pPr>
        <w:pStyle w:val="Defstart"/>
      </w:pPr>
      <w:r>
        <w:tab/>
      </w:r>
      <w:r>
        <w:rPr>
          <w:rStyle w:val="CharDefText"/>
        </w:rPr>
        <w:t>development application</w:t>
      </w:r>
      <w:r>
        <w:t xml:space="preserve"> — </w:t>
      </w:r>
    </w:p>
    <w:p>
      <w:pPr>
        <w:pStyle w:val="Defpara"/>
      </w:pPr>
      <w:r>
        <w:tab/>
        <w:t>(a)</w:t>
      </w:r>
      <w:r>
        <w:tab/>
        <w:t>means a development application as defined in section 4(1); and</w:t>
      </w:r>
    </w:p>
    <w:p>
      <w:pPr>
        <w:pStyle w:val="Defpara"/>
      </w:pPr>
      <w:r>
        <w:tab/>
        <w:t>(b)</w:t>
      </w:r>
      <w:r>
        <w:tab/>
        <w:t>includes (to avoid doubt) a development application as defined in section 4(1) that is to be determined, or could be determined, by a Development Assessment Panel; and</w:t>
      </w:r>
    </w:p>
    <w:p>
      <w:pPr>
        <w:pStyle w:val="Defpara"/>
      </w:pPr>
      <w:r>
        <w:tab/>
        <w:t>(c)</w:t>
      </w:r>
      <w:r>
        <w:tab/>
        <w:t>includes an application under Part 7 for approval of development in a planning control area; and</w:t>
      </w:r>
    </w:p>
    <w:p>
      <w:pPr>
        <w:pStyle w:val="Defpara"/>
      </w:pPr>
      <w:r>
        <w:tab/>
        <w:t>(d)</w:t>
      </w:r>
      <w:r>
        <w:tab/>
        <w:t xml:space="preserve">includes an application for approval under the </w:t>
      </w:r>
      <w:r>
        <w:rPr>
          <w:i/>
        </w:rPr>
        <w:t>Swan and Canning Rivers Management Act 2006</w:t>
      </w:r>
      <w:r>
        <w:t xml:space="preserve"> section 72(1) or (4);</w:t>
      </w:r>
    </w:p>
    <w:p>
      <w:pPr>
        <w:pStyle w:val="Defstart"/>
      </w:pPr>
      <w:r>
        <w:tab/>
      </w:r>
      <w:r>
        <w:rPr>
          <w:rStyle w:val="CharDefText"/>
        </w:rPr>
        <w:t>Government agreement</w:t>
      </w:r>
      <w:r>
        <w:t xml:space="preserve"> has the meaning given in the </w:t>
      </w:r>
      <w:r>
        <w:rPr>
          <w:i/>
        </w:rPr>
        <w:t>Government Agreements Act 1979</w:t>
      </w:r>
      <w:r>
        <w:t xml:space="preserve"> section 2;</w:t>
      </w:r>
    </w:p>
    <w:p>
      <w:pPr>
        <w:pStyle w:val="Defstart"/>
        <w:keepNext/>
      </w:pPr>
      <w:r>
        <w:tab/>
      </w:r>
      <w:r>
        <w:rPr>
          <w:rStyle w:val="CharDefText"/>
        </w:rPr>
        <w:t>legal instrument</w:t>
      </w:r>
      <w:r>
        <w:t xml:space="preserve"> means any of the following — </w:t>
      </w:r>
    </w:p>
    <w:p>
      <w:pPr>
        <w:pStyle w:val="Defpara"/>
      </w:pPr>
      <w:r>
        <w:tab/>
        <w:t>(a)</w:t>
      </w:r>
      <w:r>
        <w:tab/>
        <w:t>this Act, other than this Part, any Part 17 regulations and any orders under section 284;</w:t>
      </w:r>
    </w:p>
    <w:p>
      <w:pPr>
        <w:pStyle w:val="Defpara"/>
      </w:pPr>
      <w:r>
        <w:tab/>
        <w:t>(b)</w:t>
      </w:r>
      <w:r>
        <w:tab/>
        <w:t xml:space="preserve">any of the following enactments — </w:t>
      </w:r>
    </w:p>
    <w:p>
      <w:pPr>
        <w:pStyle w:val="Defsubpara"/>
      </w:pPr>
      <w:r>
        <w:tab/>
        <w:t>(i)</w:t>
      </w:r>
      <w:r>
        <w:tab/>
        <w:t xml:space="preserve">the </w:t>
      </w:r>
      <w:r>
        <w:rPr>
          <w:i/>
        </w:rPr>
        <w:t>Contaminated Sites Act 2003</w:t>
      </w:r>
      <w:r>
        <w:t>;</w:t>
      </w:r>
    </w:p>
    <w:p>
      <w:pPr>
        <w:pStyle w:val="Defsubpara"/>
      </w:pPr>
      <w:r>
        <w:tab/>
        <w:t>(ii)</w:t>
      </w:r>
      <w:r>
        <w:tab/>
        <w:t xml:space="preserve">the </w:t>
      </w:r>
      <w:r>
        <w:rPr>
          <w:i/>
        </w:rPr>
        <w:t>Heritage Act 2018</w:t>
      </w:r>
      <w:r>
        <w:t>;</w:t>
      </w:r>
    </w:p>
    <w:p>
      <w:pPr>
        <w:pStyle w:val="Defsubpara"/>
      </w:pPr>
      <w:r>
        <w:tab/>
        <w:t>(iii)</w:t>
      </w:r>
      <w:r>
        <w:tab/>
        <w:t xml:space="preserve">the </w:t>
      </w:r>
      <w:r>
        <w:rPr>
          <w:i/>
        </w:rPr>
        <w:t>Swan and Canning Rivers Management Act 2006</w:t>
      </w:r>
      <w:r>
        <w:t>;</w:t>
      </w:r>
    </w:p>
    <w:p>
      <w:pPr>
        <w:pStyle w:val="Defsubpara"/>
      </w:pPr>
      <w:r>
        <w:tab/>
        <w:t>(iv)</w:t>
      </w:r>
      <w:r>
        <w:tab/>
        <w:t xml:space="preserve">the </w:t>
      </w:r>
      <w:r>
        <w:rPr>
          <w:i/>
        </w:rPr>
        <w:t>Swan Valley Planning Act 1995</w:t>
      </w:r>
      <w:r>
        <w:t>;</w:t>
      </w:r>
    </w:p>
    <w:p>
      <w:pPr>
        <w:pStyle w:val="Defsubpara"/>
      </w:pPr>
      <w:r>
        <w:tab/>
        <w:t>(v)</w:t>
      </w:r>
      <w:r>
        <w:tab/>
        <w:t xml:space="preserve">the </w:t>
      </w:r>
      <w:r>
        <w:rPr>
          <w:i/>
        </w:rPr>
        <w:t>Local Government Act 1995</w:t>
      </w:r>
      <w:r>
        <w:t>;</w:t>
      </w:r>
    </w:p>
    <w:p>
      <w:pPr>
        <w:pStyle w:val="Defpara"/>
      </w:pPr>
      <w:r>
        <w:tab/>
        <w:t>(c)</w:t>
      </w:r>
      <w:r>
        <w:tab/>
        <w:t xml:space="preserve">any enactment, other than the following — </w:t>
      </w:r>
    </w:p>
    <w:p>
      <w:pPr>
        <w:pStyle w:val="Defsubpara"/>
      </w:pPr>
      <w:r>
        <w:tab/>
        <w:t>(i)</w:t>
      </w:r>
      <w:r>
        <w:tab/>
        <w:t>this Act;</w:t>
      </w:r>
    </w:p>
    <w:p>
      <w:pPr>
        <w:pStyle w:val="Defsubpara"/>
      </w:pPr>
      <w:r>
        <w:tab/>
        <w:t>(ii)</w:t>
      </w:r>
      <w:r>
        <w:tab/>
        <w:t>an enactment covered by paragraph (b);</w:t>
      </w:r>
    </w:p>
    <w:p>
      <w:pPr>
        <w:pStyle w:val="Defsubpara"/>
      </w:pPr>
      <w:r>
        <w:tab/>
        <w:t>(iii)</w:t>
      </w:r>
      <w:r>
        <w:tab/>
        <w:t>the EP Act;</w:t>
      </w:r>
    </w:p>
    <w:p>
      <w:pPr>
        <w:pStyle w:val="Defpara"/>
      </w:pPr>
      <w:r>
        <w:tab/>
        <w:t>(d)</w:t>
      </w:r>
      <w:r>
        <w:tab/>
        <w:t>a planning scheme or an interim development order;</w:t>
      </w:r>
    </w:p>
    <w:p>
      <w:pPr>
        <w:pStyle w:val="Defpara"/>
      </w:pPr>
      <w:r>
        <w:tab/>
        <w:t>(e)</w:t>
      </w:r>
      <w:r>
        <w:tab/>
        <w:t>any other scheme, code, policy, plan, local law, by</w:t>
      </w:r>
      <w:r>
        <w:noBreakHyphen/>
        <w:t>law, rule, condition, notice or other instrument made under any enactment covered by paragraph (a), (b) or (c);</w:t>
      </w:r>
    </w:p>
    <w:p>
      <w:pPr>
        <w:pStyle w:val="Defstart"/>
      </w:pPr>
      <w:r>
        <w:tab/>
      </w:r>
      <w:r>
        <w:rPr>
          <w:rStyle w:val="CharDefText"/>
        </w:rPr>
        <w:t>mining</w:t>
      </w:r>
      <w:r>
        <w:t xml:space="preserve"> has the meaning given in the </w:t>
      </w:r>
      <w:r>
        <w:rPr>
          <w:i/>
        </w:rPr>
        <w:t>Mining Act 1978</w:t>
      </w:r>
      <w:r>
        <w:t xml:space="preserve"> section 8(1);</w:t>
      </w:r>
    </w:p>
    <w:p>
      <w:pPr>
        <w:pStyle w:val="Defstart"/>
      </w:pPr>
      <w:r>
        <w:tab/>
      </w:r>
      <w:r>
        <w:rPr>
          <w:rStyle w:val="CharDefText"/>
        </w:rPr>
        <w:t>normal decision</w:t>
      </w:r>
      <w:r>
        <w:rPr>
          <w:rStyle w:val="CharDefText"/>
        </w:rPr>
        <w:noBreakHyphen/>
        <w:t>maker</w:t>
      </w:r>
      <w:r>
        <w:t>, in relation to a development application, means a person or body who could, apart from this Part, determine the application under an applicable legal instrument;</w:t>
      </w:r>
    </w:p>
    <w:p>
      <w:pPr>
        <w:pStyle w:val="Defstart"/>
      </w:pPr>
      <w:r>
        <w:tab/>
      </w:r>
      <w:r>
        <w:rPr>
          <w:rStyle w:val="CharDefText"/>
        </w:rPr>
        <w:t>Part 17 regulations</w:t>
      </w:r>
      <w:r>
        <w:t xml:space="preserve"> means regulations under section 286(1);</w:t>
      </w:r>
    </w:p>
    <w:p>
      <w:pPr>
        <w:pStyle w:val="Defstart"/>
      </w:pPr>
      <w:r>
        <w:tab/>
      </w:r>
      <w:r>
        <w:rPr>
          <w:rStyle w:val="CharDefText"/>
        </w:rPr>
        <w:t>recovery period</w:t>
      </w:r>
      <w:r>
        <w:t xml:space="preserve"> means the period of 18 months beginning on the day on which the </w:t>
      </w:r>
      <w:r>
        <w:rPr>
          <w:i/>
        </w:rPr>
        <w:t xml:space="preserve">Planning and Development Amendment Act 2020 </w:t>
      </w:r>
      <w:r>
        <w:t>section 4 comes into operation;</w:t>
      </w:r>
    </w:p>
    <w:p>
      <w:pPr>
        <w:pStyle w:val="Defstart"/>
        <w:keepNext/>
      </w:pPr>
      <w:r>
        <w:tab/>
      </w:r>
      <w:r>
        <w:rPr>
          <w:rStyle w:val="CharDefText"/>
        </w:rPr>
        <w:t>significant development</w:t>
      </w:r>
      <w:r>
        <w:t xml:space="preserve">, subject to subsections (2) and (3), means — </w:t>
      </w:r>
    </w:p>
    <w:p>
      <w:pPr>
        <w:pStyle w:val="Defpara"/>
        <w:keepNext/>
      </w:pPr>
      <w:r>
        <w:tab/>
        <w:t>(a)</w:t>
      </w:r>
      <w:r>
        <w:tab/>
        <w:t xml:space="preserve">development that has an estimated cost of — </w:t>
      </w:r>
    </w:p>
    <w:p>
      <w:pPr>
        <w:pStyle w:val="Defsubpara"/>
      </w:pPr>
      <w:r>
        <w:tab/>
        <w:t>(i)</w:t>
      </w:r>
      <w:r>
        <w:tab/>
        <w:t>in the case of a development that is wholly or partly in the metropolitan region — $20 million or more;</w:t>
      </w:r>
    </w:p>
    <w:p>
      <w:pPr>
        <w:pStyle w:val="Defsubpara"/>
      </w:pPr>
      <w:r>
        <w:tab/>
      </w:r>
      <w:r>
        <w:tab/>
        <w:t>or</w:t>
      </w:r>
    </w:p>
    <w:p>
      <w:pPr>
        <w:pStyle w:val="Defsubpara"/>
      </w:pPr>
      <w:r>
        <w:tab/>
        <w:t>(ii)</w:t>
      </w:r>
      <w:r>
        <w:tab/>
        <w:t>in any other case — $5 million or more;</w:t>
      </w:r>
    </w:p>
    <w:p>
      <w:pPr>
        <w:pStyle w:val="Defpara"/>
      </w:pPr>
      <w:r>
        <w:tab/>
      </w:r>
      <w:r>
        <w:tab/>
        <w:t>or</w:t>
      </w:r>
    </w:p>
    <w:p>
      <w:pPr>
        <w:pStyle w:val="Defpara"/>
      </w:pPr>
      <w:r>
        <w:tab/>
        <w:t>(b)</w:t>
      </w:r>
      <w:r>
        <w:tab/>
        <w:t>development that is of a class or kind prescribed by Part 17 regulations for the purposes of this paragraph;</w:t>
      </w:r>
    </w:p>
    <w:p>
      <w:pPr>
        <w:pStyle w:val="Defstart"/>
      </w:pPr>
      <w:r>
        <w:tab/>
      </w:r>
      <w:r>
        <w:rPr>
          <w:rStyle w:val="CharDefText"/>
        </w:rPr>
        <w:t>substantially commenced</w:t>
      </w:r>
      <w:r>
        <w:t xml:space="preserve">, subject to subsection (4), has the meaning given in the </w:t>
      </w:r>
      <w:r>
        <w:rPr>
          <w:i/>
        </w:rPr>
        <w:t>Planning and Development (Local Planning Schemes) Regulations 2015</w:t>
      </w:r>
      <w:r>
        <w:t xml:space="preserve"> Schedule 2 clause 1 as in force at the beginning of the recovery period;</w:t>
      </w:r>
    </w:p>
    <w:p>
      <w:pPr>
        <w:pStyle w:val="Defstart"/>
      </w:pPr>
      <w:r>
        <w:tab/>
      </w:r>
      <w:r>
        <w:rPr>
          <w:rStyle w:val="CharDefText"/>
        </w:rPr>
        <w:t>warehouse</w:t>
      </w:r>
      <w:r>
        <w:t xml:space="preserve"> means a building or outdoor facility, or a part of a building or outdoor facility, used for 1 or both of the following — </w:t>
      </w:r>
    </w:p>
    <w:p>
      <w:pPr>
        <w:pStyle w:val="Defpara"/>
      </w:pPr>
      <w:r>
        <w:tab/>
        <w:t>(a)</w:t>
      </w:r>
      <w:r>
        <w:tab/>
        <w:t>the storage of goods, equipment, plant or materials;</w:t>
      </w:r>
    </w:p>
    <w:p>
      <w:pPr>
        <w:pStyle w:val="Defpara"/>
      </w:pPr>
      <w:r>
        <w:tab/>
        <w:t>(b)</w:t>
      </w:r>
      <w:r>
        <w:tab/>
        <w:t>the display or sale by wholesale of goods.</w:t>
      </w:r>
    </w:p>
    <w:p>
      <w:pPr>
        <w:pStyle w:val="Subsection"/>
      </w:pPr>
      <w:r>
        <w:tab/>
        <w:t>(2)</w:t>
      </w:r>
      <w:r>
        <w:tab/>
        <w:t xml:space="preserve">Development that is of a class or kind prescribed by Part 17 regulations for the purposes of this subsection — </w:t>
      </w:r>
    </w:p>
    <w:p>
      <w:pPr>
        <w:pStyle w:val="Indenta"/>
      </w:pPr>
      <w:r>
        <w:tab/>
        <w:t>(a)</w:t>
      </w:r>
      <w:r>
        <w:tab/>
        <w:t>is not to be regarded as significant development or as being part of any significant development; and</w:t>
      </w:r>
    </w:p>
    <w:p>
      <w:pPr>
        <w:pStyle w:val="Indenta"/>
      </w:pPr>
      <w:r>
        <w:tab/>
        <w:t>(b)</w:t>
      </w:r>
      <w:r>
        <w:tab/>
        <w:t>is not to be taken into account in determining whether any larger development of which the development forms part is significant development.</w:t>
      </w:r>
    </w:p>
    <w:p>
      <w:pPr>
        <w:pStyle w:val="Subsection"/>
      </w:pPr>
      <w:r>
        <w:tab/>
        <w:t>(3)</w:t>
      </w:r>
      <w:r>
        <w:tab/>
        <w:t xml:space="preserve">Development of a warehouse — </w:t>
      </w:r>
    </w:p>
    <w:p>
      <w:pPr>
        <w:pStyle w:val="Indenta"/>
      </w:pPr>
      <w:r>
        <w:tab/>
        <w:t>(a)</w:t>
      </w:r>
      <w:r>
        <w:tab/>
        <w:t>is not to be regarded as significant development or as being part of any significant development; and</w:t>
      </w:r>
    </w:p>
    <w:p>
      <w:pPr>
        <w:pStyle w:val="Indenta"/>
      </w:pPr>
      <w:r>
        <w:tab/>
        <w:t>(b)</w:t>
      </w:r>
      <w:r>
        <w:tab/>
        <w:t>is not to be taken into account in determining whether any larger development of which the development forms part is significant development.</w:t>
      </w:r>
    </w:p>
    <w:p>
      <w:pPr>
        <w:pStyle w:val="Subsection"/>
      </w:pPr>
      <w:r>
        <w:tab/>
        <w:t>(4)</w:t>
      </w:r>
      <w:r>
        <w:tab/>
        <w:t xml:space="preserve">For the purposes of the definition of </w:t>
      </w:r>
      <w:r>
        <w:rPr>
          <w:b/>
          <w:i/>
        </w:rPr>
        <w:t>substantially commenced</w:t>
      </w:r>
      <w:r>
        <w:t xml:space="preserve"> in subsection (1), the definition of that term in the </w:t>
      </w:r>
      <w:r>
        <w:rPr>
          <w:i/>
        </w:rPr>
        <w:t xml:space="preserve">Planning and Development (Local Planning Schemes) Regulations 2015 </w:t>
      </w:r>
      <w:r>
        <w:t>Schedule 2 clause 1 applies as if the reference to a development approved under a planning scheme or under an interim development order were a reference to a development approved by the Commission under section 274.</w:t>
      </w:r>
    </w:p>
    <w:p>
      <w:pPr>
        <w:pStyle w:val="Footnotesection"/>
      </w:pPr>
      <w:r>
        <w:tab/>
        <w:t>[Section 269 inserted: No. 26 of 2020 s. 4.]</w:t>
      </w:r>
    </w:p>
    <w:p>
      <w:pPr>
        <w:pStyle w:val="Heading5"/>
      </w:pPr>
      <w:bookmarkStart w:id="1037" w:name="_Toc77246524"/>
      <w:bookmarkStart w:id="1038" w:name="_Toc74924273"/>
      <w:r>
        <w:rPr>
          <w:rStyle w:val="CharSectno"/>
        </w:rPr>
        <w:t>270</w:t>
      </w:r>
      <w:r>
        <w:t>.</w:t>
      </w:r>
      <w:r>
        <w:tab/>
        <w:t>Effect of Part</w:t>
      </w:r>
      <w:bookmarkEnd w:id="1037"/>
      <w:bookmarkEnd w:id="1038"/>
    </w:p>
    <w:p>
      <w:pPr>
        <w:pStyle w:val="Subsection"/>
      </w:pPr>
      <w:r>
        <w:tab/>
        <w:t>(1)</w:t>
      </w:r>
      <w:r>
        <w:tab/>
        <w:t>This Part has effect despite any legal instrument.</w:t>
      </w:r>
    </w:p>
    <w:p>
      <w:pPr>
        <w:pStyle w:val="Subsection"/>
      </w:pPr>
      <w:r>
        <w:tab/>
        <w:t>(2)</w:t>
      </w:r>
      <w:r>
        <w:tab/>
        <w:t xml:space="preserve">However, this Part does not apply in relation to any of the following — </w:t>
      </w:r>
    </w:p>
    <w:p>
      <w:pPr>
        <w:pStyle w:val="Indenta"/>
      </w:pPr>
      <w:r>
        <w:tab/>
        <w:t>(a)</w:t>
      </w:r>
      <w:r>
        <w:tab/>
        <w:t xml:space="preserve">land to which an approved redevelopment scheme under the </w:t>
      </w:r>
      <w:r>
        <w:rPr>
          <w:i/>
        </w:rPr>
        <w:t>Metropolitan Redevelopment Authority Act 2011</w:t>
      </w:r>
      <w:r>
        <w:t xml:space="preserve"> applies;</w:t>
      </w:r>
    </w:p>
    <w:p>
      <w:pPr>
        <w:pStyle w:val="Indenta"/>
      </w:pPr>
      <w:r>
        <w:tab/>
        <w:t>(b)</w:t>
      </w:r>
      <w:r>
        <w:tab/>
        <w:t xml:space="preserve">land in the redevelopment area as defined in the </w:t>
      </w:r>
      <w:r>
        <w:rPr>
          <w:i/>
        </w:rPr>
        <w:t>Hope Valley</w:t>
      </w:r>
      <w:r>
        <w:rPr>
          <w:i/>
        </w:rPr>
        <w:noBreakHyphen/>
        <w:t>Wattleup Redevelopment Act 2000</w:t>
      </w:r>
      <w:r>
        <w:t>;</w:t>
      </w:r>
    </w:p>
    <w:p>
      <w:pPr>
        <w:pStyle w:val="Indenta"/>
      </w:pPr>
      <w:r>
        <w:tab/>
        <w:t>(c)</w:t>
      </w:r>
      <w:r>
        <w:tab/>
        <w:t>land to which a Government agreement applies;</w:t>
      </w:r>
    </w:p>
    <w:p>
      <w:pPr>
        <w:pStyle w:val="Indenta"/>
      </w:pPr>
      <w:r>
        <w:tab/>
        <w:t>(d)</w:t>
      </w:r>
      <w:r>
        <w:tab/>
        <w:t xml:space="preserve">mining, or proposed mining, that is, or would be, authorised under the </w:t>
      </w:r>
      <w:r>
        <w:rPr>
          <w:i/>
        </w:rPr>
        <w:t>Mining Act 1978</w:t>
      </w:r>
      <w:r>
        <w:t>.</w:t>
      </w:r>
    </w:p>
    <w:p>
      <w:pPr>
        <w:pStyle w:val="Subsection"/>
      </w:pPr>
      <w:r>
        <w:tab/>
        <w:t>(3)</w:t>
      </w:r>
      <w:r>
        <w:tab/>
        <w:t>To avoid doubt, this Part is subject to section 5 of the EP Act.</w:t>
      </w:r>
    </w:p>
    <w:p>
      <w:pPr>
        <w:pStyle w:val="Footnotesection"/>
      </w:pPr>
      <w:r>
        <w:tab/>
        <w:t>[Section 270 inserted: No. 26 of 2020 s. 4.]</w:t>
      </w:r>
    </w:p>
    <w:p>
      <w:pPr>
        <w:pStyle w:val="Heading3"/>
      </w:pPr>
      <w:bookmarkStart w:id="1039" w:name="_Toc77239571"/>
      <w:bookmarkStart w:id="1040" w:name="_Toc77240475"/>
      <w:bookmarkStart w:id="1041" w:name="_Toc77246525"/>
      <w:bookmarkStart w:id="1042" w:name="_Toc74652586"/>
      <w:bookmarkStart w:id="1043" w:name="_Toc74653052"/>
      <w:bookmarkStart w:id="1044" w:name="_Toc74733770"/>
      <w:bookmarkStart w:id="1045" w:name="_Toc74924274"/>
      <w:r>
        <w:rPr>
          <w:rStyle w:val="CharDivNo"/>
        </w:rPr>
        <w:t>Division 2</w:t>
      </w:r>
      <w:r>
        <w:t> — </w:t>
      </w:r>
      <w:r>
        <w:rPr>
          <w:rStyle w:val="CharDivText"/>
        </w:rPr>
        <w:t>Commission to determine certain development applications</w:t>
      </w:r>
      <w:bookmarkEnd w:id="1039"/>
      <w:bookmarkEnd w:id="1040"/>
      <w:bookmarkEnd w:id="1041"/>
      <w:bookmarkEnd w:id="1042"/>
      <w:bookmarkEnd w:id="1043"/>
      <w:bookmarkEnd w:id="1044"/>
      <w:bookmarkEnd w:id="1045"/>
    </w:p>
    <w:p>
      <w:pPr>
        <w:pStyle w:val="Footnoteheading"/>
        <w:keepNext/>
      </w:pPr>
      <w:r>
        <w:tab/>
        <w:t>[Heading inserted: No. 26 of 2020 s. 4.]</w:t>
      </w:r>
    </w:p>
    <w:p>
      <w:pPr>
        <w:pStyle w:val="Heading4"/>
      </w:pPr>
      <w:bookmarkStart w:id="1046" w:name="_Toc77239572"/>
      <w:bookmarkStart w:id="1047" w:name="_Toc77240476"/>
      <w:bookmarkStart w:id="1048" w:name="_Toc77246526"/>
      <w:bookmarkStart w:id="1049" w:name="_Toc74652587"/>
      <w:bookmarkStart w:id="1050" w:name="_Toc74653053"/>
      <w:bookmarkStart w:id="1051" w:name="_Toc74733771"/>
      <w:bookmarkStart w:id="1052" w:name="_Toc74924275"/>
      <w:r>
        <w:rPr>
          <w:rStyle w:val="CharSDivNo"/>
        </w:rPr>
        <w:t>Subdivision 1</w:t>
      </w:r>
      <w:r>
        <w:t> — </w:t>
      </w:r>
      <w:r>
        <w:rPr>
          <w:rStyle w:val="CharSDivText"/>
        </w:rPr>
        <w:t>Applications and referrals</w:t>
      </w:r>
      <w:bookmarkEnd w:id="1046"/>
      <w:bookmarkEnd w:id="1047"/>
      <w:bookmarkEnd w:id="1048"/>
      <w:bookmarkEnd w:id="1049"/>
      <w:bookmarkEnd w:id="1050"/>
      <w:bookmarkEnd w:id="1051"/>
      <w:bookmarkEnd w:id="1052"/>
    </w:p>
    <w:p>
      <w:pPr>
        <w:pStyle w:val="Footnoteheading"/>
        <w:keepNext/>
      </w:pPr>
      <w:r>
        <w:tab/>
        <w:t>[Heading inserted: No. 26 of 2020 s. 4.]</w:t>
      </w:r>
    </w:p>
    <w:p>
      <w:pPr>
        <w:pStyle w:val="Heading5"/>
      </w:pPr>
      <w:bookmarkStart w:id="1053" w:name="_Toc77246527"/>
      <w:bookmarkStart w:id="1054" w:name="_Toc74924276"/>
      <w:r>
        <w:rPr>
          <w:rStyle w:val="CharSectno"/>
        </w:rPr>
        <w:t>271</w:t>
      </w:r>
      <w:r>
        <w:t>.</w:t>
      </w:r>
      <w:r>
        <w:tab/>
        <w:t>Development applications that may be made directly to Commission during recovery period</w:t>
      </w:r>
      <w:bookmarkEnd w:id="1053"/>
      <w:bookmarkEnd w:id="1054"/>
    </w:p>
    <w:p>
      <w:pPr>
        <w:pStyle w:val="Subsection"/>
        <w:keepNext/>
      </w:pPr>
      <w:r>
        <w:tab/>
      </w:r>
      <w:r>
        <w:tab/>
        <w:t>During the recovery period, a person may make a development application to the Commission for determination under section 274 if the application is for approval of significant development.</w:t>
      </w:r>
    </w:p>
    <w:p>
      <w:pPr>
        <w:pStyle w:val="Footnotesection"/>
      </w:pPr>
      <w:r>
        <w:tab/>
        <w:t>[Section 271 inserted: No. 26 of 2020 s. 4.]</w:t>
      </w:r>
    </w:p>
    <w:p>
      <w:pPr>
        <w:pStyle w:val="Heading5"/>
      </w:pPr>
      <w:bookmarkStart w:id="1055" w:name="_Toc77246528"/>
      <w:bookmarkStart w:id="1056" w:name="_Toc74924277"/>
      <w:r>
        <w:rPr>
          <w:rStyle w:val="CharSectno"/>
        </w:rPr>
        <w:t>272</w:t>
      </w:r>
      <w:r>
        <w:t>.</w:t>
      </w:r>
      <w:r>
        <w:tab/>
        <w:t>Development applications that may be referred to Commission by Premier during recovery period</w:t>
      </w:r>
      <w:bookmarkEnd w:id="1055"/>
      <w:bookmarkEnd w:id="1056"/>
    </w:p>
    <w:p>
      <w:pPr>
        <w:pStyle w:val="Subsection"/>
      </w:pPr>
      <w:r>
        <w:tab/>
        <w:t>(1)</w:t>
      </w:r>
      <w:r>
        <w:tab/>
        <w:t>During the recovery period, the prospective applicant in relation to a development application that has not yet been made may notify the Minister that they want the application to be determined under section 274.</w:t>
      </w:r>
    </w:p>
    <w:p>
      <w:pPr>
        <w:pStyle w:val="Subsection"/>
      </w:pPr>
      <w:r>
        <w:tab/>
        <w:t>(2)</w:t>
      </w:r>
      <w:r>
        <w:tab/>
        <w:t xml:space="preserve">Subsection (3) applies if the Minister — </w:t>
      </w:r>
    </w:p>
    <w:p>
      <w:pPr>
        <w:pStyle w:val="Indenta"/>
      </w:pPr>
      <w:r>
        <w:tab/>
        <w:t>(a)</w:t>
      </w:r>
      <w:r>
        <w:tab/>
        <w:t>is notified under subsection (1); and</w:t>
      </w:r>
    </w:p>
    <w:p>
      <w:pPr>
        <w:pStyle w:val="Indenta"/>
      </w:pPr>
      <w:r>
        <w:tab/>
        <w:t>(b)</w:t>
      </w:r>
      <w:r>
        <w:tab/>
        <w:t>considers that the development application raises issues of such State or regional importance that it would be appropriate for the application to be determined under section 274.</w:t>
      </w:r>
    </w:p>
    <w:p>
      <w:pPr>
        <w:pStyle w:val="Subsection"/>
      </w:pPr>
      <w:r>
        <w:tab/>
        <w:t>(3)</w:t>
      </w:r>
      <w:r>
        <w:tab/>
        <w:t>During the recovery period, the Premier, on the Minister’s recommendation, may refer the development application to the Commission for determination under section 274.</w:t>
      </w:r>
    </w:p>
    <w:p>
      <w:pPr>
        <w:pStyle w:val="Subsection"/>
        <w:keepNext/>
      </w:pPr>
      <w:r>
        <w:tab/>
        <w:t>(4)</w:t>
      </w:r>
      <w:r>
        <w:tab/>
        <w:t xml:space="preserve">Subsection (5) applies if — </w:t>
      </w:r>
    </w:p>
    <w:p>
      <w:pPr>
        <w:pStyle w:val="Indenta"/>
      </w:pPr>
      <w:r>
        <w:tab/>
        <w:t>(a)</w:t>
      </w:r>
      <w:r>
        <w:tab/>
        <w:t>before or during the recovery period, a person makes a development application (otherwise than to the Commission under section 271); and</w:t>
      </w:r>
    </w:p>
    <w:p>
      <w:pPr>
        <w:pStyle w:val="Indenta"/>
      </w:pPr>
      <w:r>
        <w:tab/>
        <w:t>(b)</w:t>
      </w:r>
      <w:r>
        <w:tab/>
        <w:t>the Minister considers that the development application raises issues of such State or regional importance that it would be appropriate for the application to be determined under section 274.</w:t>
      </w:r>
    </w:p>
    <w:p>
      <w:pPr>
        <w:pStyle w:val="Subsection"/>
      </w:pPr>
      <w:r>
        <w:tab/>
        <w:t>(5)</w:t>
      </w:r>
      <w:r>
        <w:tab/>
        <w:t xml:space="preserve">During the recovery period, the Premier, on the Minister’s recommendation, may — </w:t>
      </w:r>
    </w:p>
    <w:p>
      <w:pPr>
        <w:pStyle w:val="Indenta"/>
      </w:pPr>
      <w:r>
        <w:tab/>
        <w:t>(a)</w:t>
      </w:r>
      <w:r>
        <w:tab/>
        <w:t>direct any person or body who is dealing with the development application to refer the application to the Commission for determination under section 274; or</w:t>
      </w:r>
    </w:p>
    <w:p>
      <w:pPr>
        <w:pStyle w:val="Indenta"/>
      </w:pPr>
      <w:r>
        <w:tab/>
        <w:t>(b)</w:t>
      </w:r>
      <w:r>
        <w:tab/>
        <w:t>if the Commission is dealing with the development application — direct the Commission to determine the application under section 274.</w:t>
      </w:r>
    </w:p>
    <w:p>
      <w:pPr>
        <w:pStyle w:val="Subsection"/>
      </w:pPr>
      <w:r>
        <w:tab/>
        <w:t>(6)</w:t>
      </w:r>
      <w:r>
        <w:tab/>
        <w:t>However, the Premier cannot give a direction under subsection (5) if the development application has already been determined, or been taken to be determined, by a normal decision</w:t>
      </w:r>
      <w:r>
        <w:noBreakHyphen/>
        <w:t>maker (whether or not the determination is to be reviewed by the State Administrative Tribunal or otherwise challenged).</w:t>
      </w:r>
    </w:p>
    <w:p>
      <w:pPr>
        <w:pStyle w:val="Subsection"/>
      </w:pPr>
      <w:r>
        <w:tab/>
        <w:t>(7)</w:t>
      </w:r>
      <w:r>
        <w:tab/>
        <w:t xml:space="preserve">The Premier, within 14 days after the day on which a direction is given under subsection (5), must cause a copy of it to be published in the </w:t>
      </w:r>
      <w:r>
        <w:rPr>
          <w:i/>
        </w:rPr>
        <w:t>Gazette</w:t>
      </w:r>
      <w:r>
        <w:t xml:space="preserve"> and, as soon as is practicable, must cause a copy of it to be laid before each House of Parliament or dealt with under section 268A.</w:t>
      </w:r>
    </w:p>
    <w:p>
      <w:pPr>
        <w:pStyle w:val="Footnotesection"/>
      </w:pPr>
      <w:r>
        <w:tab/>
        <w:t>[Section 272 inserted: No. 26 of 2020 s. 4.]</w:t>
      </w:r>
    </w:p>
    <w:p>
      <w:pPr>
        <w:pStyle w:val="Heading5"/>
      </w:pPr>
      <w:bookmarkStart w:id="1057" w:name="_Toc77246529"/>
      <w:bookmarkStart w:id="1058" w:name="_Toc74924278"/>
      <w:r>
        <w:rPr>
          <w:rStyle w:val="CharSectno"/>
        </w:rPr>
        <w:t>273</w:t>
      </w:r>
      <w:r>
        <w:t>.</w:t>
      </w:r>
      <w:r>
        <w:tab/>
        <w:t>Supplementary provisions for applications and referrals</w:t>
      </w:r>
      <w:bookmarkEnd w:id="1057"/>
      <w:bookmarkEnd w:id="1058"/>
    </w:p>
    <w:p>
      <w:pPr>
        <w:pStyle w:val="Subsection"/>
      </w:pPr>
      <w:r>
        <w:tab/>
        <w:t>(1)</w:t>
      </w:r>
      <w:r>
        <w:tab/>
        <w:t>A development application that is made under section 271 must be made in the manner and form required by the Commission and, without limitation, include any documents or information required by the Commission.</w:t>
      </w:r>
    </w:p>
    <w:p>
      <w:pPr>
        <w:pStyle w:val="Subsection"/>
      </w:pPr>
      <w:r>
        <w:tab/>
        <w:t>(2)</w:t>
      </w:r>
      <w:r>
        <w:tab/>
        <w:t>A notification under section 272(1) must be made in the manner and form required by the Minister and, without limitation, include any documents or information required by the Minister.</w:t>
      </w:r>
    </w:p>
    <w:p>
      <w:pPr>
        <w:pStyle w:val="Subsection"/>
      </w:pPr>
      <w:r>
        <w:tab/>
        <w:t>(3)</w:t>
      </w:r>
      <w:r>
        <w:tab/>
        <w:t xml:space="preserve">A person or body who is given a direction under section 272(5) to refer a development application to the Commission — </w:t>
      </w:r>
    </w:p>
    <w:p>
      <w:pPr>
        <w:pStyle w:val="Indenta"/>
      </w:pPr>
      <w:r>
        <w:tab/>
        <w:t>(a)</w:t>
      </w:r>
      <w:r>
        <w:tab/>
        <w:t>must refer the development application within the period specified in the direction; and</w:t>
      </w:r>
    </w:p>
    <w:p>
      <w:pPr>
        <w:pStyle w:val="Indenta"/>
      </w:pPr>
      <w:r>
        <w:tab/>
        <w:t>(b)</w:t>
      </w:r>
      <w:r>
        <w:tab/>
        <w:t>in referring the development application, must provide the Commission with the application and any documents or information that accompanied the application.</w:t>
      </w:r>
    </w:p>
    <w:p>
      <w:pPr>
        <w:pStyle w:val="Subsection"/>
      </w:pPr>
      <w:r>
        <w:tab/>
        <w:t>(4)</w:t>
      </w:r>
      <w:r>
        <w:tab/>
        <w:t xml:space="preserve">Without limiting section 270(1), in imposing requirements under subsection (1) or (2), the Commission or Minister is not bound or restricted by any legal instrument that would, apart from this Part, regulate, or otherwise apply in relation to, any of the following — </w:t>
      </w:r>
    </w:p>
    <w:p>
      <w:pPr>
        <w:pStyle w:val="Indenta"/>
      </w:pPr>
      <w:r>
        <w:tab/>
        <w:t>(a)</w:t>
      </w:r>
      <w:r>
        <w:tab/>
        <w:t xml:space="preserve">the making of the development application; </w:t>
      </w:r>
    </w:p>
    <w:p>
      <w:pPr>
        <w:pStyle w:val="Indenta"/>
      </w:pPr>
      <w:r>
        <w:tab/>
        <w:t>(b)</w:t>
      </w:r>
      <w:r>
        <w:tab/>
        <w:t>the development application itself;</w:t>
      </w:r>
    </w:p>
    <w:p>
      <w:pPr>
        <w:pStyle w:val="Indenta"/>
      </w:pPr>
      <w:r>
        <w:tab/>
        <w:t>(c)</w:t>
      </w:r>
      <w:r>
        <w:tab/>
        <w:t>the consideration or determination of the development application.</w:t>
      </w:r>
    </w:p>
    <w:p>
      <w:pPr>
        <w:pStyle w:val="Footnotesection"/>
      </w:pPr>
      <w:r>
        <w:tab/>
        <w:t>[Section 273 inserted: No. 26 of 2020 s. 4.]</w:t>
      </w:r>
    </w:p>
    <w:p>
      <w:pPr>
        <w:pStyle w:val="Heading4"/>
      </w:pPr>
      <w:bookmarkStart w:id="1059" w:name="_Toc77239576"/>
      <w:bookmarkStart w:id="1060" w:name="_Toc77240480"/>
      <w:bookmarkStart w:id="1061" w:name="_Toc77246530"/>
      <w:bookmarkStart w:id="1062" w:name="_Toc74652591"/>
      <w:bookmarkStart w:id="1063" w:name="_Toc74653057"/>
      <w:bookmarkStart w:id="1064" w:name="_Toc74733775"/>
      <w:bookmarkStart w:id="1065" w:name="_Toc74924279"/>
      <w:r>
        <w:rPr>
          <w:rStyle w:val="CharSDivNo"/>
        </w:rPr>
        <w:t>Subdivision 2</w:t>
      </w:r>
      <w:r>
        <w:t> — </w:t>
      </w:r>
      <w:r>
        <w:rPr>
          <w:rStyle w:val="CharSDivText"/>
        </w:rPr>
        <w:t>Determinations</w:t>
      </w:r>
      <w:bookmarkEnd w:id="1059"/>
      <w:bookmarkEnd w:id="1060"/>
      <w:bookmarkEnd w:id="1061"/>
      <w:bookmarkEnd w:id="1062"/>
      <w:bookmarkEnd w:id="1063"/>
      <w:bookmarkEnd w:id="1064"/>
      <w:bookmarkEnd w:id="1065"/>
    </w:p>
    <w:p>
      <w:pPr>
        <w:pStyle w:val="Footnoteheading"/>
      </w:pPr>
      <w:r>
        <w:tab/>
        <w:t>[Heading inserted: No. 26 of 2020 s. 4.]</w:t>
      </w:r>
    </w:p>
    <w:p>
      <w:pPr>
        <w:pStyle w:val="Heading5"/>
      </w:pPr>
      <w:bookmarkStart w:id="1066" w:name="_Toc77246531"/>
      <w:bookmarkStart w:id="1067" w:name="_Toc74924280"/>
      <w:r>
        <w:rPr>
          <w:rStyle w:val="CharSectno"/>
        </w:rPr>
        <w:t>274</w:t>
      </w:r>
      <w:r>
        <w:t>.</w:t>
      </w:r>
      <w:r>
        <w:tab/>
        <w:t>Determination of development applications by Commission</w:t>
      </w:r>
      <w:bookmarkEnd w:id="1066"/>
      <w:bookmarkEnd w:id="1067"/>
    </w:p>
    <w:p>
      <w:pPr>
        <w:pStyle w:val="Subsection"/>
      </w:pPr>
      <w:r>
        <w:tab/>
        <w:t>(1)</w:t>
      </w:r>
      <w:r>
        <w:tab/>
        <w:t xml:space="preserve">A development application must be determined under this section (and not any applicable legal instrument) if — </w:t>
      </w:r>
    </w:p>
    <w:p>
      <w:pPr>
        <w:pStyle w:val="Indenta"/>
      </w:pPr>
      <w:r>
        <w:tab/>
        <w:t>(a)</w:t>
      </w:r>
      <w:r>
        <w:tab/>
        <w:t>the development application is made or referred to the Commission under section 271 or 272(3) or (5); or</w:t>
      </w:r>
    </w:p>
    <w:p>
      <w:pPr>
        <w:pStyle w:val="Indenta"/>
      </w:pPr>
      <w:r>
        <w:tab/>
        <w:t>(b)</w:t>
      </w:r>
      <w:r>
        <w:tab/>
        <w:t>the Commission is directed under section 272(5) to determine the development application under this section.</w:t>
      </w:r>
    </w:p>
    <w:p>
      <w:pPr>
        <w:pStyle w:val="Subsection"/>
      </w:pPr>
      <w:r>
        <w:tab/>
        <w:t>(2)</w:t>
      </w:r>
      <w:r>
        <w:tab/>
        <w:t xml:space="preserve">The Commission must consider the development application and determine it by — </w:t>
      </w:r>
    </w:p>
    <w:p>
      <w:pPr>
        <w:pStyle w:val="Indenta"/>
      </w:pPr>
      <w:r>
        <w:tab/>
        <w:t>(a)</w:t>
      </w:r>
      <w:r>
        <w:tab/>
        <w:t>granting approval for the development without conditions; or</w:t>
      </w:r>
    </w:p>
    <w:p>
      <w:pPr>
        <w:pStyle w:val="Indenta"/>
      </w:pPr>
      <w:r>
        <w:tab/>
        <w:t>(b)</w:t>
      </w:r>
      <w:r>
        <w:tab/>
        <w:t>granting approval for the development with conditions; or</w:t>
      </w:r>
    </w:p>
    <w:p>
      <w:pPr>
        <w:pStyle w:val="Indenta"/>
      </w:pPr>
      <w:r>
        <w:tab/>
        <w:t>(c)</w:t>
      </w:r>
      <w:r>
        <w:tab/>
        <w:t>refusing approval for the development.</w:t>
      </w:r>
    </w:p>
    <w:p>
      <w:pPr>
        <w:pStyle w:val="Subsection"/>
      </w:pPr>
      <w:r>
        <w:tab/>
        <w:t>(3)</w:t>
      </w:r>
      <w:r>
        <w:tab/>
        <w:t>The Commission must determine the development application as soon as is reasonably practicable but, subject to that, does not have to determine the application before the end of the recovery period.</w:t>
      </w:r>
    </w:p>
    <w:p>
      <w:pPr>
        <w:pStyle w:val="Subsection"/>
      </w:pPr>
      <w:r>
        <w:tab/>
        <w:t>(4)</w:t>
      </w:r>
      <w:r>
        <w:tab/>
        <w:t xml:space="preserve">For the purposes of subsection (2)(a) and (b) — </w:t>
      </w:r>
    </w:p>
    <w:p>
      <w:pPr>
        <w:pStyle w:val="Indenta"/>
      </w:pPr>
      <w:r>
        <w:tab/>
        <w:t>(a)</w:t>
      </w:r>
      <w:r>
        <w:tab/>
        <w:t xml:space="preserve">approval can be granted — </w:t>
      </w:r>
    </w:p>
    <w:p>
      <w:pPr>
        <w:pStyle w:val="Indenti"/>
      </w:pPr>
      <w:r>
        <w:tab/>
        <w:t>(i)</w:t>
      </w:r>
      <w:r>
        <w:tab/>
        <w:t>for the development for which approval is sought; or</w:t>
      </w:r>
    </w:p>
    <w:p>
      <w:pPr>
        <w:pStyle w:val="Indenti"/>
      </w:pPr>
      <w:r>
        <w:tab/>
        <w:t>(ii)</w:t>
      </w:r>
      <w:r>
        <w:tab/>
        <w:t>for that development, except for a part or aspect of that development specified in the approval; or</w:t>
      </w:r>
    </w:p>
    <w:p>
      <w:pPr>
        <w:pStyle w:val="Indenti"/>
      </w:pPr>
      <w:r>
        <w:tab/>
        <w:t>(iii)</w:t>
      </w:r>
      <w:r>
        <w:tab/>
        <w:t>for a part or aspect of that development specified in the approval;</w:t>
      </w:r>
    </w:p>
    <w:p>
      <w:pPr>
        <w:pStyle w:val="Indenta"/>
      </w:pPr>
      <w:r>
        <w:tab/>
      </w:r>
      <w:r>
        <w:tab/>
        <w:t>but</w:t>
      </w:r>
    </w:p>
    <w:p>
      <w:pPr>
        <w:pStyle w:val="Indenta"/>
      </w:pPr>
      <w:r>
        <w:tab/>
        <w:t>(b)</w:t>
      </w:r>
      <w:r>
        <w:tab/>
        <w:t xml:space="preserve">approval cannot be granted as referred to in paragraph (a)(ii) or (iii) — </w:t>
      </w:r>
    </w:p>
    <w:p>
      <w:pPr>
        <w:pStyle w:val="Indenti"/>
      </w:pPr>
      <w:r>
        <w:tab/>
        <w:t>(i)</w:t>
      </w:r>
      <w:r>
        <w:tab/>
        <w:t>in the case of a development application made under section 271 — for development that is not significant development; or</w:t>
      </w:r>
    </w:p>
    <w:p>
      <w:pPr>
        <w:pStyle w:val="Indenti"/>
      </w:pPr>
      <w:r>
        <w:tab/>
        <w:t>(ii)</w:t>
      </w:r>
      <w:r>
        <w:tab/>
        <w:t>in any other case — for development that is substantially different from the development for which approval is sought.</w:t>
      </w:r>
    </w:p>
    <w:p>
      <w:pPr>
        <w:pStyle w:val="Subsection"/>
        <w:keepNext/>
      </w:pPr>
      <w:r>
        <w:tab/>
        <w:t>(5)</w:t>
      </w:r>
      <w:r>
        <w:tab/>
        <w:t xml:space="preserve">For the purposes of subsection (2)(b), the Commission may impose any conditions that the Commission considers appropriate, including (without limitation) the following — </w:t>
      </w:r>
    </w:p>
    <w:p>
      <w:pPr>
        <w:pStyle w:val="Indenta"/>
      </w:pPr>
      <w:r>
        <w:tab/>
        <w:t>(a)</w:t>
      </w:r>
      <w:r>
        <w:tab/>
        <w:t>a condition limiting the time period for which approval is granted;</w:t>
      </w:r>
    </w:p>
    <w:p>
      <w:pPr>
        <w:pStyle w:val="Indenta"/>
      </w:pPr>
      <w:r>
        <w:tab/>
        <w:t>(b)</w:t>
      </w:r>
      <w:r>
        <w:tab/>
        <w:t>a condition requiring further details of the development specified in the approval to be, before the development is commenced, submitted to, and approved by, the Commission.</w:t>
      </w:r>
    </w:p>
    <w:p>
      <w:pPr>
        <w:pStyle w:val="Subsection"/>
      </w:pPr>
      <w:r>
        <w:tab/>
        <w:t>(6)</w:t>
      </w:r>
      <w:r>
        <w:tab/>
        <w:t>The Commission can impose a condition of the kind referred to in subsection (5)(b) only if the Commission considers that the further details to be approved would not substantially change the approved development.</w:t>
      </w:r>
    </w:p>
    <w:p>
      <w:pPr>
        <w:pStyle w:val="Subsection"/>
      </w:pPr>
      <w:r>
        <w:tab/>
        <w:t>(7)</w:t>
      </w:r>
      <w:r>
        <w:tab/>
        <w:t xml:space="preserve">When the Commission determines the development application, the Commission must — </w:t>
      </w:r>
    </w:p>
    <w:p>
      <w:pPr>
        <w:pStyle w:val="Indenta"/>
      </w:pPr>
      <w:r>
        <w:tab/>
        <w:t>(a)</w:t>
      </w:r>
      <w:r>
        <w:tab/>
        <w:t>give the applicant written notice of the determination, including the Commission’s reasons for the determination; and</w:t>
      </w:r>
    </w:p>
    <w:p>
      <w:pPr>
        <w:pStyle w:val="Indenta"/>
      </w:pPr>
      <w:r>
        <w:tab/>
        <w:t>(b)</w:t>
      </w:r>
      <w:r>
        <w:tab/>
        <w:t>make copies of the determination and reasons publicly available on a website maintained by, or on behalf of, the Commission.</w:t>
      </w:r>
    </w:p>
    <w:p>
      <w:pPr>
        <w:pStyle w:val="Footnotesection"/>
      </w:pPr>
      <w:r>
        <w:tab/>
        <w:t>[Section 274 inserted: No. 26 of 2020 s. 4.]</w:t>
      </w:r>
    </w:p>
    <w:p>
      <w:pPr>
        <w:pStyle w:val="Heading5"/>
      </w:pPr>
      <w:bookmarkStart w:id="1068" w:name="_Toc77246532"/>
      <w:bookmarkStart w:id="1069" w:name="_Toc74924281"/>
      <w:r>
        <w:rPr>
          <w:rStyle w:val="CharSectno"/>
        </w:rPr>
        <w:t>275</w:t>
      </w:r>
      <w:r>
        <w:t>.</w:t>
      </w:r>
      <w:r>
        <w:tab/>
        <w:t>Application of legal instruments and matters to which Commission must have due regard</w:t>
      </w:r>
      <w:bookmarkEnd w:id="1068"/>
      <w:bookmarkEnd w:id="1069"/>
    </w:p>
    <w:p>
      <w:pPr>
        <w:pStyle w:val="Subsection"/>
      </w:pPr>
      <w:r>
        <w:tab/>
        <w:t>(1)</w:t>
      </w:r>
      <w:r>
        <w:tab/>
        <w:t>This section applies if the Commission is required to consider and determine a development application under section 274.</w:t>
      </w:r>
    </w:p>
    <w:p>
      <w:pPr>
        <w:pStyle w:val="Subsection"/>
      </w:pPr>
      <w:r>
        <w:tab/>
        <w:t>(2)</w:t>
      </w:r>
      <w:r>
        <w:tab/>
        <w:t xml:space="preserve">Subsections (3) and (4) apply in relation to any legal instrument that would, apart from this Part, regulate, or otherwise apply in relation to, any of the following — </w:t>
      </w:r>
    </w:p>
    <w:p>
      <w:pPr>
        <w:pStyle w:val="Indenta"/>
      </w:pPr>
      <w:r>
        <w:tab/>
        <w:t>(a)</w:t>
      </w:r>
      <w:r>
        <w:tab/>
        <w:t xml:space="preserve">the making of the development application; </w:t>
      </w:r>
    </w:p>
    <w:p>
      <w:pPr>
        <w:pStyle w:val="Indenta"/>
      </w:pPr>
      <w:r>
        <w:tab/>
        <w:t>(b)</w:t>
      </w:r>
      <w:r>
        <w:tab/>
        <w:t>the development application itself;</w:t>
      </w:r>
    </w:p>
    <w:p>
      <w:pPr>
        <w:pStyle w:val="Indenta"/>
      </w:pPr>
      <w:r>
        <w:tab/>
        <w:t>(c)</w:t>
      </w:r>
      <w:r>
        <w:tab/>
        <w:t>the consideration or determination of the development application.</w:t>
      </w:r>
    </w:p>
    <w:p>
      <w:pPr>
        <w:pStyle w:val="Subsection"/>
      </w:pPr>
      <w:r>
        <w:tab/>
        <w:t>(3)</w:t>
      </w:r>
      <w:r>
        <w:tab/>
        <w:t xml:space="preserve">Without limiting section 270(1), for the purposes of the Commission’s consideration and determination of the development application — </w:t>
      </w:r>
    </w:p>
    <w:p>
      <w:pPr>
        <w:pStyle w:val="Indenta"/>
      </w:pPr>
      <w:r>
        <w:tab/>
        <w:t>(a)</w:t>
      </w:r>
      <w:r>
        <w:tab/>
        <w:t>the legal instrument does not apply; and</w:t>
      </w:r>
    </w:p>
    <w:p>
      <w:pPr>
        <w:pStyle w:val="Indenta"/>
      </w:pPr>
      <w:r>
        <w:tab/>
        <w:t>(b)</w:t>
      </w:r>
      <w:r>
        <w:tab/>
        <w:t>the Commission is not otherwise bound or restricted by the legal instrument.</w:t>
      </w:r>
    </w:p>
    <w:p>
      <w:pPr>
        <w:pStyle w:val="Subsection"/>
      </w:pPr>
      <w:r>
        <w:tab/>
        <w:t>(4)</w:t>
      </w:r>
      <w:r>
        <w:tab/>
        <w:t xml:space="preserve">However, in considering and determining the development application, the Commission may do any of the following — </w:t>
      </w:r>
    </w:p>
    <w:p>
      <w:pPr>
        <w:pStyle w:val="Indenta"/>
      </w:pPr>
      <w:r>
        <w:tab/>
        <w:t>(a)</w:t>
      </w:r>
      <w:r>
        <w:tab/>
        <w:t>anything that a normal decision</w:t>
      </w:r>
      <w:r>
        <w:noBreakHyphen/>
        <w:t>maker, or any other person or body dealing with the development application, could, apart from this Part, have done under the legal instrument;</w:t>
      </w:r>
    </w:p>
    <w:p>
      <w:pPr>
        <w:pStyle w:val="Indenta"/>
      </w:pPr>
      <w:r>
        <w:tab/>
        <w:t>(b)</w:t>
      </w:r>
      <w:r>
        <w:tab/>
        <w:t>request any person or body to perform (in whole or in part and with or without modifications) any functions that the person or body would, apart from this Part, have had in relation to the development application under the legal instrument;</w:t>
      </w:r>
    </w:p>
    <w:p>
      <w:pPr>
        <w:pStyle w:val="Indenta"/>
      </w:pPr>
      <w:r>
        <w:tab/>
        <w:t>(c)</w:t>
      </w:r>
      <w:r>
        <w:tab/>
        <w:t>otherwise involve, or consult, a person or body referred to in paragraph (b);</w:t>
      </w:r>
    </w:p>
    <w:p>
      <w:pPr>
        <w:pStyle w:val="Indenta"/>
      </w:pPr>
      <w:r>
        <w:tab/>
        <w:t>(d)</w:t>
      </w:r>
      <w:r>
        <w:tab/>
        <w:t>otherwise apply (with or without modifications), or have regard to, the legal instrument.</w:t>
      </w:r>
    </w:p>
    <w:p>
      <w:pPr>
        <w:pStyle w:val="Subsection"/>
      </w:pPr>
      <w:r>
        <w:tab/>
        <w:t>(5)</w:t>
      </w:r>
      <w:r>
        <w:tab/>
        <w:t xml:space="preserve">Without limiting subsection (3), the Commission — </w:t>
      </w:r>
    </w:p>
    <w:p>
      <w:pPr>
        <w:pStyle w:val="Indenta"/>
      </w:pPr>
      <w:r>
        <w:tab/>
        <w:t>(a)</w:t>
      </w:r>
      <w:r>
        <w:tab/>
        <w:t>in considering and determining the development application, is not limited to planning considerations and may have regard to any other matter affecting the public interest; and</w:t>
      </w:r>
    </w:p>
    <w:p>
      <w:pPr>
        <w:pStyle w:val="Indenta"/>
      </w:pPr>
      <w:r>
        <w:tab/>
        <w:t>(b)</w:t>
      </w:r>
      <w:r>
        <w:tab/>
        <w:t xml:space="preserve">may grant approval for development even if — </w:t>
      </w:r>
    </w:p>
    <w:p>
      <w:pPr>
        <w:pStyle w:val="Indenti"/>
      </w:pPr>
      <w:r>
        <w:tab/>
        <w:t>(i)</w:t>
      </w:r>
      <w:r>
        <w:tab/>
        <w:t>there has been a contravention by any person or body of a legal instrument referred to in subsection (2); or</w:t>
      </w:r>
    </w:p>
    <w:p>
      <w:pPr>
        <w:pStyle w:val="Indenti"/>
      </w:pPr>
      <w:r>
        <w:tab/>
        <w:t>(ii)</w:t>
      </w:r>
      <w:r>
        <w:tab/>
        <w:t>there would, apart from this Part, have been such a contravention.</w:t>
      </w:r>
    </w:p>
    <w:p>
      <w:pPr>
        <w:pStyle w:val="Subsection"/>
      </w:pPr>
      <w:r>
        <w:tab/>
        <w:t>(6)</w:t>
      </w:r>
      <w:r>
        <w:tab/>
        <w:t xml:space="preserve">In considering and determining the development application, the Commission must have due regard to — </w:t>
      </w:r>
    </w:p>
    <w:p>
      <w:pPr>
        <w:pStyle w:val="Indenta"/>
      </w:pPr>
      <w:r>
        <w:tab/>
        <w:t>(a)</w:t>
      </w:r>
      <w:r>
        <w:tab/>
        <w:t>the purpose and intent of any planning scheme that has effect in the locality to which the development application relates; and</w:t>
      </w:r>
    </w:p>
    <w:p>
      <w:pPr>
        <w:pStyle w:val="Indenta"/>
      </w:pPr>
      <w:r>
        <w:tab/>
        <w:t>(b)</w:t>
      </w:r>
      <w:r>
        <w:tab/>
        <w:t>the need to ensure the orderly and proper planning, and the preservation of amenity, of that locality; and</w:t>
      </w:r>
    </w:p>
    <w:p>
      <w:pPr>
        <w:pStyle w:val="Indenta"/>
      </w:pPr>
      <w:r>
        <w:tab/>
        <w:t>(c)</w:t>
      </w:r>
      <w:r>
        <w:tab/>
        <w:t>the need to facilitate development in response to the economic effects of the COVID</w:t>
      </w:r>
      <w:r>
        <w:noBreakHyphen/>
        <w:t>19 pandemic; and</w:t>
      </w:r>
    </w:p>
    <w:p>
      <w:pPr>
        <w:pStyle w:val="Indenta"/>
      </w:pPr>
      <w:r>
        <w:tab/>
        <w:t>(d)</w:t>
      </w:r>
      <w:r>
        <w:tab/>
        <w:t>any relevant State planning policies and any other relevant policies of the Commission.</w:t>
      </w:r>
    </w:p>
    <w:p>
      <w:pPr>
        <w:pStyle w:val="Footnotesection"/>
      </w:pPr>
      <w:r>
        <w:tab/>
        <w:t>[Section 275 inserted: No. 26 of 2020 s. 4.]</w:t>
      </w:r>
    </w:p>
    <w:p>
      <w:pPr>
        <w:pStyle w:val="Heading5"/>
      </w:pPr>
      <w:bookmarkStart w:id="1070" w:name="_Toc77246533"/>
      <w:bookmarkStart w:id="1071" w:name="_Toc74924282"/>
      <w:r>
        <w:rPr>
          <w:rStyle w:val="CharSectno"/>
        </w:rPr>
        <w:t>276</w:t>
      </w:r>
      <w:r>
        <w:t>.</w:t>
      </w:r>
      <w:r>
        <w:tab/>
        <w:t>Consultation, submissions and other input</w:t>
      </w:r>
      <w:bookmarkEnd w:id="1070"/>
      <w:bookmarkEnd w:id="1071"/>
    </w:p>
    <w:p>
      <w:pPr>
        <w:pStyle w:val="Subsection"/>
      </w:pPr>
      <w:r>
        <w:tab/>
        <w:t>(1)</w:t>
      </w:r>
      <w:r>
        <w:tab/>
        <w:t>This section applies for the purposes of the Commission’s consideration of a development application under section 274 (but does not limit what the Commission may or must do under section 275).</w:t>
      </w:r>
    </w:p>
    <w:p>
      <w:pPr>
        <w:pStyle w:val="Subsection"/>
      </w:pPr>
      <w:r>
        <w:tab/>
        <w:t>(2)</w:t>
      </w:r>
      <w:r>
        <w:tab/>
        <w:t xml:space="preserve">The Commission must — </w:t>
      </w:r>
    </w:p>
    <w:p>
      <w:pPr>
        <w:pStyle w:val="Indenta"/>
      </w:pPr>
      <w:r>
        <w:tab/>
        <w:t>(a)</w:t>
      </w:r>
      <w:r>
        <w:tab/>
        <w:t>consult the Minister; and</w:t>
      </w:r>
    </w:p>
    <w:p>
      <w:pPr>
        <w:pStyle w:val="Indenta"/>
      </w:pPr>
      <w:r>
        <w:tab/>
        <w:t>(b)</w:t>
      </w:r>
      <w:r>
        <w:tab/>
        <w:t>if required by the Minister — give the Minister a reasonable opportunity to make submissions to the Commission; and</w:t>
      </w:r>
    </w:p>
    <w:p>
      <w:pPr>
        <w:pStyle w:val="Indenta"/>
      </w:pPr>
      <w:r>
        <w:tab/>
        <w:t>(c)</w:t>
      </w:r>
      <w:r>
        <w:tab/>
        <w:t>have due regard to any submissions made by the Minister.</w:t>
      </w:r>
    </w:p>
    <w:p>
      <w:pPr>
        <w:pStyle w:val="Subsection"/>
      </w:pPr>
      <w:r>
        <w:tab/>
        <w:t>(3)</w:t>
      </w:r>
      <w:r>
        <w:tab/>
        <w:t xml:space="preserve">The Commission must — </w:t>
      </w:r>
    </w:p>
    <w:p>
      <w:pPr>
        <w:pStyle w:val="Indenta"/>
      </w:pPr>
      <w:r>
        <w:tab/>
        <w:t>(a)</w:t>
      </w:r>
      <w:r>
        <w:tab/>
        <w:t xml:space="preserve">consult the CEO (as defined in the </w:t>
      </w:r>
      <w:r>
        <w:rPr>
          <w:i/>
        </w:rPr>
        <w:t>Contaminated Sites Act 2003</w:t>
      </w:r>
      <w:r>
        <w:t xml:space="preserve"> section 3(1)) if the development is of land referred to in section 58(1)(a)(i) of that Act in respect of which a memorial is registered under section 58 of that Act; and</w:t>
      </w:r>
    </w:p>
    <w:p>
      <w:pPr>
        <w:pStyle w:val="Indenta"/>
      </w:pPr>
      <w:r>
        <w:tab/>
        <w:t>(b)</w:t>
      </w:r>
      <w:r>
        <w:tab/>
        <w:t xml:space="preserve">consult the Heritage Council if the development would, or would be likely to, affect any of the following — </w:t>
      </w:r>
    </w:p>
    <w:p>
      <w:pPr>
        <w:pStyle w:val="Indenti"/>
      </w:pPr>
      <w:r>
        <w:tab/>
        <w:t>(i)</w:t>
      </w:r>
      <w:r>
        <w:tab/>
        <w:t xml:space="preserve">a place that is a registered place under the </w:t>
      </w:r>
      <w:r>
        <w:rPr>
          <w:i/>
        </w:rPr>
        <w:t>Heritage Act 2018</w:t>
      </w:r>
      <w:r>
        <w:t>;</w:t>
      </w:r>
    </w:p>
    <w:p>
      <w:pPr>
        <w:pStyle w:val="Indenti"/>
      </w:pPr>
      <w:r>
        <w:tab/>
        <w:t>(ii)</w:t>
      </w:r>
      <w:r>
        <w:tab/>
        <w:t xml:space="preserve">a place that is the subject of a protection order under the </w:t>
      </w:r>
      <w:r>
        <w:rPr>
          <w:i/>
        </w:rPr>
        <w:t>Heritage Act 2018</w:t>
      </w:r>
      <w:r>
        <w:t xml:space="preserve"> Part 4 Division 1;</w:t>
      </w:r>
    </w:p>
    <w:p>
      <w:pPr>
        <w:pStyle w:val="Indenti"/>
      </w:pPr>
      <w:r>
        <w:tab/>
        <w:t>(iii)</w:t>
      </w:r>
      <w:r>
        <w:tab/>
        <w:t xml:space="preserve">a place that is the subject of a heritage agreement made by the Heritage Council under the </w:t>
      </w:r>
      <w:r>
        <w:rPr>
          <w:i/>
        </w:rPr>
        <w:t>Heritage Act 2018</w:t>
      </w:r>
      <w:r>
        <w:t xml:space="preserve"> Part 7;</w:t>
      </w:r>
    </w:p>
    <w:p>
      <w:pPr>
        <w:pStyle w:val="Indenta"/>
      </w:pPr>
      <w:r>
        <w:tab/>
      </w:r>
      <w:r>
        <w:tab/>
        <w:t>and</w:t>
      </w:r>
    </w:p>
    <w:p>
      <w:pPr>
        <w:pStyle w:val="Indenta"/>
      </w:pPr>
      <w:r>
        <w:tab/>
        <w:t>(c)</w:t>
      </w:r>
      <w:r>
        <w:tab/>
        <w:t xml:space="preserve">consult the Swan River Trust if the development — </w:t>
      </w:r>
    </w:p>
    <w:p>
      <w:pPr>
        <w:pStyle w:val="Indenti"/>
      </w:pPr>
      <w:r>
        <w:tab/>
        <w:t>(i)</w:t>
      </w:r>
      <w:r>
        <w:tab/>
        <w:t xml:space="preserve">is of land that is wholly or partly in the development control area as defined in the </w:t>
      </w:r>
      <w:r>
        <w:rPr>
          <w:i/>
        </w:rPr>
        <w:t>Swan and Canning Rivers Management Act 2006</w:t>
      </w:r>
      <w:r>
        <w:t>; or</w:t>
      </w:r>
    </w:p>
    <w:p>
      <w:pPr>
        <w:pStyle w:val="Indenti"/>
      </w:pPr>
      <w:r>
        <w:tab/>
        <w:t>(ii)</w:t>
      </w:r>
      <w:r>
        <w:tab/>
        <w:t>is of land that abuts that development control area; or</w:t>
      </w:r>
    </w:p>
    <w:p>
      <w:pPr>
        <w:pStyle w:val="Indenti"/>
      </w:pPr>
      <w:r>
        <w:tab/>
        <w:t>(iii)</w:t>
      </w:r>
      <w:r>
        <w:tab/>
        <w:t>would, or would be likely to, affect any waters in that development control area;</w:t>
      </w:r>
    </w:p>
    <w:p>
      <w:pPr>
        <w:pStyle w:val="Indenta"/>
      </w:pPr>
      <w:r>
        <w:tab/>
      </w:r>
      <w:r>
        <w:tab/>
        <w:t>and</w:t>
      </w:r>
    </w:p>
    <w:p>
      <w:pPr>
        <w:pStyle w:val="Indenta"/>
      </w:pPr>
      <w:r>
        <w:tab/>
        <w:t>(d)</w:t>
      </w:r>
      <w:r>
        <w:tab/>
        <w:t>have due regard to any submission made, or advice given, to the Commission in the course of a consultation under paragraph (a), (b) or (c).</w:t>
      </w:r>
    </w:p>
    <w:p>
      <w:pPr>
        <w:pStyle w:val="Subsection"/>
      </w:pPr>
      <w:r>
        <w:tab/>
        <w:t>(4)</w:t>
      </w:r>
      <w:r>
        <w:tab/>
        <w:t xml:space="preserve">The Commission must — </w:t>
      </w:r>
    </w:p>
    <w:p>
      <w:pPr>
        <w:pStyle w:val="Indenta"/>
      </w:pPr>
      <w:r>
        <w:tab/>
        <w:t>(a)</w:t>
      </w:r>
      <w:r>
        <w:tab/>
        <w:t>give any local government to whose district the development application relates an opportunity to make submissions to the Commission within a period specified by the Commission; and</w:t>
      </w:r>
    </w:p>
    <w:p>
      <w:pPr>
        <w:pStyle w:val="Indenta"/>
      </w:pPr>
      <w:r>
        <w:tab/>
        <w:t>(b)</w:t>
      </w:r>
      <w:r>
        <w:tab/>
        <w:t>have due regard to any submissions made by the local government within that period.</w:t>
      </w:r>
    </w:p>
    <w:p>
      <w:pPr>
        <w:pStyle w:val="Subsection"/>
      </w:pPr>
      <w:r>
        <w:tab/>
        <w:t>(5)</w:t>
      </w:r>
      <w:r>
        <w:tab/>
        <w:t xml:space="preserve">The Commission may require the applicant to do any of the following within a period specified by the Commission — </w:t>
      </w:r>
    </w:p>
    <w:p>
      <w:pPr>
        <w:pStyle w:val="Indenta"/>
      </w:pPr>
      <w:r>
        <w:tab/>
        <w:t>(a)</w:t>
      </w:r>
      <w:r>
        <w:tab/>
        <w:t>provide the Commission with any document or information;</w:t>
      </w:r>
    </w:p>
    <w:p>
      <w:pPr>
        <w:pStyle w:val="Indenta"/>
      </w:pPr>
      <w:r>
        <w:tab/>
        <w:t>(b)</w:t>
      </w:r>
      <w:r>
        <w:tab/>
        <w:t>do anything else that the Commission considers appropriate.</w:t>
      </w:r>
    </w:p>
    <w:p>
      <w:pPr>
        <w:pStyle w:val="Subsection"/>
      </w:pPr>
      <w:r>
        <w:tab/>
        <w:t>(6)</w:t>
      </w:r>
      <w:r>
        <w:tab/>
        <w:t xml:space="preserve">The Commission must — </w:t>
      </w:r>
    </w:p>
    <w:p>
      <w:pPr>
        <w:pStyle w:val="Indenta"/>
      </w:pPr>
      <w:r>
        <w:tab/>
        <w:t>(a)</w:t>
      </w:r>
      <w:r>
        <w:tab/>
        <w:t>consult any person or body not referred to in subsections (2) to (5) whom the Commission considers it appropriate to consult; and</w:t>
      </w:r>
    </w:p>
    <w:p>
      <w:pPr>
        <w:pStyle w:val="Indenta"/>
      </w:pPr>
      <w:r>
        <w:tab/>
        <w:t>(b)</w:t>
      </w:r>
      <w:r>
        <w:tab/>
        <w:t>in the manner the Commission considers appropriate, advertise the development application, inviting submissions from members of the public generally or from a class or group of members of the public that the Commission considers appropriate; and</w:t>
      </w:r>
    </w:p>
    <w:p>
      <w:pPr>
        <w:pStyle w:val="Indenta"/>
      </w:pPr>
      <w:r>
        <w:tab/>
        <w:t>(c)</w:t>
      </w:r>
      <w:r>
        <w:tab/>
        <w:t>have due regard to any submissions made by members of the public in response to the invitation under paragraph (b).</w:t>
      </w:r>
    </w:p>
    <w:p>
      <w:pPr>
        <w:pStyle w:val="Subsection"/>
      </w:pPr>
      <w:r>
        <w:tab/>
        <w:t>(7)</w:t>
      </w:r>
      <w:r>
        <w:tab/>
        <w:t>The Commission may do anything else that is not covered by subsections (2) to (6) and that the Commission considers it appropriate to do in order to obtain a document, information, an opinion or any other contribution from any person or body.</w:t>
      </w:r>
    </w:p>
    <w:p>
      <w:pPr>
        <w:pStyle w:val="Subsection"/>
      </w:pPr>
      <w:r>
        <w:tab/>
        <w:t>(8)</w:t>
      </w:r>
      <w:r>
        <w:tab/>
        <w:t xml:space="preserve">If the Commission does anything under subsection (6)(a) or (b) or (7), the Commission must, as it considers appropriate, set a limit on the time within which, as the case requires — </w:t>
      </w:r>
    </w:p>
    <w:p>
      <w:pPr>
        <w:pStyle w:val="Indenta"/>
      </w:pPr>
      <w:r>
        <w:tab/>
        <w:t>(a)</w:t>
      </w:r>
      <w:r>
        <w:tab/>
        <w:t>a person or body who is being consulted by the Commission may respond to the Commission on any matter; or</w:t>
      </w:r>
    </w:p>
    <w:p>
      <w:pPr>
        <w:pStyle w:val="Indenta"/>
      </w:pPr>
      <w:r>
        <w:tab/>
        <w:t>(b)</w:t>
      </w:r>
      <w:r>
        <w:tab/>
        <w:t>members of the public may make submissions; or</w:t>
      </w:r>
    </w:p>
    <w:p>
      <w:pPr>
        <w:pStyle w:val="Indenta"/>
      </w:pPr>
      <w:r>
        <w:tab/>
        <w:t>(c)</w:t>
      </w:r>
      <w:r>
        <w:tab/>
        <w:t>a person or body may provide any document, information, opinion or other contribution.</w:t>
      </w:r>
    </w:p>
    <w:p>
      <w:pPr>
        <w:pStyle w:val="Footnotesection"/>
      </w:pPr>
      <w:r>
        <w:tab/>
        <w:t>[Section 276 inserted: No. 26 of 2020 s. 4.]</w:t>
      </w:r>
    </w:p>
    <w:p>
      <w:pPr>
        <w:pStyle w:val="Heading5"/>
      </w:pPr>
      <w:bookmarkStart w:id="1072" w:name="_Toc77246534"/>
      <w:bookmarkStart w:id="1073" w:name="_Toc74924283"/>
      <w:r>
        <w:rPr>
          <w:rStyle w:val="CharSectno"/>
        </w:rPr>
        <w:t>277</w:t>
      </w:r>
      <w:r>
        <w:t>.</w:t>
      </w:r>
      <w:r>
        <w:tab/>
        <w:t>Effect of Commission determination under s. 274</w:t>
      </w:r>
      <w:bookmarkEnd w:id="1072"/>
      <w:bookmarkEnd w:id="1073"/>
    </w:p>
    <w:p>
      <w:pPr>
        <w:pStyle w:val="Subsection"/>
      </w:pPr>
      <w:r>
        <w:tab/>
        <w:t>(1)</w:t>
      </w:r>
      <w:r>
        <w:tab/>
        <w:t>This section applies if the Commission determines a development application under section 274.</w:t>
      </w:r>
    </w:p>
    <w:p>
      <w:pPr>
        <w:pStyle w:val="Subsection"/>
      </w:pPr>
      <w:r>
        <w:tab/>
        <w:t>(2)</w:t>
      </w:r>
      <w:r>
        <w:tab/>
        <w:t>The Commission’s determination has effect, and is valid, for all purposes as if it had been made by a normal decision</w:t>
      </w:r>
      <w:r>
        <w:noBreakHyphen/>
        <w:t>maker under an applicable legal instrument.</w:t>
      </w:r>
    </w:p>
    <w:p>
      <w:pPr>
        <w:pStyle w:val="PermNoteHeading"/>
      </w:pPr>
      <w:r>
        <w:tab/>
        <w:t>Example for this subsection:</w:t>
      </w:r>
    </w:p>
    <w:p>
      <w:pPr>
        <w:pStyle w:val="PermNoteText"/>
      </w:pPr>
      <w:r>
        <w:tab/>
        <w:t>1.</w:t>
      </w:r>
      <w:r>
        <w:tab/>
        <w:t>If the development application would, apart from this Part, have been determined by a local government for the purposes of a local planning scheme, the Commission’s determination has the same effect for the purposes of the local planning scheme as if the determination had been made by the local government.</w:t>
      </w:r>
    </w:p>
    <w:p>
      <w:pPr>
        <w:pStyle w:val="PermNoteText"/>
      </w:pPr>
      <w:r>
        <w:tab/>
        <w:t>2.</w:t>
      </w:r>
      <w:r>
        <w:tab/>
        <w:t xml:space="preserve">Accordingly, if the determination is to grant approval for development — </w:t>
      </w:r>
    </w:p>
    <w:p>
      <w:pPr>
        <w:pStyle w:val="PermNotePara"/>
      </w:pPr>
      <w:r>
        <w:tab/>
        <w:t>(a)</w:t>
      </w:r>
      <w:r>
        <w:tab/>
        <w:t>the development may be commenced and carried out as if the approval had been granted by the local government; and</w:t>
      </w:r>
    </w:p>
    <w:p>
      <w:pPr>
        <w:pStyle w:val="PermNotePara"/>
      </w:pPr>
      <w:r>
        <w:tab/>
        <w:t>(b)</w:t>
      </w:r>
      <w:r>
        <w:tab/>
        <w:t>any conditions imposed by the Commission on the approval must be complied with as if they were conditions imposed on the approval by the local government; and</w:t>
      </w:r>
    </w:p>
    <w:p>
      <w:pPr>
        <w:pStyle w:val="PermNotePara"/>
      </w:pPr>
      <w:r>
        <w:tab/>
        <w:t>(c)</w:t>
      </w:r>
      <w:r>
        <w:tab/>
        <w:t>section 218(c) applies in relation to a failure to comply with any of those conditions.</w:t>
      </w:r>
    </w:p>
    <w:p>
      <w:pPr>
        <w:pStyle w:val="Subsection"/>
      </w:pPr>
      <w:r>
        <w:tab/>
        <w:t>(3)</w:t>
      </w:r>
      <w:r>
        <w:tab/>
        <w:t>Subsection (2) applies even if the Commission’s determination could not have been made by a normal decision</w:t>
      </w:r>
      <w:r>
        <w:noBreakHyphen/>
        <w:t>maker under an applicable legal instrument.</w:t>
      </w:r>
    </w:p>
    <w:p>
      <w:pPr>
        <w:pStyle w:val="Subsection"/>
      </w:pPr>
      <w:r>
        <w:tab/>
        <w:t>(4)</w:t>
      </w:r>
      <w:r>
        <w:tab/>
        <w:t>Without limiting subsections (2) and (3), a decision, or other act or omission, of a person or body is not unlawful or invalid just because the Commission’s determination could not have been made by a normal decision</w:t>
      </w:r>
      <w:r>
        <w:noBreakHyphen/>
        <w:t>maker under an applicable legal instrument.</w:t>
      </w:r>
    </w:p>
    <w:p>
      <w:pPr>
        <w:pStyle w:val="Subsection"/>
      </w:pPr>
      <w:r>
        <w:tab/>
        <w:t>(5)</w:t>
      </w:r>
      <w:r>
        <w:tab/>
        <w:t>Subsections (2) to (4) are subject to sections 278 and 279 and Divisions 3 and 4.</w:t>
      </w:r>
    </w:p>
    <w:p>
      <w:pPr>
        <w:pStyle w:val="Subsection"/>
      </w:pPr>
      <w:r>
        <w:tab/>
        <w:t>(6)</w:t>
      </w:r>
      <w:r>
        <w:tab/>
        <w:t>Subject to Division 3, if the Commission’s determination is to grant approval for development, the determination does not affect the operation of any legal instrument that requires the obtaining, in relation to the development, of any other type of approval, consent, licence, permit, registration or other authority (however described).</w:t>
      </w:r>
    </w:p>
    <w:p>
      <w:pPr>
        <w:pStyle w:val="PermNoteHeading"/>
      </w:pPr>
      <w:r>
        <w:tab/>
        <w:t>Examples for this subsection:</w:t>
      </w:r>
    </w:p>
    <w:p>
      <w:pPr>
        <w:pStyle w:val="PermNoteText"/>
      </w:pPr>
      <w:r>
        <w:tab/>
        <w:t>1.</w:t>
      </w:r>
      <w:r>
        <w:tab/>
        <w:t xml:space="preserve">A consent under the </w:t>
      </w:r>
      <w:r>
        <w:rPr>
          <w:i/>
        </w:rPr>
        <w:t>Aboriginal Heritage Act 1972</w:t>
      </w:r>
      <w:r>
        <w:t xml:space="preserve"> section 18.</w:t>
      </w:r>
    </w:p>
    <w:p>
      <w:pPr>
        <w:pStyle w:val="PermNoteText"/>
      </w:pPr>
      <w:r>
        <w:tab/>
        <w:t>2.</w:t>
      </w:r>
      <w:r>
        <w:tab/>
        <w:t xml:space="preserve">A building permit or demolition permit under the </w:t>
      </w:r>
      <w:r>
        <w:rPr>
          <w:i/>
        </w:rPr>
        <w:t>Building Act 2011</w:t>
      </w:r>
      <w:r>
        <w:t>.</w:t>
      </w:r>
    </w:p>
    <w:p>
      <w:pPr>
        <w:pStyle w:val="PermNoteText"/>
      </w:pPr>
      <w:r>
        <w:tab/>
        <w:t>3.</w:t>
      </w:r>
      <w:r>
        <w:tab/>
        <w:t xml:space="preserve">A licence under the </w:t>
      </w:r>
      <w:r>
        <w:rPr>
          <w:i/>
        </w:rPr>
        <w:t>Liquor Control Act 1988</w:t>
      </w:r>
      <w:r>
        <w:t>.</w:t>
      </w:r>
    </w:p>
    <w:p>
      <w:pPr>
        <w:pStyle w:val="Subsection"/>
      </w:pPr>
      <w:r>
        <w:tab/>
        <w:t>(7)</w:t>
      </w:r>
      <w:r>
        <w:tab/>
        <w:t>If the Commission’s determination is to grant approval for development, references in subsections (2) to (6) to the Commission’s determination are to the determination as amended from time to time under section 279 or by an order under section 284.</w:t>
      </w:r>
    </w:p>
    <w:p>
      <w:pPr>
        <w:pStyle w:val="Footnotesection"/>
      </w:pPr>
      <w:r>
        <w:tab/>
        <w:t>[Section 277 inserted: No. 26 of 2020 s. 4.]</w:t>
      </w:r>
    </w:p>
    <w:p>
      <w:pPr>
        <w:pStyle w:val="Heading5"/>
      </w:pPr>
      <w:bookmarkStart w:id="1074" w:name="_Toc77246535"/>
      <w:bookmarkStart w:id="1075" w:name="_Toc74924284"/>
      <w:r>
        <w:rPr>
          <w:rStyle w:val="CharSectno"/>
        </w:rPr>
        <w:t>278</w:t>
      </w:r>
      <w:r>
        <w:t>.</w:t>
      </w:r>
      <w:r>
        <w:tab/>
        <w:t>Substantial commencement of development approved by Commission under s. 274</w:t>
      </w:r>
      <w:bookmarkEnd w:id="1074"/>
      <w:bookmarkEnd w:id="1075"/>
    </w:p>
    <w:p>
      <w:pPr>
        <w:pStyle w:val="Subsection"/>
      </w:pPr>
      <w:r>
        <w:tab/>
        <w:t>(1)</w:t>
      </w:r>
      <w:r>
        <w:tab/>
        <w:t>This section applies if the Commission grants approval for development under section 274.</w:t>
      </w:r>
    </w:p>
    <w:p>
      <w:pPr>
        <w:pStyle w:val="Subsection"/>
      </w:pPr>
      <w:r>
        <w:tab/>
        <w:t>(2)</w:t>
      </w:r>
      <w:r>
        <w:tab/>
        <w:t xml:space="preserve">The development must be substantially commenced — </w:t>
      </w:r>
    </w:p>
    <w:p>
      <w:pPr>
        <w:pStyle w:val="Indenta"/>
      </w:pPr>
      <w:r>
        <w:tab/>
        <w:t>(a)</w:t>
      </w:r>
      <w:r>
        <w:tab/>
        <w:t>within the period specified in the approval for the purposes of this subsection; or</w:t>
      </w:r>
    </w:p>
    <w:p>
      <w:pPr>
        <w:pStyle w:val="Indenta"/>
      </w:pPr>
      <w:r>
        <w:tab/>
        <w:t>(b)</w:t>
      </w:r>
      <w:r>
        <w:tab/>
        <w:t>if no period is specified in the approval — within the period of 24 months beginning on the day on which the approval is granted.</w:t>
      </w:r>
    </w:p>
    <w:p>
      <w:pPr>
        <w:pStyle w:val="Subsection"/>
      </w:pPr>
      <w:r>
        <w:tab/>
        <w:t>(3)</w:t>
      </w:r>
      <w:r>
        <w:tab/>
        <w:t>The approval lapses if the development is not substantially commenced within the period referred to in subsection (2).</w:t>
      </w:r>
    </w:p>
    <w:p>
      <w:pPr>
        <w:pStyle w:val="Footnotesection"/>
      </w:pPr>
      <w:r>
        <w:tab/>
        <w:t>[Section 278 inserted: No. 26 of 2020 s. 4.]</w:t>
      </w:r>
    </w:p>
    <w:p>
      <w:pPr>
        <w:pStyle w:val="Heading5"/>
      </w:pPr>
      <w:bookmarkStart w:id="1076" w:name="_Toc77246536"/>
      <w:bookmarkStart w:id="1077" w:name="_Toc74924285"/>
      <w:r>
        <w:rPr>
          <w:rStyle w:val="CharSectno"/>
        </w:rPr>
        <w:t>279</w:t>
      </w:r>
      <w:r>
        <w:t>.</w:t>
      </w:r>
      <w:r>
        <w:tab/>
        <w:t>Amendment or cancellation of approval granted by Commission under s. 274</w:t>
      </w:r>
      <w:bookmarkEnd w:id="1076"/>
      <w:bookmarkEnd w:id="1077"/>
    </w:p>
    <w:p>
      <w:pPr>
        <w:pStyle w:val="Subsection"/>
      </w:pPr>
      <w:r>
        <w:tab/>
        <w:t>(1)</w:t>
      </w:r>
      <w:r>
        <w:tab/>
        <w:t>This section applies if the Commission grants approval for development under section 274 in respect of any land.</w:t>
      </w:r>
    </w:p>
    <w:p>
      <w:pPr>
        <w:pStyle w:val="Subsection"/>
      </w:pPr>
      <w:r>
        <w:tab/>
        <w:t>(2)</w:t>
      </w:r>
      <w:r>
        <w:tab/>
        <w:t xml:space="preserve">An owner of the land, or a person who is of a class or kind prescribed by Part 17 regulations for the purposes of this subsection, may apply to the Commission for the Commission — </w:t>
      </w:r>
    </w:p>
    <w:p>
      <w:pPr>
        <w:pStyle w:val="Indenta"/>
      </w:pPr>
      <w:r>
        <w:tab/>
        <w:t>(a)</w:t>
      </w:r>
      <w:r>
        <w:tab/>
        <w:t>to amend or remove any of the conditions imposed on the approval; or</w:t>
      </w:r>
    </w:p>
    <w:p>
      <w:pPr>
        <w:pStyle w:val="Indenta"/>
      </w:pPr>
      <w:r>
        <w:tab/>
        <w:t>(b)</w:t>
      </w:r>
      <w:r>
        <w:tab/>
        <w:t>to amend any part or aspect of the approved development; or</w:t>
      </w:r>
    </w:p>
    <w:p>
      <w:pPr>
        <w:pStyle w:val="Indenta"/>
      </w:pPr>
      <w:r>
        <w:tab/>
        <w:t>(c)</w:t>
      </w:r>
      <w:r>
        <w:tab/>
        <w:t>to amend the approval in any other way; or</w:t>
      </w:r>
    </w:p>
    <w:p>
      <w:pPr>
        <w:pStyle w:val="Indenta"/>
      </w:pPr>
      <w:r>
        <w:tab/>
        <w:t>(d)</w:t>
      </w:r>
      <w:r>
        <w:tab/>
        <w:t>to cancel the approval.</w:t>
      </w:r>
    </w:p>
    <w:p>
      <w:pPr>
        <w:pStyle w:val="Subsection"/>
      </w:pPr>
      <w:r>
        <w:tab/>
        <w:t>(3)</w:t>
      </w:r>
      <w:r>
        <w:tab/>
        <w:t xml:space="preserve">An amendment of the kind referred to in subsection (2)(b) — </w:t>
      </w:r>
    </w:p>
    <w:p>
      <w:pPr>
        <w:pStyle w:val="Indenta"/>
      </w:pPr>
      <w:r>
        <w:tab/>
        <w:t>(a)</w:t>
      </w:r>
      <w:r>
        <w:tab/>
        <w:t>cannot substantially change the approved development; and</w:t>
      </w:r>
    </w:p>
    <w:p>
      <w:pPr>
        <w:pStyle w:val="Indenta"/>
      </w:pPr>
      <w:r>
        <w:tab/>
        <w:t>(b)</w:t>
      </w:r>
      <w:r>
        <w:tab/>
        <w:t>in the case of approval granted on a development application made under section 271 — cannot result in the approved development no longer being significant development.</w:t>
      </w:r>
    </w:p>
    <w:p>
      <w:pPr>
        <w:pStyle w:val="Subsection"/>
      </w:pPr>
      <w:r>
        <w:tab/>
        <w:t>(4)</w:t>
      </w:r>
      <w:r>
        <w:tab/>
        <w:t>The Commission cannot do anything under this section that would have the effect of extending the period within which the development must be substantially commenced in accordance with section 278(2).</w:t>
      </w:r>
    </w:p>
    <w:p>
      <w:pPr>
        <w:pStyle w:val="Subsection"/>
      </w:pPr>
      <w:r>
        <w:tab/>
        <w:t>(5)</w:t>
      </w:r>
      <w:r>
        <w:tab/>
        <w:t xml:space="preserve">The Commission must consider an application made under subsection (2) and determine it by — </w:t>
      </w:r>
    </w:p>
    <w:p>
      <w:pPr>
        <w:pStyle w:val="Indenta"/>
      </w:pPr>
      <w:r>
        <w:tab/>
        <w:t>(a)</w:t>
      </w:r>
      <w:r>
        <w:tab/>
        <w:t>granting it (with or without conditions); or</w:t>
      </w:r>
    </w:p>
    <w:p>
      <w:pPr>
        <w:pStyle w:val="Indenta"/>
      </w:pPr>
      <w:r>
        <w:tab/>
        <w:t>(b)</w:t>
      </w:r>
      <w:r>
        <w:tab/>
        <w:t>refusing it.</w:t>
      </w:r>
    </w:p>
    <w:p>
      <w:pPr>
        <w:pStyle w:val="Subsection"/>
      </w:pPr>
      <w:r>
        <w:tab/>
        <w:t>(6)</w:t>
      </w:r>
      <w:r>
        <w:tab/>
        <w:t>Sections 273(1), 274(3) and (5) to (7), 275 and 276 apply with any necessary modifications to an application made under subsection (2) as they apply to a development application made under section 271.</w:t>
      </w:r>
    </w:p>
    <w:p>
      <w:pPr>
        <w:pStyle w:val="Subsection"/>
      </w:pPr>
      <w:r>
        <w:tab/>
        <w:t>(7)</w:t>
      </w:r>
      <w:r>
        <w:tab/>
        <w:t xml:space="preserve">Subject to Division 4, no person or body, apart from the Commission acting under this section, can do any of the following in relation to the approval referred to in subsection (1) — </w:t>
      </w:r>
    </w:p>
    <w:p>
      <w:pPr>
        <w:pStyle w:val="Indenta"/>
      </w:pPr>
      <w:r>
        <w:tab/>
        <w:t>(a)</w:t>
      </w:r>
      <w:r>
        <w:tab/>
        <w:t>amend or remove any of the conditions imposed on the approval;</w:t>
      </w:r>
    </w:p>
    <w:p>
      <w:pPr>
        <w:pStyle w:val="Indenta"/>
      </w:pPr>
      <w:r>
        <w:tab/>
        <w:t>(b)</w:t>
      </w:r>
      <w:r>
        <w:tab/>
        <w:t>impose new conditions on the approval;</w:t>
      </w:r>
    </w:p>
    <w:p>
      <w:pPr>
        <w:pStyle w:val="Indenta"/>
      </w:pPr>
      <w:r>
        <w:tab/>
        <w:t>(c)</w:t>
      </w:r>
      <w:r>
        <w:tab/>
        <w:t>amend any part or aspect of the approved development;</w:t>
      </w:r>
    </w:p>
    <w:p>
      <w:pPr>
        <w:pStyle w:val="Indenta"/>
      </w:pPr>
      <w:r>
        <w:tab/>
        <w:t>(d)</w:t>
      </w:r>
      <w:r>
        <w:tab/>
        <w:t>amend the approval in any other way;</w:t>
      </w:r>
    </w:p>
    <w:p>
      <w:pPr>
        <w:pStyle w:val="Indenta"/>
      </w:pPr>
      <w:r>
        <w:tab/>
        <w:t>(e)</w:t>
      </w:r>
      <w:r>
        <w:tab/>
        <w:t>cancel the approval.</w:t>
      </w:r>
    </w:p>
    <w:p>
      <w:pPr>
        <w:pStyle w:val="Subsection"/>
      </w:pPr>
      <w:r>
        <w:tab/>
        <w:t>(8)</w:t>
      </w:r>
      <w:r>
        <w:tab/>
        <w:t>In subsections (2) and (7), references to the conditions imposed on the approval, the approved development or the approval are to the conditions, development or approval as amended from time to time under this section or by an order under section 284.</w:t>
      </w:r>
    </w:p>
    <w:p>
      <w:pPr>
        <w:pStyle w:val="Footnotesection"/>
      </w:pPr>
      <w:r>
        <w:tab/>
        <w:t>[Section 279 inserted: No. 26 of 2020 s. 4.]</w:t>
      </w:r>
    </w:p>
    <w:p>
      <w:pPr>
        <w:pStyle w:val="Heading3"/>
      </w:pPr>
      <w:bookmarkStart w:id="1078" w:name="_Toc77239583"/>
      <w:bookmarkStart w:id="1079" w:name="_Toc77240487"/>
      <w:bookmarkStart w:id="1080" w:name="_Toc77246537"/>
      <w:bookmarkStart w:id="1081" w:name="_Toc74652598"/>
      <w:bookmarkStart w:id="1082" w:name="_Toc74653064"/>
      <w:bookmarkStart w:id="1083" w:name="_Toc74733782"/>
      <w:bookmarkStart w:id="1084" w:name="_Toc74924286"/>
      <w:r>
        <w:rPr>
          <w:rStyle w:val="CharDivNo"/>
        </w:rPr>
        <w:t>Division 3</w:t>
      </w:r>
      <w:r>
        <w:t> — </w:t>
      </w:r>
      <w:r>
        <w:rPr>
          <w:rStyle w:val="CharDivText"/>
        </w:rPr>
        <w:t>Avoiding conflicts with approvals granted by Commission under section 274</w:t>
      </w:r>
      <w:bookmarkEnd w:id="1078"/>
      <w:bookmarkEnd w:id="1079"/>
      <w:bookmarkEnd w:id="1080"/>
      <w:bookmarkEnd w:id="1081"/>
      <w:bookmarkEnd w:id="1082"/>
      <w:bookmarkEnd w:id="1083"/>
      <w:bookmarkEnd w:id="1084"/>
    </w:p>
    <w:p>
      <w:pPr>
        <w:pStyle w:val="Footnoteheading"/>
        <w:keepNext/>
      </w:pPr>
      <w:r>
        <w:tab/>
        <w:t>[Heading inserted: No. 26 of 2020 s. 4.]</w:t>
      </w:r>
    </w:p>
    <w:p>
      <w:pPr>
        <w:pStyle w:val="Heading5"/>
      </w:pPr>
      <w:bookmarkStart w:id="1085" w:name="_Toc77246538"/>
      <w:bookmarkStart w:id="1086" w:name="_Toc74924287"/>
      <w:r>
        <w:rPr>
          <w:rStyle w:val="CharSectno"/>
        </w:rPr>
        <w:t>280</w:t>
      </w:r>
      <w:r>
        <w:t>.</w:t>
      </w:r>
      <w:r>
        <w:tab/>
        <w:t>General provisions for Division</w:t>
      </w:r>
      <w:bookmarkEnd w:id="1085"/>
      <w:bookmarkEnd w:id="1086"/>
    </w:p>
    <w:p>
      <w:pPr>
        <w:pStyle w:val="Subsection"/>
      </w:pPr>
      <w:r>
        <w:tab/>
        <w:t>(1)</w:t>
      </w:r>
      <w:r>
        <w:tab/>
        <w:t xml:space="preserve">For the purposes of this Division, the performance of a function </w:t>
      </w:r>
      <w:r>
        <w:rPr>
          <w:rStyle w:val="CharDefText"/>
        </w:rPr>
        <w:t>conflicts</w:t>
      </w:r>
      <w:r>
        <w:t xml:space="preserve"> with an approval for development granted by the Commission under section 274 if the performance of the function, or the way in which the function is performed — </w:t>
      </w:r>
    </w:p>
    <w:p>
      <w:pPr>
        <w:pStyle w:val="Indenta"/>
      </w:pPr>
      <w:r>
        <w:tab/>
        <w:t>(a)</w:t>
      </w:r>
      <w:r>
        <w:tab/>
        <w:t>prevents the approved development from proceeding in accordance with the approval; or</w:t>
      </w:r>
    </w:p>
    <w:p>
      <w:pPr>
        <w:pStyle w:val="Indenta"/>
      </w:pPr>
      <w:r>
        <w:tab/>
        <w:t>(b)</w:t>
      </w:r>
      <w:r>
        <w:tab/>
        <w:t>prevents a condition imposed by the Commission on the approval from being complied with; or</w:t>
      </w:r>
    </w:p>
    <w:p>
      <w:pPr>
        <w:pStyle w:val="Indenta"/>
      </w:pPr>
      <w:r>
        <w:tab/>
        <w:t>(c)</w:t>
      </w:r>
      <w:r>
        <w:tab/>
        <w:t>otherwise substantially undermines, or substantially conflicts with, the approval.</w:t>
      </w:r>
    </w:p>
    <w:p>
      <w:pPr>
        <w:pStyle w:val="PermNoteHeading"/>
      </w:pPr>
      <w:r>
        <w:tab/>
        <w:t>Examples for this subsection:</w:t>
      </w:r>
    </w:p>
    <w:p>
      <w:pPr>
        <w:pStyle w:val="PermNoteText"/>
      </w:pPr>
      <w:r>
        <w:tab/>
        <w:t>1.</w:t>
      </w:r>
      <w:r>
        <w:tab/>
        <w:t>An authority refuses to grant a permit under another Act that is necessary for the approved development to proceed in accordance with the Commission’s approval.</w:t>
      </w:r>
    </w:p>
    <w:p>
      <w:pPr>
        <w:pStyle w:val="PermNoteText"/>
      </w:pPr>
      <w:r>
        <w:tab/>
        <w:t>2.</w:t>
      </w:r>
      <w:r>
        <w:tab/>
        <w:t>An authority grants a permit under another Act that is necessary for the approved development to proceed in accordance with the Commission’s approval but the permit is granted subject to conditions that prevent the approved development from proceeding in accordance with the Commission’s approval.</w:t>
      </w:r>
    </w:p>
    <w:p>
      <w:pPr>
        <w:pStyle w:val="Subsection"/>
        <w:keepNext/>
      </w:pPr>
      <w:r>
        <w:tab/>
        <w:t>(2)</w:t>
      </w:r>
      <w:r>
        <w:tab/>
        <w:t xml:space="preserve">In this Division, references to performing a function include references to the following — </w:t>
      </w:r>
    </w:p>
    <w:p>
      <w:pPr>
        <w:pStyle w:val="Indenta"/>
      </w:pPr>
      <w:r>
        <w:tab/>
        <w:t>(a)</w:t>
      </w:r>
      <w:r>
        <w:tab/>
        <w:t>refusing or failing to perform a function or otherwise not performing a function;</w:t>
      </w:r>
    </w:p>
    <w:p>
      <w:pPr>
        <w:pStyle w:val="Indenta"/>
      </w:pPr>
      <w:r>
        <w:tab/>
        <w:t>(b)</w:t>
      </w:r>
      <w:r>
        <w:tab/>
        <w:t>being taken to perform a function;</w:t>
      </w:r>
    </w:p>
    <w:p>
      <w:pPr>
        <w:pStyle w:val="Indenta"/>
      </w:pPr>
      <w:r>
        <w:tab/>
        <w:t>(c)</w:t>
      </w:r>
      <w:r>
        <w:tab/>
        <w:t>being taken to refuse or fail to perform a function or otherwise not to perform a function.</w:t>
      </w:r>
    </w:p>
    <w:p>
      <w:pPr>
        <w:pStyle w:val="Subsection"/>
      </w:pPr>
      <w:r>
        <w:tab/>
        <w:t>(3)</w:t>
      </w:r>
      <w:r>
        <w:tab/>
        <w:t>A notification or application to the Minister under section 281 or 282 must be made in the manner and form required by the Minister and, without limitation, include any documents or information required by the Minister.</w:t>
      </w:r>
    </w:p>
    <w:p>
      <w:pPr>
        <w:pStyle w:val="Subsection"/>
      </w:pPr>
      <w:r>
        <w:tab/>
        <w:t>(4)</w:t>
      </w:r>
      <w:r>
        <w:tab/>
        <w:t>The Minister can give a direction under section 281 or 282 only with the agreement of the Premier.</w:t>
      </w:r>
    </w:p>
    <w:p>
      <w:pPr>
        <w:pStyle w:val="Subsection"/>
      </w:pPr>
      <w:r>
        <w:tab/>
        <w:t>(5)</w:t>
      </w:r>
      <w:r>
        <w:tab/>
        <w:t xml:space="preserve">The performance of a function by a person or body (the </w:t>
      </w:r>
      <w:r>
        <w:rPr>
          <w:rStyle w:val="CharDefText"/>
        </w:rPr>
        <w:t>decision</w:t>
      </w:r>
      <w:r>
        <w:rPr>
          <w:rStyle w:val="CharDefText"/>
        </w:rPr>
        <w:noBreakHyphen/>
        <w:t>maker</w:t>
      </w:r>
      <w:r>
        <w:t>) in compliance with a direction given to the decision</w:t>
      </w:r>
      <w:r>
        <w:noBreakHyphen/>
        <w:t>maker under section 281 or 282 has effect, and is valid, for all purposes.</w:t>
      </w:r>
    </w:p>
    <w:p>
      <w:pPr>
        <w:pStyle w:val="Subsection"/>
      </w:pPr>
      <w:r>
        <w:tab/>
        <w:t>(6)</w:t>
      </w:r>
      <w:r>
        <w:tab/>
        <w:t>Subsection (5) applies even if, apart from this Division, the decision</w:t>
      </w:r>
      <w:r>
        <w:noBreakHyphen/>
        <w:t>maker could not have performed the function as required by the direction.</w:t>
      </w:r>
    </w:p>
    <w:p>
      <w:pPr>
        <w:pStyle w:val="Subsection"/>
      </w:pPr>
      <w:r>
        <w:tab/>
        <w:t>(7)</w:t>
      </w:r>
      <w:r>
        <w:tab/>
        <w:t>Without limiting subsections (5) and (6), a decision, or other act or omission, of a person or body is not unlawful or invalid just because the decision</w:t>
      </w:r>
      <w:r>
        <w:noBreakHyphen/>
        <w:t>maker could not, apart from this Division, have performed the function as required by the direction.</w:t>
      </w:r>
    </w:p>
    <w:p>
      <w:pPr>
        <w:pStyle w:val="Subsection"/>
      </w:pPr>
      <w:r>
        <w:tab/>
        <w:t>(8)</w:t>
      </w:r>
      <w:r>
        <w:tab/>
        <w:t>This Division does not apply to the performance, or proposed performance, of a function under section 279 or Division 4.</w:t>
      </w:r>
    </w:p>
    <w:p>
      <w:pPr>
        <w:pStyle w:val="Footnotesection"/>
      </w:pPr>
      <w:r>
        <w:tab/>
        <w:t>[Section 280 inserted: No. 26 of 2020 s. 4.]</w:t>
      </w:r>
    </w:p>
    <w:p>
      <w:pPr>
        <w:pStyle w:val="Heading5"/>
      </w:pPr>
      <w:bookmarkStart w:id="1087" w:name="_Toc77246539"/>
      <w:bookmarkStart w:id="1088" w:name="_Toc74924288"/>
      <w:r>
        <w:rPr>
          <w:rStyle w:val="CharSectno"/>
        </w:rPr>
        <w:t>281</w:t>
      </w:r>
      <w:r>
        <w:t>.</w:t>
      </w:r>
      <w:r>
        <w:tab/>
        <w:t>Decision</w:t>
      </w:r>
      <w:r>
        <w:noBreakHyphen/>
        <w:t>maker proposing to perform function in conflict with approval</w:t>
      </w:r>
      <w:bookmarkEnd w:id="1087"/>
      <w:bookmarkEnd w:id="1088"/>
    </w:p>
    <w:p>
      <w:pPr>
        <w:pStyle w:val="Subsection"/>
        <w:keepNext/>
      </w:pPr>
      <w:r>
        <w:tab/>
        <w:t>(1)</w:t>
      </w:r>
      <w:r>
        <w:tab/>
        <w:t xml:space="preserve">This section applies if — </w:t>
      </w:r>
    </w:p>
    <w:p>
      <w:pPr>
        <w:pStyle w:val="Indenta"/>
      </w:pPr>
      <w:r>
        <w:tab/>
        <w:t>(a)</w:t>
      </w:r>
      <w:r>
        <w:tab/>
        <w:t>the Commission grants approval for development under section 274; and</w:t>
      </w:r>
    </w:p>
    <w:p>
      <w:pPr>
        <w:pStyle w:val="Indenta"/>
      </w:pPr>
      <w:r>
        <w:tab/>
        <w:t>(b)</w:t>
      </w:r>
      <w:r>
        <w:tab/>
        <w:t xml:space="preserve">a person or body (the </w:t>
      </w:r>
      <w:r>
        <w:rPr>
          <w:rStyle w:val="CharDefText"/>
        </w:rPr>
        <w:t>decision</w:t>
      </w:r>
      <w:r>
        <w:rPr>
          <w:rStyle w:val="CharDefText"/>
        </w:rPr>
        <w:noBreakHyphen/>
        <w:t>maker</w:t>
      </w:r>
      <w:r>
        <w:t>) proposes to perform a function under a legal instrument; and</w:t>
      </w:r>
    </w:p>
    <w:p>
      <w:pPr>
        <w:pStyle w:val="Indenta"/>
      </w:pPr>
      <w:r>
        <w:tab/>
        <w:t>(c)</w:t>
      </w:r>
      <w:r>
        <w:tab/>
        <w:t>the performance of the function as proposed would conflict with the approval.</w:t>
      </w:r>
    </w:p>
    <w:p>
      <w:pPr>
        <w:pStyle w:val="Subsection"/>
      </w:pPr>
      <w:r>
        <w:tab/>
        <w:t>(2)</w:t>
      </w:r>
      <w:r>
        <w:tab/>
        <w:t>The decision</w:t>
      </w:r>
      <w:r>
        <w:noBreakHyphen/>
        <w:t xml:space="preserve">maker must not perform the function as proposed unless — </w:t>
      </w:r>
    </w:p>
    <w:p>
      <w:pPr>
        <w:pStyle w:val="Indenta"/>
      </w:pPr>
      <w:r>
        <w:tab/>
        <w:t>(a)</w:t>
      </w:r>
      <w:r>
        <w:tab/>
        <w:t>the decision</w:t>
      </w:r>
      <w:r>
        <w:noBreakHyphen/>
        <w:t>maker has notified the Minister of the proposed performance of the function and the conflict; and</w:t>
      </w:r>
    </w:p>
    <w:p>
      <w:pPr>
        <w:pStyle w:val="Indenta"/>
      </w:pPr>
      <w:r>
        <w:tab/>
        <w:t>(b)</w:t>
      </w:r>
      <w:r>
        <w:tab/>
        <w:t xml:space="preserve">either — </w:t>
      </w:r>
    </w:p>
    <w:p>
      <w:pPr>
        <w:pStyle w:val="Indenti"/>
      </w:pPr>
      <w:r>
        <w:tab/>
        <w:t>(i)</w:t>
      </w:r>
      <w:r>
        <w:tab/>
        <w:t>the decision</w:t>
      </w:r>
      <w:r>
        <w:noBreakHyphen/>
        <w:t>maker performs the function in compliance with a direction given to the decision</w:t>
      </w:r>
      <w:r>
        <w:noBreakHyphen/>
        <w:t>maker under this section; or</w:t>
      </w:r>
    </w:p>
    <w:p>
      <w:pPr>
        <w:pStyle w:val="Indenti"/>
      </w:pPr>
      <w:r>
        <w:tab/>
        <w:t>(ii)</w:t>
      </w:r>
      <w:r>
        <w:tab/>
        <w:t>the Minister has notified the decision</w:t>
      </w:r>
      <w:r>
        <w:noBreakHyphen/>
        <w:t>maker under subsection (8).</w:t>
      </w:r>
    </w:p>
    <w:p>
      <w:pPr>
        <w:pStyle w:val="Subsection"/>
      </w:pPr>
      <w:r>
        <w:tab/>
        <w:t>(3)</w:t>
      </w:r>
      <w:r>
        <w:tab/>
        <w:t xml:space="preserve">If the Minister is notified under subsection (2)(a), the Minister may give a direction under this section if the Minister considers — </w:t>
      </w:r>
    </w:p>
    <w:p>
      <w:pPr>
        <w:pStyle w:val="Indenta"/>
      </w:pPr>
      <w:r>
        <w:tab/>
        <w:t>(a)</w:t>
      </w:r>
      <w:r>
        <w:tab/>
        <w:t xml:space="preserve">that — </w:t>
      </w:r>
    </w:p>
    <w:p>
      <w:pPr>
        <w:pStyle w:val="Indenti"/>
      </w:pPr>
      <w:r>
        <w:tab/>
        <w:t>(i)</w:t>
      </w:r>
      <w:r>
        <w:tab/>
        <w:t>the approved development is significant development; or</w:t>
      </w:r>
    </w:p>
    <w:p>
      <w:pPr>
        <w:pStyle w:val="Indenti"/>
      </w:pPr>
      <w:r>
        <w:tab/>
        <w:t>(ii)</w:t>
      </w:r>
      <w:r>
        <w:tab/>
        <w:t>the conflict raises issues of State or regional importance;</w:t>
      </w:r>
    </w:p>
    <w:p>
      <w:pPr>
        <w:pStyle w:val="Indenta"/>
      </w:pPr>
      <w:r>
        <w:tab/>
      </w:r>
      <w:r>
        <w:tab/>
        <w:t>and</w:t>
      </w:r>
    </w:p>
    <w:p>
      <w:pPr>
        <w:pStyle w:val="Indenta"/>
      </w:pPr>
      <w:r>
        <w:tab/>
        <w:t>(b)</w:t>
      </w:r>
      <w:r>
        <w:tab/>
        <w:t>that it is appropriate to resolve the conflict.</w:t>
      </w:r>
    </w:p>
    <w:p>
      <w:pPr>
        <w:pStyle w:val="Subsection"/>
      </w:pPr>
      <w:r>
        <w:tab/>
        <w:t>(4)</w:t>
      </w:r>
      <w:r>
        <w:tab/>
        <w:t>A direction under this section is a direction to the decision</w:t>
      </w:r>
      <w:r>
        <w:noBreakHyphen/>
        <w:t xml:space="preserve">maker to do 1 or more of the following for the purpose of resolving the conflict — </w:t>
      </w:r>
    </w:p>
    <w:p>
      <w:pPr>
        <w:pStyle w:val="Indenta"/>
      </w:pPr>
      <w:r>
        <w:tab/>
        <w:t>(a)</w:t>
      </w:r>
      <w:r>
        <w:tab/>
        <w:t>not perform the function as proposed;</w:t>
      </w:r>
    </w:p>
    <w:p>
      <w:pPr>
        <w:pStyle w:val="Indenta"/>
      </w:pPr>
      <w:r>
        <w:tab/>
        <w:t>(b)</w:t>
      </w:r>
      <w:r>
        <w:tab/>
        <w:t>perform the function in accordance with the direction;</w:t>
      </w:r>
    </w:p>
    <w:p>
      <w:pPr>
        <w:pStyle w:val="Indenta"/>
      </w:pPr>
      <w:r>
        <w:tab/>
        <w:t>(c)</w:t>
      </w:r>
      <w:r>
        <w:tab/>
        <w:t>reconsider the performance of the function in accordance with the direction and give effect to the outcome of the reconsideration;</w:t>
      </w:r>
    </w:p>
    <w:p>
      <w:pPr>
        <w:pStyle w:val="Indenta"/>
      </w:pPr>
      <w:r>
        <w:tab/>
        <w:t>(d)</w:t>
      </w:r>
      <w:r>
        <w:tab/>
        <w:t>take any steps specified in the direction for giving effect to the direction.</w:t>
      </w:r>
    </w:p>
    <w:p>
      <w:pPr>
        <w:pStyle w:val="Subsection"/>
      </w:pPr>
      <w:r>
        <w:tab/>
        <w:t>(5)</w:t>
      </w:r>
      <w:r>
        <w:tab/>
        <w:t>The direction may specify a period within which anything required to be done under the direction must be done.</w:t>
      </w:r>
    </w:p>
    <w:p>
      <w:pPr>
        <w:pStyle w:val="Subsection"/>
      </w:pPr>
      <w:r>
        <w:tab/>
        <w:t>(6)</w:t>
      </w:r>
      <w:r>
        <w:tab/>
        <w:t>The decision</w:t>
      </w:r>
      <w:r>
        <w:noBreakHyphen/>
        <w:t xml:space="preserve">maker must comply with the direction — </w:t>
      </w:r>
    </w:p>
    <w:p>
      <w:pPr>
        <w:pStyle w:val="Indenta"/>
      </w:pPr>
      <w:r>
        <w:tab/>
        <w:t>(a)</w:t>
      </w:r>
      <w:r>
        <w:tab/>
        <w:t>even if that involves doing something, or omitting to do something, that, apart from this subsection, the decision</w:t>
      </w:r>
      <w:r>
        <w:noBreakHyphen/>
        <w:t>maker could not do, or could not omit to do, under any legal instrument; and</w:t>
      </w:r>
    </w:p>
    <w:p>
      <w:pPr>
        <w:pStyle w:val="Indenta"/>
      </w:pPr>
      <w:r>
        <w:tab/>
        <w:t>(b)</w:t>
      </w:r>
      <w:r>
        <w:tab/>
        <w:t>without limiting paragraph (a), despite any time limit that would, apart from this subsection, apply under any legal instrument in relation to anything to which the direction relates.</w:t>
      </w:r>
    </w:p>
    <w:p>
      <w:pPr>
        <w:pStyle w:val="Subsection"/>
      </w:pPr>
      <w:r>
        <w:tab/>
        <w:t>(7)</w:t>
      </w:r>
      <w:r>
        <w:tab/>
        <w:t xml:space="preserve">The Minister, within 14 days after the day on which the direction is given, must cause a copy of it to be published in the </w:t>
      </w:r>
      <w:r>
        <w:rPr>
          <w:i/>
        </w:rPr>
        <w:t>Gazette</w:t>
      </w:r>
      <w:r>
        <w:t xml:space="preserve"> and, as soon as is practicable, must cause a copy of it to be laid before each House of Parliament or dealt with under section 268A.</w:t>
      </w:r>
    </w:p>
    <w:p>
      <w:pPr>
        <w:pStyle w:val="Subsection"/>
      </w:pPr>
      <w:r>
        <w:tab/>
        <w:t>(8)</w:t>
      </w:r>
      <w:r>
        <w:tab/>
        <w:t>If the Minister decides not to give a direction under this section, the Minister must notify the decision</w:t>
      </w:r>
      <w:r>
        <w:noBreakHyphen/>
        <w:t>maker of the Minister’s decision.</w:t>
      </w:r>
    </w:p>
    <w:p>
      <w:pPr>
        <w:pStyle w:val="Footnotesection"/>
      </w:pPr>
      <w:r>
        <w:tab/>
        <w:t>[Section 281 inserted: No. 26 of 2020 s. 4.]</w:t>
      </w:r>
    </w:p>
    <w:p>
      <w:pPr>
        <w:pStyle w:val="Heading5"/>
      </w:pPr>
      <w:bookmarkStart w:id="1089" w:name="_Toc77246540"/>
      <w:bookmarkStart w:id="1090" w:name="_Toc74924289"/>
      <w:r>
        <w:rPr>
          <w:rStyle w:val="CharSectno"/>
        </w:rPr>
        <w:t>282</w:t>
      </w:r>
      <w:r>
        <w:t>.</w:t>
      </w:r>
      <w:r>
        <w:tab/>
        <w:t>Owner of land or other prescribed person may apply for direction if performance of function conflicts with approval</w:t>
      </w:r>
      <w:bookmarkEnd w:id="1089"/>
      <w:bookmarkEnd w:id="1090"/>
    </w:p>
    <w:p>
      <w:pPr>
        <w:pStyle w:val="Subsection"/>
      </w:pPr>
      <w:r>
        <w:tab/>
        <w:t>(1)</w:t>
      </w:r>
      <w:r>
        <w:tab/>
        <w:t xml:space="preserve">This section applies if — </w:t>
      </w:r>
    </w:p>
    <w:p>
      <w:pPr>
        <w:pStyle w:val="Indenta"/>
      </w:pPr>
      <w:r>
        <w:tab/>
        <w:t>(a)</w:t>
      </w:r>
      <w:r>
        <w:tab/>
        <w:t>the Commission grants approval for development under section 274; and</w:t>
      </w:r>
    </w:p>
    <w:p>
      <w:pPr>
        <w:pStyle w:val="Indenta"/>
      </w:pPr>
      <w:r>
        <w:tab/>
        <w:t>(b)</w:t>
      </w:r>
      <w:r>
        <w:tab/>
        <w:t xml:space="preserve">a person or body (the </w:t>
      </w:r>
      <w:r>
        <w:rPr>
          <w:rStyle w:val="CharDefText"/>
        </w:rPr>
        <w:t>decision</w:t>
      </w:r>
      <w:r>
        <w:rPr>
          <w:rStyle w:val="CharDefText"/>
        </w:rPr>
        <w:noBreakHyphen/>
        <w:t>maker</w:t>
      </w:r>
      <w:r>
        <w:t>) performs a function under a legal instrument; and</w:t>
      </w:r>
    </w:p>
    <w:p>
      <w:pPr>
        <w:pStyle w:val="Indenta"/>
      </w:pPr>
      <w:r>
        <w:tab/>
        <w:t>(c)</w:t>
      </w:r>
      <w:r>
        <w:tab/>
        <w:t>the performance of the function has not been the subject of a notification or direction under section 281; and</w:t>
      </w:r>
    </w:p>
    <w:p>
      <w:pPr>
        <w:pStyle w:val="Indenta"/>
      </w:pPr>
      <w:r>
        <w:tab/>
        <w:t>(d)</w:t>
      </w:r>
      <w:r>
        <w:tab/>
        <w:t xml:space="preserve">the performance of the function conflicts with the approval. </w:t>
      </w:r>
    </w:p>
    <w:p>
      <w:pPr>
        <w:pStyle w:val="Subsection"/>
      </w:pPr>
      <w:r>
        <w:tab/>
        <w:t>(2)</w:t>
      </w:r>
      <w:r>
        <w:tab/>
        <w:t>An owner of land in respect of which the approval is granted, or a person who is of a class or kind prescribed by Part 17 regulations for the purposes of this subsection, may apply to the Minister for a direction under this section to resolve the conflict.</w:t>
      </w:r>
    </w:p>
    <w:p>
      <w:pPr>
        <w:pStyle w:val="Subsection"/>
      </w:pPr>
      <w:r>
        <w:tab/>
        <w:t>(3)</w:t>
      </w:r>
      <w:r>
        <w:tab/>
        <w:t xml:space="preserve">If an application is made under subsection (2), the Minister may give a direction under this section if the Minister considers — </w:t>
      </w:r>
    </w:p>
    <w:p>
      <w:pPr>
        <w:pStyle w:val="Indenta"/>
      </w:pPr>
      <w:r>
        <w:tab/>
        <w:t>(a)</w:t>
      </w:r>
      <w:r>
        <w:tab/>
        <w:t xml:space="preserve">that — </w:t>
      </w:r>
    </w:p>
    <w:p>
      <w:pPr>
        <w:pStyle w:val="Indenti"/>
      </w:pPr>
      <w:r>
        <w:tab/>
        <w:t>(i)</w:t>
      </w:r>
      <w:r>
        <w:tab/>
        <w:t>the approved development is significant development; or</w:t>
      </w:r>
    </w:p>
    <w:p>
      <w:pPr>
        <w:pStyle w:val="Indenti"/>
      </w:pPr>
      <w:r>
        <w:tab/>
        <w:t>(ii)</w:t>
      </w:r>
      <w:r>
        <w:tab/>
        <w:t>the conflict raises issues of State or regional importance;</w:t>
      </w:r>
    </w:p>
    <w:p>
      <w:pPr>
        <w:pStyle w:val="Indenta"/>
      </w:pPr>
      <w:r>
        <w:tab/>
      </w:r>
      <w:r>
        <w:tab/>
        <w:t>and</w:t>
      </w:r>
    </w:p>
    <w:p>
      <w:pPr>
        <w:pStyle w:val="Indenta"/>
      </w:pPr>
      <w:r>
        <w:tab/>
        <w:t>(b)</w:t>
      </w:r>
      <w:r>
        <w:tab/>
        <w:t>that it is appropriate to resolve the conflict.</w:t>
      </w:r>
    </w:p>
    <w:p>
      <w:pPr>
        <w:pStyle w:val="Subsection"/>
      </w:pPr>
      <w:r>
        <w:tab/>
        <w:t>(4)</w:t>
      </w:r>
      <w:r>
        <w:tab/>
        <w:t>A direction under this section is a direction to the decision</w:t>
      </w:r>
      <w:r>
        <w:noBreakHyphen/>
        <w:t xml:space="preserve">maker to do 1 or more of the following for the purpose of resolving the conflict — </w:t>
      </w:r>
    </w:p>
    <w:p>
      <w:pPr>
        <w:pStyle w:val="Indenta"/>
      </w:pPr>
      <w:r>
        <w:tab/>
        <w:t>(a)</w:t>
      </w:r>
      <w:r>
        <w:tab/>
        <w:t>cancel the performance of the function;</w:t>
      </w:r>
    </w:p>
    <w:p>
      <w:pPr>
        <w:pStyle w:val="Indenta"/>
      </w:pPr>
      <w:r>
        <w:tab/>
        <w:t>(b)</w:t>
      </w:r>
      <w:r>
        <w:tab/>
        <w:t>perform the function again but in accordance with the direction;</w:t>
      </w:r>
    </w:p>
    <w:p>
      <w:pPr>
        <w:pStyle w:val="Indenta"/>
      </w:pPr>
      <w:r>
        <w:tab/>
        <w:t>(c)</w:t>
      </w:r>
      <w:r>
        <w:tab/>
        <w:t>reconsider the performance of the function in accordance with the direction and give effect to the outcome of the reconsideration;</w:t>
      </w:r>
    </w:p>
    <w:p>
      <w:pPr>
        <w:pStyle w:val="Indenta"/>
      </w:pPr>
      <w:r>
        <w:tab/>
        <w:t>(d)</w:t>
      </w:r>
      <w:r>
        <w:tab/>
        <w:t>take any steps specified in the direction for giving effect to the direction.</w:t>
      </w:r>
    </w:p>
    <w:p>
      <w:pPr>
        <w:pStyle w:val="Subsection"/>
      </w:pPr>
      <w:r>
        <w:tab/>
        <w:t>(5)</w:t>
      </w:r>
      <w:r>
        <w:tab/>
        <w:t>The direction may specify a period within which anything required to be done under the direction must be done.</w:t>
      </w:r>
    </w:p>
    <w:p>
      <w:pPr>
        <w:pStyle w:val="Subsection"/>
      </w:pPr>
      <w:r>
        <w:tab/>
        <w:t>(6)</w:t>
      </w:r>
      <w:r>
        <w:tab/>
        <w:t>The decision</w:t>
      </w:r>
      <w:r>
        <w:noBreakHyphen/>
        <w:t xml:space="preserve">maker must comply with the direction — </w:t>
      </w:r>
    </w:p>
    <w:p>
      <w:pPr>
        <w:pStyle w:val="Indenta"/>
      </w:pPr>
      <w:r>
        <w:tab/>
        <w:t>(a)</w:t>
      </w:r>
      <w:r>
        <w:tab/>
        <w:t>even if that involves doing something, or omitting to do something, that, apart from this subsection, the decision</w:t>
      </w:r>
      <w:r>
        <w:noBreakHyphen/>
        <w:t>maker could not do, or could not omit to do, under any legal instrument; and</w:t>
      </w:r>
    </w:p>
    <w:p>
      <w:pPr>
        <w:pStyle w:val="Indenta"/>
      </w:pPr>
      <w:r>
        <w:tab/>
        <w:t>(b)</w:t>
      </w:r>
      <w:r>
        <w:tab/>
        <w:t>without limiting paragraph (a), despite any time limit that would, apart from this subsection, apply under any legal instrument in relation to anything to which the direction relates.</w:t>
      </w:r>
    </w:p>
    <w:p>
      <w:pPr>
        <w:pStyle w:val="Subsection"/>
      </w:pPr>
      <w:r>
        <w:tab/>
        <w:t>(7)</w:t>
      </w:r>
      <w:r>
        <w:tab/>
        <w:t xml:space="preserve">The Minister, within 14 days after the day on which the direction is given, must cause a copy of it to be published in the </w:t>
      </w:r>
      <w:r>
        <w:rPr>
          <w:i/>
        </w:rPr>
        <w:t>Gazette</w:t>
      </w:r>
      <w:r>
        <w:t xml:space="preserve"> and, as soon as is practicable, must cause a copy of it to be laid before each House of Parliament or dealt with under section 268A.</w:t>
      </w:r>
    </w:p>
    <w:p>
      <w:pPr>
        <w:pStyle w:val="Footnotesection"/>
      </w:pPr>
      <w:r>
        <w:tab/>
        <w:t>[Section 282 inserted: No. 26 of 2020 s. 4.]</w:t>
      </w:r>
    </w:p>
    <w:p>
      <w:pPr>
        <w:pStyle w:val="Heading3"/>
      </w:pPr>
      <w:bookmarkStart w:id="1091" w:name="_Toc77239587"/>
      <w:bookmarkStart w:id="1092" w:name="_Toc77240491"/>
      <w:bookmarkStart w:id="1093" w:name="_Toc77246541"/>
      <w:bookmarkStart w:id="1094" w:name="_Toc74652602"/>
      <w:bookmarkStart w:id="1095" w:name="_Toc74653068"/>
      <w:bookmarkStart w:id="1096" w:name="_Toc74733786"/>
      <w:bookmarkStart w:id="1097" w:name="_Toc74924290"/>
      <w:r>
        <w:rPr>
          <w:rStyle w:val="CharDivNo"/>
        </w:rPr>
        <w:t>Division 4</w:t>
      </w:r>
      <w:r>
        <w:t> — </w:t>
      </w:r>
      <w:r>
        <w:rPr>
          <w:rStyle w:val="CharDivText"/>
        </w:rPr>
        <w:t>Oversight of Commission</w:t>
      </w:r>
      <w:bookmarkEnd w:id="1091"/>
      <w:bookmarkEnd w:id="1092"/>
      <w:bookmarkEnd w:id="1093"/>
      <w:bookmarkEnd w:id="1094"/>
      <w:bookmarkEnd w:id="1095"/>
      <w:bookmarkEnd w:id="1096"/>
      <w:bookmarkEnd w:id="1097"/>
    </w:p>
    <w:p>
      <w:pPr>
        <w:pStyle w:val="Footnoteheading"/>
      </w:pPr>
      <w:r>
        <w:tab/>
        <w:t>[Heading inserted: No. 26 of 2020 s. 4.]</w:t>
      </w:r>
    </w:p>
    <w:p>
      <w:pPr>
        <w:pStyle w:val="Heading5"/>
      </w:pPr>
      <w:bookmarkStart w:id="1098" w:name="_Toc77246542"/>
      <w:bookmarkStart w:id="1099" w:name="_Toc74924291"/>
      <w:r>
        <w:rPr>
          <w:rStyle w:val="CharSectno"/>
        </w:rPr>
        <w:t>283</w:t>
      </w:r>
      <w:r>
        <w:t>.</w:t>
      </w:r>
      <w:r>
        <w:tab/>
        <w:t>State Administrative Tribunal</w:t>
      </w:r>
      <w:bookmarkEnd w:id="1098"/>
      <w:bookmarkEnd w:id="1099"/>
    </w:p>
    <w:p>
      <w:pPr>
        <w:pStyle w:val="Subsection"/>
      </w:pPr>
      <w:r>
        <w:tab/>
        <w:t>(1)</w:t>
      </w:r>
      <w:r>
        <w:tab/>
        <w:t>This section applies if the Commission determines a development application under section 274 or an application under section 279.</w:t>
      </w:r>
    </w:p>
    <w:p>
      <w:pPr>
        <w:pStyle w:val="Subsection"/>
      </w:pPr>
      <w:r>
        <w:tab/>
        <w:t>(2)</w:t>
      </w:r>
      <w:r>
        <w:tab/>
        <w:t xml:space="preserve">The applicant may apply to the State Administrative Tribunal (the </w:t>
      </w:r>
      <w:r>
        <w:rPr>
          <w:rStyle w:val="CharDefText"/>
        </w:rPr>
        <w:t>Tribunal</w:t>
      </w:r>
      <w:r>
        <w:t>) for a review of the Commission’s decision to make the determination.</w:t>
      </w:r>
    </w:p>
    <w:p>
      <w:pPr>
        <w:pStyle w:val="Subsection"/>
      </w:pPr>
      <w:r>
        <w:tab/>
        <w:t>(3)</w:t>
      </w:r>
      <w:r>
        <w:tab/>
        <w:t xml:space="preserve">For the purposes of the Tribunal’s jurisdiction under this section, the member, or at least 1 of the members, who constitute the Tribunal must be a judicial member (as defined in the </w:t>
      </w:r>
      <w:r>
        <w:rPr>
          <w:i/>
        </w:rPr>
        <w:t>State Administrative Tribunal Act 2004</w:t>
      </w:r>
      <w:r>
        <w:t xml:space="preserve"> section 3(1)).</w:t>
      </w:r>
    </w:p>
    <w:p>
      <w:pPr>
        <w:pStyle w:val="Subsection"/>
      </w:pPr>
      <w:r>
        <w:tab/>
        <w:t>(4)</w:t>
      </w:r>
      <w:r>
        <w:tab/>
        <w:t>For a review under this section, the Commission is the decision</w:t>
      </w:r>
      <w:r>
        <w:noBreakHyphen/>
        <w:t xml:space="preserve">maker for the purposes of the </w:t>
      </w:r>
      <w:r>
        <w:rPr>
          <w:i/>
        </w:rPr>
        <w:t>State Administrative Tribunal Act 2004</w:t>
      </w:r>
      <w:r>
        <w:t>.</w:t>
      </w:r>
    </w:p>
    <w:p>
      <w:pPr>
        <w:pStyle w:val="Subsection"/>
      </w:pPr>
      <w:r>
        <w:tab/>
        <w:t>(5)</w:t>
      </w:r>
      <w:r>
        <w:tab/>
        <w:t>In conducting a review under this section, the Tribunal must give the Minister a reasonable opportunity to make submissions to the Tribunal on any matter relating to the review.</w:t>
      </w:r>
    </w:p>
    <w:p>
      <w:pPr>
        <w:pStyle w:val="Subsection"/>
      </w:pPr>
      <w:r>
        <w:tab/>
        <w:t>(6)</w:t>
      </w:r>
      <w:r>
        <w:tab/>
        <w:t>Sections 242 and 243 apply to a review under this section as they apply to a review in accordance with Part 14.</w:t>
      </w:r>
    </w:p>
    <w:p>
      <w:pPr>
        <w:pStyle w:val="Subsection"/>
      </w:pPr>
      <w:r>
        <w:tab/>
        <w:t>(7)</w:t>
      </w:r>
      <w:r>
        <w:tab/>
        <w:t>Except as set out in this section, the Tribunal has no jurisdiction in relation to anything done under this Part or any Part 17 regulations, including (without limitation) anything done in compliance with a direction under section 281 or 282.</w:t>
      </w:r>
    </w:p>
    <w:p>
      <w:pPr>
        <w:pStyle w:val="Footnotesection"/>
      </w:pPr>
      <w:r>
        <w:tab/>
        <w:t>[Section 283 inserted: No. 26 of 2020 s. 4.]</w:t>
      </w:r>
    </w:p>
    <w:p>
      <w:pPr>
        <w:pStyle w:val="Heading5"/>
      </w:pPr>
      <w:bookmarkStart w:id="1100" w:name="_Toc77246543"/>
      <w:bookmarkStart w:id="1101" w:name="_Toc74924292"/>
      <w:r>
        <w:rPr>
          <w:rStyle w:val="CharSectno"/>
        </w:rPr>
        <w:t>284</w:t>
      </w:r>
      <w:r>
        <w:t>.</w:t>
      </w:r>
      <w:r>
        <w:tab/>
        <w:t>Governor may amend or cancel approval granted by Commission under s. 274</w:t>
      </w:r>
      <w:bookmarkEnd w:id="1100"/>
      <w:bookmarkEnd w:id="1101"/>
    </w:p>
    <w:p>
      <w:pPr>
        <w:pStyle w:val="Subsection"/>
      </w:pPr>
      <w:r>
        <w:tab/>
        <w:t>(1)</w:t>
      </w:r>
      <w:r>
        <w:tab/>
        <w:t>This section applies if the Commission grants approval for development under section 274.</w:t>
      </w:r>
    </w:p>
    <w:p>
      <w:pPr>
        <w:pStyle w:val="Subsection"/>
      </w:pPr>
      <w:r>
        <w:tab/>
        <w:t>(2)</w:t>
      </w:r>
      <w:r>
        <w:tab/>
        <w:t xml:space="preserve">The Governor may, by order, do any of the following — </w:t>
      </w:r>
    </w:p>
    <w:p>
      <w:pPr>
        <w:pStyle w:val="Indenta"/>
      </w:pPr>
      <w:r>
        <w:tab/>
        <w:t>(a)</w:t>
      </w:r>
      <w:r>
        <w:tab/>
        <w:t>amend or remove any of the conditions imposed on the approval;</w:t>
      </w:r>
    </w:p>
    <w:p>
      <w:pPr>
        <w:pStyle w:val="Indenta"/>
      </w:pPr>
      <w:r>
        <w:tab/>
        <w:t>(b)</w:t>
      </w:r>
      <w:r>
        <w:tab/>
        <w:t>impose new conditions on the approval;</w:t>
      </w:r>
    </w:p>
    <w:p>
      <w:pPr>
        <w:pStyle w:val="Indenta"/>
      </w:pPr>
      <w:r>
        <w:tab/>
        <w:t>(c)</w:t>
      </w:r>
      <w:r>
        <w:tab/>
        <w:t>amend any part or aspect of the approved development;</w:t>
      </w:r>
    </w:p>
    <w:p>
      <w:pPr>
        <w:pStyle w:val="Indenta"/>
      </w:pPr>
      <w:r>
        <w:tab/>
        <w:t>(d)</w:t>
      </w:r>
      <w:r>
        <w:tab/>
        <w:t>amend the approval in any other way;</w:t>
      </w:r>
    </w:p>
    <w:p>
      <w:pPr>
        <w:pStyle w:val="Indenta"/>
      </w:pPr>
      <w:r>
        <w:tab/>
        <w:t>(e)</w:t>
      </w:r>
      <w:r>
        <w:tab/>
        <w:t>cancel the approval.</w:t>
      </w:r>
    </w:p>
    <w:p>
      <w:pPr>
        <w:pStyle w:val="Subsection"/>
        <w:keepNext/>
      </w:pPr>
      <w:r>
        <w:tab/>
        <w:t>(3)</w:t>
      </w:r>
      <w:r>
        <w:tab/>
        <w:t xml:space="preserve">An amendment of the kind referred to in subsection (2)(c) — </w:t>
      </w:r>
    </w:p>
    <w:p>
      <w:pPr>
        <w:pStyle w:val="Indenta"/>
      </w:pPr>
      <w:r>
        <w:tab/>
        <w:t>(a)</w:t>
      </w:r>
      <w:r>
        <w:tab/>
        <w:t>cannot substantially change the approved development; and</w:t>
      </w:r>
    </w:p>
    <w:p>
      <w:pPr>
        <w:pStyle w:val="Indenta"/>
      </w:pPr>
      <w:r>
        <w:tab/>
        <w:t>(b)</w:t>
      </w:r>
      <w:r>
        <w:tab/>
        <w:t>in the case of approval granted on a development application made under section 271 — cannot result in the approved development no longer being significant development.</w:t>
      </w:r>
    </w:p>
    <w:p>
      <w:pPr>
        <w:pStyle w:val="Subsection"/>
      </w:pPr>
      <w:r>
        <w:tab/>
        <w:t>(4)</w:t>
      </w:r>
      <w:r>
        <w:tab/>
        <w:t>In subsection (2), references to the conditions imposed on the approval, the approved development or the approval are to the conditions, development or approval as amended from time to time under section 279 or by an order under this section.</w:t>
      </w:r>
    </w:p>
    <w:p>
      <w:pPr>
        <w:pStyle w:val="Subsection"/>
      </w:pPr>
      <w:r>
        <w:tab/>
        <w:t>(5)</w:t>
      </w:r>
      <w:r>
        <w:tab/>
        <w:t>An order under this section may include directions for giving effect to the order.</w:t>
      </w:r>
    </w:p>
    <w:p>
      <w:pPr>
        <w:pStyle w:val="Subsection"/>
      </w:pPr>
      <w:r>
        <w:tab/>
        <w:t>(6)</w:t>
      </w:r>
      <w:r>
        <w:tab/>
        <w:t>The Commission cannot do anything under section 279 that would override, or otherwise be inconsistent with, the provisions of an order under this section.</w:t>
      </w:r>
    </w:p>
    <w:p>
      <w:pPr>
        <w:pStyle w:val="Subsection"/>
      </w:pPr>
      <w:r>
        <w:tab/>
        <w:t>(7)</w:t>
      </w:r>
      <w:r>
        <w:tab/>
        <w:t xml:space="preserve">An order under this section is subsidiary legislation for the purposes of the </w:t>
      </w:r>
      <w:r>
        <w:rPr>
          <w:i/>
        </w:rPr>
        <w:t>Interpretation Act 1984</w:t>
      </w:r>
      <w:r>
        <w:t>.</w:t>
      </w:r>
    </w:p>
    <w:p>
      <w:pPr>
        <w:pStyle w:val="Subsection"/>
      </w:pPr>
      <w:r>
        <w:tab/>
        <w:t>(8)</w:t>
      </w:r>
      <w:r>
        <w:tab/>
        <w:t xml:space="preserve">The </w:t>
      </w:r>
      <w:r>
        <w:rPr>
          <w:i/>
        </w:rPr>
        <w:t>Interpretation Act 1984</w:t>
      </w:r>
      <w:r>
        <w:t xml:space="preserve"> section 42 applies to an order under this section as if it were a regulation.</w:t>
      </w:r>
    </w:p>
    <w:p>
      <w:pPr>
        <w:pStyle w:val="Footnotesection"/>
      </w:pPr>
      <w:r>
        <w:tab/>
        <w:t>[Section 284 inserted: No. 26 of 2020 s. 4.]</w:t>
      </w:r>
    </w:p>
    <w:p>
      <w:pPr>
        <w:pStyle w:val="Heading3"/>
      </w:pPr>
      <w:bookmarkStart w:id="1102" w:name="_Toc77239590"/>
      <w:bookmarkStart w:id="1103" w:name="_Toc77240494"/>
      <w:bookmarkStart w:id="1104" w:name="_Toc77246544"/>
      <w:bookmarkStart w:id="1105" w:name="_Toc74652605"/>
      <w:bookmarkStart w:id="1106" w:name="_Toc74653071"/>
      <w:bookmarkStart w:id="1107" w:name="_Toc74733789"/>
      <w:bookmarkStart w:id="1108" w:name="_Toc74924293"/>
      <w:r>
        <w:rPr>
          <w:rStyle w:val="CharDivNo"/>
        </w:rPr>
        <w:t>Division 5</w:t>
      </w:r>
      <w:r>
        <w:t> — </w:t>
      </w:r>
      <w:r>
        <w:rPr>
          <w:rStyle w:val="CharDivText"/>
        </w:rPr>
        <w:t>Final matters</w:t>
      </w:r>
      <w:bookmarkEnd w:id="1102"/>
      <w:bookmarkEnd w:id="1103"/>
      <w:bookmarkEnd w:id="1104"/>
      <w:bookmarkEnd w:id="1105"/>
      <w:bookmarkEnd w:id="1106"/>
      <w:bookmarkEnd w:id="1107"/>
      <w:bookmarkEnd w:id="1108"/>
    </w:p>
    <w:p>
      <w:pPr>
        <w:pStyle w:val="Footnoteheading"/>
      </w:pPr>
      <w:r>
        <w:tab/>
        <w:t>[Heading inserted: No. 26 of 2020 s. 4.]</w:t>
      </w:r>
    </w:p>
    <w:p>
      <w:pPr>
        <w:pStyle w:val="Heading5"/>
      </w:pPr>
      <w:bookmarkStart w:id="1109" w:name="_Toc77246545"/>
      <w:bookmarkStart w:id="1110" w:name="_Toc74924294"/>
      <w:r>
        <w:rPr>
          <w:rStyle w:val="CharSectno"/>
        </w:rPr>
        <w:t>285</w:t>
      </w:r>
      <w:r>
        <w:t>.</w:t>
      </w:r>
      <w:r>
        <w:tab/>
        <w:t>Fees</w:t>
      </w:r>
      <w:bookmarkEnd w:id="1109"/>
      <w:bookmarkEnd w:id="1110"/>
    </w:p>
    <w:p>
      <w:pPr>
        <w:pStyle w:val="Subsection"/>
      </w:pPr>
      <w:r>
        <w:tab/>
        <w:t>(1)</w:t>
      </w:r>
      <w:r>
        <w:tab/>
        <w:t xml:space="preserve">The Minister may, by notice published in the </w:t>
      </w:r>
      <w:r>
        <w:rPr>
          <w:i/>
        </w:rPr>
        <w:t>Gazette</w:t>
      </w:r>
      <w:r>
        <w:t xml:space="preserve"> — </w:t>
      </w:r>
    </w:p>
    <w:p>
      <w:pPr>
        <w:pStyle w:val="Indenta"/>
      </w:pPr>
      <w:r>
        <w:tab/>
        <w:t>(a)</w:t>
      </w:r>
      <w:r>
        <w:tab/>
        <w:t>set fees to be charged in respect of any matter under, or relating to, this Part or any Part 17 regulations; and</w:t>
      </w:r>
    </w:p>
    <w:p>
      <w:pPr>
        <w:pStyle w:val="Indenta"/>
      </w:pPr>
      <w:r>
        <w:tab/>
        <w:t>(b)</w:t>
      </w:r>
      <w:r>
        <w:tab/>
        <w:t>make provision for determining the persons by whom the fees are payable.</w:t>
      </w:r>
    </w:p>
    <w:p>
      <w:pPr>
        <w:pStyle w:val="Subsection"/>
      </w:pPr>
      <w:r>
        <w:tab/>
        <w:t>(2)</w:t>
      </w:r>
      <w:r>
        <w:tab/>
        <w:t>Despite section 274(3), the Commission is not required to consider or determine a development application, or to do any other thing under this Part or Part 17 regulations, unless any fee relating to the application or other thing has been paid.</w:t>
      </w:r>
    </w:p>
    <w:p>
      <w:pPr>
        <w:pStyle w:val="Subsection"/>
        <w:keepNext/>
      </w:pPr>
      <w:r>
        <w:tab/>
        <w:t>(3)</w:t>
      </w:r>
      <w:r>
        <w:tab/>
        <w:t>Section 20 does not apply in relation to this Part.</w:t>
      </w:r>
    </w:p>
    <w:p>
      <w:pPr>
        <w:pStyle w:val="Footnotesection"/>
      </w:pPr>
      <w:r>
        <w:tab/>
        <w:t>[Section 285 inserted: No. 26 of 2020 s. 4.]</w:t>
      </w:r>
    </w:p>
    <w:p>
      <w:pPr>
        <w:pStyle w:val="Heading5"/>
      </w:pPr>
      <w:bookmarkStart w:id="1111" w:name="_Toc77246546"/>
      <w:bookmarkStart w:id="1112" w:name="_Toc74924295"/>
      <w:r>
        <w:rPr>
          <w:rStyle w:val="CharSectno"/>
        </w:rPr>
        <w:t>286</w:t>
      </w:r>
      <w:r>
        <w:t>.</w:t>
      </w:r>
      <w:r>
        <w:tab/>
        <w:t>Regulations</w:t>
      </w:r>
      <w:bookmarkEnd w:id="1111"/>
      <w:bookmarkEnd w:id="1112"/>
    </w:p>
    <w:p>
      <w:pPr>
        <w:pStyle w:val="Subsection"/>
      </w:pPr>
      <w:r>
        <w:tab/>
        <w:t>(1)</w:t>
      </w:r>
      <w:r>
        <w:tab/>
        <w:t>The Governor may make regulations prescribing all matters that are required or permitted by this Part to be prescribed or are necessary or convenient to be prescribed for giving effect to the purposes of this Part.</w:t>
      </w:r>
    </w:p>
    <w:p>
      <w:pPr>
        <w:pStyle w:val="Subsection"/>
      </w:pPr>
      <w:r>
        <w:tab/>
        <w:t>(2)</w:t>
      </w:r>
      <w:r>
        <w:tab/>
        <w:t xml:space="preserve">Without limiting subsection (1), Part 17 regulations may prescribe powers, duties, procedures or any other matters for the purposes of, or in relation to — </w:t>
      </w:r>
    </w:p>
    <w:p>
      <w:pPr>
        <w:pStyle w:val="Indenta"/>
      </w:pPr>
      <w:r>
        <w:tab/>
        <w:t>(a)</w:t>
      </w:r>
      <w:r>
        <w:tab/>
        <w:t>applications, notifications, referrals or directions under this Part; or</w:t>
      </w:r>
    </w:p>
    <w:p>
      <w:pPr>
        <w:pStyle w:val="Indenta"/>
      </w:pPr>
      <w:r>
        <w:tab/>
        <w:t>(b)</w:t>
      </w:r>
      <w:r>
        <w:tab/>
        <w:t>the consideration or determination of applications or notifications under this Part.</w:t>
      </w:r>
    </w:p>
    <w:p>
      <w:pPr>
        <w:pStyle w:val="Footnotesection"/>
      </w:pPr>
      <w:r>
        <w:tab/>
        <w:t>[Section 286 inserted: No. 26 of 2020 s. 4.]</w:t>
      </w:r>
    </w:p>
    <w:p>
      <w:pPr>
        <w:pStyle w:val="Heading2"/>
      </w:pPr>
      <w:bookmarkStart w:id="1113" w:name="_Toc77239593"/>
      <w:bookmarkStart w:id="1114" w:name="_Toc77240497"/>
      <w:bookmarkStart w:id="1115" w:name="_Toc77246547"/>
      <w:bookmarkStart w:id="1116" w:name="_Toc74652608"/>
      <w:bookmarkStart w:id="1117" w:name="_Toc74653074"/>
      <w:bookmarkStart w:id="1118" w:name="_Toc74733792"/>
      <w:bookmarkStart w:id="1119" w:name="_Toc74924296"/>
      <w:r>
        <w:rPr>
          <w:rStyle w:val="CharPartNo"/>
        </w:rPr>
        <w:t>Part 18</w:t>
      </w:r>
      <w:r>
        <w:rPr>
          <w:rStyle w:val="CharDivNo"/>
        </w:rPr>
        <w:t> </w:t>
      </w:r>
      <w:r>
        <w:t>—</w:t>
      </w:r>
      <w:r>
        <w:rPr>
          <w:rStyle w:val="CharDivText"/>
        </w:rPr>
        <w:t> </w:t>
      </w:r>
      <w:r>
        <w:rPr>
          <w:rStyle w:val="CharPartText"/>
        </w:rPr>
        <w:t>Extension of time for endorsement of diagram or plan of survey due to COVID</w:t>
      </w:r>
      <w:r>
        <w:rPr>
          <w:rStyle w:val="CharPartText"/>
        </w:rPr>
        <w:noBreakHyphen/>
        <w:t>19 pandemic</w:t>
      </w:r>
      <w:bookmarkEnd w:id="1113"/>
      <w:bookmarkEnd w:id="1114"/>
      <w:bookmarkEnd w:id="1115"/>
      <w:bookmarkEnd w:id="1116"/>
      <w:bookmarkEnd w:id="1117"/>
      <w:bookmarkEnd w:id="1118"/>
      <w:bookmarkEnd w:id="1119"/>
    </w:p>
    <w:p>
      <w:pPr>
        <w:pStyle w:val="Footnoteheading"/>
      </w:pPr>
      <w:r>
        <w:tab/>
        <w:t>[Heading inserted: No. 26 of 2020 s. 4.]</w:t>
      </w:r>
    </w:p>
    <w:p>
      <w:pPr>
        <w:pStyle w:val="Heading5"/>
      </w:pPr>
      <w:bookmarkStart w:id="1120" w:name="_Toc77246548"/>
      <w:bookmarkStart w:id="1121" w:name="_Toc74924297"/>
      <w:r>
        <w:rPr>
          <w:rStyle w:val="CharSectno"/>
        </w:rPr>
        <w:t>287</w:t>
      </w:r>
      <w:r>
        <w:t>.</w:t>
      </w:r>
      <w:r>
        <w:tab/>
        <w:t>Term used: COVID</w:t>
      </w:r>
      <w:r>
        <w:noBreakHyphen/>
        <w:t>19 emergency start date</w:t>
      </w:r>
      <w:bookmarkEnd w:id="1120"/>
      <w:bookmarkEnd w:id="1121"/>
    </w:p>
    <w:p>
      <w:pPr>
        <w:pStyle w:val="Subsection"/>
      </w:pPr>
      <w:r>
        <w:tab/>
      </w:r>
      <w:r>
        <w:tab/>
        <w:t xml:space="preserve">In this Part — </w:t>
      </w:r>
    </w:p>
    <w:p>
      <w:pPr>
        <w:pStyle w:val="Defstart"/>
      </w:pPr>
      <w:r>
        <w:tab/>
      </w:r>
      <w:r>
        <w:rPr>
          <w:rStyle w:val="CharDefText"/>
        </w:rPr>
        <w:t>COVID</w:t>
      </w:r>
      <w:r>
        <w:rPr>
          <w:rStyle w:val="CharDefText"/>
        </w:rPr>
        <w:noBreakHyphen/>
        <w:t>19 emergency start date</w:t>
      </w:r>
      <w:r>
        <w:t xml:space="preserve"> means 16 March 2020, being the day on which the state of emergency declaration under the </w:t>
      </w:r>
      <w:r>
        <w:rPr>
          <w:i/>
        </w:rPr>
        <w:t>Emergency Management Act 2005</w:t>
      </w:r>
      <w:r>
        <w:t xml:space="preserve"> section 56 in relation to the COVID</w:t>
      </w:r>
      <w:r>
        <w:noBreakHyphen/>
        <w:t>19 pandemic came into effect.</w:t>
      </w:r>
    </w:p>
    <w:p>
      <w:pPr>
        <w:pStyle w:val="Footnotesection"/>
      </w:pPr>
      <w:r>
        <w:tab/>
        <w:t>[Section 287 inserted: No. 26 of 2020 s. 4.]</w:t>
      </w:r>
    </w:p>
    <w:p>
      <w:pPr>
        <w:pStyle w:val="Heading5"/>
      </w:pPr>
      <w:bookmarkStart w:id="1122" w:name="_Toc77246549"/>
      <w:bookmarkStart w:id="1123" w:name="_Toc74924298"/>
      <w:r>
        <w:rPr>
          <w:rStyle w:val="CharSectno"/>
        </w:rPr>
        <w:t>288</w:t>
      </w:r>
      <w:r>
        <w:t>.</w:t>
      </w:r>
      <w:r>
        <w:tab/>
        <w:t>Extension of time for endorsement of diagram or plan of survey of approved subdivision</w:t>
      </w:r>
      <w:bookmarkEnd w:id="1122"/>
      <w:bookmarkEnd w:id="1123"/>
    </w:p>
    <w:p>
      <w:pPr>
        <w:pStyle w:val="Subsection"/>
      </w:pPr>
      <w:r>
        <w:tab/>
        <w:t>(1)</w:t>
      </w:r>
      <w:r>
        <w:tab/>
        <w:t xml:space="preserve">This section applies to — </w:t>
      </w:r>
    </w:p>
    <w:p>
      <w:pPr>
        <w:pStyle w:val="Indenta"/>
      </w:pPr>
      <w:r>
        <w:tab/>
        <w:t>(a)</w:t>
      </w:r>
      <w:r>
        <w:tab/>
        <w:t>a plan of subdivision approved by the Commission under section 143(1)(a) or (c) before the COVID</w:t>
      </w:r>
      <w:r>
        <w:noBreakHyphen/>
        <w:t xml:space="preserve">19 emergency start date if, immediately before that date — </w:t>
      </w:r>
    </w:p>
    <w:p>
      <w:pPr>
        <w:pStyle w:val="Indenti"/>
      </w:pPr>
      <w:r>
        <w:tab/>
        <w:t>(i)</w:t>
      </w:r>
      <w:r>
        <w:tab/>
        <w:t>the Commission had not endorsed its approval on the diagram or plan of survey of the subdivision under section 145(4); and</w:t>
      </w:r>
    </w:p>
    <w:p>
      <w:pPr>
        <w:pStyle w:val="Indenti"/>
      </w:pPr>
      <w:r>
        <w:tab/>
        <w:t>(ii)</w:t>
      </w:r>
      <w:r>
        <w:tab/>
        <w:t>the approval of the plan of subdivision had not ceased to have effect under section 145(7);</w:t>
      </w:r>
    </w:p>
    <w:p>
      <w:pPr>
        <w:pStyle w:val="Indenta"/>
      </w:pPr>
      <w:r>
        <w:tab/>
      </w:r>
      <w:r>
        <w:tab/>
        <w:t>or</w:t>
      </w:r>
    </w:p>
    <w:p>
      <w:pPr>
        <w:pStyle w:val="Indenta"/>
      </w:pPr>
      <w:r>
        <w:tab/>
        <w:t>(b)</w:t>
      </w:r>
      <w:r>
        <w:tab/>
        <w:t>a plan of subdivision approved by the Commission under section 143(1)(a) or (c) on or after the COVID</w:t>
      </w:r>
      <w:r>
        <w:noBreakHyphen/>
        <w:t>19 emergency start date if the application for the Commission’s approval of the plan of subdivision was made before that date.</w:t>
      </w:r>
    </w:p>
    <w:p>
      <w:pPr>
        <w:pStyle w:val="Subsection"/>
      </w:pPr>
      <w:r>
        <w:tab/>
        <w:t>(2)</w:t>
      </w:r>
      <w:r>
        <w:tab/>
        <w:t xml:space="preserve">Despite any provision of Part 10 Division 2, the period within which the person to whom the approval of the plan of subdivision was given under section 143(1)(a) or (c) must submit, and request approval of, a diagram or plan of survey of the subdivision under section 145(1) is, and is taken always to have been — </w:t>
      </w:r>
    </w:p>
    <w:p>
      <w:pPr>
        <w:pStyle w:val="Indenta"/>
      </w:pPr>
      <w:r>
        <w:tab/>
        <w:t>(a)</w:t>
      </w:r>
      <w:r>
        <w:tab/>
        <w:t>in relation to a plan of subdivision creating more than 5 lots — the period of 6 years beginning on the day on which the Commission approved the plan of subdivision; and</w:t>
      </w:r>
    </w:p>
    <w:p>
      <w:pPr>
        <w:pStyle w:val="Indenta"/>
      </w:pPr>
      <w:r>
        <w:tab/>
        <w:t>(b)</w:t>
      </w:r>
      <w:r>
        <w:tab/>
        <w:t>in any other case — the period of 5 years beginning on the day on which the Commission approved the plan of subdivision.</w:t>
      </w:r>
    </w:p>
    <w:p>
      <w:pPr>
        <w:pStyle w:val="Subsection"/>
      </w:pPr>
      <w:r>
        <w:tab/>
        <w:t>(3)</w:t>
      </w:r>
      <w:r>
        <w:tab/>
        <w:t xml:space="preserve">The Commission cannot, after the coming into operation of the </w:t>
      </w:r>
      <w:r>
        <w:rPr>
          <w:i/>
        </w:rPr>
        <w:t xml:space="preserve">Planning and Development Amendment Act 2020 </w:t>
      </w:r>
      <w:r>
        <w:t>Part 12 Division 1, grant an extension under section 145A in relation to the plan of subdivision.</w:t>
      </w:r>
    </w:p>
    <w:p>
      <w:pPr>
        <w:pStyle w:val="Footnotesection"/>
        <w:rPr>
          <w:rStyle w:val="CharDivText"/>
        </w:rPr>
      </w:pPr>
      <w:r>
        <w:tab/>
        <w:t>[Section 288 inserted: No. 26 of 2020 s. 4.]</w:t>
      </w:r>
    </w:p>
    <w:p>
      <w:pPr>
        <w:pStyle w:val="Heading2"/>
      </w:pPr>
      <w:bookmarkStart w:id="1124" w:name="_Toc77239596"/>
      <w:bookmarkStart w:id="1125" w:name="_Toc77240500"/>
      <w:bookmarkStart w:id="1126" w:name="_Toc77246550"/>
      <w:bookmarkStart w:id="1127" w:name="_Toc74652611"/>
      <w:bookmarkStart w:id="1128" w:name="_Toc74653077"/>
      <w:bookmarkStart w:id="1129" w:name="_Toc74733795"/>
      <w:bookmarkStart w:id="1130" w:name="_Toc74924299"/>
      <w:r>
        <w:rPr>
          <w:rStyle w:val="CharPartNo"/>
        </w:rPr>
        <w:t>Part 19</w:t>
      </w:r>
      <w:r>
        <w:rPr>
          <w:rStyle w:val="CharDivNo"/>
        </w:rPr>
        <w:t> </w:t>
      </w:r>
      <w:r>
        <w:t>—</w:t>
      </w:r>
      <w:r>
        <w:rPr>
          <w:rStyle w:val="CharDivText"/>
        </w:rPr>
        <w:t> </w:t>
      </w:r>
      <w:r>
        <w:rPr>
          <w:rStyle w:val="CharPartText"/>
        </w:rPr>
        <w:t xml:space="preserve">Transitional provisions for </w:t>
      </w:r>
      <w:r>
        <w:rPr>
          <w:rStyle w:val="CharPartText"/>
          <w:i/>
        </w:rPr>
        <w:t>Planning and Development Amendment Act 2020</w:t>
      </w:r>
      <w:bookmarkEnd w:id="1124"/>
      <w:bookmarkEnd w:id="1125"/>
      <w:bookmarkEnd w:id="1126"/>
      <w:bookmarkEnd w:id="1127"/>
      <w:bookmarkEnd w:id="1128"/>
      <w:bookmarkEnd w:id="1129"/>
      <w:bookmarkEnd w:id="1130"/>
    </w:p>
    <w:p>
      <w:pPr>
        <w:pStyle w:val="Footnoteheading"/>
      </w:pPr>
      <w:r>
        <w:tab/>
        <w:t>[Heading inserted: No. 26 of 2020 s. 105.]</w:t>
      </w:r>
    </w:p>
    <w:p>
      <w:pPr>
        <w:pStyle w:val="Heading5"/>
      </w:pPr>
      <w:bookmarkStart w:id="1131" w:name="_Toc77246551"/>
      <w:bookmarkStart w:id="1132" w:name="_Toc74924300"/>
      <w:r>
        <w:rPr>
          <w:rStyle w:val="CharSectno"/>
        </w:rPr>
        <w:t>289</w:t>
      </w:r>
      <w:r>
        <w:t>.</w:t>
      </w:r>
      <w:r>
        <w:tab/>
        <w:t>LDAP or JDAP continues as district DAP</w:t>
      </w:r>
      <w:bookmarkEnd w:id="1131"/>
      <w:bookmarkEnd w:id="1132"/>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 xml:space="preserve">Planning and Development Amendment Act 2020 </w:t>
      </w:r>
      <w:r>
        <w:t>Part 3 comes into operation;</w:t>
      </w:r>
    </w:p>
    <w:p>
      <w:pPr>
        <w:pStyle w:val="Defstart"/>
      </w:pPr>
      <w:r>
        <w:tab/>
      </w:r>
      <w:r>
        <w:rPr>
          <w:rStyle w:val="CharDefText"/>
        </w:rPr>
        <w:t>JDAP</w:t>
      </w:r>
      <w:r>
        <w:t xml:space="preserve"> has the meaning given in section 4(1) as in force immediately before commencement day;</w:t>
      </w:r>
    </w:p>
    <w:p>
      <w:pPr>
        <w:pStyle w:val="Defstart"/>
      </w:pPr>
      <w:r>
        <w:tab/>
      </w:r>
      <w:r>
        <w:rPr>
          <w:rStyle w:val="CharDefText"/>
        </w:rPr>
        <w:t>LDAP</w:t>
      </w:r>
      <w:r>
        <w:t xml:space="preserve"> has the meaning given in section 4(1) as in force immediately before commencement day.</w:t>
      </w:r>
    </w:p>
    <w:p>
      <w:pPr>
        <w:pStyle w:val="Subsection"/>
      </w:pPr>
      <w:r>
        <w:tab/>
        <w:t>(2)</w:t>
      </w:r>
      <w:r>
        <w:tab/>
        <w:t>If, immediately before commencement day, there is an LDAP for a district, the LDAP is taken, on and after commencement day, to be a district DAP established under section 171C(1)(a) for the district.</w:t>
      </w:r>
    </w:p>
    <w:p>
      <w:pPr>
        <w:pStyle w:val="Subsection"/>
      </w:pPr>
      <w:r>
        <w:tab/>
        <w:t>(3)</w:t>
      </w:r>
      <w:r>
        <w:tab/>
        <w:t>If, immediately before commencement day, there is a JDAP for 2 or more districts, the JDAP is taken, on and after commencement day, to be a district DAP established under section 171C(1)(a) for those districts.</w:t>
      </w:r>
    </w:p>
    <w:p>
      <w:pPr>
        <w:pStyle w:val="Subsection"/>
      </w:pPr>
      <w:r>
        <w:tab/>
        <w:t>(4)</w:t>
      </w:r>
      <w:r>
        <w:tab/>
        <w:t>An order establishing an LDAP or a JDAP to which subsection (2) or (3) applies continues to have effect on and after commencement day as if it were an order establishing a district DAP under section 171C(1)(a) and may be amended or revoked accordingly.</w:t>
      </w:r>
    </w:p>
    <w:p>
      <w:pPr>
        <w:pStyle w:val="Footnotesection"/>
      </w:pPr>
      <w:r>
        <w:tab/>
        <w:t>[Section 289 inserted: No. 26 of 2020 s. 105.]</w:t>
      </w:r>
    </w:p>
    <w:p>
      <w:pPr>
        <w:pStyle w:val="Heading5"/>
      </w:pPr>
      <w:bookmarkStart w:id="1133" w:name="_Toc77246552"/>
      <w:bookmarkStart w:id="1134" w:name="_Toc74924301"/>
      <w:r>
        <w:rPr>
          <w:rStyle w:val="CharSectno"/>
        </w:rPr>
        <w:t>290</w:t>
      </w:r>
      <w:r>
        <w:t>.</w:t>
      </w:r>
      <w:r>
        <w:tab/>
        <w:t>Preparation and approval of planning schemes where process commenced before commencement day</w:t>
      </w:r>
      <w:bookmarkEnd w:id="1133"/>
      <w:bookmarkEnd w:id="1134"/>
    </w:p>
    <w:p>
      <w:pPr>
        <w:pStyle w:val="Subsection"/>
      </w:pPr>
      <w:r>
        <w:tab/>
        <w:t>(1)</w:t>
      </w:r>
      <w:r>
        <w:tab/>
        <w:t xml:space="preserve">In this section — </w:t>
      </w:r>
    </w:p>
    <w:p>
      <w:pPr>
        <w:pStyle w:val="Defstart"/>
      </w:pPr>
      <w:r>
        <w:tab/>
      </w:r>
      <w:r>
        <w:rPr>
          <w:rStyle w:val="CharDefText"/>
        </w:rPr>
        <w:t>amended Act</w:t>
      </w:r>
      <w:r>
        <w:t xml:space="preserve"> means this Act as amended by the </w:t>
      </w:r>
      <w:r>
        <w:rPr>
          <w:i/>
        </w:rPr>
        <w:t>Planning and Development Amendment Act 2020</w:t>
      </w:r>
      <w:r>
        <w:t xml:space="preserve"> Part 6 Division 1;</w:t>
      </w:r>
    </w:p>
    <w:p>
      <w:pPr>
        <w:pStyle w:val="Defstart"/>
      </w:pPr>
      <w:r>
        <w:tab/>
      </w:r>
      <w:r>
        <w:rPr>
          <w:rStyle w:val="CharDefText"/>
        </w:rPr>
        <w:t>commencement day</w:t>
      </w:r>
      <w:r>
        <w:t xml:space="preserve"> means the day on which the </w:t>
      </w:r>
      <w:r>
        <w:rPr>
          <w:i/>
        </w:rPr>
        <w:t>Planning and Development Amendment Act 2020</w:t>
      </w:r>
      <w:r>
        <w:t xml:space="preserve"> Part 6 Division 1 comes into operation;</w:t>
      </w:r>
    </w:p>
    <w:p>
      <w:pPr>
        <w:pStyle w:val="Defstart"/>
      </w:pPr>
      <w:r>
        <w:tab/>
      </w:r>
      <w:r>
        <w:rPr>
          <w:rStyle w:val="CharDefText"/>
        </w:rPr>
        <w:t>former Act</w:t>
      </w:r>
      <w:r>
        <w:t xml:space="preserve"> means this Act as in force immediately before commencement day;</w:t>
      </w:r>
    </w:p>
    <w:p>
      <w:pPr>
        <w:pStyle w:val="Defstart"/>
      </w:pPr>
      <w:r>
        <w:tab/>
      </w:r>
      <w:r>
        <w:rPr>
          <w:rStyle w:val="CharDefText"/>
        </w:rPr>
        <w:t>preparation and approval process</w:t>
      </w:r>
      <w:r>
        <w:t xml:space="preserve">, in relation to a planning scheme or amendment to a planning scheme — </w:t>
      </w:r>
    </w:p>
    <w:p>
      <w:pPr>
        <w:pStyle w:val="Defpara"/>
      </w:pPr>
      <w:r>
        <w:tab/>
        <w:t>(a)</w:t>
      </w:r>
      <w:r>
        <w:tab/>
        <w:t>means the process for the preparation or adoption, submission and approval of the scheme or amendment; and</w:t>
      </w:r>
    </w:p>
    <w:p>
      <w:pPr>
        <w:pStyle w:val="Defpara"/>
      </w:pPr>
      <w:r>
        <w:tab/>
        <w:t>(b)</w:t>
      </w:r>
      <w:r>
        <w:tab/>
        <w:t>includes, without limitation, any consultation, referral, advertisement, hearings, reports and consideration of submissions that occur as part of that process.</w:t>
      </w:r>
    </w:p>
    <w:p>
      <w:pPr>
        <w:pStyle w:val="Subsection"/>
      </w:pPr>
      <w:r>
        <w:tab/>
        <w:t>(2)</w:t>
      </w:r>
      <w:r>
        <w:tab/>
        <w:t xml:space="preserve">The regulations may make provision for how the preparation and approval process for a planning scheme or an amendment to a planning scheme is to be completed if — </w:t>
      </w:r>
    </w:p>
    <w:p>
      <w:pPr>
        <w:pStyle w:val="Indenta"/>
      </w:pPr>
      <w:r>
        <w:tab/>
        <w:t>(a)</w:t>
      </w:r>
      <w:r>
        <w:tab/>
        <w:t>1 or more steps in the preparation and approval process for the scheme or amendment are taken before commencement day under the former Act; but</w:t>
      </w:r>
    </w:p>
    <w:p>
      <w:pPr>
        <w:pStyle w:val="Indenta"/>
      </w:pPr>
      <w:r>
        <w:tab/>
        <w:t>(b)</w:t>
      </w:r>
      <w:r>
        <w:tab/>
        <w:t>the scheme or amendment is not approved under the former Act before commencement day.</w:t>
      </w:r>
    </w:p>
    <w:p>
      <w:pPr>
        <w:pStyle w:val="Subsection"/>
      </w:pPr>
      <w:r>
        <w:tab/>
        <w:t>(3)</w:t>
      </w:r>
      <w:r>
        <w:tab/>
        <w:t>Without limiting subsection (2), the regulations may provide that any requirement of the preparation and approval process under the amended Act is taken to be satisfied in relation to a planning scheme or amendment referred to in that subsection in circumstances prescribed by the regulations.</w:t>
      </w:r>
    </w:p>
    <w:p>
      <w:pPr>
        <w:pStyle w:val="Footnotesection"/>
      </w:pPr>
      <w:r>
        <w:tab/>
        <w:t>[Section 290 inserted: No. 26 of 2020 s. 105.]</w:t>
      </w:r>
    </w:p>
    <w:p>
      <w:pPr>
        <w:pStyle w:val="Heading5"/>
      </w:pPr>
      <w:bookmarkStart w:id="1135" w:name="_Toc77246553"/>
      <w:bookmarkStart w:id="1136" w:name="_Toc74924302"/>
      <w:r>
        <w:rPr>
          <w:rStyle w:val="CharSectno"/>
        </w:rPr>
        <w:t>291</w:t>
      </w:r>
      <w:r>
        <w:t>.</w:t>
      </w:r>
      <w:r>
        <w:tab/>
        <w:t>R</w:t>
      </w:r>
      <w:r>
        <w:noBreakHyphen/>
        <w:t>Codes taken to be planning codes</w:t>
      </w:r>
      <w:bookmarkEnd w:id="1135"/>
      <w:bookmarkEnd w:id="1136"/>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Planning and Development Amendment Act 2020</w:t>
      </w:r>
      <w:r>
        <w:t xml:space="preserve"> section 65 comes into operation;</w:t>
      </w:r>
    </w:p>
    <w:p>
      <w:pPr>
        <w:pStyle w:val="Defstart"/>
      </w:pPr>
      <w:r>
        <w:tab/>
      </w:r>
      <w:r>
        <w:rPr>
          <w:rStyle w:val="CharDefText"/>
        </w:rPr>
        <w:t>R</w:t>
      </w:r>
      <w:r>
        <w:rPr>
          <w:rStyle w:val="CharDefText"/>
        </w:rPr>
        <w:noBreakHyphen/>
        <w:t>Codes</w:t>
      </w:r>
      <w:r>
        <w:t xml:space="preserve"> means the Residential Design Codes prepared as a State planning policy under section 26(1), as in force immediately before commencement day.</w:t>
      </w:r>
    </w:p>
    <w:p>
      <w:pPr>
        <w:pStyle w:val="Subsection"/>
      </w:pPr>
      <w:r>
        <w:tab/>
        <w:t>(2)</w:t>
      </w:r>
      <w:r>
        <w:tab/>
        <w:t>On and after commencement day, the R</w:t>
      </w:r>
      <w:r>
        <w:noBreakHyphen/>
        <w:t>Codes are taken to be planning codes.</w:t>
      </w:r>
    </w:p>
    <w:p>
      <w:pPr>
        <w:pStyle w:val="Subsection"/>
      </w:pPr>
      <w:r>
        <w:tab/>
        <w:t>(3)</w:t>
      </w:r>
      <w:r>
        <w:tab/>
        <w:t>Subsection (2) does not prevent the R</w:t>
      </w:r>
      <w:r>
        <w:noBreakHyphen/>
        <w:t>Codes from being amended or repealed under Part 3A.</w:t>
      </w:r>
    </w:p>
    <w:p>
      <w:pPr>
        <w:pStyle w:val="Subsection"/>
      </w:pPr>
      <w:r>
        <w:tab/>
        <w:t>(4)</w:t>
      </w:r>
      <w:r>
        <w:tab/>
        <w:t>A provision included before commencement day in a local planning scheme under section 77(1)(b), or an improvement scheme under section 77(1)(b) as it applies under section 122B(1), in relation to the R</w:t>
      </w:r>
      <w:r>
        <w:noBreakHyphen/>
        <w:t>Codes as State planning policies continues to apply on and after commencement day in relation to the R</w:t>
      </w:r>
      <w:r>
        <w:noBreakHyphen/>
        <w:t>Codes as planning codes.</w:t>
      </w:r>
    </w:p>
    <w:p>
      <w:pPr>
        <w:pStyle w:val="Footnotesection"/>
      </w:pPr>
      <w:r>
        <w:tab/>
        <w:t>[Section 291 inserted: No. 26 of 2020 s. 105.]</w:t>
      </w:r>
    </w:p>
    <w:p>
      <w:pPr>
        <w:pStyle w:val="Heading5"/>
      </w:pPr>
      <w:bookmarkStart w:id="1137" w:name="_Toc77246554"/>
      <w:bookmarkStart w:id="1138" w:name="_Toc74924303"/>
      <w:r>
        <w:rPr>
          <w:rStyle w:val="CharSectno"/>
        </w:rPr>
        <w:t>292</w:t>
      </w:r>
      <w:r>
        <w:t>.</w:t>
      </w:r>
      <w:r>
        <w:tab/>
        <w:t>Regulations made by Minister continue in force</w:t>
      </w:r>
      <w:bookmarkEnd w:id="1137"/>
      <w:bookmarkEnd w:id="1138"/>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 xml:space="preserve">Planning and Development Amendment Act 2020 </w:t>
      </w:r>
      <w:r>
        <w:t>Part 8 comes into operation.</w:t>
      </w:r>
    </w:p>
    <w:p>
      <w:pPr>
        <w:pStyle w:val="Subsection"/>
      </w:pPr>
      <w:r>
        <w:tab/>
        <w:t>(2)</w:t>
      </w:r>
      <w:r>
        <w:tab/>
        <w:t>Regulations made by the Minister under section 256 before commencement day continue to have effect on and after commencement day as if they were made by the Governor under section 256 and may be amended or repealed accordingly.</w:t>
      </w:r>
    </w:p>
    <w:p>
      <w:pPr>
        <w:pStyle w:val="Subsection"/>
      </w:pPr>
      <w:r>
        <w:tab/>
        <w:t>(3)</w:t>
      </w:r>
      <w:r>
        <w:tab/>
        <w:t>Regulations made by the Minister under section 258 before commencement day continue to have effect on and after commencement day as if they were made by the Governor under section 258 and may be amended or repealed accordingly.</w:t>
      </w:r>
    </w:p>
    <w:p>
      <w:pPr>
        <w:pStyle w:val="Subsection"/>
      </w:pPr>
      <w:r>
        <w:tab/>
        <w:t>(4)</w:t>
      </w:r>
      <w:r>
        <w:tab/>
        <w:t>Regulations made by the Minister under section 259 before commencement day continue to have effect on and after commencement day as if they were made by the Governor under section 259 and may be amended or repealed accordingly.</w:t>
      </w:r>
    </w:p>
    <w:p>
      <w:pPr>
        <w:pStyle w:val="Footnotesection"/>
      </w:pPr>
      <w:r>
        <w:tab/>
        <w:t>[Section 292 inserted: No. 26 of 2020 s. 105.]</w:t>
      </w:r>
    </w:p>
    <w:p>
      <w:pPr>
        <w:pStyle w:val="Heading5"/>
      </w:pPr>
      <w:bookmarkStart w:id="1139" w:name="_Toc77246555"/>
      <w:bookmarkStart w:id="1140" w:name="_Toc74924304"/>
      <w:r>
        <w:rPr>
          <w:rStyle w:val="CharSectno"/>
        </w:rPr>
        <w:t>293</w:t>
      </w:r>
      <w:r>
        <w:t>.</w:t>
      </w:r>
      <w:r>
        <w:tab/>
        <w:t>Electronic planning maps prepared before commencement day</w:t>
      </w:r>
      <w:bookmarkEnd w:id="1139"/>
      <w:bookmarkEnd w:id="1140"/>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Planning and Development Amendment Act 2020</w:t>
      </w:r>
      <w:r>
        <w:t xml:space="preserve"> Part 14 comes into operation.</w:t>
      </w:r>
    </w:p>
    <w:p>
      <w:pPr>
        <w:pStyle w:val="Subsection"/>
      </w:pPr>
      <w:r>
        <w:tab/>
        <w:t>(2)</w:t>
      </w:r>
      <w:r>
        <w:tab/>
        <w:t>This section applies if, before commencement day, a map that forms part of a planning instrument (as defined in section 267B(1)) has been prepared as an electronic map.</w:t>
      </w:r>
    </w:p>
    <w:p>
      <w:pPr>
        <w:pStyle w:val="Subsection"/>
      </w:pPr>
      <w:r>
        <w:tab/>
        <w:t>(3)</w:t>
      </w:r>
      <w:r>
        <w:tab/>
        <w:t>The Commission may, in writing, approve the electronic map if the Commission is satisfied that it substantially complies with the requirements for electronic planning maps under section 267B(3) to (5).</w:t>
      </w:r>
    </w:p>
    <w:p>
      <w:pPr>
        <w:pStyle w:val="Subsection"/>
      </w:pPr>
      <w:r>
        <w:tab/>
        <w:t>(4)</w:t>
      </w:r>
      <w:r>
        <w:tab/>
        <w:t>On and after commencement day, a map approved under subsection (3) is taken to be an electronic planning map prepared in accordance with section 267B.</w:t>
      </w:r>
    </w:p>
    <w:p>
      <w:pPr>
        <w:pStyle w:val="Subsection"/>
      </w:pPr>
      <w:r>
        <w:tab/>
        <w:t>(5)</w:t>
      </w:r>
      <w:r>
        <w:tab/>
        <w:t>A reference in subsection (2) or (3) to a subsection of section 267B is, before commencement day, a reference to that subsection as it will be in force on commencement day.</w:t>
      </w:r>
    </w:p>
    <w:p>
      <w:pPr>
        <w:pStyle w:val="Footnotesection"/>
      </w:pPr>
      <w:r>
        <w:tab/>
        <w:t>[Section 293 inserted: No. 26 of 2020 s. 105.]</w:t>
      </w:r>
    </w:p>
    <w:p>
      <w:pPr>
        <w:pStyle w:val="Heading5"/>
      </w:pPr>
      <w:bookmarkStart w:id="1141" w:name="_Toc77246556"/>
      <w:bookmarkStart w:id="1142" w:name="_Toc74924305"/>
      <w:r>
        <w:t>294.</w:t>
      </w:r>
      <w:r>
        <w:tab/>
        <w:t>Transitional regulations</w:t>
      </w:r>
      <w:bookmarkEnd w:id="1141"/>
      <w:bookmarkEnd w:id="1142"/>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pPr>
      <w:r>
        <w:tab/>
      </w:r>
      <w:r>
        <w:rPr>
          <w:rStyle w:val="CharDefText"/>
        </w:rPr>
        <w:t>transitional matter</w:t>
      </w:r>
      <w:r>
        <w:t xml:space="preserve"> — </w:t>
      </w:r>
    </w:p>
    <w:p>
      <w:pPr>
        <w:pStyle w:val="Defpara"/>
      </w:pPr>
      <w:r>
        <w:tab/>
        <w:t>(a)</w:t>
      </w:r>
      <w:r>
        <w:tab/>
        <w:t xml:space="preserve">means a matter or issue of a transitional nature that arises as a result of any of the amendments to this Act made by the </w:t>
      </w:r>
      <w:r>
        <w:rPr>
          <w:i/>
        </w:rPr>
        <w:t>Planning and Development Amendment Act 2020</w:t>
      </w:r>
      <w:r>
        <w:t>; and</w:t>
      </w:r>
    </w:p>
    <w:p>
      <w:pPr>
        <w:pStyle w:val="Defpara"/>
      </w:pPr>
      <w:r>
        <w:tab/>
        <w:t>(b)</w:t>
      </w:r>
      <w:r>
        <w:tab/>
        <w:t>includes a saving or application matter.</w:t>
      </w:r>
    </w:p>
    <w:p>
      <w:pPr>
        <w:pStyle w:val="Subsection"/>
      </w:pPr>
      <w:r>
        <w:tab/>
        <w:t>(2)</w:t>
      </w:r>
      <w:r>
        <w:tab/>
        <w:t>If there is not sufficient provision in this Act for dealing with a transitional matter, regulations may prescribe all matters that are required, or are necessary or convenient, to be prescribed for dealing with the matter.</w:t>
      </w:r>
    </w:p>
    <w:p>
      <w:pPr>
        <w:pStyle w:val="Subsection"/>
      </w:pPr>
      <w:r>
        <w:tab/>
        <w:t>(3)</w:t>
      </w:r>
      <w:r>
        <w:tab/>
        <w:t xml:space="preserve">If regulations made under subsection (2) provide that a specified state of affairs is taken to have existed, or not to have existed, on and from a day that is earlier than the day on which the regulations are published in the </w:t>
      </w:r>
      <w:r>
        <w:rPr>
          <w:i/>
        </w:rPr>
        <w:t>Gazette</w:t>
      </w:r>
      <w:r>
        <w:t xml:space="preserve"> but not earlier than the day on which the </w:t>
      </w:r>
      <w:r>
        <w:rPr>
          <w:i/>
        </w:rPr>
        <w:t>Planning and Development Amendment Act 2020</w:t>
      </w:r>
      <w:r>
        <w:t xml:space="preserve"> Part 17 comes into operation, the regulations have effect according to their terms.</w:t>
      </w:r>
    </w:p>
    <w:p>
      <w:pPr>
        <w:pStyle w:val="Subsection"/>
      </w:pPr>
      <w:r>
        <w:tab/>
        <w:t>(4)</w:t>
      </w:r>
      <w:r>
        <w:tab/>
        <w:t xml:space="preserve">If regulations made under subsection (2) contain a provision of a kind described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294 inserted: No. 26 of 2020 s. 105.]</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143" w:name="_Toc77239603"/>
      <w:bookmarkStart w:id="1144" w:name="_Toc77240507"/>
      <w:bookmarkStart w:id="1145" w:name="_Toc77246557"/>
      <w:bookmarkStart w:id="1146" w:name="_Toc74652618"/>
      <w:bookmarkStart w:id="1147" w:name="_Toc74653084"/>
      <w:bookmarkStart w:id="1148" w:name="_Toc74733802"/>
      <w:bookmarkStart w:id="1149" w:name="_Toc74924306"/>
      <w:r>
        <w:rPr>
          <w:rStyle w:val="CharSchNo"/>
        </w:rPr>
        <w:t>Schedule 1</w:t>
      </w:r>
      <w:r>
        <w:rPr>
          <w:rStyle w:val="CharSDivNo"/>
        </w:rPr>
        <w:t> </w:t>
      </w:r>
      <w:r>
        <w:t>—</w:t>
      </w:r>
      <w:r>
        <w:rPr>
          <w:rStyle w:val="CharSDivText"/>
        </w:rPr>
        <w:t> </w:t>
      </w:r>
      <w:r>
        <w:rPr>
          <w:rStyle w:val="CharSchText"/>
        </w:rPr>
        <w:t>Constitution and proceedings of the Board</w:t>
      </w:r>
      <w:bookmarkEnd w:id="1143"/>
      <w:bookmarkEnd w:id="1144"/>
      <w:bookmarkEnd w:id="1145"/>
      <w:bookmarkEnd w:id="1146"/>
      <w:bookmarkEnd w:id="1147"/>
      <w:bookmarkEnd w:id="1148"/>
      <w:bookmarkEnd w:id="1149"/>
    </w:p>
    <w:p>
      <w:pPr>
        <w:pStyle w:val="yShoulderClause"/>
      </w:pPr>
      <w:r>
        <w:t>[s. 12]</w:t>
      </w:r>
    </w:p>
    <w:p>
      <w:pPr>
        <w:pStyle w:val="yHeading5"/>
      </w:pPr>
      <w:bookmarkStart w:id="1150" w:name="_Toc77246558"/>
      <w:bookmarkStart w:id="1151" w:name="_Toc74924307"/>
      <w:r>
        <w:rPr>
          <w:rStyle w:val="CharSClsNo"/>
        </w:rPr>
        <w:t>1</w:t>
      </w:r>
      <w:r>
        <w:t>.</w:t>
      </w:r>
      <w:r>
        <w:tab/>
        <w:t>Term used: appointed member</w:t>
      </w:r>
      <w:bookmarkEnd w:id="1150"/>
      <w:bookmarkEnd w:id="1151"/>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pPr>
      <w:bookmarkStart w:id="1152" w:name="_Toc77246559"/>
      <w:bookmarkStart w:id="1153" w:name="_Toc74924308"/>
      <w:r>
        <w:rPr>
          <w:rStyle w:val="CharSClsNo"/>
        </w:rPr>
        <w:t>2</w:t>
      </w:r>
      <w:r>
        <w:t>.</w:t>
      </w:r>
      <w:r>
        <w:tab/>
        <w:t>Term of office</w:t>
      </w:r>
      <w:bookmarkEnd w:id="1152"/>
      <w:bookmarkEnd w:id="1153"/>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pPr>
      <w:bookmarkStart w:id="1154" w:name="_Toc77246560"/>
      <w:bookmarkStart w:id="1155" w:name="_Toc74924309"/>
      <w:r>
        <w:rPr>
          <w:rStyle w:val="CharSClsNo"/>
        </w:rPr>
        <w:t>3</w:t>
      </w:r>
      <w:r>
        <w:t>.</w:t>
      </w:r>
      <w:r>
        <w:tab/>
        <w:t>Appointments to be part-time unless stated otherwise</w:t>
      </w:r>
      <w:bookmarkEnd w:id="1154"/>
      <w:bookmarkEnd w:id="1155"/>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pPr>
      <w:bookmarkStart w:id="1156" w:name="_Toc77246561"/>
      <w:bookmarkStart w:id="1157" w:name="_Toc74924310"/>
      <w:r>
        <w:rPr>
          <w:rStyle w:val="CharSClsNo"/>
        </w:rPr>
        <w:t>4</w:t>
      </w:r>
      <w:r>
        <w:t>.</w:t>
      </w:r>
      <w:r>
        <w:tab/>
        <w:t>Vacancies in and removal from office</w:t>
      </w:r>
      <w:bookmarkEnd w:id="1156"/>
      <w:bookmarkEnd w:id="1157"/>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 or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 or</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 or</w:t>
      </w:r>
    </w:p>
    <w:p>
      <w:pPr>
        <w:pStyle w:val="yIndenta"/>
      </w:pPr>
      <w:r>
        <w:tab/>
        <w:t>(d)</w:t>
      </w:r>
      <w:r>
        <w:tab/>
        <w:t>in the case of an appointed member, the appointed member is absent, without leave of the Minister, from 3 consecutive meetings of which the appointed member has had notice; or</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pPr>
      <w:bookmarkStart w:id="1158" w:name="_Toc77246562"/>
      <w:bookmarkStart w:id="1159" w:name="_Toc74924311"/>
      <w:r>
        <w:rPr>
          <w:rStyle w:val="CharSClsNo"/>
        </w:rPr>
        <w:t>5</w:t>
      </w:r>
      <w:r>
        <w:t>.</w:t>
      </w:r>
      <w:r>
        <w:tab/>
        <w:t>Leave of absence</w:t>
      </w:r>
      <w:bookmarkEnd w:id="1158"/>
      <w:bookmarkEnd w:id="1159"/>
    </w:p>
    <w:p>
      <w:pPr>
        <w:pStyle w:val="ySubsection"/>
      </w:pPr>
      <w:r>
        <w:tab/>
      </w:r>
      <w:r>
        <w:tab/>
        <w:t>The Minister may grant leave of absence to a member on such terms and conditions as the Minister thinks fit.</w:t>
      </w:r>
    </w:p>
    <w:p>
      <w:pPr>
        <w:pStyle w:val="yHeading5"/>
        <w:spacing w:before="180"/>
      </w:pPr>
      <w:bookmarkStart w:id="1160" w:name="_Toc77246563"/>
      <w:bookmarkStart w:id="1161" w:name="_Toc74924312"/>
      <w:r>
        <w:rPr>
          <w:rStyle w:val="CharSClsNo"/>
        </w:rPr>
        <w:t>6</w:t>
      </w:r>
      <w:r>
        <w:t>.</w:t>
      </w:r>
      <w:r>
        <w:tab/>
        <w:t>Deputy chairperson</w:t>
      </w:r>
      <w:bookmarkEnd w:id="1160"/>
      <w:bookmarkEnd w:id="1161"/>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pPr>
      <w:bookmarkStart w:id="1162" w:name="_Toc77246564"/>
      <w:bookmarkStart w:id="1163" w:name="_Toc74924313"/>
      <w:r>
        <w:rPr>
          <w:rStyle w:val="CharSClsNo"/>
        </w:rPr>
        <w:t>7</w:t>
      </w:r>
      <w:r>
        <w:t>.</w:t>
      </w:r>
      <w:r>
        <w:tab/>
        <w:t>Deputy members</w:t>
      </w:r>
      <w:bookmarkEnd w:id="1162"/>
      <w:bookmarkEnd w:id="1163"/>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pPr>
      <w:bookmarkStart w:id="1164" w:name="_Toc77246565"/>
      <w:bookmarkStart w:id="1165" w:name="_Toc74924314"/>
      <w:r>
        <w:rPr>
          <w:rStyle w:val="CharSClsNo"/>
        </w:rPr>
        <w:t>8</w:t>
      </w:r>
      <w:r>
        <w:t>.</w:t>
      </w:r>
      <w:r>
        <w:tab/>
        <w:t>Meetings</w:t>
      </w:r>
      <w:bookmarkEnd w:id="1164"/>
      <w:bookmarkEnd w:id="1165"/>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pPr>
      <w:bookmarkStart w:id="1166" w:name="_Toc77246566"/>
      <w:bookmarkStart w:id="1167" w:name="_Toc74924315"/>
      <w:r>
        <w:rPr>
          <w:rStyle w:val="CharSClsNo"/>
        </w:rPr>
        <w:t>9</w:t>
      </w:r>
      <w:r>
        <w:t>.</w:t>
      </w:r>
      <w:r>
        <w:tab/>
        <w:t>Resolution without meeting</w:t>
      </w:r>
      <w:bookmarkEnd w:id="1166"/>
      <w:bookmarkEnd w:id="1167"/>
    </w:p>
    <w:p>
      <w:pPr>
        <w:pStyle w:val="ySubsection"/>
      </w:pPr>
      <w:r>
        <w:tab/>
      </w:r>
      <w:r>
        <w:tab/>
        <w:t>A written resolution signed by each member or assented to by each member by letter or facsimile is as effectual as if it had been passed at a meeting of the board.</w:t>
      </w:r>
    </w:p>
    <w:p>
      <w:pPr>
        <w:pStyle w:val="yHeading5"/>
      </w:pPr>
      <w:bookmarkStart w:id="1168" w:name="_Toc77246567"/>
      <w:bookmarkStart w:id="1169" w:name="_Toc74924316"/>
      <w:r>
        <w:rPr>
          <w:rStyle w:val="CharSClsNo"/>
        </w:rPr>
        <w:t>10</w:t>
      </w:r>
      <w:r>
        <w:t>.</w:t>
      </w:r>
      <w:r>
        <w:tab/>
        <w:t>Telephone or similar meetings</w:t>
      </w:r>
      <w:bookmarkEnd w:id="1168"/>
      <w:bookmarkEnd w:id="1169"/>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pPr>
      <w:bookmarkStart w:id="1170" w:name="_Toc77246568"/>
      <w:bookmarkStart w:id="1171" w:name="_Toc74924317"/>
      <w:r>
        <w:rPr>
          <w:rStyle w:val="CharSClsNo"/>
        </w:rPr>
        <w:t>11</w:t>
      </w:r>
      <w:r>
        <w:t>.</w:t>
      </w:r>
      <w:r>
        <w:tab/>
        <w:t>Minutes of meetings</w:t>
      </w:r>
      <w:bookmarkEnd w:id="1170"/>
      <w:bookmarkEnd w:id="1171"/>
    </w:p>
    <w:p>
      <w:pPr>
        <w:pStyle w:val="ySubsection"/>
      </w:pPr>
      <w:r>
        <w:tab/>
      </w:r>
      <w:r>
        <w:tab/>
        <w:t>The board is to cause accurate records to be kept of the proceedings at its meetings.</w:t>
      </w:r>
    </w:p>
    <w:p>
      <w:pPr>
        <w:pStyle w:val="yHeading5"/>
      </w:pPr>
      <w:bookmarkStart w:id="1172" w:name="_Toc77246569"/>
      <w:bookmarkStart w:id="1173" w:name="_Toc74924318"/>
      <w:r>
        <w:rPr>
          <w:rStyle w:val="CharSClsNo"/>
        </w:rPr>
        <w:t>12</w:t>
      </w:r>
      <w:r>
        <w:t>.</w:t>
      </w:r>
      <w:r>
        <w:tab/>
        <w:t>Procedures</w:t>
      </w:r>
      <w:bookmarkEnd w:id="1172"/>
      <w:bookmarkEnd w:id="1173"/>
    </w:p>
    <w:p>
      <w:pPr>
        <w:pStyle w:val="ySubsection"/>
      </w:pPr>
      <w:r>
        <w:tab/>
      </w:r>
      <w:r>
        <w:tab/>
        <w:t>Subject to this Act, the board is to determine its own procedures.</w:t>
      </w:r>
    </w:p>
    <w:p>
      <w:pPr>
        <w:pStyle w:val="yScheduleHeading"/>
      </w:pPr>
      <w:bookmarkStart w:id="1174" w:name="_Toc77239616"/>
      <w:bookmarkStart w:id="1175" w:name="_Toc77240520"/>
      <w:bookmarkStart w:id="1176" w:name="_Toc77246570"/>
      <w:bookmarkStart w:id="1177" w:name="_Toc74652631"/>
      <w:bookmarkStart w:id="1178" w:name="_Toc74653097"/>
      <w:bookmarkStart w:id="1179" w:name="_Toc74733815"/>
      <w:bookmarkStart w:id="1180" w:name="_Toc74924319"/>
      <w:r>
        <w:rPr>
          <w:rStyle w:val="CharSchNo"/>
        </w:rPr>
        <w:t>Schedule 2</w:t>
      </w:r>
      <w:r>
        <w:rPr>
          <w:rStyle w:val="CharSDivNo"/>
        </w:rPr>
        <w:t> </w:t>
      </w:r>
      <w:r>
        <w:t>—</w:t>
      </w:r>
      <w:r>
        <w:rPr>
          <w:rStyle w:val="CharSDivText"/>
        </w:rPr>
        <w:t> </w:t>
      </w:r>
      <w:r>
        <w:rPr>
          <w:rStyle w:val="CharSchText"/>
        </w:rPr>
        <w:t>Committees</w:t>
      </w:r>
      <w:bookmarkEnd w:id="1174"/>
      <w:bookmarkEnd w:id="1175"/>
      <w:bookmarkEnd w:id="1176"/>
      <w:bookmarkEnd w:id="1177"/>
      <w:bookmarkEnd w:id="1178"/>
      <w:bookmarkEnd w:id="1179"/>
      <w:bookmarkEnd w:id="1180"/>
    </w:p>
    <w:p>
      <w:pPr>
        <w:pStyle w:val="yShoulderClause"/>
      </w:pPr>
      <w:r>
        <w:t>[s. 19]</w:t>
      </w:r>
    </w:p>
    <w:p>
      <w:pPr>
        <w:pStyle w:val="yHeading5"/>
      </w:pPr>
      <w:bookmarkStart w:id="1181" w:name="_Toc77246571"/>
      <w:bookmarkStart w:id="1182" w:name="_Toc74924320"/>
      <w:r>
        <w:rPr>
          <w:rStyle w:val="CharSClsNo"/>
        </w:rPr>
        <w:t>1</w:t>
      </w:r>
      <w:r>
        <w:t>.</w:t>
      </w:r>
      <w:r>
        <w:tab/>
        <w:t>Committees, general provisions as to</w:t>
      </w:r>
      <w:bookmarkEnd w:id="1181"/>
      <w:bookmarkEnd w:id="1182"/>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 or</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 a committee may determine its own procedures.</w:t>
      </w:r>
    </w:p>
    <w:p>
      <w:pPr>
        <w:pStyle w:val="yHeading5"/>
      </w:pPr>
      <w:bookmarkStart w:id="1183" w:name="_Toc77246572"/>
      <w:bookmarkStart w:id="1184" w:name="_Toc74924321"/>
      <w:r>
        <w:rPr>
          <w:rStyle w:val="CharSClsNo"/>
        </w:rPr>
        <w:t>2</w:t>
      </w:r>
      <w:r>
        <w:t>.</w:t>
      </w:r>
      <w:r>
        <w:tab/>
        <w:t>Deputy members for local government representatives</w:t>
      </w:r>
      <w:bookmarkEnd w:id="1183"/>
      <w:bookmarkEnd w:id="1184"/>
    </w:p>
    <w:p>
      <w:pPr>
        <w:pStyle w:val="ySubsection"/>
      </w:pPr>
      <w:r>
        <w:tab/>
        <w:t>(1)</w:t>
      </w:r>
      <w:r>
        <w:tab/>
        <w:t>The Commission, with the approval of the Minister, may appoint a person to be a deputy of a member of a committee appointed under clause 4(2)(f),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pPr>
      <w:bookmarkStart w:id="1185" w:name="_Toc77246573"/>
      <w:bookmarkStart w:id="1186" w:name="_Toc74924322"/>
      <w:r>
        <w:rPr>
          <w:rStyle w:val="CharSClsNo"/>
        </w:rPr>
        <w:t>3</w:t>
      </w:r>
      <w:r>
        <w:t>.</w:t>
      </w:r>
      <w:r>
        <w:tab/>
        <w:t>Executive, Finance and Property Committee</w:t>
      </w:r>
      <w:bookmarkEnd w:id="1185"/>
      <w:bookmarkEnd w:id="1186"/>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pPr>
      <w:bookmarkStart w:id="1187" w:name="_Toc77246574"/>
      <w:bookmarkStart w:id="1188" w:name="_Toc74924323"/>
      <w:r>
        <w:rPr>
          <w:rStyle w:val="CharSClsNo"/>
        </w:rPr>
        <w:t>4</w:t>
      </w:r>
      <w:r>
        <w:t>.</w:t>
      </w:r>
      <w:r>
        <w:tab/>
        <w:t>Statutory Planning Committee</w:t>
      </w:r>
      <w:bookmarkEnd w:id="1187"/>
      <w:bookmarkEnd w:id="1188"/>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a person approved by the Minister and appointed by the Commission as having practical knowledge of and experience in community affairs; and</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w:t>
      </w:r>
      <w:r>
        <w:rPr>
          <w:szCs w:val="22"/>
        </w:rPr>
        <w:t xml:space="preserve">Part 3 </w:t>
      </w:r>
      <w:r>
        <w:t xml:space="preserve">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w:t>
      </w:r>
      <w:r>
        <w:rPr>
          <w:szCs w:val="22"/>
        </w:rPr>
        <w:t>Part 3</w:t>
      </w:r>
      <w:r>
        <w:t xml:space="preserve">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5 persons, each of whom is the chairperson of a district planning committee (other than the District Planning Committee for the City of Perth), or persons nominated by those persons and approved by the Minister.</w:t>
      </w:r>
    </w:p>
    <w:p>
      <w:pPr>
        <w:pStyle w:val="yFootnotesection"/>
      </w:pPr>
      <w:r>
        <w:tab/>
        <w:t>[Clause 4 amended: No. 30 of 2018 s. 170.]</w:t>
      </w:r>
    </w:p>
    <w:p>
      <w:pPr>
        <w:pStyle w:val="yHeading5"/>
      </w:pPr>
      <w:bookmarkStart w:id="1189" w:name="_Toc77246575"/>
      <w:bookmarkStart w:id="1190" w:name="_Toc74924324"/>
      <w:r>
        <w:rPr>
          <w:rStyle w:val="CharSClsNo"/>
        </w:rPr>
        <w:t>5</w:t>
      </w:r>
      <w:r>
        <w:t>.</w:t>
      </w:r>
      <w:r>
        <w:tab/>
        <w:t>Sustainable Transport Committee</w:t>
      </w:r>
      <w:bookmarkEnd w:id="1189"/>
      <w:bookmarkEnd w:id="1190"/>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the member of the board referred to in section 10(1)(c)(iii), or a person nominated by that person and approved by the Minister; and</w:t>
      </w:r>
    </w:p>
    <w:p>
      <w:pPr>
        <w:pStyle w:val="yIndenta"/>
      </w:pPr>
      <w:r>
        <w:tab/>
        <w:t>(e)</w:t>
      </w:r>
      <w:r>
        <w:tab/>
        <w:t xml:space="preserve">the Commissioner as defined in the </w:t>
      </w:r>
      <w:r>
        <w:rPr>
          <w:i/>
        </w:rPr>
        <w:t>Main Roads Act 1930</w:t>
      </w:r>
      <w:r>
        <w:t>, or a person nominated by that person and approved by the Minister;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Ednotesection"/>
        <w:rPr>
          <w:b/>
        </w:rPr>
      </w:pPr>
      <w:r>
        <w:t>[</w:t>
      </w:r>
      <w:r>
        <w:rPr>
          <w:b/>
        </w:rPr>
        <w:t>6.</w:t>
      </w:r>
      <w:r>
        <w:tab/>
        <w:t>Deleted by No. 13 of 2019 s. 76(2).]</w:t>
      </w:r>
    </w:p>
    <w:p>
      <w:pPr>
        <w:pStyle w:val="yHeading5"/>
      </w:pPr>
      <w:bookmarkStart w:id="1191" w:name="_Toc77246576"/>
      <w:bookmarkStart w:id="1192" w:name="_Toc74924325"/>
      <w:r>
        <w:rPr>
          <w:rStyle w:val="CharSClsNo"/>
        </w:rPr>
        <w:t>7</w:t>
      </w:r>
      <w:r>
        <w:t>.</w:t>
      </w:r>
      <w:r>
        <w:tab/>
        <w:t>Coastal Planning and Coordination Council</w:t>
      </w:r>
      <w:bookmarkEnd w:id="1191"/>
      <w:bookmarkEnd w:id="1192"/>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10(1)(b)(iii);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10(1)(c)(iv), or a person nominated by that member and approved by the Minister; and</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 and</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 and</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 and</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 and</w:t>
      </w:r>
    </w:p>
    <w:p>
      <w:pPr>
        <w:pStyle w:val="yIndenta"/>
      </w:pPr>
      <w:r>
        <w:tab/>
        <w:t>(h)</w:t>
      </w:r>
      <w:r>
        <w:tab/>
        <w:t>a person approved by the Minister and appointed by the Commission to represent the interests of local governments within the metropolitan region; and</w:t>
      </w:r>
    </w:p>
    <w:p>
      <w:pPr>
        <w:pStyle w:val="yIndenta"/>
      </w:pPr>
      <w:r>
        <w:tab/>
        <w:t>(i)</w:t>
      </w:r>
      <w:r>
        <w:tab/>
        <w:t>a person approved by the Minister and appointed by the Commission to represent the interests of local governments outside the metropolitan region; and</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Footnotesection"/>
      </w:pPr>
      <w:r>
        <w:tab/>
        <w:t>[Clause 7 amended: No. 8 of 2009 s. 100(6).]</w:t>
      </w:r>
    </w:p>
    <w:p>
      <w:pPr>
        <w:pStyle w:val="yHeading5"/>
      </w:pPr>
      <w:bookmarkStart w:id="1193" w:name="_Toc77246577"/>
      <w:bookmarkStart w:id="1194" w:name="_Toc74924326"/>
      <w:r>
        <w:rPr>
          <w:rStyle w:val="CharSClsNo"/>
        </w:rPr>
        <w:t>8</w:t>
      </w:r>
      <w:r>
        <w:t>.</w:t>
      </w:r>
      <w:r>
        <w:tab/>
        <w:t>Regional planning committees</w:t>
      </w:r>
      <w:bookmarkEnd w:id="1193"/>
      <w:bookmarkEnd w:id="1194"/>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 and</w:t>
      </w:r>
    </w:p>
    <w:p>
      <w:pPr>
        <w:pStyle w:val="yIndenta"/>
        <w:spacing w:before="60"/>
      </w:pPr>
      <w:r>
        <w:tab/>
        <w:t>(b)</w:t>
      </w:r>
      <w:r>
        <w:tab/>
        <w:t>the chief executive officer, or a person nominated by that person and approved by the Minister; and</w:t>
      </w:r>
    </w:p>
    <w:p>
      <w:pPr>
        <w:pStyle w:val="yIndenta"/>
        <w:spacing w:before="60"/>
      </w:pPr>
      <w:r>
        <w:tab/>
        <w:t>(c)</w:t>
      </w:r>
      <w:r>
        <w:tab/>
        <w:t>a person approved by the Minister and appointed by the Commission as having practical knowledge of and experience in community affairs; and</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 and</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 and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 and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pPr>
      <w:bookmarkStart w:id="1195" w:name="_Toc77246578"/>
      <w:bookmarkStart w:id="1196" w:name="_Toc74924327"/>
      <w:r>
        <w:rPr>
          <w:rStyle w:val="CharSClsNo"/>
        </w:rPr>
        <w:t>9</w:t>
      </w:r>
      <w:r>
        <w:t>.</w:t>
      </w:r>
      <w:r>
        <w:tab/>
        <w:t>District planning committees</w:t>
      </w:r>
      <w:bookmarkEnd w:id="1195"/>
      <w:bookmarkEnd w:id="1196"/>
    </w:p>
    <w:p>
      <w:pPr>
        <w:pStyle w:val="ySubsection"/>
      </w:pPr>
      <w:r>
        <w:tab/>
        <w:t>(1)</w:t>
      </w:r>
      <w:r>
        <w:tab/>
        <w:t xml:space="preserve">The — </w:t>
      </w:r>
    </w:p>
    <w:p>
      <w:pPr>
        <w:pStyle w:val="yIndenta"/>
      </w:pPr>
      <w:r>
        <w:tab/>
        <w:t>(a)</w:t>
      </w:r>
      <w:r>
        <w:tab/>
        <w:t>City of Perth;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in the case of the City of Perth, is to consist of the City of Perth Planning Committee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 and</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1198" w:name="_Toc77239625"/>
      <w:bookmarkStart w:id="1199" w:name="_Toc77240529"/>
      <w:bookmarkStart w:id="1200" w:name="_Toc77246579"/>
      <w:bookmarkStart w:id="1201" w:name="_Toc74652640"/>
      <w:bookmarkStart w:id="1202" w:name="_Toc74653106"/>
      <w:bookmarkStart w:id="1203" w:name="_Toc74733824"/>
      <w:bookmarkStart w:id="1204" w:name="_Toc74924328"/>
      <w:r>
        <w:rPr>
          <w:rStyle w:val="CharSchNo"/>
        </w:rPr>
        <w:t>Schedule 3</w:t>
      </w:r>
      <w:r>
        <w:rPr>
          <w:rStyle w:val="CharSDivNo"/>
        </w:rPr>
        <w:t> </w:t>
      </w:r>
      <w:r>
        <w:t>—</w:t>
      </w:r>
      <w:r>
        <w:rPr>
          <w:rStyle w:val="CharSDivText"/>
        </w:rPr>
        <w:t> </w:t>
      </w:r>
      <w:r>
        <w:rPr>
          <w:rStyle w:val="CharSchText"/>
        </w:rPr>
        <w:t>Metropolitan region</w:t>
      </w:r>
      <w:bookmarkEnd w:id="1198"/>
      <w:bookmarkEnd w:id="1199"/>
      <w:bookmarkEnd w:id="1200"/>
      <w:bookmarkEnd w:id="1201"/>
      <w:bookmarkEnd w:id="1202"/>
      <w:bookmarkEnd w:id="1203"/>
      <w:bookmarkEnd w:id="1204"/>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4</w:t>
      </w:r>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No. 60 of 2006 s. 147(8).]</w:t>
      </w:r>
    </w:p>
    <w:p>
      <w:pPr>
        <w:pStyle w:val="yScheduleHeading"/>
      </w:pPr>
      <w:bookmarkStart w:id="1205" w:name="_Toc77239626"/>
      <w:bookmarkStart w:id="1206" w:name="_Toc77240530"/>
      <w:bookmarkStart w:id="1207" w:name="_Toc77246580"/>
      <w:bookmarkStart w:id="1208" w:name="_Toc74652641"/>
      <w:bookmarkStart w:id="1209" w:name="_Toc74653107"/>
      <w:bookmarkStart w:id="1210" w:name="_Toc74733825"/>
      <w:bookmarkStart w:id="1211" w:name="_Toc74924329"/>
      <w:r>
        <w:rPr>
          <w:rStyle w:val="CharSchNo"/>
        </w:rPr>
        <w:t>Schedule 4</w:t>
      </w:r>
      <w:r>
        <w:rPr>
          <w:rStyle w:val="CharSDivNo"/>
        </w:rPr>
        <w:t> </w:t>
      </w:r>
      <w:r>
        <w:t>—</w:t>
      </w:r>
      <w:r>
        <w:rPr>
          <w:rStyle w:val="CharSDivText"/>
        </w:rPr>
        <w:t> </w:t>
      </w:r>
      <w:r>
        <w:rPr>
          <w:rStyle w:val="CharSchText"/>
        </w:rPr>
        <w:t>Other regions</w:t>
      </w:r>
      <w:bookmarkEnd w:id="1205"/>
      <w:bookmarkEnd w:id="1206"/>
      <w:bookmarkEnd w:id="1207"/>
      <w:bookmarkEnd w:id="1208"/>
      <w:bookmarkEnd w:id="1209"/>
      <w:bookmarkEnd w:id="1210"/>
      <w:bookmarkEnd w:id="1211"/>
    </w:p>
    <w:p>
      <w:pPr>
        <w:pStyle w:val="yShoulderClause"/>
      </w:pPr>
      <w:r>
        <w:t>[s. 4, 11]</w:t>
      </w:r>
    </w:p>
    <w:p>
      <w:pPr>
        <w:pStyle w:val="yMiscellaneousHeading"/>
        <w:tabs>
          <w:tab w:val="left" w:pos="912"/>
        </w:tabs>
        <w:jc w:val="both"/>
        <w:rPr>
          <w:b/>
          <w:i/>
        </w:rPr>
      </w:pPr>
      <w:r>
        <w:rPr>
          <w:b/>
          <w:i/>
        </w:rPr>
        <w:t>Item</w:t>
      </w:r>
      <w:r>
        <w:rPr>
          <w:b/>
          <w:i/>
        </w:rPr>
        <w:tab/>
        <w:t>Region</w:t>
      </w:r>
    </w:p>
    <w:p>
      <w:pPr>
        <w:pStyle w:val="yHeading5"/>
      </w:pPr>
      <w:bookmarkStart w:id="1212" w:name="_Toc77246581"/>
      <w:bookmarkStart w:id="1213" w:name="_Toc74924330"/>
      <w:r>
        <w:rPr>
          <w:rStyle w:val="CharSClsNo"/>
        </w:rPr>
        <w:t>1</w:t>
      </w:r>
      <w:r>
        <w:t>.</w:t>
      </w:r>
      <w:r>
        <w:tab/>
        <w:t>Gascoyne Region</w:t>
      </w:r>
      <w:bookmarkEnd w:id="1212"/>
      <w:bookmarkEnd w:id="1213"/>
    </w:p>
    <w:p>
      <w:pPr>
        <w:pStyle w:val="ySubsection"/>
      </w:pPr>
      <w:r>
        <w:rPr>
          <w:b/>
        </w:rPr>
        <w:tab/>
      </w:r>
      <w:r>
        <w:rPr>
          <w:b/>
        </w:rPr>
        <w:tab/>
      </w:r>
      <w:r>
        <w:t>The districts of Carnarvon, Exmouth, Shark Bay and Upper Gascoyne.</w:t>
      </w:r>
    </w:p>
    <w:p>
      <w:pPr>
        <w:pStyle w:val="yHeading5"/>
      </w:pPr>
      <w:bookmarkStart w:id="1214" w:name="_Toc77246582"/>
      <w:bookmarkStart w:id="1215" w:name="_Toc74924331"/>
      <w:r>
        <w:rPr>
          <w:rStyle w:val="CharSClsNo"/>
        </w:rPr>
        <w:t>2</w:t>
      </w:r>
      <w:r>
        <w:t>.</w:t>
      </w:r>
      <w:r>
        <w:rPr>
          <w:b w:val="0"/>
        </w:rPr>
        <w:tab/>
      </w:r>
      <w:r>
        <w:t>Goldfields</w:t>
      </w:r>
      <w:r>
        <w:noBreakHyphen/>
        <w:t>Esperance Region</w:t>
      </w:r>
      <w:bookmarkEnd w:id="1214"/>
      <w:bookmarkEnd w:id="1215"/>
    </w:p>
    <w:p>
      <w:pPr>
        <w:pStyle w:val="ySubsection"/>
      </w:pPr>
      <w:r>
        <w:rPr>
          <w:b/>
        </w:rPr>
        <w:tab/>
      </w:r>
      <w:r>
        <w:rPr>
          <w:b/>
        </w:rPr>
        <w:tab/>
      </w:r>
      <w:r>
        <w:t>The districts of Kalgoorlie</w:t>
      </w:r>
      <w:r>
        <w:noBreakHyphen/>
        <w:t>Boulder, Coolgardie, Dundas, Esperance, Laverton, Leonora, Menzies, Ngaanyatjarraku and Ravensthorpe.</w:t>
      </w:r>
    </w:p>
    <w:p>
      <w:pPr>
        <w:pStyle w:val="yHeading5"/>
      </w:pPr>
      <w:bookmarkStart w:id="1216" w:name="_Toc77246583"/>
      <w:bookmarkStart w:id="1217" w:name="_Toc74924332"/>
      <w:r>
        <w:rPr>
          <w:rStyle w:val="CharSClsNo"/>
        </w:rPr>
        <w:t>3</w:t>
      </w:r>
      <w:r>
        <w:t>.</w:t>
      </w:r>
      <w:r>
        <w:tab/>
        <w:t>Great Southern Region</w:t>
      </w:r>
      <w:bookmarkEnd w:id="1216"/>
      <w:bookmarkEnd w:id="1217"/>
    </w:p>
    <w:p>
      <w:pPr>
        <w:pStyle w:val="ySubsection"/>
      </w:pPr>
      <w:r>
        <w:rPr>
          <w:b/>
        </w:rPr>
        <w:tab/>
      </w:r>
      <w:r>
        <w:rPr>
          <w:b/>
        </w:rPr>
        <w:tab/>
      </w:r>
      <w:r>
        <w:t>The districts of Albany (Town), Albany (Shire), Broomehill, Cranbrook, Denmark, Gnowangerup, Jerramungup, Katanning, Kent, Kojonup, Plantagenet, Tambellup and Woodanilling.</w:t>
      </w:r>
    </w:p>
    <w:p>
      <w:pPr>
        <w:pStyle w:val="yHeading5"/>
      </w:pPr>
      <w:bookmarkStart w:id="1218" w:name="_Toc77246584"/>
      <w:bookmarkStart w:id="1219" w:name="_Toc74924333"/>
      <w:r>
        <w:rPr>
          <w:rStyle w:val="CharSClsNo"/>
        </w:rPr>
        <w:t>4</w:t>
      </w:r>
      <w:r>
        <w:t>.</w:t>
      </w:r>
      <w:r>
        <w:tab/>
        <w:t>Kimberley Region</w:t>
      </w:r>
      <w:bookmarkEnd w:id="1218"/>
      <w:bookmarkEnd w:id="1219"/>
    </w:p>
    <w:p>
      <w:pPr>
        <w:pStyle w:val="ySubsection"/>
      </w:pPr>
      <w:r>
        <w:rPr>
          <w:b/>
        </w:rPr>
        <w:tab/>
      </w:r>
      <w:r>
        <w:rPr>
          <w:b/>
        </w:rPr>
        <w:tab/>
      </w:r>
      <w:r>
        <w:t>The districts of Broome, Derby</w:t>
      </w:r>
      <w:r>
        <w:noBreakHyphen/>
        <w:t>West Kimberley, Hall’s Creek and Wyndham</w:t>
      </w:r>
      <w:r>
        <w:noBreakHyphen/>
        <w:t>East Kimberley.</w:t>
      </w:r>
    </w:p>
    <w:p>
      <w:pPr>
        <w:pStyle w:val="yHeading5"/>
      </w:pPr>
      <w:bookmarkStart w:id="1220" w:name="_Toc77246585"/>
      <w:bookmarkStart w:id="1221" w:name="_Toc74924334"/>
      <w:r>
        <w:rPr>
          <w:rStyle w:val="CharSClsNo"/>
        </w:rPr>
        <w:t>5</w:t>
      </w:r>
      <w:r>
        <w:t>.</w:t>
      </w:r>
      <w:r>
        <w:tab/>
        <w:t>Mid West Region</w:t>
      </w:r>
      <w:bookmarkEnd w:id="1220"/>
      <w:bookmarkEnd w:id="1221"/>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pPr>
      <w:bookmarkStart w:id="1222" w:name="_Toc77246586"/>
      <w:bookmarkStart w:id="1223" w:name="_Toc74924335"/>
      <w:r>
        <w:rPr>
          <w:rStyle w:val="CharSClsNo"/>
        </w:rPr>
        <w:t>6</w:t>
      </w:r>
      <w:r>
        <w:t>.</w:t>
      </w:r>
      <w:r>
        <w:tab/>
        <w:t>Peel Region</w:t>
      </w:r>
      <w:bookmarkEnd w:id="1222"/>
      <w:bookmarkEnd w:id="1223"/>
    </w:p>
    <w:p>
      <w:pPr>
        <w:pStyle w:val="ySubsection"/>
      </w:pPr>
      <w:r>
        <w:rPr>
          <w:b/>
        </w:rPr>
        <w:tab/>
      </w:r>
      <w:r>
        <w:rPr>
          <w:b/>
        </w:rPr>
        <w:tab/>
      </w:r>
      <w:r>
        <w:t>The districts of Mandurah, Boddington, Murray and Waroona.</w:t>
      </w:r>
    </w:p>
    <w:p>
      <w:pPr>
        <w:pStyle w:val="yHeading5"/>
      </w:pPr>
      <w:bookmarkStart w:id="1224" w:name="_Toc77246587"/>
      <w:bookmarkStart w:id="1225" w:name="_Toc74924336"/>
      <w:r>
        <w:rPr>
          <w:rStyle w:val="CharSClsNo"/>
        </w:rPr>
        <w:t>7</w:t>
      </w:r>
      <w:r>
        <w:t>.</w:t>
      </w:r>
      <w:r>
        <w:tab/>
        <w:t>Pilbara Region</w:t>
      </w:r>
      <w:bookmarkEnd w:id="1224"/>
      <w:bookmarkEnd w:id="1225"/>
    </w:p>
    <w:p>
      <w:pPr>
        <w:pStyle w:val="ySubsection"/>
      </w:pPr>
      <w:r>
        <w:tab/>
      </w:r>
      <w:r>
        <w:tab/>
        <w:t>The districts of Port Hedland, Ashburton, East Pilbara and Roebourne</w:t>
      </w:r>
      <w:r>
        <w:rPr>
          <w:vertAlign w:val="superscript"/>
        </w:rPr>
        <w:t> 5</w:t>
      </w:r>
      <w:r>
        <w:t>.</w:t>
      </w:r>
    </w:p>
    <w:p>
      <w:pPr>
        <w:pStyle w:val="yHeading5"/>
      </w:pPr>
      <w:bookmarkStart w:id="1226" w:name="_Toc77246588"/>
      <w:bookmarkStart w:id="1227" w:name="_Toc74924337"/>
      <w:r>
        <w:rPr>
          <w:rStyle w:val="CharSClsNo"/>
        </w:rPr>
        <w:t>8</w:t>
      </w:r>
      <w:r>
        <w:t>.</w:t>
      </w:r>
      <w:r>
        <w:tab/>
        <w:t>South West Region</w:t>
      </w:r>
      <w:bookmarkEnd w:id="1226"/>
      <w:bookmarkEnd w:id="1227"/>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pPr>
      <w:bookmarkStart w:id="1228" w:name="_Toc77246589"/>
      <w:bookmarkStart w:id="1229" w:name="_Toc74924338"/>
      <w:r>
        <w:rPr>
          <w:rStyle w:val="CharSClsNo"/>
        </w:rPr>
        <w:t>9</w:t>
      </w:r>
      <w:r>
        <w:t>.</w:t>
      </w:r>
      <w:r>
        <w:tab/>
        <w:t>Wheatbelt Region</w:t>
      </w:r>
      <w:bookmarkEnd w:id="1228"/>
      <w:bookmarkEnd w:id="1229"/>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1230" w:name="_Toc77239636"/>
      <w:bookmarkStart w:id="1231" w:name="_Toc77240540"/>
      <w:bookmarkStart w:id="1232" w:name="_Toc77246590"/>
      <w:bookmarkStart w:id="1233" w:name="_Toc74652651"/>
      <w:bookmarkStart w:id="1234" w:name="_Toc74653117"/>
      <w:bookmarkStart w:id="1235" w:name="_Toc74733835"/>
      <w:bookmarkStart w:id="1236" w:name="_Toc74924339"/>
      <w:r>
        <w:rPr>
          <w:rStyle w:val="CharSchNo"/>
        </w:rPr>
        <w:t>Schedule 5</w:t>
      </w:r>
      <w:r>
        <w:rPr>
          <w:rStyle w:val="CharSDivNo"/>
        </w:rPr>
        <w:t> </w:t>
      </w:r>
      <w:r>
        <w:t>—</w:t>
      </w:r>
      <w:r>
        <w:rPr>
          <w:rStyle w:val="CharSDivText"/>
        </w:rPr>
        <w:t> </w:t>
      </w:r>
      <w:r>
        <w:rPr>
          <w:rStyle w:val="CharSchText"/>
        </w:rPr>
        <w:t>Local governments — metropolitan region</w:t>
      </w:r>
      <w:bookmarkEnd w:id="1230"/>
      <w:bookmarkEnd w:id="1231"/>
      <w:bookmarkEnd w:id="1232"/>
      <w:bookmarkEnd w:id="1233"/>
      <w:bookmarkEnd w:id="1234"/>
      <w:bookmarkEnd w:id="1235"/>
      <w:bookmarkEnd w:id="1236"/>
    </w:p>
    <w:p>
      <w:pPr>
        <w:pStyle w:val="yShoulderClause"/>
      </w:pPr>
      <w:r>
        <w:t>[Sch. 2, cl. 9(1)(b)]</w:t>
      </w:r>
    </w:p>
    <w:p>
      <w:pPr>
        <w:pStyle w:val="yHeading5"/>
      </w:pPr>
      <w:bookmarkStart w:id="1237" w:name="_Toc77246591"/>
      <w:bookmarkStart w:id="1238" w:name="_Toc74924340"/>
      <w:r>
        <w:rPr>
          <w:rStyle w:val="CharSClsNo"/>
        </w:rPr>
        <w:t>1</w:t>
      </w:r>
      <w:r>
        <w:t>.</w:t>
      </w:r>
      <w:r>
        <w:tab/>
        <w:t>SOUTH</w:t>
      </w:r>
      <w:r>
        <w:noBreakHyphen/>
        <w:t>WEST GROUP</w:t>
      </w:r>
      <w:bookmarkEnd w:id="1237"/>
      <w:bookmarkEnd w:id="1238"/>
    </w:p>
    <w:p>
      <w:pPr>
        <w:pStyle w:val="ySubsection"/>
        <w:tabs>
          <w:tab w:val="clear" w:pos="879"/>
          <w:tab w:val="left" w:pos="2268"/>
        </w:tabs>
      </w:pPr>
      <w:r>
        <w:tab/>
      </w:r>
      <w:r>
        <w:tab/>
        <w:t>City of Cockburn</w:t>
      </w:r>
    </w:p>
    <w:p>
      <w:pPr>
        <w:pStyle w:val="ySubsection"/>
        <w:tabs>
          <w:tab w:val="clear" w:pos="879"/>
          <w:tab w:val="left" w:pos="2268"/>
        </w:tabs>
      </w:pPr>
      <w:r>
        <w:tab/>
      </w:r>
      <w:r>
        <w:tab/>
        <w:t>City of Fremantle</w:t>
      </w:r>
    </w:p>
    <w:p>
      <w:pPr>
        <w:pStyle w:val="ySubsection"/>
        <w:tabs>
          <w:tab w:val="clear" w:pos="879"/>
          <w:tab w:val="left" w:pos="2268"/>
        </w:tabs>
      </w:pPr>
      <w:r>
        <w:tab/>
      </w:r>
      <w:r>
        <w:tab/>
        <w:t>City of Melville</w:t>
      </w:r>
    </w:p>
    <w:p>
      <w:pPr>
        <w:pStyle w:val="ySubsection"/>
        <w:tabs>
          <w:tab w:val="clear" w:pos="879"/>
          <w:tab w:val="left" w:pos="2268"/>
        </w:tabs>
      </w:pPr>
      <w:r>
        <w:tab/>
      </w:r>
      <w:r>
        <w:tab/>
        <w:t>City of Rockingham</w:t>
      </w:r>
    </w:p>
    <w:p>
      <w:pPr>
        <w:pStyle w:val="ySubsection"/>
        <w:tabs>
          <w:tab w:val="clear" w:pos="879"/>
          <w:tab w:val="left" w:pos="2268"/>
        </w:tabs>
      </w:pPr>
      <w:r>
        <w:tab/>
      </w:r>
      <w:r>
        <w:tab/>
        <w:t>Town of East Fremantle</w:t>
      </w:r>
    </w:p>
    <w:p>
      <w:pPr>
        <w:pStyle w:val="ySubsection"/>
        <w:tabs>
          <w:tab w:val="clear" w:pos="879"/>
          <w:tab w:val="left" w:pos="2268"/>
        </w:tabs>
      </w:pPr>
      <w:r>
        <w:tab/>
      </w:r>
      <w:r>
        <w:tab/>
        <w:t>Town of Kwinana</w:t>
      </w:r>
    </w:p>
    <w:p>
      <w:pPr>
        <w:pStyle w:val="yHeading5"/>
      </w:pPr>
      <w:bookmarkStart w:id="1239" w:name="_Toc77246592"/>
      <w:bookmarkStart w:id="1240" w:name="_Toc74924341"/>
      <w:r>
        <w:rPr>
          <w:rStyle w:val="CharSClsNo"/>
        </w:rPr>
        <w:t>2</w:t>
      </w:r>
      <w:r>
        <w:t>.</w:t>
      </w:r>
      <w:r>
        <w:tab/>
        <w:t>WESTERN SUBURBS GROUP</w:t>
      </w:r>
      <w:bookmarkEnd w:id="1239"/>
      <w:bookmarkEnd w:id="1240"/>
    </w:p>
    <w:p>
      <w:pPr>
        <w:pStyle w:val="ySubsection"/>
      </w:pPr>
      <w:r>
        <w:tab/>
      </w:r>
      <w:r>
        <w:tab/>
        <w:t>City of Nedlands</w:t>
      </w:r>
    </w:p>
    <w:p>
      <w:pPr>
        <w:pStyle w:val="ySubsection"/>
      </w:pPr>
      <w:r>
        <w:tab/>
      </w:r>
      <w:r>
        <w:tab/>
        <w:t>City of Subiaco</w:t>
      </w:r>
    </w:p>
    <w:p>
      <w:pPr>
        <w:pStyle w:val="ySubsection"/>
      </w:pPr>
      <w:r>
        <w:tab/>
      </w:r>
      <w:r>
        <w:tab/>
        <w:t>Town of Cambridge</w:t>
      </w:r>
    </w:p>
    <w:p>
      <w:pPr>
        <w:pStyle w:val="ySubsection"/>
      </w:pPr>
      <w:r>
        <w:tab/>
      </w:r>
      <w:r>
        <w:tab/>
        <w:t>Town of Claremont</w:t>
      </w:r>
    </w:p>
    <w:p>
      <w:pPr>
        <w:pStyle w:val="ySubsection"/>
      </w:pPr>
      <w:r>
        <w:tab/>
      </w:r>
      <w:r>
        <w:tab/>
        <w:t>Town of Cottesloe</w:t>
      </w:r>
    </w:p>
    <w:p>
      <w:pPr>
        <w:pStyle w:val="ySubsection"/>
      </w:pPr>
      <w:r>
        <w:tab/>
      </w:r>
      <w:r>
        <w:tab/>
        <w:t>Town of Mosman Park</w:t>
      </w:r>
    </w:p>
    <w:p>
      <w:pPr>
        <w:pStyle w:val="ySubsection"/>
      </w:pPr>
      <w:r>
        <w:tab/>
      </w:r>
      <w:r>
        <w:tab/>
        <w:t>Shire of Peppermint Grove</w:t>
      </w:r>
    </w:p>
    <w:p>
      <w:pPr>
        <w:pStyle w:val="yHeading5"/>
      </w:pPr>
      <w:bookmarkStart w:id="1241" w:name="_Toc77246593"/>
      <w:bookmarkStart w:id="1242" w:name="_Toc74924342"/>
      <w:r>
        <w:rPr>
          <w:rStyle w:val="CharSClsNo"/>
        </w:rPr>
        <w:t>3</w:t>
      </w:r>
      <w:r>
        <w:t>.</w:t>
      </w:r>
      <w:r>
        <w:tab/>
        <w:t>NORTH</w:t>
      </w:r>
      <w:r>
        <w:noBreakHyphen/>
        <w:t>WEST GROUP</w:t>
      </w:r>
      <w:bookmarkEnd w:id="1241"/>
      <w:bookmarkEnd w:id="1242"/>
    </w:p>
    <w:p>
      <w:pPr>
        <w:pStyle w:val="ySubsection"/>
        <w:tabs>
          <w:tab w:val="clear" w:pos="879"/>
          <w:tab w:val="left" w:pos="2268"/>
        </w:tabs>
      </w:pPr>
      <w:r>
        <w:tab/>
      </w:r>
      <w:r>
        <w:tab/>
        <w:t>City of Stirling</w:t>
      </w:r>
    </w:p>
    <w:p>
      <w:pPr>
        <w:pStyle w:val="ySubsection"/>
        <w:tabs>
          <w:tab w:val="clear" w:pos="879"/>
          <w:tab w:val="left" w:pos="2268"/>
        </w:tabs>
      </w:pPr>
      <w:r>
        <w:tab/>
      </w:r>
      <w:r>
        <w:tab/>
        <w:t>City of Wanneroo</w:t>
      </w:r>
    </w:p>
    <w:p>
      <w:pPr>
        <w:pStyle w:val="ySubsection"/>
        <w:tabs>
          <w:tab w:val="clear" w:pos="879"/>
          <w:tab w:val="left" w:pos="2268"/>
        </w:tabs>
      </w:pPr>
      <w:r>
        <w:tab/>
      </w:r>
      <w:r>
        <w:tab/>
        <w:t>Town of Vincent</w:t>
      </w:r>
      <w:r>
        <w:rPr>
          <w:vertAlign w:val="superscript"/>
        </w:rPr>
        <w:t> 6</w:t>
      </w:r>
    </w:p>
    <w:p>
      <w:pPr>
        <w:pStyle w:val="ySubsection"/>
        <w:tabs>
          <w:tab w:val="clear" w:pos="879"/>
          <w:tab w:val="left" w:pos="2268"/>
        </w:tabs>
      </w:pPr>
      <w:r>
        <w:tab/>
      </w:r>
      <w:r>
        <w:tab/>
        <w:t>City of Joondalup</w:t>
      </w:r>
    </w:p>
    <w:p>
      <w:pPr>
        <w:pStyle w:val="yHeading5"/>
      </w:pPr>
      <w:bookmarkStart w:id="1243" w:name="_Toc77246594"/>
      <w:bookmarkStart w:id="1244" w:name="_Toc74924343"/>
      <w:r>
        <w:rPr>
          <w:rStyle w:val="CharSClsNo"/>
        </w:rPr>
        <w:t>4</w:t>
      </w:r>
      <w:r>
        <w:t>.</w:t>
      </w:r>
      <w:r>
        <w:tab/>
        <w:t>SOUTH</w:t>
      </w:r>
      <w:r>
        <w:noBreakHyphen/>
        <w:t>EAST GROUP</w:t>
      </w:r>
      <w:bookmarkEnd w:id="1243"/>
      <w:bookmarkEnd w:id="1244"/>
    </w:p>
    <w:p>
      <w:pPr>
        <w:pStyle w:val="ySubsection"/>
        <w:keepNext/>
        <w:tabs>
          <w:tab w:val="clear" w:pos="879"/>
          <w:tab w:val="left" w:pos="2268"/>
        </w:tabs>
      </w:pPr>
      <w:r>
        <w:tab/>
      </w:r>
      <w:r>
        <w:tab/>
        <w:t>City of Armadale</w:t>
      </w:r>
    </w:p>
    <w:p>
      <w:pPr>
        <w:pStyle w:val="ySubsection"/>
        <w:tabs>
          <w:tab w:val="clear" w:pos="879"/>
          <w:tab w:val="left" w:pos="2268"/>
        </w:tabs>
      </w:pPr>
      <w:r>
        <w:tab/>
      </w:r>
      <w:r>
        <w:tab/>
        <w:t>City of Canning</w:t>
      </w:r>
    </w:p>
    <w:p>
      <w:pPr>
        <w:pStyle w:val="ySubsection"/>
        <w:tabs>
          <w:tab w:val="clear" w:pos="879"/>
          <w:tab w:val="left" w:pos="2268"/>
        </w:tabs>
      </w:pPr>
      <w:r>
        <w:tab/>
      </w:r>
      <w:r>
        <w:tab/>
        <w:t>City of Gosnells</w:t>
      </w:r>
    </w:p>
    <w:p>
      <w:pPr>
        <w:pStyle w:val="ySubsection"/>
        <w:tabs>
          <w:tab w:val="clear" w:pos="879"/>
          <w:tab w:val="left" w:pos="2268"/>
        </w:tabs>
      </w:pPr>
      <w:r>
        <w:tab/>
      </w:r>
      <w:r>
        <w:tab/>
        <w:t>City of South Perth</w:t>
      </w:r>
    </w:p>
    <w:p>
      <w:pPr>
        <w:pStyle w:val="ySubsection"/>
        <w:tabs>
          <w:tab w:val="clear" w:pos="879"/>
          <w:tab w:val="left" w:pos="2268"/>
        </w:tabs>
      </w:pPr>
      <w:r>
        <w:tab/>
      </w:r>
      <w:r>
        <w:tab/>
        <w:t>Town of Victoria Park</w:t>
      </w:r>
    </w:p>
    <w:p>
      <w:pPr>
        <w:pStyle w:val="ySubsection"/>
        <w:tabs>
          <w:tab w:val="clear" w:pos="879"/>
          <w:tab w:val="left" w:pos="2268"/>
        </w:tabs>
      </w:pPr>
      <w:r>
        <w:tab/>
      </w:r>
      <w:r>
        <w:tab/>
        <w:t>Shire of Serpentine</w:t>
      </w:r>
      <w:r>
        <w:noBreakHyphen/>
        <w:t>Jarrahdale</w:t>
      </w:r>
    </w:p>
    <w:p>
      <w:pPr>
        <w:pStyle w:val="yHeading5"/>
      </w:pPr>
      <w:bookmarkStart w:id="1245" w:name="_Toc77246595"/>
      <w:bookmarkStart w:id="1246" w:name="_Toc74924344"/>
      <w:r>
        <w:rPr>
          <w:rStyle w:val="CharSClsNo"/>
        </w:rPr>
        <w:t>5</w:t>
      </w:r>
      <w:r>
        <w:t>.</w:t>
      </w:r>
      <w:r>
        <w:tab/>
        <w:t>EASTERN GROUP</w:t>
      </w:r>
      <w:bookmarkEnd w:id="1245"/>
      <w:bookmarkEnd w:id="1246"/>
    </w:p>
    <w:p>
      <w:pPr>
        <w:pStyle w:val="ySubsection"/>
        <w:tabs>
          <w:tab w:val="clear" w:pos="879"/>
          <w:tab w:val="left" w:pos="2268"/>
        </w:tabs>
      </w:pPr>
      <w:r>
        <w:tab/>
      </w:r>
      <w:r>
        <w:tab/>
        <w:t>City of Bayswater</w:t>
      </w:r>
    </w:p>
    <w:p>
      <w:pPr>
        <w:pStyle w:val="ySubsection"/>
        <w:tabs>
          <w:tab w:val="clear" w:pos="879"/>
          <w:tab w:val="left" w:pos="2268"/>
        </w:tabs>
      </w:pPr>
      <w:r>
        <w:tab/>
      </w:r>
      <w:r>
        <w:tab/>
        <w:t>Town of Bassendean</w:t>
      </w:r>
    </w:p>
    <w:p>
      <w:pPr>
        <w:pStyle w:val="ySubsection"/>
        <w:tabs>
          <w:tab w:val="clear" w:pos="879"/>
          <w:tab w:val="left" w:pos="2268"/>
        </w:tabs>
      </w:pPr>
      <w:r>
        <w:tab/>
      </w:r>
      <w:r>
        <w:tab/>
        <w:t>City of Belmont</w:t>
      </w:r>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City of Swan</w:t>
      </w:r>
    </w:p>
    <w:p>
      <w:pPr>
        <w:pStyle w:val="yScheduleHeading"/>
      </w:pPr>
      <w:bookmarkStart w:id="1247" w:name="_Toc77239642"/>
      <w:bookmarkStart w:id="1248" w:name="_Toc77240546"/>
      <w:bookmarkStart w:id="1249" w:name="_Toc77246596"/>
      <w:bookmarkStart w:id="1250" w:name="_Toc74652657"/>
      <w:bookmarkStart w:id="1251" w:name="_Toc74653123"/>
      <w:bookmarkStart w:id="1252" w:name="_Toc74733841"/>
      <w:bookmarkStart w:id="1253" w:name="_Toc74924345"/>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1247"/>
      <w:bookmarkEnd w:id="1248"/>
      <w:bookmarkEnd w:id="1249"/>
      <w:bookmarkEnd w:id="1250"/>
      <w:bookmarkEnd w:id="1251"/>
      <w:bookmarkEnd w:id="1252"/>
      <w:bookmarkEnd w:id="1253"/>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NAm"/>
            </w:pPr>
            <w:r>
              <w:t>Item</w:t>
            </w:r>
          </w:p>
        </w:tc>
        <w:tc>
          <w:tcPr>
            <w:tcW w:w="4800" w:type="dxa"/>
          </w:tcPr>
          <w:p>
            <w:pPr>
              <w:pStyle w:val="yTableNAm"/>
            </w:pPr>
            <w:r>
              <w:t>Purpose</w:t>
            </w:r>
          </w:p>
        </w:tc>
      </w:tr>
      <w:tr>
        <w:trPr>
          <w:cantSplit/>
          <w:trHeight w:val="20"/>
        </w:trPr>
        <w:tc>
          <w:tcPr>
            <w:tcW w:w="993" w:type="dxa"/>
          </w:tcPr>
          <w:p>
            <w:pPr>
              <w:pStyle w:val="yTableNAm"/>
            </w:pPr>
            <w:r>
              <w:t>1.</w:t>
            </w:r>
          </w:p>
        </w:tc>
        <w:tc>
          <w:tcPr>
            <w:tcW w:w="4800" w:type="dxa"/>
          </w:tcPr>
          <w:p>
            <w:pPr>
              <w:pStyle w:val="yTableNAm"/>
            </w:pPr>
            <w:r>
              <w:t>Car parks</w:t>
            </w:r>
          </w:p>
        </w:tc>
      </w:tr>
      <w:tr>
        <w:trPr>
          <w:cantSplit/>
          <w:trHeight w:val="20"/>
        </w:trPr>
        <w:tc>
          <w:tcPr>
            <w:tcW w:w="993" w:type="dxa"/>
          </w:tcPr>
          <w:p>
            <w:pPr>
              <w:pStyle w:val="yTableNAm"/>
            </w:pPr>
            <w:r>
              <w:t>2.</w:t>
            </w:r>
          </w:p>
        </w:tc>
        <w:tc>
          <w:tcPr>
            <w:tcW w:w="4800" w:type="dxa"/>
          </w:tcPr>
          <w:p>
            <w:pPr>
              <w:pStyle w:val="yTableNAm"/>
            </w:pPr>
            <w:r>
              <w:t>Civic and cultural amenity</w:t>
            </w:r>
          </w:p>
        </w:tc>
      </w:tr>
      <w:tr>
        <w:trPr>
          <w:cantSplit/>
          <w:trHeight w:val="20"/>
        </w:trPr>
        <w:tc>
          <w:tcPr>
            <w:tcW w:w="993" w:type="dxa"/>
          </w:tcPr>
          <w:p>
            <w:pPr>
              <w:pStyle w:val="yTableNAm"/>
            </w:pPr>
            <w:r>
              <w:t>3.</w:t>
            </w:r>
          </w:p>
        </w:tc>
        <w:tc>
          <w:tcPr>
            <w:tcW w:w="4800" w:type="dxa"/>
          </w:tcPr>
          <w:p>
            <w:pPr>
              <w:pStyle w:val="yTableNAm"/>
            </w:pPr>
            <w:r>
              <w:t>Commonwealth Government</w:t>
            </w:r>
          </w:p>
        </w:tc>
      </w:tr>
      <w:tr>
        <w:trPr>
          <w:cantSplit/>
          <w:trHeight w:val="20"/>
        </w:trPr>
        <w:tc>
          <w:tcPr>
            <w:tcW w:w="993" w:type="dxa"/>
          </w:tcPr>
          <w:p>
            <w:pPr>
              <w:pStyle w:val="yTableNAm"/>
            </w:pPr>
            <w:r>
              <w:t>4.</w:t>
            </w:r>
          </w:p>
        </w:tc>
        <w:tc>
          <w:tcPr>
            <w:tcW w:w="4800" w:type="dxa"/>
          </w:tcPr>
          <w:p>
            <w:pPr>
              <w:pStyle w:val="yTableNAm"/>
            </w:pPr>
            <w:r>
              <w:t>Cultural heritage conservation</w:t>
            </w:r>
          </w:p>
        </w:tc>
      </w:tr>
      <w:tr>
        <w:trPr>
          <w:cantSplit/>
          <w:trHeight w:val="20"/>
        </w:trPr>
        <w:tc>
          <w:tcPr>
            <w:tcW w:w="993" w:type="dxa"/>
          </w:tcPr>
          <w:p>
            <w:pPr>
              <w:pStyle w:val="yTableNAm"/>
            </w:pPr>
            <w:r>
              <w:t>5.</w:t>
            </w:r>
          </w:p>
        </w:tc>
        <w:tc>
          <w:tcPr>
            <w:tcW w:w="4800" w:type="dxa"/>
          </w:tcPr>
          <w:p>
            <w:pPr>
              <w:pStyle w:val="yTableNAm"/>
            </w:pPr>
            <w:r>
              <w:t>Highways, important regional roads and other roads that are necessary because of highways or important regional roads</w:t>
            </w:r>
          </w:p>
        </w:tc>
      </w:tr>
      <w:tr>
        <w:trPr>
          <w:cantSplit/>
          <w:trHeight w:val="20"/>
        </w:trPr>
        <w:tc>
          <w:tcPr>
            <w:tcW w:w="993" w:type="dxa"/>
          </w:tcPr>
          <w:p>
            <w:pPr>
              <w:pStyle w:val="yTableNAm"/>
            </w:pPr>
            <w:r>
              <w:t>6.</w:t>
            </w:r>
          </w:p>
        </w:tc>
        <w:tc>
          <w:tcPr>
            <w:tcW w:w="4800" w:type="dxa"/>
          </w:tcPr>
          <w:p>
            <w:pPr>
              <w:pStyle w:val="yTableNAm"/>
            </w:pPr>
            <w:r>
              <w:t>Hospitals</w:t>
            </w:r>
          </w:p>
        </w:tc>
      </w:tr>
      <w:tr>
        <w:trPr>
          <w:cantSplit/>
          <w:trHeight w:val="20"/>
        </w:trPr>
        <w:tc>
          <w:tcPr>
            <w:tcW w:w="993" w:type="dxa"/>
          </w:tcPr>
          <w:p>
            <w:pPr>
              <w:pStyle w:val="yTableNAm"/>
            </w:pPr>
            <w:r>
              <w:t>7.</w:t>
            </w:r>
          </w:p>
        </w:tc>
        <w:tc>
          <w:tcPr>
            <w:tcW w:w="4800" w:type="dxa"/>
          </w:tcPr>
          <w:p>
            <w:pPr>
              <w:pStyle w:val="yTableNAm"/>
            </w:pPr>
            <w:r>
              <w:t>Parks and recreation areas</w:t>
            </w:r>
          </w:p>
        </w:tc>
      </w:tr>
      <w:tr>
        <w:trPr>
          <w:cantSplit/>
          <w:trHeight w:val="20"/>
        </w:trPr>
        <w:tc>
          <w:tcPr>
            <w:tcW w:w="993" w:type="dxa"/>
          </w:tcPr>
          <w:p>
            <w:pPr>
              <w:pStyle w:val="yTableNAm"/>
            </w:pPr>
            <w:r>
              <w:t>8.</w:t>
            </w:r>
          </w:p>
        </w:tc>
        <w:tc>
          <w:tcPr>
            <w:tcW w:w="4800" w:type="dxa"/>
          </w:tcPr>
          <w:p>
            <w:pPr>
              <w:pStyle w:val="yTableNAm"/>
            </w:pPr>
            <w:r>
              <w:t>Port installations</w:t>
            </w:r>
          </w:p>
        </w:tc>
      </w:tr>
      <w:tr>
        <w:trPr>
          <w:cantSplit/>
          <w:trHeight w:val="20"/>
        </w:trPr>
        <w:tc>
          <w:tcPr>
            <w:tcW w:w="993" w:type="dxa"/>
          </w:tcPr>
          <w:p>
            <w:pPr>
              <w:pStyle w:val="yTableNAm"/>
            </w:pPr>
            <w:r>
              <w:t>9.</w:t>
            </w:r>
          </w:p>
        </w:tc>
        <w:tc>
          <w:tcPr>
            <w:tcW w:w="4800" w:type="dxa"/>
          </w:tcPr>
          <w:p>
            <w:pPr>
              <w:pStyle w:val="yTableNAm"/>
            </w:pPr>
            <w:r>
              <w:t>Power services, including electricity and gas supply</w:t>
            </w:r>
          </w:p>
        </w:tc>
      </w:tr>
      <w:tr>
        <w:trPr>
          <w:cantSplit/>
          <w:trHeight w:val="20"/>
        </w:trPr>
        <w:tc>
          <w:tcPr>
            <w:tcW w:w="993" w:type="dxa"/>
          </w:tcPr>
          <w:p>
            <w:pPr>
              <w:pStyle w:val="yTableNAm"/>
            </w:pPr>
            <w:r>
              <w:t>10.</w:t>
            </w:r>
          </w:p>
        </w:tc>
        <w:tc>
          <w:tcPr>
            <w:tcW w:w="4800" w:type="dxa"/>
          </w:tcPr>
          <w:p>
            <w:pPr>
              <w:pStyle w:val="yTableNAm"/>
            </w:pPr>
            <w:r>
              <w:t>Prisons</w:t>
            </w:r>
          </w:p>
        </w:tc>
      </w:tr>
      <w:tr>
        <w:trPr>
          <w:cantSplit/>
          <w:trHeight w:val="20"/>
        </w:trPr>
        <w:tc>
          <w:tcPr>
            <w:tcW w:w="993" w:type="dxa"/>
          </w:tcPr>
          <w:p>
            <w:pPr>
              <w:pStyle w:val="yTableNAm"/>
            </w:pPr>
            <w:r>
              <w:t>11.</w:t>
            </w:r>
          </w:p>
        </w:tc>
        <w:tc>
          <w:tcPr>
            <w:tcW w:w="4800" w:type="dxa"/>
          </w:tcPr>
          <w:p>
            <w:pPr>
              <w:pStyle w:val="yTableNAm"/>
            </w:pPr>
            <w:r>
              <w:t>Public purpose of the State</w:t>
            </w:r>
          </w:p>
        </w:tc>
      </w:tr>
      <w:tr>
        <w:trPr>
          <w:cantSplit/>
          <w:trHeight w:val="20"/>
        </w:trPr>
        <w:tc>
          <w:tcPr>
            <w:tcW w:w="993" w:type="dxa"/>
          </w:tcPr>
          <w:p>
            <w:pPr>
              <w:pStyle w:val="yTableNAm"/>
            </w:pPr>
            <w:r>
              <w:t>12.</w:t>
            </w:r>
          </w:p>
        </w:tc>
        <w:tc>
          <w:tcPr>
            <w:tcW w:w="4800" w:type="dxa"/>
          </w:tcPr>
          <w:p>
            <w:pPr>
              <w:pStyle w:val="yTableNAm"/>
            </w:pPr>
            <w:r>
              <w:t>Railways</w:t>
            </w:r>
          </w:p>
        </w:tc>
      </w:tr>
      <w:tr>
        <w:trPr>
          <w:cantSplit/>
          <w:trHeight w:val="20"/>
        </w:trPr>
        <w:tc>
          <w:tcPr>
            <w:tcW w:w="993" w:type="dxa"/>
          </w:tcPr>
          <w:p>
            <w:pPr>
              <w:pStyle w:val="yTableNAm"/>
            </w:pPr>
            <w:r>
              <w:t>13.</w:t>
            </w:r>
          </w:p>
        </w:tc>
        <w:tc>
          <w:tcPr>
            <w:tcW w:w="4800" w:type="dxa"/>
          </w:tcPr>
          <w:p>
            <w:pPr>
              <w:pStyle w:val="yTableNAm"/>
            </w:pPr>
            <w:r>
              <w:t>Schools</w:t>
            </w:r>
          </w:p>
        </w:tc>
      </w:tr>
      <w:tr>
        <w:trPr>
          <w:cantSplit/>
          <w:trHeight w:val="20"/>
        </w:trPr>
        <w:tc>
          <w:tcPr>
            <w:tcW w:w="993" w:type="dxa"/>
          </w:tcPr>
          <w:p>
            <w:pPr>
              <w:pStyle w:val="yTableNAm"/>
            </w:pPr>
            <w:r>
              <w:t>14.</w:t>
            </w:r>
          </w:p>
        </w:tc>
        <w:tc>
          <w:tcPr>
            <w:tcW w:w="4800" w:type="dxa"/>
          </w:tcPr>
          <w:p>
            <w:pPr>
              <w:pStyle w:val="yTableNAm"/>
            </w:pPr>
            <w:r>
              <w:t>Special uses</w:t>
            </w:r>
          </w:p>
        </w:tc>
      </w:tr>
      <w:tr>
        <w:trPr>
          <w:cantSplit/>
          <w:trHeight w:val="20"/>
        </w:trPr>
        <w:tc>
          <w:tcPr>
            <w:tcW w:w="993" w:type="dxa"/>
          </w:tcPr>
          <w:p>
            <w:pPr>
              <w:pStyle w:val="yTableNAm"/>
            </w:pPr>
            <w:r>
              <w:t>15.</w:t>
            </w:r>
          </w:p>
        </w:tc>
        <w:tc>
          <w:tcPr>
            <w:tcW w:w="4800" w:type="dxa"/>
          </w:tcPr>
          <w:p>
            <w:pPr>
              <w:pStyle w:val="yTableNAm"/>
            </w:pPr>
            <w:r>
              <w:t>State forests</w:t>
            </w:r>
          </w:p>
        </w:tc>
      </w:tr>
      <w:tr>
        <w:trPr>
          <w:cantSplit/>
          <w:trHeight w:val="20"/>
        </w:trPr>
        <w:tc>
          <w:tcPr>
            <w:tcW w:w="993" w:type="dxa"/>
          </w:tcPr>
          <w:p>
            <w:pPr>
              <w:pStyle w:val="yTableNAm"/>
            </w:pPr>
            <w:r>
              <w:t>16.</w:t>
            </w:r>
          </w:p>
        </w:tc>
        <w:tc>
          <w:tcPr>
            <w:tcW w:w="4800" w:type="dxa"/>
          </w:tcPr>
          <w:p>
            <w:pPr>
              <w:pStyle w:val="yTableNAm"/>
            </w:pPr>
            <w:r>
              <w:t>Universities</w:t>
            </w:r>
          </w:p>
        </w:tc>
      </w:tr>
      <w:tr>
        <w:trPr>
          <w:cantSplit/>
          <w:trHeight w:val="20"/>
        </w:trPr>
        <w:tc>
          <w:tcPr>
            <w:tcW w:w="993" w:type="dxa"/>
          </w:tcPr>
          <w:p>
            <w:pPr>
              <w:pStyle w:val="yTableNAm"/>
            </w:pPr>
            <w:r>
              <w:t>17.</w:t>
            </w:r>
          </w:p>
        </w:tc>
        <w:tc>
          <w:tcPr>
            <w:tcW w:w="4800" w:type="dxa"/>
          </w:tcPr>
          <w:p>
            <w:pPr>
              <w:pStyle w:val="yTableNAm"/>
            </w:pPr>
            <w:r>
              <w:t>Water catchments</w:t>
            </w:r>
          </w:p>
        </w:tc>
      </w:tr>
      <w:tr>
        <w:trPr>
          <w:cantSplit/>
          <w:trHeight w:val="20"/>
        </w:trPr>
        <w:tc>
          <w:tcPr>
            <w:tcW w:w="993" w:type="dxa"/>
          </w:tcPr>
          <w:p>
            <w:pPr>
              <w:pStyle w:val="yTableNAm"/>
            </w:pPr>
            <w:r>
              <w:t>18.</w:t>
            </w:r>
          </w:p>
        </w:tc>
        <w:tc>
          <w:tcPr>
            <w:tcW w:w="4800" w:type="dxa"/>
          </w:tcPr>
          <w:p>
            <w:pPr>
              <w:pStyle w:val="yTableNAm"/>
            </w:pPr>
            <w:r>
              <w:t>Water services, including sewerage and drainage</w:t>
            </w:r>
          </w:p>
        </w:tc>
      </w:tr>
      <w:tr>
        <w:trPr>
          <w:cantSplit/>
          <w:trHeight w:val="20"/>
        </w:trPr>
        <w:tc>
          <w:tcPr>
            <w:tcW w:w="993" w:type="dxa"/>
          </w:tcPr>
          <w:p>
            <w:pPr>
              <w:pStyle w:val="yTableNAm"/>
            </w:pPr>
            <w:r>
              <w:t>19.</w:t>
            </w:r>
          </w:p>
        </w:tc>
        <w:tc>
          <w:tcPr>
            <w:tcW w:w="4800" w:type="dxa"/>
          </w:tcPr>
          <w:p>
            <w:pPr>
              <w:pStyle w:val="yTableNAm"/>
            </w:pPr>
            <w:r>
              <w:t>Waterways</w:t>
            </w:r>
          </w:p>
        </w:tc>
      </w:tr>
      <w:tr>
        <w:trPr>
          <w:cantSplit/>
          <w:trHeight w:val="20"/>
        </w:trPr>
        <w:tc>
          <w:tcPr>
            <w:tcW w:w="993" w:type="dxa"/>
          </w:tcPr>
          <w:p>
            <w:pPr>
              <w:pStyle w:val="yTableNAm"/>
            </w:pPr>
            <w:r>
              <w:t>20.</w:t>
            </w:r>
          </w:p>
        </w:tc>
        <w:tc>
          <w:tcPr>
            <w:tcW w:w="4800" w:type="dxa"/>
          </w:tcPr>
          <w:p>
            <w:pPr>
              <w:pStyle w:val="yTableNAm"/>
            </w:pPr>
            <w:r>
              <w:t>Public transport</w:t>
            </w:r>
          </w:p>
        </w:tc>
      </w:tr>
    </w:tbl>
    <w:p>
      <w:pPr>
        <w:pStyle w:val="yFootnotesection"/>
        <w:rPr>
          <w:rStyle w:val="CharSchNo"/>
          <w:b/>
          <w:snapToGrid/>
        </w:rPr>
      </w:pPr>
      <w:r>
        <w:rPr>
          <w:rStyle w:val="CharSchNo"/>
        </w:rPr>
        <w:tab/>
        <w:t>[Schedule 6 amended: No. 26 of 2020 s. 103.]</w:t>
      </w:r>
    </w:p>
    <w:p>
      <w:pPr>
        <w:pStyle w:val="yFootnotesection"/>
        <w:rPr>
          <w:rStyle w:val="CharSchNo"/>
          <w:b/>
        </w:rPr>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yScheduleHeading"/>
      </w:pPr>
      <w:bookmarkStart w:id="1254" w:name="_Toc77239643"/>
      <w:bookmarkStart w:id="1255" w:name="_Toc77240547"/>
      <w:bookmarkStart w:id="1256" w:name="_Toc77246597"/>
      <w:bookmarkStart w:id="1257" w:name="_Toc74652658"/>
      <w:bookmarkStart w:id="1258" w:name="_Toc74653124"/>
      <w:bookmarkStart w:id="1259" w:name="_Toc74733842"/>
      <w:bookmarkStart w:id="1260" w:name="_Toc74924346"/>
      <w:r>
        <w:rPr>
          <w:rStyle w:val="CharSchNo"/>
        </w:rPr>
        <w:t>Schedule 7</w:t>
      </w:r>
      <w:r>
        <w:rPr>
          <w:rStyle w:val="CharSDivNo"/>
        </w:rPr>
        <w:t> </w:t>
      </w:r>
      <w:r>
        <w:t>—</w:t>
      </w:r>
      <w:r>
        <w:rPr>
          <w:rStyle w:val="CharSDivText"/>
        </w:rPr>
        <w:t> </w:t>
      </w:r>
      <w:r>
        <w:rPr>
          <w:rStyle w:val="CharSchText"/>
        </w:rPr>
        <w:t>Matters which may be dealt with by planning scheme</w:t>
      </w:r>
      <w:bookmarkEnd w:id="1254"/>
      <w:bookmarkEnd w:id="1255"/>
      <w:bookmarkEnd w:id="1256"/>
      <w:bookmarkEnd w:id="1257"/>
      <w:bookmarkEnd w:id="1258"/>
      <w:bookmarkEnd w:id="1259"/>
      <w:bookmarkEnd w:id="1260"/>
    </w:p>
    <w:p>
      <w:pPr>
        <w:pStyle w:val="yShoulderClause"/>
      </w:pPr>
      <w:r>
        <w:t>[s. 69, 256(1)]</w:t>
      </w:r>
    </w:p>
    <w:p>
      <w:pPr>
        <w:pStyle w:val="yHeading5"/>
      </w:pPr>
      <w:bookmarkStart w:id="1261" w:name="_Toc77246598"/>
      <w:bookmarkStart w:id="1262" w:name="_Toc74924347"/>
      <w:r>
        <w:rPr>
          <w:rStyle w:val="CharSClsNo"/>
        </w:rPr>
        <w:t>1</w:t>
      </w:r>
      <w:r>
        <w:t>.</w:t>
      </w:r>
      <w:r>
        <w:tab/>
        <w:t>Generality preserved</w:t>
      </w:r>
      <w:bookmarkEnd w:id="1261"/>
      <w:bookmarkEnd w:id="1262"/>
    </w:p>
    <w:p>
      <w:pPr>
        <w:pStyle w:val="ySubsection"/>
      </w:pPr>
      <w:r>
        <w:tab/>
      </w:r>
      <w:r>
        <w:tab/>
        <w:t>The mention of a particular matter in this Schedule does not prejudice or affect the generality of any other matter.</w:t>
      </w:r>
    </w:p>
    <w:p>
      <w:pPr>
        <w:pStyle w:val="yHeading5"/>
      </w:pPr>
      <w:bookmarkStart w:id="1263" w:name="_Toc77246599"/>
      <w:bookmarkStart w:id="1264" w:name="_Toc74924348"/>
      <w:r>
        <w:rPr>
          <w:rStyle w:val="CharSClsNo"/>
        </w:rPr>
        <w:t>2</w:t>
      </w:r>
      <w:r>
        <w:t>.</w:t>
      </w:r>
      <w:r>
        <w:tab/>
        <w:t>Subdivision</w:t>
      </w:r>
      <w:bookmarkEnd w:id="1263"/>
      <w:bookmarkEnd w:id="1264"/>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pPr>
      <w:bookmarkStart w:id="1265" w:name="_Toc77246600"/>
      <w:bookmarkStart w:id="1266" w:name="_Toc74924349"/>
      <w:r>
        <w:rPr>
          <w:rStyle w:val="CharSClsNo"/>
        </w:rPr>
        <w:t>3</w:t>
      </w:r>
      <w:r>
        <w:t>.</w:t>
      </w:r>
      <w:r>
        <w:tab/>
        <w:t>Reconstruction</w:t>
      </w:r>
      <w:bookmarkEnd w:id="1265"/>
      <w:bookmarkEnd w:id="1266"/>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pPr>
      <w:bookmarkStart w:id="1267" w:name="_Toc77246601"/>
      <w:bookmarkStart w:id="1268" w:name="_Toc74924350"/>
      <w:r>
        <w:rPr>
          <w:rStyle w:val="CharSClsNo"/>
        </w:rPr>
        <w:t>4</w:t>
      </w:r>
      <w:r>
        <w:t>.</w:t>
      </w:r>
      <w:r>
        <w:tab/>
        <w:t>Preservation and conservation</w:t>
      </w:r>
      <w:bookmarkEnd w:id="1267"/>
      <w:bookmarkEnd w:id="1268"/>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pPr>
      <w:bookmarkStart w:id="1269" w:name="_Toc77246602"/>
      <w:bookmarkStart w:id="1270" w:name="_Toc74924351"/>
      <w:r>
        <w:rPr>
          <w:rStyle w:val="CharSClsNo"/>
        </w:rPr>
        <w:t>5</w:t>
      </w:r>
      <w:r>
        <w:t>.</w:t>
      </w:r>
      <w:r>
        <w:tab/>
        <w:t>Roads, public works, community infrastructure, reservation of land, provision of facilities</w:t>
      </w:r>
      <w:bookmarkEnd w:id="1269"/>
      <w:bookmarkEnd w:id="1270"/>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(2A)</w:t>
      </w:r>
      <w:r>
        <w:tab/>
        <w:t>Community infrastructure, including community centres, libraries, schools and other educational facilities, child care centres (including outside school hours care services) and sporting facilities.</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Subsection"/>
      </w:pPr>
      <w:r>
        <w:tab/>
        <w:t>(5)</w:t>
      </w:r>
      <w:r>
        <w:tab/>
        <w:t>The designation of classes or kinds of development as public work.</w:t>
      </w:r>
    </w:p>
    <w:p>
      <w:pPr>
        <w:pStyle w:val="yFootnotesection"/>
      </w:pPr>
      <w:r>
        <w:tab/>
        <w:t>[Clause 5 amended: No. 26 of 2020 s. 13 and 88(1).]</w:t>
      </w:r>
    </w:p>
    <w:p>
      <w:pPr>
        <w:pStyle w:val="yHeading5"/>
      </w:pPr>
      <w:bookmarkStart w:id="1271" w:name="_Toc77246603"/>
      <w:bookmarkStart w:id="1272" w:name="_Toc74924352"/>
      <w:r>
        <w:rPr>
          <w:rStyle w:val="CharSClsNo"/>
        </w:rPr>
        <w:t>6</w:t>
      </w:r>
      <w:r>
        <w:t>.</w:t>
      </w:r>
      <w:r>
        <w:tab/>
        <w:t>Zoning</w:t>
      </w:r>
      <w:bookmarkEnd w:id="1271"/>
      <w:bookmarkEnd w:id="1272"/>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pPr>
      <w:bookmarkStart w:id="1273" w:name="_Toc77246604"/>
      <w:bookmarkStart w:id="1274" w:name="_Toc74924353"/>
      <w:r>
        <w:rPr>
          <w:rStyle w:val="CharSClsNo"/>
        </w:rPr>
        <w:t>7</w:t>
      </w:r>
      <w:r>
        <w:t>.</w:t>
      </w:r>
      <w:r>
        <w:tab/>
        <w:t>Controls for land management</w:t>
      </w:r>
      <w:bookmarkEnd w:id="1273"/>
      <w:bookmarkEnd w:id="1274"/>
    </w:p>
    <w:p>
      <w:pPr>
        <w:pStyle w:val="ySubsection"/>
        <w:spacing w:before="120"/>
      </w:pPr>
      <w:r>
        <w:tab/>
      </w:r>
      <w:r>
        <w:tab/>
        <w:t>Controls for land or site management for matters to which this Act relates.</w:t>
      </w:r>
    </w:p>
    <w:p>
      <w:pPr>
        <w:pStyle w:val="yHeading5"/>
      </w:pPr>
      <w:bookmarkStart w:id="1275" w:name="_Toc77246605"/>
      <w:bookmarkStart w:id="1276" w:name="_Toc74924354"/>
      <w:r>
        <w:rPr>
          <w:rStyle w:val="CharSClsNo"/>
        </w:rPr>
        <w:t>8</w:t>
      </w:r>
      <w:r>
        <w:t>.</w:t>
      </w:r>
      <w:r>
        <w:tab/>
        <w:t>Development standards</w:t>
      </w:r>
      <w:bookmarkEnd w:id="1275"/>
      <w:bookmarkEnd w:id="1276"/>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pPr>
      <w:bookmarkStart w:id="1277" w:name="_Toc77246606"/>
      <w:bookmarkStart w:id="1278" w:name="_Toc74924355"/>
      <w:r>
        <w:rPr>
          <w:rStyle w:val="CharSClsNo"/>
        </w:rPr>
        <w:t>9</w:t>
      </w:r>
      <w:r>
        <w:t>.</w:t>
      </w:r>
      <w:r>
        <w:tab/>
        <w:t>Development controls</w:t>
      </w:r>
      <w:bookmarkEnd w:id="1277"/>
      <w:bookmarkEnd w:id="1278"/>
    </w:p>
    <w:p>
      <w:pPr>
        <w:pStyle w:val="ySubsection"/>
        <w:spacing w:before="140"/>
      </w:pPr>
      <w:r>
        <w:tab/>
      </w:r>
      <w:r>
        <w:tab/>
        <w:t>Approval, refusal or approval subject to conditions of any use or class or kind of development by a consideration of any matter to which the Act relates including the public interest.</w:t>
      </w:r>
    </w:p>
    <w:p>
      <w:pPr>
        <w:pStyle w:val="yHeading5"/>
        <w:spacing w:before="200"/>
      </w:pPr>
      <w:bookmarkStart w:id="1279" w:name="_Toc77246607"/>
      <w:bookmarkStart w:id="1280" w:name="_Toc74924356"/>
      <w:r>
        <w:rPr>
          <w:rStyle w:val="CharSClsNo"/>
        </w:rPr>
        <w:t>10</w:t>
      </w:r>
      <w:r>
        <w:t>.</w:t>
      </w:r>
      <w:r>
        <w:tab/>
        <w:t>Acquisition and purchase of land</w:t>
      </w:r>
      <w:bookmarkEnd w:id="1279"/>
      <w:bookmarkEnd w:id="1280"/>
    </w:p>
    <w:p>
      <w:pPr>
        <w:pStyle w:val="ySubsection"/>
        <w:spacing w:before="140"/>
      </w:pPr>
      <w:r>
        <w:tab/>
      </w:r>
      <w:r>
        <w:tab/>
        <w:t>Acquisition or purchase of land or buildings and any step necessary to give effect to the acquisition or purchase.</w:t>
      </w:r>
    </w:p>
    <w:p>
      <w:pPr>
        <w:pStyle w:val="yHeading5"/>
        <w:spacing w:before="200"/>
      </w:pPr>
      <w:bookmarkStart w:id="1281" w:name="_Toc77246608"/>
      <w:bookmarkStart w:id="1282" w:name="_Toc74924357"/>
      <w:r>
        <w:rPr>
          <w:rStyle w:val="CharSClsNo"/>
        </w:rPr>
        <w:t>11</w:t>
      </w:r>
      <w:r>
        <w:t>.</w:t>
      </w:r>
      <w:r>
        <w:tab/>
        <w:t>Powers</w:t>
      </w:r>
      <w:bookmarkEnd w:id="1281"/>
      <w:bookmarkEnd w:id="1282"/>
    </w:p>
    <w:p>
      <w:pPr>
        <w:pStyle w:val="ySubsection"/>
        <w:spacing w:before="140"/>
      </w:pPr>
      <w:r>
        <w:tab/>
        <w:t>(1)</w:t>
      </w:r>
      <w:r>
        <w:tab/>
        <w:t>The extinguishment or variation of any restrictive covenant, easement or right of way.</w:t>
      </w:r>
    </w:p>
    <w:p>
      <w:pPr>
        <w:pStyle w:val="ySubsection"/>
        <w:spacing w:before="140"/>
      </w:pPr>
      <w:r>
        <w:tab/>
        <w:t>(2)</w:t>
      </w:r>
      <w:r>
        <w:tab/>
        <w:t>Powers of entry and inspection.</w:t>
      </w:r>
    </w:p>
    <w:p>
      <w:pPr>
        <w:pStyle w:val="ySubsection"/>
        <w:spacing w:before="140"/>
      </w:pPr>
      <w:r>
        <w:tab/>
        <w:t>(3)</w:t>
      </w:r>
      <w:r>
        <w:tab/>
        <w:t>Powers to remove, alter, or demolish any building which obstructs the observance or carrying out of the scheme.</w:t>
      </w:r>
    </w:p>
    <w:p>
      <w:pPr>
        <w:pStyle w:val="ySubsection"/>
        <w:spacing w:before="140"/>
      </w:pPr>
      <w:r>
        <w:tab/>
        <w:t>(4)</w:t>
      </w:r>
      <w:r>
        <w:tab/>
        <w:t>Powers to recover expenses incurred or to be incurred in implementing, enforcing and giving effect to the scheme.</w:t>
      </w:r>
    </w:p>
    <w:p>
      <w:pPr>
        <w:pStyle w:val="ySubsection"/>
      </w:pPr>
      <w:r>
        <w:tab/>
        <w:t>(5)</w:t>
      </w:r>
      <w:r>
        <w:tab/>
        <w:t>The financial management of any expenses recovered as referred to in subclause (4).</w:t>
      </w:r>
    </w:p>
    <w:p>
      <w:pPr>
        <w:pStyle w:val="yFootnotesection"/>
      </w:pPr>
      <w:r>
        <w:tab/>
        <w:t>[Clause 11 amended: No. 26 of 2020 s. 88(2).]</w:t>
      </w:r>
    </w:p>
    <w:p>
      <w:pPr>
        <w:pStyle w:val="yHeading5"/>
        <w:spacing w:before="200"/>
      </w:pPr>
      <w:bookmarkStart w:id="1283" w:name="_Toc77246609"/>
      <w:bookmarkStart w:id="1284" w:name="_Toc74924358"/>
      <w:r>
        <w:rPr>
          <w:rStyle w:val="CharSClsNo"/>
        </w:rPr>
        <w:t>12</w:t>
      </w:r>
      <w:r>
        <w:t>.</w:t>
      </w:r>
      <w:r>
        <w:tab/>
        <w:t>Agreements and cooperation</w:t>
      </w:r>
      <w:bookmarkEnd w:id="1283"/>
      <w:bookmarkEnd w:id="1284"/>
    </w:p>
    <w:p>
      <w:pPr>
        <w:pStyle w:val="ySubsection"/>
        <w:spacing w:before="150"/>
      </w:pPr>
      <w:r>
        <w:tab/>
        <w:t>(1)</w:t>
      </w:r>
      <w:r>
        <w:tab/>
        <w:t>Agreements and cooperation between the responsible authority and the owners of land.</w:t>
      </w:r>
    </w:p>
    <w:p>
      <w:pPr>
        <w:pStyle w:val="ySubsection"/>
        <w:spacing w:before="150"/>
      </w:pPr>
      <w:r>
        <w:tab/>
        <w:t>(2)</w:t>
      </w:r>
      <w:r>
        <w:tab/>
        <w:t>Agreements and cooperation between the responsible authority and public, statutory or responsible authority.</w:t>
      </w:r>
    </w:p>
    <w:p>
      <w:pPr>
        <w:pStyle w:val="ySubsection"/>
        <w:spacing w:before="150"/>
      </w:pPr>
      <w:r>
        <w:tab/>
        <w:t>(3)</w:t>
      </w:r>
      <w:r>
        <w:tab/>
        <w:t>Agreements and cooperation between owners of land.</w:t>
      </w:r>
    </w:p>
    <w:p>
      <w:pPr>
        <w:pStyle w:val="yHeading5"/>
        <w:spacing w:before="200"/>
      </w:pPr>
      <w:bookmarkStart w:id="1285" w:name="_Toc77246610"/>
      <w:bookmarkStart w:id="1286" w:name="_Toc74924359"/>
      <w:r>
        <w:rPr>
          <w:rStyle w:val="CharSClsNo"/>
        </w:rPr>
        <w:t>13</w:t>
      </w:r>
      <w:r>
        <w:t>.</w:t>
      </w:r>
      <w:r>
        <w:tab/>
        <w:t>Carrying out scheme</w:t>
      </w:r>
      <w:bookmarkEnd w:id="1285"/>
      <w:bookmarkEnd w:id="1286"/>
    </w:p>
    <w:p>
      <w:pPr>
        <w:pStyle w:val="ySubsection"/>
        <w:spacing w:before="140"/>
      </w:pPr>
      <w:r>
        <w:tab/>
        <w:t>(1)</w:t>
      </w:r>
      <w:r>
        <w:tab/>
        <w:t>The carrying out of the scheme.</w:t>
      </w:r>
    </w:p>
    <w:p>
      <w:pPr>
        <w:pStyle w:val="ySubsection"/>
        <w:spacing w:before="140"/>
      </w:pPr>
      <w:r>
        <w:tab/>
        <w:t>(2)</w:t>
      </w:r>
      <w:r>
        <w:tab/>
        <w:t>The limitation of time for the operation of a scheme, any provision of the scheme or works ancillary to the scheme.</w:t>
      </w:r>
    </w:p>
    <w:p>
      <w:pPr>
        <w:pStyle w:val="ySubsection"/>
        <w:spacing w:before="140"/>
      </w:pPr>
      <w:r>
        <w:tab/>
        <w:t>(3)</w:t>
      </w:r>
      <w:r>
        <w:tab/>
        <w:t>The responsibilities of any persons or authorities to which the scheme relates.</w:t>
      </w:r>
    </w:p>
    <w:p>
      <w:pPr>
        <w:pStyle w:val="ySubsection"/>
        <w:spacing w:before="140"/>
      </w:pPr>
      <w:r>
        <w:tab/>
        <w:t>(4)</w:t>
      </w:r>
      <w:r>
        <w:tab/>
        <w:t>Requiring the preparation and approval of documents ancillary to the carrying out of a scheme.</w:t>
      </w:r>
    </w:p>
    <w:p>
      <w:pPr>
        <w:pStyle w:val="yFootnotesection"/>
        <w:spacing w:before="100"/>
      </w:pPr>
      <w:r>
        <w:tab/>
        <w:t>[Clause 13 amended: No. 28 of 2010 s. 68.]</w:t>
      </w:r>
    </w:p>
    <w:p>
      <w:pPr>
        <w:pStyle w:val="yHeading5"/>
      </w:pPr>
      <w:bookmarkStart w:id="1287" w:name="_Toc77246611"/>
      <w:bookmarkStart w:id="1288" w:name="_Toc74924360"/>
      <w:r>
        <w:rPr>
          <w:rStyle w:val="CharSClsNo"/>
        </w:rPr>
        <w:t>14</w:t>
      </w:r>
      <w:r>
        <w:t>.</w:t>
      </w:r>
      <w:r>
        <w:tab/>
        <w:t>Review by SAT</w:t>
      </w:r>
      <w:bookmarkEnd w:id="1287"/>
      <w:bookmarkEnd w:id="1288"/>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pPr>
      <w:bookmarkStart w:id="1289" w:name="_Toc77246612"/>
      <w:bookmarkStart w:id="1290" w:name="_Toc74924361"/>
      <w:r>
        <w:rPr>
          <w:rStyle w:val="CharSClsNo"/>
        </w:rPr>
        <w:t>15</w:t>
      </w:r>
      <w:r>
        <w:t>.</w:t>
      </w:r>
      <w:r>
        <w:tab/>
        <w:t>Policies and ancillary matters</w:t>
      </w:r>
      <w:bookmarkEnd w:id="1289"/>
      <w:bookmarkEnd w:id="1290"/>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1291" w:name="_Toc77239659"/>
      <w:bookmarkStart w:id="1292" w:name="_Toc77240563"/>
      <w:bookmarkStart w:id="1293" w:name="_Toc77246613"/>
      <w:bookmarkStart w:id="1294" w:name="_Toc74652674"/>
      <w:bookmarkStart w:id="1295" w:name="_Toc74653140"/>
      <w:bookmarkStart w:id="1296" w:name="_Toc74733858"/>
      <w:bookmarkStart w:id="1297" w:name="_Toc74924362"/>
      <w:r>
        <w:rPr>
          <w:rStyle w:val="CharSchNo"/>
        </w:rPr>
        <w:t>Schedule 8</w:t>
      </w:r>
      <w:r>
        <w:rPr>
          <w:rStyle w:val="CharSDivNo"/>
        </w:rPr>
        <w:t> </w:t>
      </w:r>
      <w:r>
        <w:t>—</w:t>
      </w:r>
      <w:r>
        <w:rPr>
          <w:rStyle w:val="CharSDivText"/>
        </w:rPr>
        <w:t> </w:t>
      </w:r>
      <w:r>
        <w:rPr>
          <w:rStyle w:val="CharSchText"/>
        </w:rPr>
        <w:t>Matters for which local laws may be made by Governor</w:t>
      </w:r>
      <w:bookmarkEnd w:id="1291"/>
      <w:bookmarkEnd w:id="1292"/>
      <w:bookmarkEnd w:id="1293"/>
      <w:bookmarkEnd w:id="1294"/>
      <w:bookmarkEnd w:id="1295"/>
      <w:bookmarkEnd w:id="1296"/>
      <w:bookmarkEnd w:id="1297"/>
    </w:p>
    <w:p>
      <w:pPr>
        <w:pStyle w:val="yShoulderClause"/>
        <w:spacing w:before="60"/>
      </w:pPr>
      <w:r>
        <w:t>[s. 262(1)]</w:t>
      </w:r>
    </w:p>
    <w:p>
      <w:pPr>
        <w:pStyle w:val="yHeading5"/>
      </w:pPr>
      <w:bookmarkStart w:id="1298" w:name="_Toc77246614"/>
      <w:bookmarkStart w:id="1299" w:name="_Toc74924363"/>
      <w:r>
        <w:rPr>
          <w:rStyle w:val="CharSClsNo"/>
        </w:rPr>
        <w:t>1</w:t>
      </w:r>
      <w:r>
        <w:t>.</w:t>
      </w:r>
      <w:r>
        <w:tab/>
        <w:t>Purchase and reservation of land</w:t>
      </w:r>
      <w:bookmarkEnd w:id="1298"/>
      <w:bookmarkEnd w:id="1299"/>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pPr>
      <w:bookmarkStart w:id="1300" w:name="_Toc77246615"/>
      <w:bookmarkStart w:id="1301" w:name="_Toc74924364"/>
      <w:r>
        <w:rPr>
          <w:rStyle w:val="CharSClsNo"/>
        </w:rPr>
        <w:t>2</w:t>
      </w:r>
      <w:r>
        <w:t>.</w:t>
      </w:r>
      <w:r>
        <w:tab/>
        <w:t>Limiting and regulating building</w:t>
      </w:r>
      <w:bookmarkEnd w:id="1300"/>
      <w:bookmarkEnd w:id="1301"/>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pPr>
      <w:bookmarkStart w:id="1302" w:name="_Toc77246616"/>
      <w:bookmarkStart w:id="1303" w:name="_Toc74924365"/>
      <w:r>
        <w:rPr>
          <w:rStyle w:val="CharSClsNo"/>
        </w:rPr>
        <w:t>3</w:t>
      </w:r>
      <w:r>
        <w:t>.</w:t>
      </w:r>
      <w:r>
        <w:tab/>
        <w:t>Classification and zoning</w:t>
      </w:r>
      <w:bookmarkEnd w:id="1302"/>
      <w:bookmarkEnd w:id="1303"/>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pPr>
      <w:bookmarkStart w:id="1304" w:name="_Toc77246617"/>
      <w:bookmarkStart w:id="1305" w:name="_Toc74924366"/>
      <w:r>
        <w:rPr>
          <w:rStyle w:val="CharSClsNo"/>
        </w:rPr>
        <w:t>4</w:t>
      </w:r>
      <w:r>
        <w:t>.</w:t>
      </w:r>
      <w:r>
        <w:tab/>
        <w:t>Prohibiting unauthorised uses</w:t>
      </w:r>
      <w:bookmarkEnd w:id="1304"/>
      <w:bookmarkEnd w:id="1305"/>
    </w:p>
    <w:p>
      <w:pPr>
        <w:pStyle w:val="ySubsection"/>
      </w:pPr>
      <w:r>
        <w:tab/>
      </w:r>
      <w:r>
        <w:tab/>
        <w:t>Prohibiting any district or part of it from being used for any purpose other than that for which it has been classified.</w:t>
      </w:r>
    </w:p>
    <w:p>
      <w:pPr>
        <w:pStyle w:val="yHeading5"/>
      </w:pPr>
      <w:bookmarkStart w:id="1306" w:name="_Toc77246618"/>
      <w:bookmarkStart w:id="1307" w:name="_Toc74924367"/>
      <w:r>
        <w:rPr>
          <w:rStyle w:val="CharSClsNo"/>
        </w:rPr>
        <w:t>5</w:t>
      </w:r>
      <w:r>
        <w:t>.</w:t>
      </w:r>
      <w:r>
        <w:tab/>
        <w:t>Prescribing characteristics of buildings</w:t>
      </w:r>
      <w:bookmarkEnd w:id="1306"/>
      <w:bookmarkEnd w:id="1307"/>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pPr>
      <w:bookmarkStart w:id="1308" w:name="_Toc77246619"/>
      <w:bookmarkStart w:id="1309" w:name="_Toc74924368"/>
      <w:r>
        <w:rPr>
          <w:rStyle w:val="CharSClsNo"/>
        </w:rPr>
        <w:t>6</w:t>
      </w:r>
      <w:r>
        <w:t>.</w:t>
      </w:r>
      <w:r>
        <w:tab/>
        <w:t>Prohibiting trade etc. or erection or use of building</w:t>
      </w:r>
      <w:bookmarkEnd w:id="1308"/>
      <w:bookmarkEnd w:id="1309"/>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pPr>
      <w:bookmarkStart w:id="1310" w:name="_Toc77246620"/>
      <w:bookmarkStart w:id="1311" w:name="_Toc74924369"/>
      <w:r>
        <w:rPr>
          <w:rStyle w:val="CharSClsNo"/>
        </w:rPr>
        <w:t>7</w:t>
      </w:r>
      <w:r>
        <w:t>.</w:t>
      </w:r>
      <w:r>
        <w:tab/>
        <w:t>Requirements of new subdivisions</w:t>
      </w:r>
      <w:bookmarkEnd w:id="1310"/>
      <w:bookmarkEnd w:id="1311"/>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pPr>
      <w:bookmarkStart w:id="1312" w:name="_Toc77246621"/>
      <w:bookmarkStart w:id="1313" w:name="_Toc74924370"/>
      <w:r>
        <w:rPr>
          <w:rStyle w:val="CharSClsNo"/>
        </w:rPr>
        <w:t>8</w:t>
      </w:r>
      <w:r>
        <w:t>.</w:t>
      </w:r>
      <w:r>
        <w:tab/>
        <w:t>Building lines</w:t>
      </w:r>
      <w:bookmarkEnd w:id="1312"/>
      <w:bookmarkEnd w:id="1313"/>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pPr>
      <w:bookmarkStart w:id="1314" w:name="_Toc77246622"/>
      <w:bookmarkStart w:id="1315" w:name="_Toc74924371"/>
      <w:r>
        <w:rPr>
          <w:rStyle w:val="CharSClsNo"/>
        </w:rPr>
        <w:t>9</w:t>
      </w:r>
      <w:r>
        <w:t>.</w:t>
      </w:r>
      <w:r>
        <w:tab/>
        <w:t>Open space etc.</w:t>
      </w:r>
      <w:bookmarkEnd w:id="1314"/>
      <w:bookmarkEnd w:id="1315"/>
    </w:p>
    <w:p>
      <w:pPr>
        <w:pStyle w:val="ySubsection"/>
      </w:pPr>
      <w:r>
        <w:tab/>
      </w:r>
      <w:r>
        <w:tab/>
        <w:t>Limiting of open spaces, recreation grounds, or sites for public buildings, by purchase or agreement between owners of lands and the local government.</w:t>
      </w:r>
    </w:p>
    <w:p>
      <w:pPr>
        <w:pStyle w:val="yHeading5"/>
      </w:pPr>
      <w:bookmarkStart w:id="1316" w:name="_Toc77246623"/>
      <w:bookmarkStart w:id="1317" w:name="_Toc74924372"/>
      <w:r>
        <w:rPr>
          <w:rStyle w:val="CharSClsNo"/>
        </w:rPr>
        <w:t>10</w:t>
      </w:r>
      <w:r>
        <w:t>.</w:t>
      </w:r>
      <w:r>
        <w:tab/>
        <w:t>Heights of walls etc. at road corners</w:t>
      </w:r>
      <w:bookmarkEnd w:id="1316"/>
      <w:bookmarkEnd w:id="1317"/>
    </w:p>
    <w:p>
      <w:pPr>
        <w:pStyle w:val="ySubsection"/>
      </w:pPr>
      <w:r>
        <w:tab/>
      </w:r>
      <w:r>
        <w:tab/>
        <w:t>Limiting the height, at the corner of any road (as defined in clause 7(2)) of any wall, fence, hedge, tree, or shrub or other obstruction not being an authorised building.</w:t>
      </w:r>
    </w:p>
    <w:p>
      <w:pPr>
        <w:pStyle w:val="yHeading5"/>
      </w:pPr>
      <w:bookmarkStart w:id="1318" w:name="_Toc77246624"/>
      <w:bookmarkStart w:id="1319" w:name="_Toc74924373"/>
      <w:r>
        <w:rPr>
          <w:rStyle w:val="CharSClsNo"/>
        </w:rPr>
        <w:t>11</w:t>
      </w:r>
      <w:r>
        <w:t>.</w:t>
      </w:r>
      <w:r>
        <w:tab/>
        <w:t>Implementing of local laws</w:t>
      </w:r>
      <w:bookmarkEnd w:id="1318"/>
      <w:bookmarkEnd w:id="1319"/>
    </w:p>
    <w:p>
      <w:pPr>
        <w:pStyle w:val="ySubsection"/>
      </w:pPr>
      <w:r>
        <w:tab/>
      </w:r>
      <w:r>
        <w:tab/>
        <w:t>Providing for the authority or authorities responsible for carrying the local laws into effect and enforcing their observance.</w:t>
      </w:r>
    </w:p>
    <w:p>
      <w:pPr>
        <w:pStyle w:val="yScheduleHeading"/>
      </w:pPr>
      <w:bookmarkStart w:id="1320" w:name="_Toc77239671"/>
      <w:bookmarkStart w:id="1321" w:name="_Toc77240575"/>
      <w:bookmarkStart w:id="1322" w:name="_Toc77246625"/>
      <w:bookmarkStart w:id="1323" w:name="_Toc74652686"/>
      <w:bookmarkStart w:id="1324" w:name="_Toc74653152"/>
      <w:bookmarkStart w:id="1325" w:name="_Toc74733870"/>
      <w:bookmarkStart w:id="1326" w:name="_Toc74924374"/>
      <w:r>
        <w:rPr>
          <w:rStyle w:val="CharSchNo"/>
        </w:rPr>
        <w:t>Schedule 9</w:t>
      </w:r>
      <w:r>
        <w:rPr>
          <w:rStyle w:val="CharSDivNo"/>
        </w:rPr>
        <w:t> </w:t>
      </w:r>
      <w:r>
        <w:t>—</w:t>
      </w:r>
      <w:r>
        <w:rPr>
          <w:rStyle w:val="CharSDivText"/>
        </w:rPr>
        <w:t> </w:t>
      </w:r>
      <w:r>
        <w:rPr>
          <w:rStyle w:val="CharSchText"/>
        </w:rPr>
        <w:t>Board of Valuers</w:t>
      </w:r>
      <w:bookmarkEnd w:id="1320"/>
      <w:bookmarkEnd w:id="1321"/>
      <w:bookmarkEnd w:id="1322"/>
      <w:bookmarkEnd w:id="1323"/>
      <w:bookmarkEnd w:id="1324"/>
      <w:bookmarkEnd w:id="1325"/>
      <w:bookmarkEnd w:id="1326"/>
    </w:p>
    <w:p>
      <w:pPr>
        <w:pStyle w:val="yShoulderClause"/>
      </w:pPr>
      <w:r>
        <w:t>[s. 182(5)]</w:t>
      </w:r>
    </w:p>
    <w:p>
      <w:pPr>
        <w:pStyle w:val="yHeading5"/>
      </w:pPr>
      <w:bookmarkStart w:id="1327" w:name="_Toc77246626"/>
      <w:bookmarkStart w:id="1328" w:name="_Toc74924375"/>
      <w:r>
        <w:rPr>
          <w:rStyle w:val="CharSClsNo"/>
        </w:rPr>
        <w:t>1</w:t>
      </w:r>
      <w:r>
        <w:t>.</w:t>
      </w:r>
      <w:r>
        <w:tab/>
        <w:t>Term used: Board</w:t>
      </w:r>
      <w:bookmarkEnd w:id="1327"/>
      <w:bookmarkEnd w:id="1328"/>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pPr>
      <w:bookmarkStart w:id="1329" w:name="_Toc77246627"/>
      <w:bookmarkStart w:id="1330" w:name="_Toc74924376"/>
      <w:r>
        <w:rPr>
          <w:rStyle w:val="CharSClsNo"/>
        </w:rPr>
        <w:t>2</w:t>
      </w:r>
      <w:r>
        <w:t>.</w:t>
      </w:r>
      <w:r>
        <w:tab/>
        <w:t>Term of office</w:t>
      </w:r>
      <w:bookmarkEnd w:id="1329"/>
      <w:bookmarkEnd w:id="1330"/>
    </w:p>
    <w:p>
      <w:pPr>
        <w:pStyle w:val="ySubsection"/>
      </w:pPr>
      <w:r>
        <w:tab/>
      </w:r>
      <w:r>
        <w:tab/>
        <w:t>Subject to clause 4 a member of the Board holds office for a term of 2 years and is eligible for reappointment.</w:t>
      </w:r>
    </w:p>
    <w:p>
      <w:pPr>
        <w:pStyle w:val="yHeading5"/>
      </w:pPr>
      <w:bookmarkStart w:id="1331" w:name="_Toc77246628"/>
      <w:bookmarkStart w:id="1332" w:name="_Toc74924377"/>
      <w:r>
        <w:rPr>
          <w:rStyle w:val="CharSClsNo"/>
        </w:rPr>
        <w:t>3</w:t>
      </w:r>
      <w:r>
        <w:t>.</w:t>
      </w:r>
      <w:r>
        <w:tab/>
        <w:t>Constitution of Board</w:t>
      </w:r>
      <w:bookmarkEnd w:id="1331"/>
      <w:bookmarkEnd w:id="1332"/>
    </w:p>
    <w:p>
      <w:pPr>
        <w:pStyle w:val="ySubsection"/>
      </w:pPr>
      <w:r>
        <w:tab/>
      </w:r>
      <w:r>
        <w:tab/>
        <w:t>The Board is constituted by the chairperson of the Board and any 2 other members of the Board and may meet despite there being a vacancy on the Board.</w:t>
      </w:r>
    </w:p>
    <w:p>
      <w:pPr>
        <w:pStyle w:val="yHeading5"/>
      </w:pPr>
      <w:bookmarkStart w:id="1333" w:name="_Toc77246629"/>
      <w:bookmarkStart w:id="1334" w:name="_Toc74924378"/>
      <w:r>
        <w:rPr>
          <w:rStyle w:val="CharSClsNo"/>
        </w:rPr>
        <w:t>4</w:t>
      </w:r>
      <w:r>
        <w:t>.</w:t>
      </w:r>
      <w:r>
        <w:tab/>
        <w:t>Resignation or removal from office</w:t>
      </w:r>
      <w:bookmarkEnd w:id="1333"/>
      <w:bookmarkEnd w:id="1334"/>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pPr>
      <w:bookmarkStart w:id="1335" w:name="_Toc77246630"/>
      <w:bookmarkStart w:id="1336" w:name="_Toc74924379"/>
      <w:r>
        <w:rPr>
          <w:rStyle w:val="CharSClsNo"/>
        </w:rPr>
        <w:t>5</w:t>
      </w:r>
      <w:r>
        <w:t>.</w:t>
      </w:r>
      <w:r>
        <w:tab/>
        <w:t>Remuneration of members</w:t>
      </w:r>
      <w:bookmarkEnd w:id="1335"/>
      <w:bookmarkEnd w:id="1336"/>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1337" w:name="_Toc77239677"/>
      <w:bookmarkStart w:id="1338" w:name="_Toc77240581"/>
      <w:bookmarkStart w:id="1339" w:name="_Toc77246631"/>
      <w:bookmarkStart w:id="1340" w:name="_Toc74652692"/>
      <w:bookmarkStart w:id="1341" w:name="_Toc74653158"/>
      <w:bookmarkStart w:id="1342" w:name="_Toc74733876"/>
      <w:bookmarkStart w:id="1343" w:name="_Toc74924380"/>
      <w:r>
        <w:t>Notes</w:t>
      </w:r>
      <w:bookmarkEnd w:id="1337"/>
      <w:bookmarkEnd w:id="1338"/>
      <w:bookmarkEnd w:id="1339"/>
      <w:bookmarkEnd w:id="1340"/>
      <w:bookmarkEnd w:id="1341"/>
      <w:bookmarkEnd w:id="1342"/>
      <w:bookmarkEnd w:id="1343"/>
    </w:p>
    <w:p>
      <w:pPr>
        <w:pStyle w:val="nStatement"/>
      </w:pPr>
      <w:r>
        <w:t xml:space="preserve">This is a compilation of the </w:t>
      </w:r>
      <w:r>
        <w:rPr>
          <w:i/>
          <w:noProof/>
        </w:rPr>
        <w:t>Planning and Development Act 2005</w:t>
      </w:r>
      <w:r>
        <w:t xml:space="preserve"> and includes amendments made by other written laws</w:t>
      </w:r>
      <w:r>
        <w:rPr>
          <w:snapToGrid w:val="0"/>
          <w:vertAlign w:val="superscript"/>
        </w:rPr>
        <w:t> 7, 8, 9</w:t>
      </w:r>
      <w:r>
        <w:t>. For provisions that have come into operation, and for information about any reprints, see the compilation table. For provisions that have not yet come into operation see the uncommenced provisions table.</w:t>
      </w:r>
    </w:p>
    <w:p>
      <w:pPr>
        <w:pStyle w:val="nHeading3"/>
      </w:pPr>
      <w:bookmarkStart w:id="1344" w:name="_Toc77246632"/>
      <w:bookmarkStart w:id="1345" w:name="_Toc74924381"/>
      <w:r>
        <w:t>Compilation table</w:t>
      </w:r>
      <w:bookmarkEnd w:id="1344"/>
      <w:bookmarkEnd w:id="1345"/>
    </w:p>
    <w:tbl>
      <w:tblPr>
        <w:tblW w:w="7089" w:type="dxa"/>
        <w:tblInd w:w="56" w:type="dxa"/>
        <w:tblLayout w:type="fixed"/>
        <w:tblCellMar>
          <w:left w:w="56" w:type="dxa"/>
          <w:right w:w="56" w:type="dxa"/>
        </w:tblCellMar>
        <w:tblLook w:val="0000" w:firstRow="0" w:lastRow="0" w:firstColumn="0" w:lastColumn="0" w:noHBand="0" w:noVBand="0"/>
      </w:tblPr>
      <w:tblGrid>
        <w:gridCol w:w="2410"/>
        <w:gridCol w:w="993"/>
        <w:gridCol w:w="1135"/>
        <w:gridCol w:w="2551"/>
      </w:tblGrid>
      <w:tr>
        <w:trPr>
          <w:tblHeader/>
        </w:trPr>
        <w:tc>
          <w:tcPr>
            <w:tcW w:w="2410" w:type="dxa"/>
            <w:tcBorders>
              <w:top w:val="single" w:sz="8" w:space="0" w:color="auto"/>
              <w:bottom w:val="single" w:sz="8" w:space="0" w:color="auto"/>
            </w:tcBorders>
            <w:shd w:val="clear" w:color="auto" w:fill="auto"/>
          </w:tcPr>
          <w:p>
            <w:pPr>
              <w:pStyle w:val="nTable"/>
              <w:spacing w:after="40"/>
              <w:rPr>
                <w:b/>
              </w:rPr>
            </w:pPr>
            <w:r>
              <w:rPr>
                <w:b/>
              </w:rPr>
              <w:t>Short title</w:t>
            </w:r>
          </w:p>
        </w:tc>
        <w:tc>
          <w:tcPr>
            <w:tcW w:w="99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410" w:type="dxa"/>
            <w:tcBorders>
              <w:top w:val="single" w:sz="8" w:space="0" w:color="auto"/>
            </w:tcBorders>
          </w:tcPr>
          <w:p>
            <w:pPr>
              <w:pStyle w:val="nTable"/>
              <w:spacing w:after="40"/>
            </w:pPr>
            <w:r>
              <w:rPr>
                <w:i/>
                <w:noProof/>
                <w:snapToGrid w:val="0"/>
              </w:rPr>
              <w:t>Planning and Development Act 2005</w:t>
            </w:r>
          </w:p>
        </w:tc>
        <w:tc>
          <w:tcPr>
            <w:tcW w:w="993" w:type="dxa"/>
            <w:tcBorders>
              <w:top w:val="single" w:sz="8" w:space="0" w:color="auto"/>
            </w:tcBorders>
          </w:tcPr>
          <w:p>
            <w:pPr>
              <w:pStyle w:val="nTable"/>
              <w:spacing w:after="40"/>
            </w:pPr>
            <w:r>
              <w:t>37 of 2005</w:t>
            </w:r>
          </w:p>
        </w:tc>
        <w:tc>
          <w:tcPr>
            <w:tcW w:w="1135" w:type="dxa"/>
            <w:tcBorders>
              <w:top w:val="single" w:sz="8" w:space="0" w:color="auto"/>
            </w:tcBorders>
          </w:tcPr>
          <w:p>
            <w:pPr>
              <w:pStyle w:val="nTable"/>
              <w:spacing w:after="40"/>
            </w:pPr>
            <w:r>
              <w:t>12 Dec 2005</w:t>
            </w:r>
          </w:p>
        </w:tc>
        <w:tc>
          <w:tcPr>
            <w:tcW w:w="2551" w:type="dxa"/>
            <w:tcBorders>
              <w:top w:val="single" w:sz="8" w:space="0" w:color="auto"/>
            </w:tcBorders>
          </w:tcPr>
          <w:p>
            <w:pPr>
              <w:pStyle w:val="nTable"/>
              <w:spacing w:after="40"/>
            </w:pPr>
            <w:r>
              <w:t>s. 1 and 2: 12 Dec 2005;</w:t>
            </w:r>
            <w:r>
              <w:br/>
              <w:t xml:space="preserve">Act other than s. 1, 2, 149, 150 and Pt. 13 Div. 3: 9 Apr 2006 (see s. 2 and </w:t>
            </w:r>
            <w:r>
              <w:rPr>
                <w:i/>
              </w:rPr>
              <w:t>Gazette</w:t>
            </w:r>
            <w:r>
              <w:t xml:space="preserve"> 21 Mar 2006 p. 1077);</w:t>
            </w:r>
            <w:r>
              <w:br/>
              <w:t xml:space="preserve">s. 150 and Pt. 13 Div. 3: 1 Jul 2009 (see s. 2 and </w:t>
            </w:r>
            <w:r>
              <w:rPr>
                <w:i/>
                <w:iCs/>
              </w:rPr>
              <w:t>Gazette</w:t>
            </w:r>
            <w:r>
              <w:t xml:space="preserve"> 19 Jun 2009 p. 2225)</w:t>
            </w:r>
          </w:p>
        </w:tc>
      </w:tr>
      <w:tr>
        <w:tc>
          <w:tcPr>
            <w:tcW w:w="2410" w:type="dxa"/>
          </w:tcPr>
          <w:p>
            <w:pPr>
              <w:pStyle w:val="nTable"/>
              <w:spacing w:after="40"/>
              <w:rPr>
                <w:i/>
                <w:noProof/>
                <w:snapToGrid w:val="0"/>
              </w:rPr>
            </w:pPr>
            <w:r>
              <w:rPr>
                <w:i/>
                <w:noProof/>
                <w:snapToGrid w:val="0"/>
              </w:rPr>
              <w:t xml:space="preserve">Swan Valley Planning Legislation Amendment Act 2006 </w:t>
            </w:r>
            <w:r>
              <w:rPr>
                <w:noProof/>
                <w:snapToGrid w:val="0"/>
              </w:rPr>
              <w:t>s. 20(3)</w:t>
            </w:r>
          </w:p>
        </w:tc>
        <w:tc>
          <w:tcPr>
            <w:tcW w:w="993" w:type="dxa"/>
          </w:tcPr>
          <w:p>
            <w:pPr>
              <w:pStyle w:val="nTable"/>
              <w:spacing w:after="40"/>
            </w:pPr>
            <w:r>
              <w:t>7 of 2006</w:t>
            </w:r>
          </w:p>
        </w:tc>
        <w:tc>
          <w:tcPr>
            <w:tcW w:w="1135" w:type="dxa"/>
          </w:tcPr>
          <w:p>
            <w:pPr>
              <w:pStyle w:val="nTable"/>
              <w:spacing w:after="40"/>
            </w:pPr>
            <w:r>
              <w:t>19 Apr 2006</w:t>
            </w:r>
          </w:p>
        </w:tc>
        <w:tc>
          <w:tcPr>
            <w:tcW w:w="2551" w:type="dxa"/>
          </w:tcPr>
          <w:p>
            <w:pPr>
              <w:pStyle w:val="nTable"/>
              <w:spacing w:after="40"/>
            </w:pPr>
            <w:r>
              <w:t xml:space="preserve">18 Jun 2006 (see s. 2 and </w:t>
            </w:r>
            <w:r>
              <w:rPr>
                <w:i/>
              </w:rPr>
              <w:t>Gazette</w:t>
            </w:r>
            <w:r>
              <w:t xml:space="preserve"> 16 Jun 2006 p. 2109)</w:t>
            </w:r>
          </w:p>
        </w:tc>
      </w:tr>
      <w:tr>
        <w:trPr>
          <w:cantSplit/>
        </w:trPr>
        <w:tc>
          <w:tcPr>
            <w:tcW w:w="2410" w:type="dxa"/>
          </w:tcPr>
          <w:p>
            <w:pPr>
              <w:pStyle w:val="nTable"/>
              <w:spacing w:after="40"/>
              <w:ind w:left="-28"/>
              <w:rPr>
                <w:i/>
                <w:snapToGrid w:val="0"/>
              </w:rPr>
            </w:pPr>
            <w:r>
              <w:rPr>
                <w:i/>
                <w:iCs/>
                <w:snapToGrid w:val="0"/>
              </w:rPr>
              <w:t xml:space="preserve">Swan and Canning Rivers (Consequential and Transitional Provisions) Act 2006 </w:t>
            </w:r>
            <w:r>
              <w:rPr>
                <w:snapToGrid w:val="0"/>
              </w:rPr>
              <w:t>s. 6</w:t>
            </w:r>
          </w:p>
        </w:tc>
        <w:tc>
          <w:tcPr>
            <w:tcW w:w="993" w:type="dxa"/>
          </w:tcPr>
          <w:p>
            <w:pPr>
              <w:pStyle w:val="nTable"/>
              <w:spacing w:after="40"/>
              <w:rPr>
                <w:snapToGrid w:val="0"/>
              </w:rPr>
            </w:pPr>
            <w:r>
              <w:rPr>
                <w:snapToGrid w:val="0"/>
              </w:rPr>
              <w:t>52 of 2006</w:t>
            </w:r>
          </w:p>
        </w:tc>
        <w:tc>
          <w:tcPr>
            <w:tcW w:w="1135" w:type="dxa"/>
          </w:tcPr>
          <w:p>
            <w:pPr>
              <w:pStyle w:val="nTable"/>
              <w:spacing w:after="40"/>
              <w:rPr>
                <w:snapToGrid w:val="0"/>
              </w:rPr>
            </w:pPr>
            <w:r>
              <w:rPr>
                <w:snapToGrid w:val="0"/>
              </w:rPr>
              <w:t>6 Oct 2006</w:t>
            </w:r>
          </w:p>
        </w:tc>
        <w:tc>
          <w:tcPr>
            <w:tcW w:w="2551"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c>
          <w:tcPr>
            <w:tcW w:w="2410" w:type="dxa"/>
          </w:tcPr>
          <w:p>
            <w:pPr>
              <w:pStyle w:val="nTable"/>
              <w:spacing w:after="40"/>
              <w:rPr>
                <w:i/>
                <w:noProof/>
                <w:snapToGrid w:val="0"/>
              </w:rPr>
            </w:pPr>
            <w:r>
              <w:rPr>
                <w:i/>
                <w:snapToGrid w:val="0"/>
              </w:rPr>
              <w:t>Land Information Authority Act 2006</w:t>
            </w:r>
            <w:r>
              <w:rPr>
                <w:snapToGrid w:val="0"/>
              </w:rPr>
              <w:t xml:space="preserve"> s. 147</w:t>
            </w:r>
          </w:p>
        </w:tc>
        <w:tc>
          <w:tcPr>
            <w:tcW w:w="993" w:type="dxa"/>
          </w:tcPr>
          <w:p>
            <w:pPr>
              <w:pStyle w:val="nTable"/>
              <w:spacing w:after="40"/>
            </w:pPr>
            <w:r>
              <w:rPr>
                <w:snapToGrid w:val="0"/>
              </w:rPr>
              <w:t>60 of 2006</w:t>
            </w:r>
          </w:p>
        </w:tc>
        <w:tc>
          <w:tcPr>
            <w:tcW w:w="1135" w:type="dxa"/>
          </w:tcPr>
          <w:p>
            <w:pPr>
              <w:pStyle w:val="nTable"/>
              <w:spacing w:after="40"/>
            </w:pPr>
            <w:r>
              <w:rPr>
                <w:snapToGrid w:val="0"/>
              </w:rPr>
              <w:t>16 Nov 2006</w:t>
            </w:r>
          </w:p>
        </w:tc>
        <w:tc>
          <w:tcPr>
            <w:tcW w:w="2551" w:type="dxa"/>
          </w:tcPr>
          <w:p>
            <w:pPr>
              <w:pStyle w:val="nTable"/>
              <w:spacing w:after="40"/>
            </w:pPr>
            <w:r>
              <w:t xml:space="preserve">1 Jan 2007 (see s. 2(1) and </w:t>
            </w:r>
            <w:r>
              <w:rPr>
                <w:i/>
              </w:rPr>
              <w:t xml:space="preserve">Gazette </w:t>
            </w:r>
            <w:r>
              <w:t>8 Dec 2006 p. 5369)</w:t>
            </w:r>
          </w:p>
        </w:tc>
      </w:tr>
      <w:tr>
        <w:tc>
          <w:tcPr>
            <w:tcW w:w="2410" w:type="dxa"/>
          </w:tcPr>
          <w:p>
            <w:pPr>
              <w:pStyle w:val="nTable"/>
              <w:spacing w:after="40"/>
              <w:rPr>
                <w:i/>
                <w:snapToGrid w:val="0"/>
              </w:rPr>
            </w:pPr>
            <w:r>
              <w:rPr>
                <w:i/>
                <w:snapToGrid w:val="0"/>
              </w:rPr>
              <w:t xml:space="preserve">Financial Legislation Amendment and Repeal Act 2006 </w:t>
            </w:r>
            <w:r>
              <w:rPr>
                <w:snapToGrid w:val="0"/>
              </w:rPr>
              <w:t>s. 4 and Sch. 1 cl. 127</w:t>
            </w:r>
          </w:p>
        </w:tc>
        <w:tc>
          <w:tcPr>
            <w:tcW w:w="993" w:type="dxa"/>
          </w:tcPr>
          <w:p>
            <w:pPr>
              <w:pStyle w:val="nTable"/>
              <w:spacing w:after="40"/>
              <w:rPr>
                <w:snapToGrid w:val="0"/>
              </w:rPr>
            </w:pPr>
            <w:r>
              <w:rPr>
                <w:snapToGrid w:val="0"/>
              </w:rPr>
              <w:t xml:space="preserve">77 of 2006 </w:t>
            </w:r>
          </w:p>
        </w:tc>
        <w:tc>
          <w:tcPr>
            <w:tcW w:w="1135" w:type="dxa"/>
          </w:tcPr>
          <w:p>
            <w:pPr>
              <w:pStyle w:val="nTable"/>
              <w:spacing w:after="40"/>
              <w:rPr>
                <w:snapToGrid w:val="0"/>
              </w:rPr>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bCs/>
                <w:snapToGrid w:val="0"/>
              </w:rPr>
              <w:t xml:space="preserve">Reprint 1: The </w:t>
            </w:r>
            <w:r>
              <w:rPr>
                <w:b/>
                <w:bCs/>
                <w:i/>
                <w:noProof/>
                <w:snapToGrid w:val="0"/>
              </w:rPr>
              <w:t>Planning and Development Act 2005</w:t>
            </w:r>
            <w:r>
              <w:rPr>
                <w:b/>
                <w:bCs/>
                <w:noProof/>
                <w:snapToGrid w:val="0"/>
              </w:rPr>
              <w:t xml:space="preserve"> </w:t>
            </w:r>
            <w:r>
              <w:rPr>
                <w:b/>
                <w:bCs/>
                <w:snapToGrid w:val="0"/>
              </w:rPr>
              <w:t>as at 23 Nov 2007</w:t>
            </w:r>
            <w:r>
              <w:rPr>
                <w:b/>
                <w:bCs/>
                <w:snapToGrid w:val="0"/>
              </w:rPr>
              <w:br/>
            </w:r>
            <w:r>
              <w:rPr>
                <w:snapToGrid w:val="0"/>
              </w:rPr>
              <w:t xml:space="preserve">(includes amendments listed above except those in the </w:t>
            </w:r>
            <w:r>
              <w:rPr>
                <w:i/>
                <w:noProof/>
                <w:snapToGrid w:val="0"/>
              </w:rPr>
              <w:t>Planning and Development Act 2005</w:t>
            </w:r>
            <w:r>
              <w:rPr>
                <w:noProof/>
                <w:snapToGrid w:val="0"/>
              </w:rPr>
              <w:t xml:space="preserve"> </w:t>
            </w:r>
            <w:r>
              <w:rPr>
                <w:snapToGrid w:val="0"/>
              </w:rPr>
              <w:t>s. 149, 150 and Pt. 13 Div. 3)</w:t>
            </w:r>
          </w:p>
        </w:tc>
      </w:tr>
      <w:tr>
        <w:tc>
          <w:tcPr>
            <w:tcW w:w="2410" w:type="dxa"/>
          </w:tcPr>
          <w:p>
            <w:pPr>
              <w:pStyle w:val="nTable"/>
              <w:spacing w:after="40"/>
              <w:rPr>
                <w:i/>
                <w:noProof/>
                <w:snapToGrid w:val="0"/>
              </w:rPr>
            </w:pPr>
            <w:r>
              <w:rPr>
                <w:i/>
                <w:noProof/>
                <w:snapToGrid w:val="0"/>
              </w:rPr>
              <w:t>Acts Amendment (Justice) Act 2008</w:t>
            </w:r>
            <w:r>
              <w:rPr>
                <w:iCs/>
                <w:noProof/>
                <w:snapToGrid w:val="0"/>
              </w:rPr>
              <w:t xml:space="preserve"> Pt. 18</w:t>
            </w:r>
          </w:p>
        </w:tc>
        <w:tc>
          <w:tcPr>
            <w:tcW w:w="993" w:type="dxa"/>
          </w:tcPr>
          <w:p>
            <w:pPr>
              <w:pStyle w:val="nTable"/>
              <w:spacing w:after="40"/>
            </w:pPr>
            <w:r>
              <w:t>5 of 2008</w:t>
            </w:r>
          </w:p>
        </w:tc>
        <w:tc>
          <w:tcPr>
            <w:tcW w:w="1135" w:type="dxa"/>
          </w:tcPr>
          <w:p>
            <w:pPr>
              <w:pStyle w:val="nTable"/>
              <w:spacing w:after="40"/>
            </w:pPr>
            <w:r>
              <w:t>31 Mar 2008</w:t>
            </w:r>
          </w:p>
        </w:tc>
        <w:tc>
          <w:tcPr>
            <w:tcW w:w="2551"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c>
          <w:tcPr>
            <w:tcW w:w="2410" w:type="dxa"/>
          </w:tcPr>
          <w:p>
            <w:pPr>
              <w:pStyle w:val="nTable"/>
              <w:spacing w:after="40"/>
              <w:rPr>
                <w:i/>
                <w:noProof/>
                <w:snapToGrid w:val="0"/>
              </w:rPr>
            </w:pPr>
            <w:r>
              <w:rPr>
                <w:i/>
                <w:iCs/>
                <w:snapToGrid w:val="0"/>
              </w:rPr>
              <w:t>Legal Profession Act 2008</w:t>
            </w:r>
            <w:r>
              <w:rPr>
                <w:snapToGrid w:val="0"/>
              </w:rPr>
              <w:t xml:space="preserve"> s. 690</w:t>
            </w:r>
          </w:p>
        </w:tc>
        <w:tc>
          <w:tcPr>
            <w:tcW w:w="993" w:type="dxa"/>
          </w:tcPr>
          <w:p>
            <w:pPr>
              <w:pStyle w:val="nTable"/>
              <w:spacing w:after="40"/>
            </w:pPr>
            <w:r>
              <w:t>21 of 2008</w:t>
            </w:r>
          </w:p>
        </w:tc>
        <w:tc>
          <w:tcPr>
            <w:tcW w:w="1135" w:type="dxa"/>
          </w:tcPr>
          <w:p>
            <w:pPr>
              <w:pStyle w:val="nTable"/>
              <w:spacing w:after="40"/>
            </w:pPr>
            <w:r>
              <w:t>27 May 2008</w:t>
            </w:r>
          </w:p>
        </w:tc>
        <w:tc>
          <w:tcPr>
            <w:tcW w:w="2551"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410" w:type="dxa"/>
          </w:tcPr>
          <w:p>
            <w:pPr>
              <w:pStyle w:val="nTable"/>
              <w:spacing w:after="40"/>
              <w:ind w:right="113"/>
              <w:rPr>
                <w:iCs/>
              </w:rPr>
            </w:pPr>
            <w:r>
              <w:rPr>
                <w:i/>
              </w:rPr>
              <w:t>Statutes (Repeals and Miscellaneous Amendments) Act 2009</w:t>
            </w:r>
            <w:r>
              <w:rPr>
                <w:iCs/>
              </w:rPr>
              <w:t xml:space="preserve"> s. 100</w:t>
            </w:r>
          </w:p>
        </w:tc>
        <w:tc>
          <w:tcPr>
            <w:tcW w:w="993" w:type="dxa"/>
          </w:tcPr>
          <w:p>
            <w:pPr>
              <w:pStyle w:val="nTable"/>
              <w:spacing w:after="40"/>
            </w:pPr>
            <w:r>
              <w:t>8 of 2009</w:t>
            </w:r>
          </w:p>
        </w:tc>
        <w:tc>
          <w:tcPr>
            <w:tcW w:w="1135" w:type="dxa"/>
          </w:tcPr>
          <w:p>
            <w:pPr>
              <w:pStyle w:val="nTable"/>
              <w:spacing w:after="40"/>
            </w:pPr>
            <w:r>
              <w:t>21 May 2009</w:t>
            </w:r>
          </w:p>
        </w:tc>
        <w:tc>
          <w:tcPr>
            <w:tcW w:w="2551" w:type="dxa"/>
          </w:tcPr>
          <w:p>
            <w:pPr>
              <w:pStyle w:val="nTable"/>
              <w:spacing w:after="40"/>
            </w:pPr>
            <w:r>
              <w:t>22 May 2009 (see s. 2(b))</w:t>
            </w:r>
          </w:p>
        </w:tc>
      </w:tr>
      <w:tr>
        <w:trPr>
          <w:cantSplit/>
        </w:trPr>
        <w:tc>
          <w:tcPr>
            <w:tcW w:w="2410" w:type="dxa"/>
          </w:tcPr>
          <w:p>
            <w:pPr>
              <w:pStyle w:val="nTable"/>
              <w:spacing w:after="40"/>
              <w:ind w:right="113"/>
              <w:rPr>
                <w:i/>
              </w:rPr>
            </w:pPr>
            <w:r>
              <w:rPr>
                <w:i/>
                <w:noProof/>
                <w:snapToGrid w:val="0"/>
              </w:rPr>
              <w:t>Approvals and Related Reforms (No. 3) (Crown Land) Act 2010</w:t>
            </w:r>
            <w:r>
              <w:rPr>
                <w:iCs/>
                <w:noProof/>
                <w:snapToGrid w:val="0"/>
              </w:rPr>
              <w:t xml:space="preserve"> Pt. 8</w:t>
            </w:r>
          </w:p>
        </w:tc>
        <w:tc>
          <w:tcPr>
            <w:tcW w:w="993" w:type="dxa"/>
          </w:tcPr>
          <w:p>
            <w:pPr>
              <w:pStyle w:val="nTable"/>
              <w:spacing w:after="40"/>
            </w:pPr>
            <w:r>
              <w:t>8 of 2010</w:t>
            </w:r>
          </w:p>
        </w:tc>
        <w:tc>
          <w:tcPr>
            <w:tcW w:w="1135" w:type="dxa"/>
          </w:tcPr>
          <w:p>
            <w:pPr>
              <w:pStyle w:val="nTable"/>
              <w:spacing w:after="40"/>
            </w:pPr>
            <w:r>
              <w:t>3 Jun 2010</w:t>
            </w:r>
          </w:p>
        </w:tc>
        <w:tc>
          <w:tcPr>
            <w:tcW w:w="2551" w:type="dxa"/>
          </w:tcPr>
          <w:p>
            <w:pPr>
              <w:pStyle w:val="nTable"/>
              <w:spacing w:after="40"/>
            </w:pPr>
            <w:r>
              <w:t xml:space="preserve">18 Sep 2010 (see s. 2(b) and </w:t>
            </w:r>
            <w:r>
              <w:rPr>
                <w:i/>
                <w:iCs/>
              </w:rPr>
              <w:t>Gazette</w:t>
            </w:r>
            <w:r>
              <w:t xml:space="preserve"> 17 Sep 2010 p. 4757)</w:t>
            </w:r>
          </w:p>
        </w:tc>
      </w:tr>
      <w:tr>
        <w:trPr>
          <w:cantSplit/>
        </w:trPr>
        <w:tc>
          <w:tcPr>
            <w:tcW w:w="2410" w:type="dxa"/>
          </w:tcPr>
          <w:p>
            <w:pPr>
              <w:pStyle w:val="nTable"/>
              <w:spacing w:after="40"/>
              <w:ind w:right="113"/>
              <w:rPr>
                <w:i/>
                <w:noProof/>
                <w:snapToGrid w:val="0"/>
              </w:rPr>
            </w:pPr>
            <w:r>
              <w:rPr>
                <w:i/>
                <w:snapToGrid w:val="0"/>
              </w:rPr>
              <w:t>Approvals and Related Reforms (No. 4) (Planning) Act 2010</w:t>
            </w:r>
            <w:r>
              <w:t xml:space="preserve"> </w:t>
            </w:r>
            <w:r>
              <w:br/>
              <w:t>Pt. 2 Div. 1, Pt. 3, 4 and Pt. 5 Div. 1</w:t>
            </w:r>
            <w:r>
              <w:rPr>
                <w:vertAlign w:val="superscript"/>
              </w:rPr>
              <w:t> 10</w:t>
            </w:r>
          </w:p>
        </w:tc>
        <w:tc>
          <w:tcPr>
            <w:tcW w:w="993" w:type="dxa"/>
          </w:tcPr>
          <w:p>
            <w:pPr>
              <w:pStyle w:val="nTable"/>
              <w:spacing w:after="40"/>
            </w:pPr>
            <w:r>
              <w:rPr>
                <w:snapToGrid w:val="0"/>
              </w:rPr>
              <w:t>28 of 2010 (as amended by No. 45 of 2011 s. 135)</w:t>
            </w:r>
          </w:p>
        </w:tc>
        <w:tc>
          <w:tcPr>
            <w:tcW w:w="1135" w:type="dxa"/>
          </w:tcPr>
          <w:p>
            <w:pPr>
              <w:pStyle w:val="nTable"/>
              <w:spacing w:after="40"/>
            </w:pPr>
            <w:r>
              <w:rPr>
                <w:snapToGrid w:val="0"/>
              </w:rPr>
              <w:t>19 Aug 2010</w:t>
            </w:r>
          </w:p>
        </w:tc>
        <w:tc>
          <w:tcPr>
            <w:tcW w:w="2551" w:type="dxa"/>
          </w:tcPr>
          <w:p>
            <w:pPr>
              <w:pStyle w:val="nTable"/>
              <w:spacing w:after="40"/>
            </w:pPr>
            <w:r>
              <w:t xml:space="preserve">Pt. 2 Div. 1, Pt. 4 and Pt. 5 Div. 1: 22 Nov 2010 (see s. 2(b) and </w:t>
            </w:r>
            <w:r>
              <w:rPr>
                <w:i/>
                <w:iCs/>
              </w:rPr>
              <w:t>Gazette</w:t>
            </w:r>
            <w:r>
              <w:t xml:space="preserve"> 19 Nov 2010 p. 5709);</w:t>
            </w:r>
            <w:r>
              <w:br/>
              <w:t xml:space="preserve">Pt. 3: 25 Mar 2011 (see s. 2(b) and </w:t>
            </w:r>
            <w:r>
              <w:rPr>
                <w:i/>
              </w:rPr>
              <w:t>Gazette</w:t>
            </w:r>
            <w:r>
              <w:t> 24 Mar 2011 p. 1035)</w:t>
            </w:r>
          </w:p>
        </w:tc>
      </w:tr>
      <w:tr>
        <w:trPr>
          <w:cantSplit/>
        </w:trPr>
        <w:tc>
          <w:tcPr>
            <w:tcW w:w="2410"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993" w:type="dxa"/>
          </w:tcPr>
          <w:p>
            <w:pPr>
              <w:pStyle w:val="nTable"/>
              <w:spacing w:after="40"/>
              <w:rPr>
                <w:snapToGrid w:val="0"/>
              </w:rPr>
            </w:pPr>
            <w:r>
              <w:rPr>
                <w:snapToGrid w:val="0"/>
              </w:rPr>
              <w:t>39 of 2010</w:t>
            </w:r>
          </w:p>
        </w:tc>
        <w:tc>
          <w:tcPr>
            <w:tcW w:w="1135" w:type="dxa"/>
          </w:tcPr>
          <w:p>
            <w:pPr>
              <w:pStyle w:val="nTable"/>
              <w:spacing w:after="40"/>
              <w:rPr>
                <w:snapToGrid w:val="0"/>
              </w:rPr>
            </w:pPr>
            <w:r>
              <w:rPr>
                <w:snapToGrid w:val="0"/>
              </w:rP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7089" w:type="dxa"/>
            <w:gridSpan w:val="4"/>
          </w:tcPr>
          <w:p>
            <w:pPr>
              <w:pStyle w:val="nTable"/>
              <w:spacing w:after="40"/>
              <w:rPr>
                <w:snapToGrid w:val="0"/>
              </w:rPr>
            </w:pPr>
            <w:r>
              <w:rPr>
                <w:b/>
                <w:bCs/>
                <w:snapToGrid w:val="0"/>
              </w:rPr>
              <w:t xml:space="preserve">Reprint 2: The </w:t>
            </w:r>
            <w:r>
              <w:rPr>
                <w:b/>
                <w:bCs/>
                <w:i/>
                <w:noProof/>
                <w:snapToGrid w:val="0"/>
              </w:rPr>
              <w:t>Planning and Development Act 2005</w:t>
            </w:r>
            <w:r>
              <w:rPr>
                <w:b/>
                <w:bCs/>
                <w:noProof/>
                <w:snapToGrid w:val="0"/>
              </w:rPr>
              <w:t xml:space="preserve"> </w:t>
            </w:r>
            <w:r>
              <w:rPr>
                <w:b/>
                <w:bCs/>
                <w:snapToGrid w:val="0"/>
              </w:rPr>
              <w:t>as at 18 Feb 2011</w:t>
            </w:r>
            <w:r>
              <w:rPr>
                <w:b/>
                <w:bCs/>
                <w:snapToGrid w:val="0"/>
              </w:rPr>
              <w:br/>
            </w:r>
            <w:r>
              <w:rPr>
                <w:snapToGrid w:val="0"/>
              </w:rPr>
              <w:t xml:space="preserve">(includes amendments listed above except those in the </w:t>
            </w:r>
            <w:r>
              <w:rPr>
                <w:i/>
                <w:snapToGrid w:val="0"/>
              </w:rPr>
              <w:t>Approvals and Related Reforms (No. 4) (Planning) Act 2010</w:t>
            </w:r>
            <w:r>
              <w:rPr>
                <w:snapToGrid w:val="0"/>
              </w:rPr>
              <w:t xml:space="preserve"> Pt. 3)</w:t>
            </w:r>
          </w:p>
        </w:tc>
      </w:tr>
      <w:tr>
        <w:trPr>
          <w:cantSplit/>
        </w:trPr>
        <w:tc>
          <w:tcPr>
            <w:tcW w:w="2410" w:type="dxa"/>
          </w:tcPr>
          <w:p>
            <w:pPr>
              <w:pStyle w:val="nTable"/>
              <w:spacing w:after="40"/>
              <w:ind w:right="113"/>
              <w:rPr>
                <w:iCs/>
                <w:snapToGrid w:val="0"/>
              </w:rPr>
            </w:pPr>
            <w:r>
              <w:rPr>
                <w:i/>
                <w:iCs/>
                <w:snapToGrid w:val="0"/>
              </w:rPr>
              <w:t>Heritage and Planning Legislation Amendment Act 2011</w:t>
            </w:r>
            <w:r>
              <w:rPr>
                <w:iCs/>
                <w:snapToGrid w:val="0"/>
              </w:rPr>
              <w:t xml:space="preserve"> Pt. 3</w:t>
            </w:r>
          </w:p>
        </w:tc>
        <w:tc>
          <w:tcPr>
            <w:tcW w:w="993" w:type="dxa"/>
          </w:tcPr>
          <w:p>
            <w:pPr>
              <w:pStyle w:val="nTable"/>
              <w:spacing w:after="40"/>
              <w:rPr>
                <w:snapToGrid w:val="0"/>
              </w:rPr>
            </w:pPr>
            <w:r>
              <w:rPr>
                <w:snapToGrid w:val="0"/>
              </w:rPr>
              <w:t>4 of 2011</w:t>
            </w:r>
          </w:p>
        </w:tc>
        <w:tc>
          <w:tcPr>
            <w:tcW w:w="1135" w:type="dxa"/>
          </w:tcPr>
          <w:p>
            <w:pPr>
              <w:pStyle w:val="nTable"/>
              <w:spacing w:after="40"/>
              <w:rPr>
                <w:snapToGrid w:val="0"/>
              </w:rPr>
            </w:pPr>
            <w:r>
              <w:rPr>
                <w:snapToGrid w:val="0"/>
              </w:rPr>
              <w:t>2 Mar 2011</w:t>
            </w:r>
          </w:p>
        </w:tc>
        <w:tc>
          <w:tcPr>
            <w:tcW w:w="2551" w:type="dxa"/>
          </w:tcPr>
          <w:p>
            <w:pPr>
              <w:pStyle w:val="nTable"/>
              <w:spacing w:after="40"/>
            </w:pPr>
            <w:r>
              <w:t>3 Mar 2011 (see s. 2(b))</w:t>
            </w:r>
          </w:p>
        </w:tc>
      </w:tr>
      <w:tr>
        <w:trPr>
          <w:cantSplit/>
        </w:trPr>
        <w:tc>
          <w:tcPr>
            <w:tcW w:w="2410" w:type="dxa"/>
          </w:tcPr>
          <w:p>
            <w:pPr>
              <w:pStyle w:val="nTable"/>
              <w:spacing w:after="40"/>
              <w:ind w:right="113"/>
              <w:rPr>
                <w:i/>
                <w:iCs/>
                <w:snapToGrid w:val="0"/>
              </w:rPr>
            </w:pPr>
            <w:r>
              <w:rPr>
                <w:i/>
                <w:snapToGrid w:val="0"/>
              </w:rPr>
              <w:t>Building Act 2011</w:t>
            </w:r>
            <w:r>
              <w:rPr>
                <w:snapToGrid w:val="0"/>
              </w:rPr>
              <w:t xml:space="preserve"> s. 168</w:t>
            </w:r>
          </w:p>
        </w:tc>
        <w:tc>
          <w:tcPr>
            <w:tcW w:w="993" w:type="dxa"/>
          </w:tcPr>
          <w:p>
            <w:pPr>
              <w:pStyle w:val="nTable"/>
              <w:spacing w:after="40"/>
              <w:rPr>
                <w:snapToGrid w:val="0"/>
              </w:rPr>
            </w:pPr>
            <w:r>
              <w:rPr>
                <w:snapToGrid w:val="0"/>
              </w:rPr>
              <w:t>24 of 2011</w:t>
            </w:r>
          </w:p>
        </w:tc>
        <w:tc>
          <w:tcPr>
            <w:tcW w:w="1135" w:type="dxa"/>
          </w:tcPr>
          <w:p>
            <w:pPr>
              <w:pStyle w:val="nTable"/>
              <w:spacing w:after="40"/>
              <w:rPr>
                <w:snapToGrid w:val="0"/>
              </w:rPr>
            </w:pPr>
            <w:r>
              <w:rPr>
                <w:snapToGrid w:val="0"/>
              </w:rPr>
              <w:t>11 Jul 2011</w:t>
            </w:r>
          </w:p>
        </w:tc>
        <w:tc>
          <w:tcPr>
            <w:tcW w:w="2551" w:type="dxa"/>
          </w:tcPr>
          <w:p>
            <w:pPr>
              <w:pStyle w:val="nTable"/>
              <w:spacing w:after="40"/>
            </w:pPr>
            <w:r>
              <w:rPr>
                <w:snapToGrid w:val="0"/>
              </w:rPr>
              <w:t xml:space="preserve">2 Apr 2012 (see s. 2(b) and </w:t>
            </w:r>
            <w:r>
              <w:rPr>
                <w:i/>
                <w:snapToGrid w:val="0"/>
              </w:rPr>
              <w:t>Gazette</w:t>
            </w:r>
            <w:r>
              <w:rPr>
                <w:snapToGrid w:val="0"/>
              </w:rPr>
              <w:t xml:space="preserve"> 13 Mar 2012 p. 1033)</w:t>
            </w:r>
          </w:p>
        </w:tc>
      </w:tr>
      <w:tr>
        <w:trPr>
          <w:cantSplit/>
        </w:trPr>
        <w:tc>
          <w:tcPr>
            <w:tcW w:w="2410" w:type="dxa"/>
            <w:shd w:val="clear" w:color="auto" w:fill="auto"/>
          </w:tcPr>
          <w:p>
            <w:pPr>
              <w:pStyle w:val="nTable"/>
              <w:spacing w:after="40"/>
              <w:ind w:right="113"/>
              <w:rPr>
                <w:i/>
                <w:iCs/>
                <w:snapToGrid w:val="0"/>
                <w:vertAlign w:val="superscript"/>
              </w:rPr>
            </w:pPr>
            <w:r>
              <w:rPr>
                <w:i/>
                <w:iCs/>
                <w:snapToGrid w:val="0"/>
              </w:rPr>
              <w:t xml:space="preserve">Metropolitan Redevelopment Authority Act 2011 </w:t>
            </w:r>
            <w:r>
              <w:rPr>
                <w:iCs/>
                <w:snapToGrid w:val="0"/>
              </w:rPr>
              <w:t>s. 141</w:t>
            </w:r>
          </w:p>
        </w:tc>
        <w:tc>
          <w:tcPr>
            <w:tcW w:w="993" w:type="dxa"/>
            <w:shd w:val="clear" w:color="auto" w:fill="auto"/>
          </w:tcPr>
          <w:p>
            <w:pPr>
              <w:pStyle w:val="nTable"/>
              <w:spacing w:after="40"/>
              <w:rPr>
                <w:snapToGrid w:val="0"/>
              </w:rPr>
            </w:pPr>
            <w:r>
              <w:rPr>
                <w:snapToGrid w:val="0"/>
              </w:rPr>
              <w:t>45 of 2011</w:t>
            </w:r>
          </w:p>
        </w:tc>
        <w:tc>
          <w:tcPr>
            <w:tcW w:w="1135" w:type="dxa"/>
            <w:shd w:val="clear" w:color="auto" w:fill="auto"/>
          </w:tcPr>
          <w:p>
            <w:pPr>
              <w:pStyle w:val="nTable"/>
              <w:spacing w:after="40"/>
              <w:rPr>
                <w:snapToGrid w:val="0"/>
              </w:rPr>
            </w:pPr>
            <w:r>
              <w:rPr>
                <w:snapToGrid w:val="0"/>
              </w:rPr>
              <w:t>12 Oct 2011</w:t>
            </w:r>
          </w:p>
        </w:tc>
        <w:tc>
          <w:tcPr>
            <w:tcW w:w="2551" w:type="dxa"/>
            <w:shd w:val="clear" w:color="auto" w:fill="auto"/>
          </w:tcPr>
          <w:p>
            <w:pPr>
              <w:pStyle w:val="nTable"/>
              <w:spacing w:after="40"/>
            </w:pPr>
            <w:r>
              <w:rPr>
                <w:snapToGrid w:val="0"/>
              </w:rPr>
              <w:t xml:space="preserve">31 Dec 2011 (see s. 2(b) and </w:t>
            </w:r>
            <w:r>
              <w:rPr>
                <w:i/>
                <w:snapToGrid w:val="0"/>
              </w:rPr>
              <w:t xml:space="preserve">Gazette </w:t>
            </w:r>
            <w:r>
              <w:rPr>
                <w:snapToGrid w:val="0"/>
              </w:rPr>
              <w:t>30 Dec 2011 p. 5573)</w:t>
            </w:r>
          </w:p>
        </w:tc>
      </w:tr>
      <w:tr>
        <w:trPr>
          <w:cantSplit/>
        </w:trPr>
        <w:tc>
          <w:tcPr>
            <w:tcW w:w="2410" w:type="dxa"/>
            <w:shd w:val="clear" w:color="auto" w:fill="auto"/>
          </w:tcPr>
          <w:p>
            <w:pPr>
              <w:pStyle w:val="nTable"/>
              <w:spacing w:after="40"/>
              <w:ind w:right="113"/>
              <w:rPr>
                <w:i/>
                <w:iCs/>
                <w:snapToGrid w:val="0"/>
              </w:rPr>
            </w:pPr>
            <w:r>
              <w:rPr>
                <w:i/>
                <w:noProof/>
                <w:snapToGrid w:val="0"/>
              </w:rPr>
              <w:t xml:space="preserve">Road Traffic Legislation Amendment Act 2012 </w:t>
            </w:r>
            <w:r>
              <w:rPr>
                <w:noProof/>
                <w:snapToGrid w:val="0"/>
              </w:rPr>
              <w:t>Pt. 4 Div. 41</w:t>
            </w:r>
          </w:p>
        </w:tc>
        <w:tc>
          <w:tcPr>
            <w:tcW w:w="993" w:type="dxa"/>
            <w:shd w:val="clear" w:color="auto" w:fill="auto"/>
          </w:tcPr>
          <w:p>
            <w:pPr>
              <w:pStyle w:val="nTable"/>
              <w:spacing w:after="40"/>
              <w:rPr>
                <w:snapToGrid w:val="0"/>
              </w:rPr>
            </w:pPr>
            <w:r>
              <w:rPr>
                <w:snapToGrid w:val="0"/>
              </w:rPr>
              <w:t>8 of 2012</w:t>
            </w:r>
          </w:p>
        </w:tc>
        <w:tc>
          <w:tcPr>
            <w:tcW w:w="1135"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rPr>
          <w:cantSplit/>
        </w:trPr>
        <w:tc>
          <w:tcPr>
            <w:tcW w:w="2410" w:type="dxa"/>
            <w:shd w:val="clear" w:color="auto" w:fill="auto"/>
          </w:tcPr>
          <w:p>
            <w:pPr>
              <w:pStyle w:val="nTable"/>
              <w:spacing w:after="40"/>
              <w:ind w:right="113"/>
              <w:rPr>
                <w:i/>
                <w:iCs/>
                <w:snapToGrid w:val="0"/>
              </w:rPr>
            </w:pPr>
            <w:r>
              <w:rPr>
                <w:i/>
                <w:snapToGrid w:val="0"/>
              </w:rPr>
              <w:t>Commercial Arbitration Act 2012</w:t>
            </w:r>
            <w:r>
              <w:rPr>
                <w:snapToGrid w:val="0"/>
              </w:rPr>
              <w:t xml:space="preserve"> s. 45 it. 16</w:t>
            </w:r>
          </w:p>
        </w:tc>
        <w:tc>
          <w:tcPr>
            <w:tcW w:w="993" w:type="dxa"/>
            <w:shd w:val="clear" w:color="auto" w:fill="auto"/>
          </w:tcPr>
          <w:p>
            <w:pPr>
              <w:pStyle w:val="nTable"/>
              <w:spacing w:after="40"/>
              <w:rPr>
                <w:snapToGrid w:val="0"/>
              </w:rPr>
            </w:pPr>
            <w:r>
              <w:rPr>
                <w:snapToGrid w:val="0"/>
              </w:rPr>
              <w:t>23 of 2012</w:t>
            </w:r>
          </w:p>
        </w:tc>
        <w:tc>
          <w:tcPr>
            <w:tcW w:w="1135" w:type="dxa"/>
            <w:shd w:val="clear" w:color="auto" w:fill="auto"/>
          </w:tcPr>
          <w:p>
            <w:pPr>
              <w:pStyle w:val="nTable"/>
              <w:spacing w:after="40"/>
              <w:rPr>
                <w:snapToGrid w:val="0"/>
              </w:rPr>
            </w:pPr>
            <w:r>
              <w:rPr>
                <w:snapToGrid w:val="0"/>
              </w:rPr>
              <w:t>29 Aug 2012</w:t>
            </w:r>
          </w:p>
        </w:tc>
        <w:tc>
          <w:tcPr>
            <w:tcW w:w="2551" w:type="dxa"/>
            <w:shd w:val="clear" w:color="auto" w:fill="auto"/>
          </w:tcPr>
          <w:p>
            <w:pPr>
              <w:pStyle w:val="nTable"/>
              <w:spacing w:after="40"/>
            </w:pPr>
            <w:r>
              <w:rPr>
                <w:snapToGrid w:val="0"/>
              </w:rPr>
              <w:t xml:space="preserve">7 Aug 2013 (see s. 1B(b) and </w:t>
            </w:r>
            <w:r>
              <w:rPr>
                <w:i/>
                <w:snapToGrid w:val="0"/>
              </w:rPr>
              <w:t>Gazette</w:t>
            </w:r>
            <w:r>
              <w:rPr>
                <w:snapToGrid w:val="0"/>
              </w:rPr>
              <w:t xml:space="preserve"> 6 Aug 2013 p. 3677)</w:t>
            </w:r>
          </w:p>
        </w:tc>
      </w:tr>
      <w:tr>
        <w:trPr>
          <w:cantSplit/>
        </w:trPr>
        <w:tc>
          <w:tcPr>
            <w:tcW w:w="2410" w:type="dxa"/>
            <w:shd w:val="clear" w:color="auto" w:fill="auto"/>
          </w:tcPr>
          <w:p>
            <w:pPr>
              <w:pStyle w:val="nTable"/>
              <w:spacing w:after="40"/>
              <w:ind w:right="113"/>
              <w:rPr>
                <w:i/>
                <w:iCs/>
                <w:snapToGrid w:val="0"/>
              </w:rPr>
            </w:pPr>
            <w:r>
              <w:rPr>
                <w:i/>
                <w:snapToGrid w:val="0"/>
              </w:rPr>
              <w:t>Water Services Legislation Amendment and Repeal Act 2012</w:t>
            </w:r>
            <w:r>
              <w:rPr>
                <w:snapToGrid w:val="0"/>
              </w:rPr>
              <w:t xml:space="preserve"> s. 222</w:t>
            </w:r>
          </w:p>
        </w:tc>
        <w:tc>
          <w:tcPr>
            <w:tcW w:w="993" w:type="dxa"/>
            <w:shd w:val="clear" w:color="auto" w:fill="auto"/>
          </w:tcPr>
          <w:p>
            <w:pPr>
              <w:pStyle w:val="nTable"/>
              <w:spacing w:after="40"/>
              <w:rPr>
                <w:snapToGrid w:val="0"/>
              </w:rPr>
            </w:pPr>
            <w:r>
              <w:rPr>
                <w:snapToGrid w:val="0"/>
              </w:rPr>
              <w:t>25 of 2012</w:t>
            </w:r>
          </w:p>
        </w:tc>
        <w:tc>
          <w:tcPr>
            <w:tcW w:w="1135" w:type="dxa"/>
            <w:shd w:val="clear" w:color="auto" w:fill="auto"/>
          </w:tcPr>
          <w:p>
            <w:pPr>
              <w:pStyle w:val="nTable"/>
              <w:spacing w:after="40"/>
              <w:rPr>
                <w:snapToGrid w:val="0"/>
              </w:rPr>
            </w:pPr>
            <w:r>
              <w:rPr>
                <w:snapToGrid w:val="0"/>
              </w:rPr>
              <w:t>3 Sep 2012</w:t>
            </w:r>
          </w:p>
        </w:tc>
        <w:tc>
          <w:tcPr>
            <w:tcW w:w="2551" w:type="dxa"/>
            <w:shd w:val="clear" w:color="auto" w:fill="auto"/>
          </w:tcPr>
          <w:p>
            <w:pPr>
              <w:pStyle w:val="nTable"/>
              <w:spacing w:after="40"/>
            </w:pPr>
            <w:r>
              <w:rPr>
                <w:snapToGrid w:val="0"/>
              </w:rPr>
              <w:t xml:space="preserve">18 Nov 2013 (see s. 2(b) and </w:t>
            </w:r>
            <w:r>
              <w:rPr>
                <w:i/>
                <w:snapToGrid w:val="0"/>
              </w:rPr>
              <w:t>Gazette</w:t>
            </w:r>
            <w:r>
              <w:rPr>
                <w:snapToGrid w:val="0"/>
              </w:rPr>
              <w:t xml:space="preserve"> 14 Nov 2013 p. 5028)</w:t>
            </w:r>
          </w:p>
        </w:tc>
      </w:tr>
      <w:tr>
        <w:trPr>
          <w:cantSplit/>
        </w:trPr>
        <w:tc>
          <w:tcPr>
            <w:tcW w:w="7089" w:type="dxa"/>
            <w:gridSpan w:val="4"/>
            <w:shd w:val="clear" w:color="auto" w:fill="auto"/>
          </w:tcPr>
          <w:p>
            <w:pPr>
              <w:pStyle w:val="nTable"/>
              <w:spacing w:after="40"/>
              <w:rPr>
                <w:snapToGrid w:val="0"/>
              </w:rPr>
            </w:pPr>
            <w:r>
              <w:rPr>
                <w:b/>
                <w:bCs/>
                <w:snapToGrid w:val="0"/>
              </w:rPr>
              <w:t xml:space="preserve">Reprint 3: The </w:t>
            </w:r>
            <w:r>
              <w:rPr>
                <w:b/>
                <w:bCs/>
                <w:i/>
                <w:noProof/>
                <w:snapToGrid w:val="0"/>
              </w:rPr>
              <w:t>Planning and Development Act 2005</w:t>
            </w:r>
            <w:r>
              <w:rPr>
                <w:b/>
                <w:bCs/>
                <w:noProof/>
                <w:snapToGrid w:val="0"/>
              </w:rPr>
              <w:t xml:space="preserve"> </w:t>
            </w:r>
            <w:r>
              <w:rPr>
                <w:b/>
                <w:bCs/>
                <w:snapToGrid w:val="0"/>
              </w:rPr>
              <w:t>as at 1 Mar 2013</w:t>
            </w:r>
            <w:r>
              <w:rPr>
                <w:b/>
                <w:bCs/>
                <w:snapToGrid w:val="0"/>
              </w:rPr>
              <w:br/>
            </w:r>
            <w:r>
              <w:rPr>
                <w:snapToGrid w:val="0"/>
              </w:rPr>
              <w:t xml:space="preserve">(includes amendments listed above except those in the </w:t>
            </w:r>
            <w:r>
              <w:rPr>
                <w:i/>
                <w:snapToGrid w:val="0"/>
              </w:rPr>
              <w:t>Commercial Arbitration Act 2012</w:t>
            </w:r>
            <w:r>
              <w:rPr>
                <w:snapToGrid w:val="0"/>
              </w:rPr>
              <w:t xml:space="preserve">, </w:t>
            </w:r>
            <w:r>
              <w:rPr>
                <w:i/>
                <w:snapToGrid w:val="0"/>
              </w:rPr>
              <w:t>Water Services Legislation Amendment and Repeal Act 2012</w:t>
            </w:r>
            <w:r>
              <w:rPr>
                <w:snapToGrid w:val="0"/>
              </w:rPr>
              <w:t xml:space="preserve"> and the </w:t>
            </w:r>
            <w:r>
              <w:rPr>
                <w:i/>
                <w:snapToGrid w:val="0"/>
              </w:rPr>
              <w:t>Road Traffic Legislation Amendment Act 2012</w:t>
            </w:r>
            <w:r>
              <w:rPr>
                <w:snapToGrid w:val="0"/>
              </w:rPr>
              <w:t>)</w:t>
            </w:r>
          </w:p>
        </w:tc>
      </w:tr>
      <w:tr>
        <w:trPr>
          <w:cantSplit/>
        </w:trPr>
        <w:tc>
          <w:tcPr>
            <w:tcW w:w="2410" w:type="dxa"/>
            <w:shd w:val="clear" w:color="auto" w:fill="auto"/>
          </w:tcPr>
          <w:p>
            <w:pPr>
              <w:pStyle w:val="nTable"/>
              <w:spacing w:after="40"/>
              <w:ind w:right="113"/>
              <w:rPr>
                <w:i/>
                <w:iCs/>
                <w:snapToGrid w:val="0"/>
              </w:rPr>
            </w:pPr>
            <w:r>
              <w:rPr>
                <w:i/>
                <w:noProof/>
                <w:snapToGrid w:val="0"/>
              </w:rPr>
              <w:t>Associations Incorporation Act 2015</w:t>
            </w:r>
            <w:r>
              <w:rPr>
                <w:noProof/>
                <w:snapToGrid w:val="0"/>
              </w:rPr>
              <w:t xml:space="preserve"> s. 226</w:t>
            </w:r>
          </w:p>
        </w:tc>
        <w:tc>
          <w:tcPr>
            <w:tcW w:w="993" w:type="dxa"/>
            <w:shd w:val="clear" w:color="auto" w:fill="auto"/>
          </w:tcPr>
          <w:p>
            <w:pPr>
              <w:pStyle w:val="nTable"/>
              <w:spacing w:after="40"/>
              <w:rPr>
                <w:snapToGrid w:val="0"/>
              </w:rPr>
            </w:pPr>
            <w:r>
              <w:t>30 of 2015</w:t>
            </w:r>
          </w:p>
        </w:tc>
        <w:tc>
          <w:tcPr>
            <w:tcW w:w="1135" w:type="dxa"/>
            <w:shd w:val="clear" w:color="auto" w:fill="auto"/>
          </w:tcPr>
          <w:p>
            <w:pPr>
              <w:pStyle w:val="nTable"/>
              <w:spacing w:after="40"/>
              <w:rPr>
                <w:snapToGrid w:val="0"/>
              </w:rPr>
            </w:pPr>
            <w:r>
              <w:t>2 Nov 2015</w:t>
            </w:r>
          </w:p>
        </w:tc>
        <w:tc>
          <w:tcPr>
            <w:tcW w:w="2551" w:type="dxa"/>
            <w:shd w:val="clear" w:color="auto" w:fill="auto"/>
          </w:tcPr>
          <w:p>
            <w:pPr>
              <w:pStyle w:val="nTable"/>
              <w:spacing w:after="40"/>
            </w:pPr>
            <w:r>
              <w:rPr>
                <w:snapToGrid w:val="0"/>
              </w:rPr>
              <w:t xml:space="preserve">1 Jul 2016 (see s. 2(b) and </w:t>
            </w:r>
            <w:r>
              <w:rPr>
                <w:i/>
                <w:snapToGrid w:val="0"/>
              </w:rPr>
              <w:t>Gazette</w:t>
            </w:r>
            <w:r>
              <w:rPr>
                <w:snapToGrid w:val="0"/>
              </w:rPr>
              <w:t xml:space="preserve"> 24 Jun 2016 p. 2291-2)</w:t>
            </w:r>
          </w:p>
        </w:tc>
      </w:tr>
      <w:tr>
        <w:trPr>
          <w:cantSplit/>
        </w:trPr>
        <w:tc>
          <w:tcPr>
            <w:tcW w:w="7089" w:type="dxa"/>
            <w:gridSpan w:val="4"/>
            <w:shd w:val="clear" w:color="auto" w:fill="auto"/>
          </w:tcPr>
          <w:p>
            <w:pPr>
              <w:pStyle w:val="nTable"/>
              <w:keepNext/>
              <w:spacing w:after="40"/>
              <w:rPr>
                <w:b/>
                <w:bCs/>
                <w:snapToGrid w:val="0"/>
              </w:rPr>
            </w:pPr>
            <w:r>
              <w:rPr>
                <w:b/>
                <w:bCs/>
                <w:snapToGrid w:val="0"/>
              </w:rPr>
              <w:t xml:space="preserve">Reprint 4: The </w:t>
            </w:r>
            <w:r>
              <w:rPr>
                <w:b/>
                <w:bCs/>
                <w:i/>
                <w:noProof/>
                <w:snapToGrid w:val="0"/>
              </w:rPr>
              <w:t>Planning and Development Act 2005</w:t>
            </w:r>
            <w:r>
              <w:rPr>
                <w:b/>
                <w:bCs/>
                <w:snapToGrid w:val="0"/>
              </w:rPr>
              <w:t xml:space="preserve"> as at 1 Apr 2016 </w:t>
            </w:r>
            <w:r>
              <w:rPr>
                <w:bCs/>
                <w:snapToGrid w:val="0"/>
              </w:rPr>
              <w:t xml:space="preserve">(includes amendments listed above except those in the </w:t>
            </w:r>
            <w:r>
              <w:rPr>
                <w:bCs/>
                <w:i/>
                <w:snapToGrid w:val="0"/>
              </w:rPr>
              <w:t>Associations Incorporation Act 2015</w:t>
            </w:r>
            <w:r>
              <w:rPr>
                <w:bCs/>
                <w:snapToGrid w:val="0"/>
              </w:rPr>
              <w:t>)</w:t>
            </w:r>
          </w:p>
        </w:tc>
      </w:tr>
      <w:tr>
        <w:trPr>
          <w:cantSplit/>
        </w:trPr>
        <w:tc>
          <w:tcPr>
            <w:tcW w:w="2410" w:type="dxa"/>
            <w:shd w:val="clear" w:color="auto" w:fill="auto"/>
          </w:tcPr>
          <w:p>
            <w:pPr>
              <w:pStyle w:val="nTable"/>
              <w:spacing w:after="40"/>
              <w:ind w:right="113"/>
              <w:rPr>
                <w:i/>
                <w:iCs/>
                <w:snapToGrid w:val="0"/>
              </w:rPr>
            </w:pPr>
            <w:r>
              <w:rPr>
                <w:i/>
              </w:rPr>
              <w:t xml:space="preserve">Heritage Act 2018 </w:t>
            </w:r>
            <w:r>
              <w:t>s. 186</w:t>
            </w:r>
          </w:p>
        </w:tc>
        <w:tc>
          <w:tcPr>
            <w:tcW w:w="993" w:type="dxa"/>
            <w:shd w:val="clear" w:color="auto" w:fill="auto"/>
          </w:tcPr>
          <w:p>
            <w:pPr>
              <w:pStyle w:val="nTable"/>
              <w:spacing w:after="40"/>
              <w:rPr>
                <w:snapToGrid w:val="0"/>
              </w:rPr>
            </w:pPr>
            <w:r>
              <w:t>22 of 2018</w:t>
            </w:r>
          </w:p>
        </w:tc>
        <w:tc>
          <w:tcPr>
            <w:tcW w:w="1135" w:type="dxa"/>
            <w:shd w:val="clear" w:color="auto" w:fill="auto"/>
          </w:tcPr>
          <w:p>
            <w:pPr>
              <w:pStyle w:val="nTable"/>
              <w:spacing w:after="40"/>
              <w:rPr>
                <w:snapToGrid w:val="0"/>
              </w:rPr>
            </w:pPr>
            <w:r>
              <w:t>18 Sep 2018</w:t>
            </w:r>
          </w:p>
        </w:tc>
        <w:tc>
          <w:tcPr>
            <w:tcW w:w="2551" w:type="dxa"/>
            <w:shd w:val="clear" w:color="auto" w:fill="auto"/>
          </w:tcPr>
          <w:p>
            <w:pPr>
              <w:pStyle w:val="nTable"/>
              <w:spacing w:after="40"/>
            </w:pPr>
            <w:r>
              <w:rPr>
                <w:snapToGrid w:val="0"/>
              </w:rPr>
              <w:t xml:space="preserve">1 Jul 2019 (see s. 2(b) and </w:t>
            </w:r>
            <w:r>
              <w:rPr>
                <w:i/>
                <w:snapToGrid w:val="0"/>
              </w:rPr>
              <w:t>Gazette</w:t>
            </w:r>
            <w:r>
              <w:rPr>
                <w:snapToGrid w:val="0"/>
              </w:rPr>
              <w:t xml:space="preserve"> 27 Jun 2019 p. 2375)</w:t>
            </w:r>
          </w:p>
        </w:tc>
      </w:tr>
      <w:tr>
        <w:trPr>
          <w:cantSplit/>
        </w:trPr>
        <w:tc>
          <w:tcPr>
            <w:tcW w:w="2410" w:type="dxa"/>
            <w:shd w:val="clear" w:color="auto" w:fill="auto"/>
          </w:tcPr>
          <w:p>
            <w:pPr>
              <w:pStyle w:val="nTable"/>
              <w:spacing w:after="40"/>
              <w:ind w:right="113"/>
              <w:rPr>
                <w:i/>
              </w:rPr>
            </w:pPr>
            <w:r>
              <w:rPr>
                <w:i/>
              </w:rPr>
              <w:t>Infrastructure Western Australia Act 2019</w:t>
            </w:r>
            <w:r>
              <w:t xml:space="preserve"> s. 76</w:t>
            </w:r>
          </w:p>
        </w:tc>
        <w:tc>
          <w:tcPr>
            <w:tcW w:w="993" w:type="dxa"/>
            <w:shd w:val="clear" w:color="auto" w:fill="auto"/>
          </w:tcPr>
          <w:p>
            <w:pPr>
              <w:pStyle w:val="nTable"/>
              <w:spacing w:after="40"/>
            </w:pPr>
            <w:r>
              <w:t>13 of 2019</w:t>
            </w:r>
          </w:p>
        </w:tc>
        <w:tc>
          <w:tcPr>
            <w:tcW w:w="1135" w:type="dxa"/>
            <w:shd w:val="clear" w:color="auto" w:fill="auto"/>
          </w:tcPr>
          <w:p>
            <w:pPr>
              <w:pStyle w:val="nTable"/>
              <w:spacing w:after="40"/>
            </w:pPr>
            <w:r>
              <w:t>24 Jun 2019</w:t>
            </w:r>
          </w:p>
        </w:tc>
        <w:tc>
          <w:tcPr>
            <w:tcW w:w="2551" w:type="dxa"/>
            <w:shd w:val="clear" w:color="auto" w:fill="auto"/>
          </w:tcPr>
          <w:p>
            <w:pPr>
              <w:pStyle w:val="nTable"/>
              <w:spacing w:after="40"/>
              <w:rPr>
                <w:snapToGrid w:val="0"/>
              </w:rPr>
            </w:pPr>
            <w:r>
              <w:rPr>
                <w:snapToGrid w:val="0"/>
              </w:rPr>
              <w:t>24 Jul 2019 (see s. 2(c))</w:t>
            </w:r>
          </w:p>
        </w:tc>
      </w:tr>
      <w:tr>
        <w:trPr>
          <w:cantSplit/>
        </w:trPr>
        <w:tc>
          <w:tcPr>
            <w:tcW w:w="2410" w:type="dxa"/>
            <w:shd w:val="clear" w:color="auto" w:fill="auto"/>
          </w:tcPr>
          <w:p>
            <w:pPr>
              <w:pStyle w:val="nTable"/>
              <w:spacing w:after="40"/>
              <w:ind w:right="113"/>
              <w:rPr>
                <w:i/>
              </w:rPr>
            </w:pPr>
            <w:r>
              <w:rPr>
                <w:i/>
              </w:rPr>
              <w:t>Strata Titles Amendment Act 2018</w:t>
            </w:r>
            <w:r>
              <w:t xml:space="preserve"> Pt. 3 Div. 14</w:t>
            </w:r>
          </w:p>
        </w:tc>
        <w:tc>
          <w:tcPr>
            <w:tcW w:w="993" w:type="dxa"/>
            <w:shd w:val="clear" w:color="auto" w:fill="auto"/>
          </w:tcPr>
          <w:p>
            <w:pPr>
              <w:pStyle w:val="nTable"/>
              <w:spacing w:after="40"/>
            </w:pPr>
            <w:r>
              <w:t>30 of 2018</w:t>
            </w:r>
          </w:p>
        </w:tc>
        <w:tc>
          <w:tcPr>
            <w:tcW w:w="1135" w:type="dxa"/>
            <w:shd w:val="clear" w:color="auto" w:fill="auto"/>
          </w:tcPr>
          <w:p>
            <w:pPr>
              <w:pStyle w:val="nTable"/>
              <w:spacing w:after="40"/>
            </w:pPr>
            <w:r>
              <w:t>19 Nov 2018</w:t>
            </w:r>
          </w:p>
        </w:tc>
        <w:tc>
          <w:tcPr>
            <w:tcW w:w="2551" w:type="dxa"/>
            <w:shd w:val="clear" w:color="auto" w:fill="auto"/>
          </w:tcPr>
          <w:p>
            <w:pPr>
              <w:pStyle w:val="nTable"/>
              <w:spacing w:after="40"/>
              <w:rPr>
                <w:snapToGrid w:val="0"/>
              </w:rPr>
            </w:pPr>
            <w:r>
              <w:rPr>
                <w:snapToGrid w:val="0"/>
              </w:rPr>
              <w:t>1 May 2020 (see s. 2(b) and SL 2020/39 cl. 2)</w:t>
            </w:r>
          </w:p>
        </w:tc>
      </w:tr>
      <w:tr>
        <w:trPr>
          <w:cantSplit/>
          <w:ins w:id="1346" w:author="Master Repository Process" w:date="2021-07-16T14:34:00Z"/>
        </w:trPr>
        <w:tc>
          <w:tcPr>
            <w:tcW w:w="2410" w:type="dxa"/>
            <w:shd w:val="clear" w:color="auto" w:fill="auto"/>
          </w:tcPr>
          <w:p>
            <w:pPr>
              <w:pStyle w:val="nTable"/>
              <w:spacing w:after="40"/>
              <w:ind w:right="113"/>
              <w:rPr>
                <w:ins w:id="1347" w:author="Master Repository Process" w:date="2021-07-16T14:34:00Z"/>
                <w:i/>
              </w:rPr>
            </w:pPr>
            <w:ins w:id="1348" w:author="Master Repository Process" w:date="2021-07-16T14:34:00Z">
              <w:r>
                <w:rPr>
                  <w:i/>
                </w:rPr>
                <w:t>Community Titles Act 2018</w:t>
              </w:r>
              <w:r>
                <w:t xml:space="preserve"> Pt. 14 Div. 14 (other than s. 224</w:t>
              </w:r>
              <w:r>
                <w:noBreakHyphen/>
                <w:t>226)</w:t>
              </w:r>
            </w:ins>
          </w:p>
        </w:tc>
        <w:tc>
          <w:tcPr>
            <w:tcW w:w="993" w:type="dxa"/>
            <w:shd w:val="clear" w:color="auto" w:fill="auto"/>
          </w:tcPr>
          <w:p>
            <w:pPr>
              <w:pStyle w:val="nTable"/>
              <w:spacing w:after="40"/>
              <w:rPr>
                <w:ins w:id="1349" w:author="Master Repository Process" w:date="2021-07-16T14:34:00Z"/>
              </w:rPr>
            </w:pPr>
            <w:ins w:id="1350" w:author="Master Repository Process" w:date="2021-07-16T14:34:00Z">
              <w:r>
                <w:t>32 of 2018</w:t>
              </w:r>
            </w:ins>
          </w:p>
        </w:tc>
        <w:tc>
          <w:tcPr>
            <w:tcW w:w="1135" w:type="dxa"/>
            <w:shd w:val="clear" w:color="auto" w:fill="auto"/>
          </w:tcPr>
          <w:p>
            <w:pPr>
              <w:pStyle w:val="nTable"/>
              <w:spacing w:after="40"/>
              <w:rPr>
                <w:ins w:id="1351" w:author="Master Repository Process" w:date="2021-07-16T14:34:00Z"/>
              </w:rPr>
            </w:pPr>
            <w:ins w:id="1352" w:author="Master Repository Process" w:date="2021-07-16T14:34:00Z">
              <w:r>
                <w:t>19 Nov 2018</w:t>
              </w:r>
            </w:ins>
          </w:p>
        </w:tc>
        <w:tc>
          <w:tcPr>
            <w:tcW w:w="2551" w:type="dxa"/>
            <w:shd w:val="clear" w:color="auto" w:fill="auto"/>
          </w:tcPr>
          <w:p>
            <w:pPr>
              <w:pStyle w:val="nTable"/>
              <w:spacing w:after="40"/>
              <w:rPr>
                <w:ins w:id="1353" w:author="Master Repository Process" w:date="2021-07-16T14:34:00Z"/>
                <w:snapToGrid w:val="0"/>
              </w:rPr>
            </w:pPr>
            <w:ins w:id="1354" w:author="Master Repository Process" w:date="2021-07-16T14:34:00Z">
              <w:r>
                <w:t>30 Jun 2021 (see s. 2(b) and SL 2021/69 cl. 2)</w:t>
              </w:r>
            </w:ins>
          </w:p>
        </w:tc>
      </w:tr>
      <w:tr>
        <w:trPr>
          <w:cantSplit/>
        </w:trPr>
        <w:tc>
          <w:tcPr>
            <w:tcW w:w="2410" w:type="dxa"/>
            <w:tcBorders>
              <w:bottom w:val="single" w:sz="4" w:space="0" w:color="auto"/>
            </w:tcBorders>
            <w:shd w:val="clear" w:color="auto" w:fill="auto"/>
          </w:tcPr>
          <w:p>
            <w:pPr>
              <w:pStyle w:val="nTable"/>
              <w:spacing w:after="40"/>
              <w:ind w:right="113"/>
            </w:pPr>
            <w:r>
              <w:rPr>
                <w:i/>
              </w:rPr>
              <w:t>Planning and Development Amendment Act 2020</w:t>
            </w:r>
            <w:r>
              <w:t xml:space="preserve"> Pt. 2, 4, 5, 8, 10, 11, 13 and 15-17</w:t>
            </w:r>
          </w:p>
        </w:tc>
        <w:tc>
          <w:tcPr>
            <w:tcW w:w="993" w:type="dxa"/>
            <w:tcBorders>
              <w:bottom w:val="single" w:sz="4" w:space="0" w:color="auto"/>
            </w:tcBorders>
            <w:shd w:val="clear" w:color="auto" w:fill="auto"/>
          </w:tcPr>
          <w:p>
            <w:pPr>
              <w:pStyle w:val="nTable"/>
              <w:spacing w:after="40"/>
            </w:pPr>
            <w:r>
              <w:t>26 of 2020</w:t>
            </w:r>
          </w:p>
        </w:tc>
        <w:tc>
          <w:tcPr>
            <w:tcW w:w="1135" w:type="dxa"/>
            <w:tcBorders>
              <w:bottom w:val="single" w:sz="4" w:space="0" w:color="auto"/>
            </w:tcBorders>
            <w:shd w:val="clear" w:color="auto" w:fill="auto"/>
          </w:tcPr>
          <w:p>
            <w:pPr>
              <w:pStyle w:val="nTable"/>
              <w:spacing w:after="40"/>
            </w:pPr>
            <w:r>
              <w:t>7 Jul 2020</w:t>
            </w:r>
          </w:p>
        </w:tc>
        <w:tc>
          <w:tcPr>
            <w:tcW w:w="2551" w:type="dxa"/>
            <w:tcBorders>
              <w:bottom w:val="single" w:sz="4" w:space="0" w:color="auto"/>
            </w:tcBorders>
            <w:shd w:val="clear" w:color="auto" w:fill="auto"/>
          </w:tcPr>
          <w:p>
            <w:pPr>
              <w:pStyle w:val="nTable"/>
              <w:spacing w:after="40"/>
              <w:rPr>
                <w:snapToGrid w:val="0"/>
              </w:rPr>
            </w:pPr>
            <w:r>
              <w:rPr>
                <w:snapToGrid w:val="0"/>
              </w:rPr>
              <w:t>Pt. 2 and 17: 8 Jul 2020 (see s. 2(1)(c));</w:t>
            </w:r>
            <w:r>
              <w:rPr>
                <w:snapToGrid w:val="0"/>
              </w:rPr>
              <w:br/>
              <w:t>Pt. 4, 5, 8, 10, 11, 13, 15 and 16: 12 Sep 2020 (see s. 2(1)(b) and SL 2020/155 cl. 2)</w:t>
            </w:r>
          </w:p>
        </w:tc>
      </w:tr>
    </w:tbl>
    <w:p>
      <w:pPr>
        <w:pStyle w:val="nHeading3"/>
      </w:pPr>
      <w:bookmarkStart w:id="1355" w:name="_Toc77246633"/>
      <w:bookmarkStart w:id="1356" w:name="_Toc74924382"/>
      <w:r>
        <w:t>Uncommenced provisions table</w:t>
      </w:r>
      <w:bookmarkEnd w:id="1355"/>
      <w:bookmarkEnd w:id="1356"/>
    </w:p>
    <w:p>
      <w:pPr>
        <w:pStyle w:val="nStatement"/>
        <w:keepNext/>
        <w:spacing w:after="240"/>
      </w:pPr>
      <w:r>
        <w:t xml:space="preserve">To view the text of the uncommenced provisions see </w:t>
      </w:r>
      <w:r>
        <w:rPr>
          <w:i/>
        </w:rPr>
        <w:t>Acts as passed</w:t>
      </w:r>
      <w:r>
        <w:t xml:space="preserve"> on the WA Legislation website.</w:t>
      </w:r>
    </w:p>
    <w:tbl>
      <w:tblPr>
        <w:tblW w:w="7075" w:type="dxa"/>
        <w:tblInd w:w="56" w:type="dxa"/>
        <w:tblLayout w:type="fixed"/>
        <w:tblCellMar>
          <w:left w:w="56" w:type="dxa"/>
          <w:right w:w="56" w:type="dxa"/>
        </w:tblCellMar>
        <w:tblLook w:val="0000" w:firstRow="0" w:lastRow="0" w:firstColumn="0" w:lastColumn="0" w:noHBand="0" w:noVBand="0"/>
      </w:tblPr>
      <w:tblGrid>
        <w:gridCol w:w="2280"/>
        <w:gridCol w:w="8"/>
        <w:gridCol w:w="1115"/>
        <w:gridCol w:w="1175"/>
        <w:gridCol w:w="2497"/>
      </w:tblGrid>
      <w:tr>
        <w:trPr>
          <w:tblHeader/>
        </w:trPr>
        <w:tc>
          <w:tcPr>
            <w:tcW w:w="2288"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15" w:type="dxa"/>
            <w:tcBorders>
              <w:top w:val="single" w:sz="8" w:space="0" w:color="auto"/>
              <w:bottom w:val="single" w:sz="8" w:space="0" w:color="auto"/>
            </w:tcBorders>
            <w:shd w:val="clear" w:color="auto" w:fill="auto"/>
          </w:tcPr>
          <w:p>
            <w:pPr>
              <w:pStyle w:val="nTable"/>
              <w:spacing w:after="40"/>
              <w:ind w:right="61"/>
              <w:rPr>
                <w:b/>
                <w:snapToGrid w:val="0"/>
              </w:rPr>
            </w:pPr>
            <w:r>
              <w:rPr>
                <w:b/>
                <w:snapToGrid w:val="0"/>
              </w:rPr>
              <w:t>Number and year</w:t>
            </w:r>
          </w:p>
        </w:tc>
        <w:tc>
          <w:tcPr>
            <w:tcW w:w="1175"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497"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88" w:type="dxa"/>
            <w:gridSpan w:val="2"/>
            <w:tcBorders>
              <w:top w:val="single" w:sz="4" w:space="0" w:color="auto"/>
            </w:tcBorders>
          </w:tcPr>
          <w:p>
            <w:pPr>
              <w:pStyle w:val="nTable"/>
              <w:spacing w:after="40"/>
              <w:rPr>
                <w:i/>
                <w:noProof/>
                <w:snapToGrid w:val="0"/>
              </w:rPr>
            </w:pPr>
            <w:r>
              <w:rPr>
                <w:i/>
                <w:noProof/>
                <w:snapToGrid w:val="0"/>
              </w:rPr>
              <w:t>Planning and Development Act 2005</w:t>
            </w:r>
            <w:r>
              <w:rPr>
                <w:noProof/>
                <w:snapToGrid w:val="0"/>
              </w:rPr>
              <w:t xml:space="preserve"> s. 149</w:t>
            </w:r>
          </w:p>
        </w:tc>
        <w:tc>
          <w:tcPr>
            <w:tcW w:w="1115" w:type="dxa"/>
            <w:tcBorders>
              <w:top w:val="single" w:sz="4" w:space="0" w:color="auto"/>
            </w:tcBorders>
          </w:tcPr>
          <w:p>
            <w:pPr>
              <w:pStyle w:val="nTable"/>
              <w:spacing w:after="40"/>
              <w:ind w:right="61"/>
            </w:pPr>
            <w:r>
              <w:t>37 of 2005</w:t>
            </w:r>
          </w:p>
        </w:tc>
        <w:tc>
          <w:tcPr>
            <w:tcW w:w="1175" w:type="dxa"/>
            <w:tcBorders>
              <w:top w:val="single" w:sz="4" w:space="0" w:color="auto"/>
            </w:tcBorders>
          </w:tcPr>
          <w:p>
            <w:pPr>
              <w:pStyle w:val="nTable"/>
              <w:spacing w:after="40"/>
            </w:pPr>
            <w:r>
              <w:t>12 Dec 2005</w:t>
            </w:r>
          </w:p>
        </w:tc>
        <w:tc>
          <w:tcPr>
            <w:tcW w:w="2497" w:type="dxa"/>
            <w:tcBorders>
              <w:top w:val="single" w:sz="4" w:space="0" w:color="auto"/>
            </w:tcBorders>
          </w:tcPr>
          <w:p>
            <w:pPr>
              <w:pStyle w:val="nTable"/>
              <w:keepNext/>
              <w:keepLines/>
              <w:spacing w:after="40"/>
            </w:pPr>
            <w:r>
              <w:t>To be proclaimed (see s. 2)</w:t>
            </w:r>
          </w:p>
        </w:tc>
      </w:tr>
      <w:tr>
        <w:tc>
          <w:tcPr>
            <w:tcW w:w="2288" w:type="dxa"/>
            <w:gridSpan w:val="2"/>
          </w:tcPr>
          <w:p>
            <w:pPr>
              <w:pStyle w:val="nTable"/>
              <w:spacing w:after="40"/>
              <w:rPr>
                <w:i/>
                <w:noProof/>
                <w:snapToGrid w:val="0"/>
              </w:rPr>
            </w:pPr>
            <w:r>
              <w:rPr>
                <w:i/>
                <w:snapToGrid w:val="0"/>
              </w:rPr>
              <w:t>Aquatic Resources Management Act 2016</w:t>
            </w:r>
            <w:r>
              <w:rPr>
                <w:snapToGrid w:val="0"/>
              </w:rPr>
              <w:t xml:space="preserve"> s. 377</w:t>
            </w:r>
          </w:p>
        </w:tc>
        <w:tc>
          <w:tcPr>
            <w:tcW w:w="1115" w:type="dxa"/>
          </w:tcPr>
          <w:p>
            <w:pPr>
              <w:pStyle w:val="nTable"/>
              <w:spacing w:after="40"/>
              <w:ind w:right="61"/>
            </w:pPr>
            <w:r>
              <w:t>53 of 2016</w:t>
            </w:r>
          </w:p>
        </w:tc>
        <w:tc>
          <w:tcPr>
            <w:tcW w:w="1175" w:type="dxa"/>
          </w:tcPr>
          <w:p>
            <w:pPr>
              <w:pStyle w:val="nTable"/>
              <w:spacing w:after="40"/>
            </w:pPr>
            <w:r>
              <w:t>29 Nov 2016</w:t>
            </w:r>
          </w:p>
        </w:tc>
        <w:tc>
          <w:tcPr>
            <w:tcW w:w="2497" w:type="dxa"/>
          </w:tcPr>
          <w:p>
            <w:pPr>
              <w:pStyle w:val="nTable"/>
              <w:keepNext/>
              <w:keepLines/>
              <w:spacing w:after="40"/>
            </w:pPr>
            <w:r>
              <w:rPr>
                <w:snapToGrid w:val="0"/>
              </w:rPr>
              <w:t>To be proclaimed (see s. 2(b))</w:t>
            </w:r>
          </w:p>
        </w:tc>
      </w:tr>
      <w:tr>
        <w:tblPrEx>
          <w:tblBorders>
            <w:top w:val="single" w:sz="8" w:space="0" w:color="auto"/>
            <w:bottom w:val="single" w:sz="8" w:space="0" w:color="auto"/>
            <w:insideH w:val="single" w:sz="8" w:space="0" w:color="auto"/>
          </w:tblBorders>
        </w:tblPrEx>
        <w:tc>
          <w:tcPr>
            <w:tcW w:w="2280" w:type="dxa"/>
            <w:tcBorders>
              <w:top w:val="nil"/>
              <w:bottom w:val="nil"/>
            </w:tcBorders>
          </w:tcPr>
          <w:p>
            <w:pPr>
              <w:pStyle w:val="nTable"/>
              <w:spacing w:after="40"/>
            </w:pPr>
            <w:r>
              <w:rPr>
                <w:i/>
              </w:rPr>
              <w:t>Community Titles Act 2018</w:t>
            </w:r>
            <w:r>
              <w:t xml:space="preserve"> </w:t>
            </w:r>
            <w:del w:id="1357" w:author="Master Repository Process" w:date="2021-07-16T14:34:00Z">
              <w:r>
                <w:delText>Pt. 14 Div. 14</w:delText>
              </w:r>
            </w:del>
            <w:ins w:id="1358" w:author="Master Repository Process" w:date="2021-07-16T14:34:00Z">
              <w:r>
                <w:t>s. 224</w:t>
              </w:r>
              <w:r>
                <w:noBreakHyphen/>
                <w:t>226</w:t>
              </w:r>
            </w:ins>
          </w:p>
        </w:tc>
        <w:tc>
          <w:tcPr>
            <w:tcW w:w="1123" w:type="dxa"/>
            <w:gridSpan w:val="2"/>
            <w:tcBorders>
              <w:top w:val="nil"/>
              <w:bottom w:val="nil"/>
            </w:tcBorders>
          </w:tcPr>
          <w:p>
            <w:pPr>
              <w:pStyle w:val="nTable"/>
              <w:spacing w:after="40"/>
              <w:ind w:right="61"/>
            </w:pPr>
            <w:r>
              <w:t>32 of 2018</w:t>
            </w:r>
          </w:p>
        </w:tc>
        <w:tc>
          <w:tcPr>
            <w:tcW w:w="1175" w:type="dxa"/>
            <w:tcBorders>
              <w:top w:val="nil"/>
              <w:bottom w:val="nil"/>
            </w:tcBorders>
          </w:tcPr>
          <w:p>
            <w:pPr>
              <w:pStyle w:val="nTable"/>
              <w:spacing w:after="40"/>
            </w:pPr>
            <w:r>
              <w:t>19 Nov 2018</w:t>
            </w:r>
          </w:p>
        </w:tc>
        <w:tc>
          <w:tcPr>
            <w:tcW w:w="2497" w:type="dxa"/>
            <w:tcBorders>
              <w:top w:val="nil"/>
              <w:bottom w:val="nil"/>
            </w:tcBorders>
          </w:tcPr>
          <w:p>
            <w:pPr>
              <w:pStyle w:val="nTable"/>
              <w:spacing w:after="40"/>
            </w:pPr>
            <w:del w:id="1359" w:author="Master Repository Process" w:date="2021-07-16T14:34:00Z">
              <w:r>
                <w:delText>Pt. 14 Div. 14 (other than s. 224</w:delText>
              </w:r>
              <w:r>
                <w:noBreakHyphen/>
                <w:delText>226): 30 Jun 2021 (see s. 2(b) and SL 2021/69 cl. 2);</w:delText>
              </w:r>
              <w:r>
                <w:br/>
              </w:r>
              <w:r>
                <w:br/>
                <w:delText>s. 224</w:delText>
              </w:r>
              <w:r>
                <w:noBreakHyphen/>
                <w:delText>226: to</w:delText>
              </w:r>
            </w:del>
            <w:ins w:id="1360" w:author="Master Repository Process" w:date="2021-07-16T14:34:00Z">
              <w:r>
                <w:t>To</w:t>
              </w:r>
            </w:ins>
            <w:r>
              <w:t xml:space="preserve"> be proclaimed (see s. 2(b))</w:t>
            </w:r>
          </w:p>
        </w:tc>
      </w:tr>
      <w:tr>
        <w:tblPrEx>
          <w:tblBorders>
            <w:top w:val="single" w:sz="8" w:space="0" w:color="auto"/>
            <w:bottom w:val="single" w:sz="8" w:space="0" w:color="auto"/>
            <w:insideH w:val="single" w:sz="8" w:space="0" w:color="auto"/>
          </w:tblBorders>
        </w:tblPrEx>
        <w:tc>
          <w:tcPr>
            <w:tcW w:w="2280" w:type="dxa"/>
            <w:tcBorders>
              <w:top w:val="nil"/>
              <w:bottom w:val="nil"/>
            </w:tcBorders>
          </w:tcPr>
          <w:p>
            <w:pPr>
              <w:pStyle w:val="nTable"/>
              <w:spacing w:after="40"/>
              <w:rPr>
                <w:i/>
              </w:rPr>
            </w:pPr>
            <w:r>
              <w:rPr>
                <w:i/>
              </w:rPr>
              <w:t>Planning and Development Amendment Act 2020</w:t>
            </w:r>
            <w:r>
              <w:t xml:space="preserve"> Pt. 3, Pt. 6 Div. 1, Pt. 7 Div. 1, Pt. 9, Pt. 12 Div. 1 and Pt. 14 </w:t>
            </w:r>
          </w:p>
        </w:tc>
        <w:tc>
          <w:tcPr>
            <w:tcW w:w="1123" w:type="dxa"/>
            <w:gridSpan w:val="2"/>
            <w:tcBorders>
              <w:top w:val="nil"/>
              <w:bottom w:val="nil"/>
            </w:tcBorders>
          </w:tcPr>
          <w:p>
            <w:pPr>
              <w:pStyle w:val="nTable"/>
              <w:spacing w:after="40"/>
              <w:ind w:right="61"/>
            </w:pPr>
            <w:r>
              <w:t>26 of 2020 (as amended by Act No. 45 of 2020</w:t>
            </w:r>
            <w:r>
              <w:rPr>
                <w:snapToGrid w:val="0"/>
              </w:rPr>
              <w:t xml:space="preserve"> Pt. 10 Div. 10)</w:t>
            </w:r>
          </w:p>
        </w:tc>
        <w:tc>
          <w:tcPr>
            <w:tcW w:w="1175" w:type="dxa"/>
            <w:tcBorders>
              <w:top w:val="nil"/>
              <w:bottom w:val="nil"/>
            </w:tcBorders>
          </w:tcPr>
          <w:p>
            <w:pPr>
              <w:pStyle w:val="nTable"/>
              <w:spacing w:after="40"/>
            </w:pPr>
            <w:r>
              <w:t>7 Jul 2020</w:t>
            </w:r>
          </w:p>
        </w:tc>
        <w:tc>
          <w:tcPr>
            <w:tcW w:w="2497" w:type="dxa"/>
            <w:tcBorders>
              <w:top w:val="nil"/>
              <w:bottom w:val="nil"/>
            </w:tcBorders>
          </w:tcPr>
          <w:p>
            <w:pPr>
              <w:pStyle w:val="nTable"/>
              <w:spacing w:after="40"/>
            </w:pPr>
            <w:r>
              <w:rPr>
                <w:snapToGrid w:val="0"/>
              </w:rPr>
              <w:t>To be proclaimed (see s. 2(1)(b))</w:t>
            </w:r>
          </w:p>
        </w:tc>
      </w:tr>
      <w:tr>
        <w:tblPrEx>
          <w:tblBorders>
            <w:top w:val="single" w:sz="8" w:space="0" w:color="auto"/>
            <w:bottom w:val="single" w:sz="8" w:space="0" w:color="auto"/>
            <w:insideH w:val="single" w:sz="8" w:space="0" w:color="auto"/>
          </w:tblBorders>
        </w:tblPrEx>
        <w:tc>
          <w:tcPr>
            <w:tcW w:w="2280" w:type="dxa"/>
            <w:tcBorders>
              <w:top w:val="nil"/>
              <w:bottom w:val="single" w:sz="4" w:space="0" w:color="auto"/>
            </w:tcBorders>
          </w:tcPr>
          <w:p>
            <w:pPr>
              <w:pStyle w:val="nTable"/>
              <w:spacing w:after="40"/>
              <w:rPr>
                <w:i/>
              </w:rPr>
            </w:pPr>
            <w:r>
              <w:rPr>
                <w:i/>
                <w:snapToGrid w:val="0"/>
              </w:rPr>
              <w:t>Swan Valley Planning Act 2020</w:t>
            </w:r>
            <w:r>
              <w:rPr>
                <w:snapToGrid w:val="0"/>
              </w:rPr>
              <w:t xml:space="preserve"> Pt. 9</w:t>
            </w:r>
          </w:p>
        </w:tc>
        <w:tc>
          <w:tcPr>
            <w:tcW w:w="1123" w:type="dxa"/>
            <w:gridSpan w:val="2"/>
            <w:tcBorders>
              <w:top w:val="nil"/>
              <w:bottom w:val="single" w:sz="4" w:space="0" w:color="auto"/>
            </w:tcBorders>
          </w:tcPr>
          <w:p>
            <w:pPr>
              <w:pStyle w:val="nTable"/>
              <w:spacing w:after="40"/>
              <w:ind w:right="61"/>
            </w:pPr>
            <w:r>
              <w:t>45 of 2020</w:t>
            </w:r>
          </w:p>
        </w:tc>
        <w:tc>
          <w:tcPr>
            <w:tcW w:w="1175" w:type="dxa"/>
            <w:tcBorders>
              <w:top w:val="nil"/>
              <w:bottom w:val="single" w:sz="4" w:space="0" w:color="auto"/>
            </w:tcBorders>
          </w:tcPr>
          <w:p>
            <w:pPr>
              <w:pStyle w:val="nTable"/>
              <w:spacing w:after="40"/>
            </w:pPr>
            <w:r>
              <w:t>9 Dec 2020</w:t>
            </w:r>
          </w:p>
        </w:tc>
        <w:tc>
          <w:tcPr>
            <w:tcW w:w="2497" w:type="dxa"/>
            <w:tcBorders>
              <w:top w:val="nil"/>
              <w:bottom w:val="single" w:sz="4" w:space="0" w:color="auto"/>
            </w:tcBorders>
          </w:tcPr>
          <w:p>
            <w:pPr>
              <w:pStyle w:val="nTable"/>
              <w:spacing w:after="40"/>
              <w:rPr>
                <w:snapToGrid w:val="0"/>
              </w:rPr>
            </w:pPr>
            <w:del w:id="1361" w:author="Master Repository Process" w:date="2021-07-16T14:34:00Z">
              <w:r>
                <w:rPr>
                  <w:snapToGrid w:val="0"/>
                </w:rPr>
                <w:delText xml:space="preserve">To be proclaimed </w:delText>
              </w:r>
              <w:r>
                <w:delText>(see s. 2)</w:delText>
              </w:r>
            </w:del>
            <w:ins w:id="1362" w:author="Master Repository Process" w:date="2021-07-16T14:34:00Z">
              <w:r>
                <w:rPr>
                  <w:snapToGrid w:val="0"/>
                </w:rPr>
                <w:t>Pt. 9 (other than s. 62): 1 Aug 2021 (see s. 2(1)(d)(i) and (e) and SL 2021/124 cl. 2);</w:t>
              </w:r>
              <w:r>
                <w:rPr>
                  <w:snapToGrid w:val="0"/>
                </w:rPr>
                <w:br/>
                <w:t xml:space="preserve">s. 62: </w:t>
              </w:r>
              <w:r>
                <w:t xml:space="preserve">immediately after the </w:t>
              </w:r>
              <w:r>
                <w:rPr>
                  <w:i/>
                </w:rPr>
                <w:t>Planning and Development Amendment Act 2020</w:t>
              </w:r>
              <w:r>
                <w:t xml:space="preserve"> s. 65 comes into operation</w:t>
              </w:r>
              <w:r>
                <w:rPr>
                  <w:snapToGrid w:val="0"/>
                </w:rPr>
                <w:t xml:space="preserve"> (</w:t>
              </w:r>
              <w:r>
                <w:t>see s. 2(1)(b)(ii))</w:t>
              </w:r>
            </w:ins>
          </w:p>
        </w:tc>
      </w:tr>
    </w:tbl>
    <w:p>
      <w:pPr>
        <w:pStyle w:val="nHeading3"/>
      </w:pPr>
      <w:bookmarkStart w:id="1363" w:name="_Toc77246634"/>
      <w:bookmarkStart w:id="1364" w:name="_Toc74924383"/>
      <w:r>
        <w:t>Other notes</w:t>
      </w:r>
      <w:bookmarkEnd w:id="1363"/>
      <w:bookmarkEnd w:id="1364"/>
    </w:p>
    <w:p>
      <w:pPr>
        <w:pStyle w:val="nNote"/>
        <w:keepNext/>
        <w:keepLines/>
        <w:rPr>
          <w:ins w:id="1365" w:author="Master Repository Process" w:date="2021-07-16T14:34:00Z"/>
        </w:rPr>
      </w:pPr>
      <w:ins w:id="1366" w:author="Master Repository Process" w:date="2021-07-16T14:34:00Z">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rPr>
            <w:iCs/>
          </w:rPr>
          <w:t xml:space="preserve"> Pt. 4 Div. 2</w:t>
        </w:r>
        <w:r>
          <w:t xml:space="preserve">. </w:t>
        </w:r>
      </w:ins>
    </w:p>
    <w:p>
      <w:pPr>
        <w:pStyle w:val="nNote"/>
        <w:keepNext/>
        <w:keepLines/>
        <w:rPr>
          <w:ins w:id="1367" w:author="Master Repository Process" w:date="2021-07-16T14:34:00Z"/>
        </w:rPr>
      </w:pPr>
      <w:ins w:id="1368" w:author="Master Repository Process" w:date="2021-07-16T14:34:00Z">
        <w:r>
          <w:tab/>
          <w:t>If a modification is to:</w:t>
        </w:r>
      </w:ins>
    </w:p>
    <w:p>
      <w:pPr>
        <w:pStyle w:val="nNote"/>
        <w:keepNext/>
        <w:keepLines/>
        <w:numPr>
          <w:ilvl w:val="0"/>
          <w:numId w:val="12"/>
        </w:numPr>
        <w:spacing w:before="0"/>
        <w:ind w:left="714" w:hanging="357"/>
        <w:rPr>
          <w:ins w:id="1369" w:author="Master Repository Process" w:date="2021-07-16T14:34:00Z"/>
        </w:rPr>
      </w:pPr>
      <w:ins w:id="1370" w:author="Master Repository Process" w:date="2021-07-16T14:34:00Z">
        <w:r>
          <w:t>replace or insert a numbered provision, the new provision is identified by the superscript 1M appearing after the provision number;</w:t>
        </w:r>
      </w:ins>
    </w:p>
    <w:p>
      <w:pPr>
        <w:pStyle w:val="nNote"/>
        <w:numPr>
          <w:ilvl w:val="0"/>
          <w:numId w:val="12"/>
        </w:numPr>
        <w:spacing w:before="0"/>
        <w:ind w:left="714" w:hanging="357"/>
        <w:rPr>
          <w:ins w:id="1371" w:author="Master Repository Process" w:date="2021-07-16T14:34:00Z"/>
        </w:rPr>
      </w:pPr>
      <w:ins w:id="1372" w:author="Master Repository Process" w:date="2021-07-16T14:34:00Z">
        <w:r>
          <w:t>amend a numbered provision, the amended provision is identified by the superscript 1M appearing after the provision number.</w:t>
        </w:r>
      </w:ins>
    </w:p>
    <w:p>
      <w:pPr>
        <w:pStyle w:val="nNote"/>
        <w:rPr>
          <w:ins w:id="1373" w:author="Master Repository Process" w:date="2021-07-16T14:34:00Z"/>
        </w:rPr>
      </w:pPr>
      <w:ins w:id="1374" w:author="Master Repository Process" w:date="2021-07-16T14:34:00Z">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 Pt. 4 Div. 2</w:t>
        </w:r>
        <w:r>
          <w:t xml:space="preserve">. </w:t>
        </w:r>
      </w:ins>
    </w:p>
    <w:p>
      <w:pPr>
        <w:pStyle w:val="nNote"/>
        <w:keepNext/>
        <w:rPr>
          <w:ins w:id="1375" w:author="Master Repository Process" w:date="2021-07-16T14:34:00Z"/>
        </w:rPr>
      </w:pPr>
      <w:ins w:id="1376" w:author="Master Repository Process" w:date="2021-07-16T14:34:00Z">
        <w:r>
          <w:tab/>
          <w:t>If a modification is to:</w:t>
        </w:r>
      </w:ins>
    </w:p>
    <w:p>
      <w:pPr>
        <w:pStyle w:val="nNote"/>
        <w:keepNext/>
        <w:keepLines/>
        <w:numPr>
          <w:ilvl w:val="0"/>
          <w:numId w:val="12"/>
        </w:numPr>
        <w:spacing w:before="0"/>
        <w:ind w:left="714" w:hanging="357"/>
        <w:rPr>
          <w:ins w:id="1377" w:author="Master Repository Process" w:date="2021-07-16T14:34:00Z"/>
        </w:rPr>
      </w:pPr>
      <w:ins w:id="1378" w:author="Master Repository Process" w:date="2021-07-16T14:34:00Z">
        <w:r>
          <w:t xml:space="preserve">replace or insert a numbered provision, the new provision is identified by the superscript 1MC appearing after the provision number; </w:t>
        </w:r>
      </w:ins>
    </w:p>
    <w:p>
      <w:pPr>
        <w:pStyle w:val="nNote"/>
        <w:keepNext/>
        <w:keepLines/>
        <w:numPr>
          <w:ilvl w:val="0"/>
          <w:numId w:val="12"/>
        </w:numPr>
        <w:spacing w:before="0"/>
        <w:ind w:left="714" w:hanging="357"/>
        <w:rPr>
          <w:ins w:id="1379" w:author="Master Repository Process" w:date="2021-07-16T14:34:00Z"/>
        </w:rPr>
      </w:pPr>
      <w:ins w:id="1380" w:author="Master Repository Process" w:date="2021-07-16T14:34:00Z">
        <w:r>
          <w:t>amend a numbered provision, the amended provision is identified by the superscript 1MC appearing after the provision number.</w:t>
        </w:r>
      </w:ins>
    </w:p>
    <w:p>
      <w:pPr>
        <w:pStyle w:val="nNote"/>
        <w:spacing w:before="160"/>
        <w:rPr>
          <w:snapToGrid w:val="0"/>
        </w:rPr>
      </w:pPr>
      <w:r>
        <w:rPr>
          <w:snapToGrid w:val="0"/>
          <w:vertAlign w:val="superscript"/>
        </w:rPr>
        <w:t>1</w:t>
      </w:r>
      <w:r>
        <w:rPr>
          <w:snapToGrid w:val="0"/>
        </w:rPr>
        <w:tab/>
        <w:t xml:space="preserve">Repealed by the </w:t>
      </w:r>
      <w:r>
        <w:rPr>
          <w:i/>
          <w:iCs/>
          <w:snapToGrid w:val="0"/>
        </w:rPr>
        <w:t>Land Administration Act 1997.</w:t>
      </w:r>
      <w:r>
        <w:rPr>
          <w:snapToGrid w:val="0"/>
        </w:rPr>
        <w:t xml:space="preserve"> </w:t>
      </w:r>
    </w:p>
    <w:p>
      <w:pPr>
        <w:pStyle w:val="nNote"/>
        <w:rPr>
          <w:snapToGrid w:val="0"/>
        </w:rPr>
      </w:pPr>
      <w:r>
        <w:rPr>
          <w:snapToGrid w:val="0"/>
          <w:vertAlign w:val="superscript"/>
        </w:rPr>
        <w:t>2</w:t>
      </w:r>
      <w:r>
        <w:rPr>
          <w:snapToGrid w:val="0"/>
          <w:vertAlign w:val="superscript"/>
        </w:rPr>
        <w:tab/>
      </w:r>
      <w:r>
        <w:rPr>
          <w:snapToGrid w:val="0"/>
        </w:rPr>
        <w:t xml:space="preserve">Repealed by the </w:t>
      </w:r>
      <w:r>
        <w:rPr>
          <w:i/>
          <w:iCs/>
          <w:snapToGrid w:val="0"/>
        </w:rPr>
        <w:t>Mining Act 1978.</w:t>
      </w:r>
    </w:p>
    <w:p>
      <w:pPr>
        <w:pStyle w:val="nNote"/>
        <w:rPr>
          <w:snapToGrid w:val="0"/>
        </w:rPr>
      </w:pPr>
      <w:r>
        <w:rPr>
          <w:snapToGrid w:val="0"/>
          <w:vertAlign w:val="superscript"/>
        </w:rPr>
        <w:t>3</w:t>
      </w:r>
      <w:r>
        <w:rPr>
          <w:snapToGrid w:val="0"/>
        </w:rPr>
        <w:tab/>
        <w:t xml:space="preserve">Now known as the </w:t>
      </w:r>
      <w:r>
        <w:rPr>
          <w:i/>
          <w:iCs/>
          <w:snapToGrid w:val="0"/>
        </w:rPr>
        <w:t>Local Government (Miscellaneous Provisions) Act 1960</w:t>
      </w:r>
      <w:r>
        <w:rPr>
          <w:snapToGrid w:val="0"/>
        </w:rPr>
        <w:t>. Section 248 was r</w:t>
      </w:r>
      <w:r>
        <w:t xml:space="preserve">epealed by the </w:t>
      </w:r>
      <w:r>
        <w:rPr>
          <w:i/>
          <w:iCs/>
        </w:rPr>
        <w:t>L</w:t>
      </w:r>
      <w:r>
        <w:rPr>
          <w:i/>
          <w:iCs/>
          <w:snapToGrid w:val="0"/>
        </w:rPr>
        <w:t xml:space="preserve">ocal Government Act 1995 </w:t>
      </w:r>
      <w:r>
        <w:rPr>
          <w:snapToGrid w:val="0"/>
        </w:rPr>
        <w:t>s. 9.70.</w:t>
      </w:r>
    </w:p>
    <w:p>
      <w:pPr>
        <w:pStyle w:val="nNote"/>
      </w:pPr>
      <w:r>
        <w:rPr>
          <w:vertAlign w:val="superscript"/>
        </w:rPr>
        <w:t>4</w:t>
      </w:r>
      <w:r>
        <w:tab/>
        <w:t xml:space="preserve">Lands Titles Office diagrams are now being held by the Western Australian Land Information Authority (see the </w:t>
      </w:r>
      <w:r>
        <w:rPr>
          <w:i/>
        </w:rPr>
        <w:t>Land Information Authority Act 2006</w:t>
      </w:r>
      <w:r>
        <w:t xml:space="preserve"> s. 100).</w:t>
      </w:r>
    </w:p>
    <w:p>
      <w:pPr>
        <w:pStyle w:val="nNote"/>
        <w:rPr>
          <w:snapToGrid w:val="0"/>
        </w:rPr>
      </w:pPr>
      <w:r>
        <w:rPr>
          <w:snapToGrid w:val="0"/>
          <w:vertAlign w:val="superscript"/>
        </w:rPr>
        <w:t>5</w:t>
      </w:r>
      <w:r>
        <w:rPr>
          <w:snapToGrid w:val="0"/>
        </w:rPr>
        <w:tab/>
        <w:t xml:space="preserve">Now district of </w:t>
      </w:r>
      <w:r>
        <w:t>Karratha.</w:t>
      </w:r>
    </w:p>
    <w:p>
      <w:pPr>
        <w:pStyle w:val="nNote"/>
        <w:rPr>
          <w:vertAlign w:val="superscript"/>
        </w:rPr>
      </w:pPr>
      <w:r>
        <w:rPr>
          <w:vertAlign w:val="superscript"/>
        </w:rPr>
        <w:t>6</w:t>
      </w:r>
      <w:r>
        <w:tab/>
        <w:t>Now City of Vincent.</w:t>
      </w:r>
    </w:p>
    <w:p>
      <w:pPr>
        <w:pStyle w:val="nNote"/>
        <w:keepNext/>
        <w:rPr>
          <w:noProof/>
          <w:snapToGrid w:val="0"/>
        </w:rPr>
      </w:pPr>
      <w:r>
        <w:rPr>
          <w:vertAlign w:val="superscript"/>
        </w:rPr>
        <w:t>7</w:t>
      </w:r>
      <w:r>
        <w:tab/>
        <w:t xml:space="preserve">The </w:t>
      </w:r>
      <w:r>
        <w:rPr>
          <w:i/>
          <w:noProof/>
          <w:snapToGrid w:val="0"/>
        </w:rPr>
        <w:t>Planning and Development (Consequential and Transitional Provisions) Act 2005</w:t>
      </w:r>
      <w:r>
        <w:rPr>
          <w:noProof/>
          <w:snapToGrid w:val="0"/>
        </w:rPr>
        <w:t xml:space="preserve"> s. 3, s. 4, Sch. 1, Pt. 3 and 4 read as follows:</w:t>
      </w:r>
    </w:p>
    <w:p>
      <w:pPr>
        <w:pStyle w:val="BlankOpen"/>
        <w:rPr>
          <w:sz w:val="20"/>
          <w:szCs w:val="20"/>
        </w:rPr>
      </w:pPr>
    </w:p>
    <w:p>
      <w:pPr>
        <w:pStyle w:val="nzHeading5"/>
      </w:pPr>
      <w:r>
        <w:rPr>
          <w:rStyle w:val="CharSectno"/>
        </w:rPr>
        <w:t>3</w:t>
      </w:r>
      <w:r>
        <w:t>.</w:t>
      </w:r>
      <w:r>
        <w:tab/>
        <w:t>Interpretation</w:t>
      </w:r>
    </w:p>
    <w:p>
      <w:pPr>
        <w:pStyle w:val="nzSubsection"/>
        <w:keepNext/>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keepNext/>
      </w:pPr>
      <w:r>
        <w:tab/>
      </w:r>
      <w:r>
        <w:rPr>
          <w:rStyle w:val="CharDefText"/>
        </w:rPr>
        <w:t>MRTPS Act</w:t>
      </w:r>
      <w:r>
        <w:t xml:space="preserve"> means the </w:t>
      </w:r>
      <w:r>
        <w:rPr>
          <w:i/>
        </w:rPr>
        <w:t>Metropolitan Region Town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BlankOpen"/>
        <w:rPr>
          <w:sz w:val="20"/>
          <w:szCs w:val="20"/>
        </w:rPr>
      </w:pPr>
    </w:p>
    <w:p>
      <w:pPr>
        <w:pStyle w:val="nzHeading2"/>
        <w:rPr>
          <w:sz w:val="20"/>
        </w:rPr>
      </w:pPr>
      <w:r>
        <w:rPr>
          <w:rStyle w:val="CharSchNo"/>
        </w:rPr>
        <w:t>Schedule 1</w:t>
      </w:r>
      <w:r>
        <w:rPr>
          <w:rStyle w:val="CharSDivNo"/>
        </w:rPr>
        <w:t> </w:t>
      </w:r>
      <w:r>
        <w:t>—</w:t>
      </w:r>
      <w:r>
        <w:rPr>
          <w:rStyle w:val="CharSDivText"/>
        </w:rPr>
        <w:t> </w:t>
      </w:r>
      <w:r>
        <w:rPr>
          <w:rStyle w:val="CharSchText"/>
        </w:rPr>
        <w:t>Acts repealed</w:t>
      </w:r>
    </w:p>
    <w:p>
      <w:pPr>
        <w:pStyle w:val="nzMiscellaneousBody"/>
        <w:jc w:val="right"/>
      </w:pPr>
      <w:r>
        <w:t>[s. 4]</w:t>
      </w:r>
    </w:p>
    <w:p>
      <w:pPr>
        <w:pStyle w:val="nzMiscellaneousBody"/>
        <w:spacing w:before="40"/>
        <w:rPr>
          <w:i/>
        </w:rPr>
      </w:pPr>
      <w:r>
        <w:rPr>
          <w:i/>
        </w:rPr>
        <w:t>Metropolitan Region Town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nzHeading2"/>
      </w:pPr>
      <w:r>
        <w:t>Part 3 — Transitional and saving provisions</w:t>
      </w:r>
    </w:p>
    <w:p>
      <w:pPr>
        <w:pStyle w:val="nzHeading3"/>
      </w:pPr>
      <w:r>
        <w:rPr>
          <w:rStyle w:val="CharDivNo"/>
        </w:rPr>
        <w:t>Division 1</w:t>
      </w:r>
      <w:r>
        <w:t xml:space="preserve"> — </w:t>
      </w:r>
      <w:r>
        <w:rPr>
          <w:rStyle w:val="CharDivText"/>
        </w:rPr>
        <w:t>Preliminary</w:t>
      </w:r>
    </w:p>
    <w:p>
      <w:pPr>
        <w:pStyle w:val="nzHeading5"/>
      </w:pPr>
      <w:r>
        <w:rPr>
          <w:rStyle w:val="CharSectno"/>
        </w:rPr>
        <w:t>17</w:t>
      </w:r>
      <w:r>
        <w:t>.</w:t>
      </w:r>
      <w:r>
        <w:tab/>
        <w:t xml:space="preserve">Application of </w:t>
      </w:r>
      <w:r>
        <w:rPr>
          <w:i/>
        </w:rPr>
        <w:t>Interpretation Act 1984</w:t>
      </w:r>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r>
        <w:rPr>
          <w:rStyle w:val="CharSectno"/>
        </w:rPr>
        <w:t>18</w:t>
      </w:r>
      <w:r>
        <w:t>.</w:t>
      </w:r>
      <w:r>
        <w:tab/>
        <w:t>Transitional regulations</w:t>
      </w:r>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keepNext/>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r>
        <w:rPr>
          <w:rStyle w:val="CharSectno"/>
        </w:rPr>
        <w:t>19</w:t>
      </w:r>
      <w:r>
        <w:t>.</w:t>
      </w:r>
      <w:r>
        <w:tab/>
        <w:t>Construction of references in written laws</w:t>
      </w:r>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r>
        <w:rPr>
          <w:rStyle w:val="CharDivNo"/>
        </w:rPr>
        <w:t>Division 2</w:t>
      </w:r>
      <w:r>
        <w:t> — </w:t>
      </w:r>
      <w:r>
        <w:rPr>
          <w:rStyle w:val="CharDivText"/>
        </w:rPr>
        <w:t>Continuation of various bodies, memberships and appointments</w:t>
      </w:r>
    </w:p>
    <w:p>
      <w:pPr>
        <w:pStyle w:val="nzHeading5"/>
      </w:pPr>
      <w:r>
        <w:rPr>
          <w:rStyle w:val="CharSectno"/>
        </w:rPr>
        <w:t>20</w:t>
      </w:r>
      <w:r>
        <w:t>.</w:t>
      </w:r>
      <w:r>
        <w:tab/>
        <w:t>WAPC continues</w:t>
      </w:r>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keepNext/>
      </w:pPr>
      <w:r>
        <w:tab/>
        <w:t>(2)</w:t>
      </w:r>
      <w:r>
        <w:tab/>
        <w:t xml:space="preserve">If in a written law or other document or instrument there is — </w:t>
      </w:r>
    </w:p>
    <w:p>
      <w:pPr>
        <w:pStyle w:val="nzIndenta"/>
      </w:pPr>
      <w:r>
        <w:tab/>
        <w:t>(a)</w:t>
      </w:r>
      <w:r>
        <w:tab/>
        <w:t>a reference to the existing Commission; or</w:t>
      </w:r>
    </w:p>
    <w:p>
      <w:pPr>
        <w:pStyle w:val="nzIndenta"/>
        <w:keepNext/>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r>
        <w:rPr>
          <w:rStyle w:val="CharSectno"/>
        </w:rPr>
        <w:t>21</w:t>
      </w:r>
      <w:r>
        <w:t>.</w:t>
      </w:r>
      <w:r>
        <w:tab/>
        <w:t>Membership of Commission</w:t>
      </w:r>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r>
        <w:rPr>
          <w:rStyle w:val="CharSectno"/>
        </w:rPr>
        <w:t>22</w:t>
      </w:r>
      <w:r>
        <w:t>.</w:t>
      </w:r>
      <w:r>
        <w:tab/>
        <w:t>Staff</w:t>
      </w:r>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keepNext w:val="0"/>
      </w:pPr>
      <w:r>
        <w:rPr>
          <w:rStyle w:val="CharSectno"/>
        </w:rPr>
        <w:t>23</w:t>
      </w:r>
      <w:r>
        <w:t>.</w:t>
      </w:r>
      <w:r>
        <w:tab/>
        <w:t>Committees</w:t>
      </w:r>
    </w:p>
    <w:p>
      <w:pPr>
        <w:pStyle w:val="nzSubsection"/>
        <w:keepLines/>
      </w:pPr>
      <w:r>
        <w:tab/>
        <w:t>(1)</w:t>
      </w:r>
      <w:r>
        <w:tab/>
        <w:t xml:space="preserve">In this section — </w:t>
      </w:r>
    </w:p>
    <w:p>
      <w:pPr>
        <w:pStyle w:val="nzDefstart"/>
      </w:pPr>
      <w:r>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r>
        <w:rPr>
          <w:rStyle w:val="CharSectno"/>
        </w:rPr>
        <w:t>24</w:t>
      </w:r>
      <w:r>
        <w:t>.</w:t>
      </w:r>
      <w:r>
        <w:tab/>
        <w:t>Board of Valuers</w:t>
      </w:r>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r>
        <w:rPr>
          <w:rStyle w:val="CharDivNo"/>
        </w:rPr>
        <w:t>Division 3</w:t>
      </w:r>
      <w:r>
        <w:t xml:space="preserve"> — </w:t>
      </w:r>
      <w:r>
        <w:rPr>
          <w:rStyle w:val="CharDivText"/>
        </w:rPr>
        <w:t>Transitional provisions</w:t>
      </w:r>
    </w:p>
    <w:p>
      <w:pPr>
        <w:pStyle w:val="nzHeading5"/>
      </w:pPr>
      <w:r>
        <w:rPr>
          <w:rStyle w:val="CharSectno"/>
        </w:rPr>
        <w:t>25</w:t>
      </w:r>
      <w:r>
        <w:t>.</w:t>
      </w:r>
      <w:r>
        <w:tab/>
        <w:t>Subsidiary legislation and fees</w:t>
      </w:r>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r>
        <w:rPr>
          <w:rStyle w:val="CharSectno"/>
        </w:rPr>
        <w:t>26</w:t>
      </w:r>
      <w:r>
        <w:t>.</w:t>
      </w:r>
      <w:r>
        <w:tab/>
        <w:t>Planning schemes in course of preparation</w:t>
      </w:r>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r>
        <w:rPr>
          <w:rStyle w:val="CharSectno"/>
        </w:rPr>
        <w:t>27</w:t>
      </w:r>
      <w:r>
        <w:t>.</w:t>
      </w:r>
      <w:r>
        <w:tab/>
        <w:t>Caveats</w:t>
      </w:r>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keepNext/>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r>
        <w:rPr>
          <w:rStyle w:val="CharDivNo"/>
        </w:rPr>
        <w:t>Division 4</w:t>
      </w:r>
      <w:r>
        <w:t xml:space="preserve"> — </w:t>
      </w:r>
      <w:r>
        <w:rPr>
          <w:rStyle w:val="CharDivText"/>
        </w:rPr>
        <w:t>Other savings</w:t>
      </w:r>
    </w:p>
    <w:p>
      <w:pPr>
        <w:pStyle w:val="nzHeading5"/>
      </w:pPr>
      <w:r>
        <w:rPr>
          <w:rStyle w:val="CharSectno"/>
        </w:rPr>
        <w:t>28</w:t>
      </w:r>
      <w:r>
        <w:t>.</w:t>
      </w:r>
      <w:r>
        <w:tab/>
        <w:t>Section 9(4) and (5) TPD Act</w:t>
      </w:r>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r>
        <w:rPr>
          <w:rStyle w:val="CharSectno"/>
        </w:rPr>
        <w:t>29</w:t>
      </w:r>
      <w:r>
        <w:t>.</w:t>
      </w:r>
      <w:r>
        <w:tab/>
        <w:t>Section 28A(5) TPD Act</w:t>
      </w:r>
    </w:p>
    <w:p>
      <w:pPr>
        <w:pStyle w:val="nzSubsection"/>
      </w:pPr>
      <w:r>
        <w:tab/>
      </w:r>
      <w:r>
        <w:tab/>
        <w:t>Section 28A(5) of the TPD Act continues to apply in relation to liability and matters referred to in that subsection as if section 28A had not been repealed.</w:t>
      </w:r>
    </w:p>
    <w:p>
      <w:pPr>
        <w:pStyle w:val="nzHeading5"/>
      </w:pPr>
      <w:r>
        <w:rPr>
          <w:rStyle w:val="CharSectno"/>
        </w:rPr>
        <w:t>30</w:t>
      </w:r>
      <w:r>
        <w:t>.</w:t>
      </w:r>
      <w:r>
        <w:tab/>
        <w:t>Section 37A(4a) MRTPS Act</w:t>
      </w:r>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r>
        <w:t>Part 4</w:t>
      </w:r>
      <w:r>
        <w:rPr>
          <w:rStyle w:val="CharDivNo"/>
        </w:rPr>
        <w:t> </w:t>
      </w:r>
      <w:r>
        <w:t>—</w:t>
      </w:r>
      <w:r>
        <w:rPr>
          <w:rStyle w:val="CharDivText"/>
        </w:rPr>
        <w:t> </w:t>
      </w:r>
      <w:r>
        <w:t>Validation provision</w:t>
      </w:r>
    </w:p>
    <w:p>
      <w:pPr>
        <w:pStyle w:val="nzHeading5"/>
      </w:pPr>
      <w:r>
        <w:rPr>
          <w:rStyle w:val="CharSectno"/>
        </w:rPr>
        <w:t>31</w:t>
      </w:r>
      <w:r>
        <w:t>.</w:t>
      </w:r>
      <w:r>
        <w:tab/>
        <w:t>Validation of certain endorsed approvals</w:t>
      </w:r>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BlankClose"/>
      </w:pPr>
    </w:p>
    <w:p>
      <w:pPr>
        <w:pStyle w:val="nNote"/>
      </w:pPr>
      <w:r>
        <w:rPr>
          <w:vertAlign w:val="superscript"/>
        </w:rPr>
        <w:t>8</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w:t>
      </w:r>
    </w:p>
    <w:p>
      <w:pPr>
        <w:pStyle w:val="nNote"/>
        <w:keepNext/>
        <w:keepLines/>
      </w:pPr>
      <w:r>
        <w:rPr>
          <w:vertAlign w:val="superscript"/>
        </w:rPr>
        <w:t>9</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w:t>
      </w:r>
    </w:p>
    <w:p>
      <w:pPr>
        <w:pStyle w:val="nNote"/>
        <w:keepNext/>
        <w:rPr>
          <w:noProof/>
          <w:snapToGrid w:val="0"/>
        </w:rPr>
      </w:pPr>
      <w:r>
        <w:rPr>
          <w:vertAlign w:val="superscript"/>
        </w:rPr>
        <w:t>10</w:t>
      </w:r>
      <w:r>
        <w:tab/>
        <w:t xml:space="preserve">The </w:t>
      </w:r>
      <w:r>
        <w:rPr>
          <w:i/>
          <w:iCs/>
        </w:rPr>
        <w:t>Approvals and Related Reforms (No. 4) (Planning) Act 2010</w:t>
      </w:r>
      <w:r>
        <w:rPr>
          <w:noProof/>
          <w:snapToGrid w:val="0"/>
        </w:rPr>
        <w:t xml:space="preserve"> s. 56(4) is a transitional provision that is of no further effect.</w:t>
      </w:r>
    </w:p>
    <w:p/>
    <w:p>
      <w:pPr>
        <w:sectPr>
          <w:headerReference w:type="even" r:id="rId29"/>
          <w:headerReference w:type="default" r:id="rId30"/>
          <w:pgSz w:w="11907" w:h="16840" w:code="9"/>
          <w:pgMar w:top="2376" w:right="2405" w:bottom="3542" w:left="2405" w:header="706"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04-m0-02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04-m0-02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04-m0-02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Committees</w: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2</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Planning control areas: purposes for which land may be required</w: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Planning control areas: purposes for which land may be required</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p>
      </w:tc>
      <w:tc>
        <w:tcPr>
          <w:tcW w:w="1557" w:type="dxa"/>
        </w:tcPr>
        <w:p>
          <w:pPr>
            <w:pStyle w:val="Header"/>
            <w:spacing w:before="40"/>
            <w:ind w:right="17"/>
            <w:jc w:val="right"/>
          </w:pP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381" w:name="Compilation"/>
    <w:bookmarkEnd w:id="1381"/>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82" w:name="Coversheet"/>
    <w:bookmarkEnd w:id="138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16Part 1</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16Part 1</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Subdivision 2</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Determinations</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separate"/>
          </w:r>
          <w:r>
            <w:t>Determinations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Subdivision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197" w:name="Schedule"/>
    <w:bookmarkEnd w:id="119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Committees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DEB9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244CF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E6060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7142E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E8AD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C8ECA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B8FD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FAE41E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646D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A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3D30B35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15105822"/>
    <w:docVar w:name="WAFER_20140109165124" w:val="RemoveTocBookmarks,RemoveUnusedBookmarks,RemoveLanguageTags,UsedStyles,ResetPageSize,UpdateArrangement"/>
    <w:docVar w:name="WAFER_20140109165124_GUID" w:val="15f0cd58-cdde-4649-912d-15eb40d6f47d"/>
    <w:docVar w:name="WAFER_20140306140103" w:val="RemoveTocBookmarks,RemoveUnusedBookmarks,RemoveLanguageTags,UsedStyles,ResetPageSize"/>
    <w:docVar w:name="WAFER_20140306140103_GUID" w:val="06cda493-b782-4dfc-815e-43d3061e38f0"/>
    <w:docVar w:name="WAFER_20140306140836" w:val="RemoveTocBookmarks,RunningHeaders"/>
    <w:docVar w:name="WAFER_20140306140836_GUID" w:val="74306be9-4d68-4f34-b3d2-65df0028a371"/>
    <w:docVar w:name="WAFER_20150416145214" w:val="ResetPageSize,UpdateArrangement,UpdateNTable"/>
    <w:docVar w:name="WAFER_20150416145214_GUID" w:val="782404cc-1dbb-4ee6-a0e3-8a009497b0f3"/>
    <w:docVar w:name="WAFER_20151104142826" w:val="UpdateStyles,UsedStyles"/>
    <w:docVar w:name="WAFER_20151104142826_GUID" w:val="86716f10-2598-42c3-a9ff-0c38551bfc9c"/>
    <w:docVar w:name="WAFER_20151109150823" w:val="UsedStyles"/>
    <w:docVar w:name="WAFER_20151109150823_GUID" w:val="4f15b87e-02d6-4098-85b1-eb8acd3b412d"/>
    <w:docVar w:name="WAFER_20151109154056" w:val="UpdateStyles,UsedStyles"/>
    <w:docVar w:name="WAFER_20151109154056_GUID" w:val="63f2cbd7-697c-44ca-9dc9-6e6d085b1e2b"/>
    <w:docVar w:name="WAFER_20160301134302" w:val="RemoveTocBookmarks,RemoveUnusedBookmarks,RemoveLanguageTags,UsedStyles,RemoveTrackChanges"/>
    <w:docVar w:name="WAFER_20160301134302_GUID" w:val="e91a4e67-b570-4dd2-89b6-b19ccfe67478"/>
    <w:docVar w:name="WAFER_20160330113039" w:val="RemoveUnusedBookmarks,RemoveTrackChanges"/>
    <w:docVar w:name="WAFER_20160330113039_GUID" w:val="f9984efe-c5f1-41cd-981a-8877cf5fa0cf"/>
    <w:docVar w:name="WAFER_20160330113348" w:val="RemoveTocBookmarks,RemoveUnusedBookmarks,RemoveLanguageTags,RemoveBadVanishTags"/>
    <w:docVar w:name="WAFER_20160330113348_GUID" w:val="c9dc341b-a0fa-41a4-9425-68286ac6e3ab"/>
    <w:docVar w:name="WAFER_20180920150628" w:val="RemoveTocBookmarks,RemoveUnusedBookmarks,RemoveLanguageTags,UsedStyles,ResetPageSize"/>
    <w:docVar w:name="WAFER_20180920150628_GUID" w:val="a35411f0-73a6-47b3-9e02-0d6e73337cc5"/>
    <w:docVar w:name="WAFER_20181121094724" w:val="RemoveTocBookmarks,RemoveUnusedBookmarks,RemoveLanguageTags,UsedStyles,ResetPageSize"/>
    <w:docVar w:name="WAFER_20181121094724_GUID" w:val="3b2b60bb-32b5-4c1c-8318-e97a9f8e2139"/>
    <w:docVar w:name="WAFER_20190625155738" w:val="RemoveTocBookmarks,RemoveUnusedBookmarks,RemoveLanguageTags,ResetPageSize,RunningHeaders,UpdateStyles,UsedStyles"/>
    <w:docVar w:name="WAFER_20190625155738_GUID" w:val="5687c5bb-e829-4bd5-b304-2a28e23eb346"/>
    <w:docVar w:name="WAFER_20190719105036" w:val="RemoveTocBookmarks,RemoveUnusedBookmarks,RemoveLanguageTags,ResetPageSize,RunningHeaders,UpdateStyles,UsedStyles"/>
    <w:docVar w:name="WAFER_20190719105036_GUID" w:val="09373936-d282-46c4-81e1-b3099e8c9754"/>
    <w:docVar w:name="WAFER_2020021313443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4432_GUID" w:val="e6590b15-0728-4cdf-9d8e-b252e9cc780e"/>
    <w:docVar w:name="WAFER_202002201020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20102048_GUID" w:val="a367a77b-e449-4409-8eb0-a6d49b01a451"/>
    <w:docVar w:name="WAFER_202007021639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02163954_GUID" w:val="71b7b4cd-42a2-401a-8764-4c7ed8722a71"/>
    <w:docVar w:name="WAFER_202009101111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0111109_GUID" w:val="b83d2bac-9b88-4ed5-a32a-99a6700f0b2c"/>
    <w:docVar w:name="WAFER_202012091539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53959_GUID" w:val="09479a96-a2c2-4824-83ae-d2912a9e3047"/>
    <w:docVar w:name="WAFER_202106151216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21615_GUID" w:val="cc8feb00-dae6-4a4d-933c-f2ad9c51a79d"/>
    <w:docVar w:name="WAFER_20210623131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31639_GUID" w:val="15e24027-847d-48d4-84cf-3f14d81305f4"/>
    <w:docVar w:name="WAFER_202107151058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05822_GUID" w:val="e9c8926c-2764-4153-86a5-6015d7a3cf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167765">
      <w:bodyDiv w:val="1"/>
      <w:marLeft w:val="0"/>
      <w:marRight w:val="0"/>
      <w:marTop w:val="0"/>
      <w:marBottom w:val="0"/>
      <w:divBdr>
        <w:top w:val="none" w:sz="0" w:space="0" w:color="auto"/>
        <w:left w:val="none" w:sz="0" w:space="0" w:color="auto"/>
        <w:bottom w:val="none" w:sz="0" w:space="0" w:color="auto"/>
        <w:right w:val="none" w:sz="0" w:space="0" w:color="auto"/>
      </w:divBdr>
    </w:div>
    <w:div w:id="517348764">
      <w:bodyDiv w:val="1"/>
      <w:marLeft w:val="0"/>
      <w:marRight w:val="0"/>
      <w:marTop w:val="0"/>
      <w:marBottom w:val="0"/>
      <w:divBdr>
        <w:top w:val="none" w:sz="0" w:space="0" w:color="auto"/>
        <w:left w:val="none" w:sz="0" w:space="0" w:color="auto"/>
        <w:bottom w:val="none" w:sz="0" w:space="0" w:color="auto"/>
        <w:right w:val="none" w:sz="0" w:space="0" w:color="auto"/>
      </w:divBdr>
    </w:div>
    <w:div w:id="1001785099">
      <w:bodyDiv w:val="1"/>
      <w:marLeft w:val="0"/>
      <w:marRight w:val="0"/>
      <w:marTop w:val="0"/>
      <w:marBottom w:val="0"/>
      <w:divBdr>
        <w:top w:val="none" w:sz="0" w:space="0" w:color="auto"/>
        <w:left w:val="none" w:sz="0" w:space="0" w:color="auto"/>
        <w:bottom w:val="none" w:sz="0" w:space="0" w:color="auto"/>
        <w:right w:val="none" w:sz="0" w:space="0" w:color="auto"/>
      </w:divBdr>
    </w:div>
    <w:div w:id="195273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6635D-0C55-4348-A627-4DD782376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73409</Words>
  <Characters>358241</Characters>
  <Application>Microsoft Office Word</Application>
  <DocSecurity>0</DocSecurity>
  <Lines>9185</Lines>
  <Paragraphs>4496</Paragraphs>
  <ScaleCrop>false</ScaleCrop>
  <HeadingPairs>
    <vt:vector size="2" baseType="variant">
      <vt:variant>
        <vt:lpstr>Title</vt:lpstr>
      </vt:variant>
      <vt:variant>
        <vt:i4>1</vt:i4>
      </vt:variant>
    </vt:vector>
  </HeadingPairs>
  <TitlesOfParts>
    <vt:vector size="1" baseType="lpstr">
      <vt:lpstr>Planning and Development Act 2005</vt:lpstr>
    </vt:vector>
  </TitlesOfParts>
  <Manager/>
  <Company/>
  <LinksUpToDate>false</LinksUpToDate>
  <CharactersWithSpaces>427154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04-l0-02 - 04-m0-02</dc:title>
  <dc:subject/>
  <dc:creator/>
  <cp:keywords/>
  <dc:description/>
  <cp:lastModifiedBy>Master Repository Process</cp:lastModifiedBy>
  <cp:revision>2</cp:revision>
  <cp:lastPrinted>2020-07-07T08:32:00Z</cp:lastPrinted>
  <dcterms:created xsi:type="dcterms:W3CDTF">2021-07-16T06:34:00Z</dcterms:created>
  <dcterms:modified xsi:type="dcterms:W3CDTF">2021-07-16T06:35:00Z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DocumentType">
    <vt:lpwstr>Act</vt:lpwstr>
  </property>
  <property fmtid="{D5CDD505-2E9C-101B-9397-08002B2CF9AE}" pid="4" name="OwlsUID">
    <vt:i4>9408</vt:i4>
  </property>
  <property fmtid="{D5CDD505-2E9C-101B-9397-08002B2CF9AE}" pid="5" name="ReprintedAsAt">
    <vt:filetime>2016-03-31T16:00:00Z</vt:filetime>
  </property>
  <property fmtid="{D5CDD505-2E9C-101B-9397-08002B2CF9AE}" pid="6" name="ReprintNo">
    <vt:lpwstr>4</vt:lpwstr>
  </property>
  <property fmtid="{D5CDD505-2E9C-101B-9397-08002B2CF9AE}" pid="7" name="CommencementDate">
    <vt:lpwstr>20210630</vt:lpwstr>
  </property>
  <property fmtid="{D5CDD505-2E9C-101B-9397-08002B2CF9AE}" pid="8" name="FromSuffix">
    <vt:lpwstr>04-l0-02</vt:lpwstr>
  </property>
  <property fmtid="{D5CDD505-2E9C-101B-9397-08002B2CF9AE}" pid="9" name="FromAsAtDate">
    <vt:lpwstr>09 Dec 2020</vt:lpwstr>
  </property>
  <property fmtid="{D5CDD505-2E9C-101B-9397-08002B2CF9AE}" pid="10" name="ToSuffix">
    <vt:lpwstr>04-m0-02</vt:lpwstr>
  </property>
  <property fmtid="{D5CDD505-2E9C-101B-9397-08002B2CF9AE}" pid="11" name="ToAsAtDate">
    <vt:lpwstr>30 Jun 2021</vt:lpwstr>
  </property>
</Properties>
</file>