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05-m0-00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05-n0-00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400"/>
        <w:rPr>
          <w:snapToGrid w:val="0"/>
        </w:rPr>
      </w:pPr>
      <w:r>
        <w:rPr>
          <w:snapToGrid w:val="0"/>
        </w:rPr>
        <w:lastRenderedPageBreak/>
        <w:t>Residential Tenancies Act 1987</w:t>
      </w:r>
    </w:p>
    <w:p>
      <w:pPr>
        <w:pStyle w:val="NameofActReg"/>
        <w:spacing w:after="480"/>
      </w:pPr>
      <w:r>
        <w:t>Residential Tenancies Regulations 1989</w:t>
      </w:r>
    </w:p>
    <w:p>
      <w:pPr>
        <w:pStyle w:val="Heading2"/>
        <w:pageBreakBefore w:val="0"/>
      </w:pPr>
      <w:bookmarkStart w:id="1" w:name="_Toc75183117"/>
      <w:bookmarkStart w:id="2" w:name="_Toc75253572"/>
      <w:bookmarkStart w:id="3" w:name="_Toc75340743"/>
      <w:bookmarkStart w:id="4" w:name="_Toc74648067"/>
      <w:bookmarkStart w:id="5" w:name="_Toc74648313"/>
      <w:bookmarkStart w:id="6" w:name="_Toc74648372"/>
      <w:bookmarkStart w:id="7" w:name="_Toc7474576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Footnoteheading"/>
        <w:spacing w:before="100"/>
      </w:pPr>
      <w:r>
        <w:tab/>
        <w:t>[Heading inserted: Gazette 3 May 2013 p. 1737.]</w:t>
      </w:r>
    </w:p>
    <w:p>
      <w:pPr>
        <w:pStyle w:val="Heading5"/>
        <w:rPr>
          <w:snapToGrid w:val="0"/>
        </w:rPr>
      </w:pPr>
      <w:bookmarkStart w:id="9" w:name="_Toc75340744"/>
      <w:bookmarkStart w:id="10" w:name="_Toc74745768"/>
      <w:r>
        <w:rPr>
          <w:rStyle w:val="CharSectno"/>
        </w:rPr>
        <w:t>1</w:t>
      </w:r>
      <w:r>
        <w:rPr>
          <w:snapToGrid w:val="0"/>
        </w:rPr>
        <w:t>.</w:t>
      </w:r>
      <w:r>
        <w:rPr>
          <w:snapToGrid w:val="0"/>
        </w:rPr>
        <w:tab/>
        <w:t>Citation</w:t>
      </w:r>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w:t>
      </w:r>
    </w:p>
    <w:p>
      <w:pPr>
        <w:pStyle w:val="Heading5"/>
        <w:rPr>
          <w:snapToGrid w:val="0"/>
        </w:rPr>
      </w:pPr>
      <w:bookmarkStart w:id="11" w:name="_Toc75340745"/>
      <w:bookmarkStart w:id="12" w:name="_Toc74745769"/>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p>
    <w:p>
      <w:pPr>
        <w:pStyle w:val="Ednotesection"/>
      </w:pPr>
      <w:r>
        <w:t>[</w:t>
      </w:r>
      <w:r>
        <w:rPr>
          <w:b/>
        </w:rPr>
        <w:t>2A.</w:t>
      </w:r>
      <w:r>
        <w:rPr>
          <w:b/>
        </w:rPr>
        <w:tab/>
      </w:r>
      <w:r>
        <w:t>Deleted: Gazette 3 May 2013 p. 1738.]</w:t>
      </w:r>
    </w:p>
    <w:p>
      <w:pPr>
        <w:pStyle w:val="Heading5"/>
      </w:pPr>
      <w:bookmarkStart w:id="13" w:name="_Toc75340746"/>
      <w:bookmarkStart w:id="14" w:name="_Toc74745770"/>
      <w:r>
        <w:rPr>
          <w:rStyle w:val="CharSectno"/>
        </w:rPr>
        <w:t>3A</w:t>
      </w:r>
      <w:r>
        <w:t>.</w:t>
      </w:r>
      <w:r>
        <w:tab/>
        <w:t>Terms used</w:t>
      </w:r>
      <w:bookmarkEnd w:id="13"/>
      <w:bookmarkEnd w:id="14"/>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15" w:name="_Toc75183121"/>
      <w:bookmarkStart w:id="16" w:name="_Toc75253576"/>
      <w:bookmarkStart w:id="17" w:name="_Toc75340747"/>
      <w:bookmarkStart w:id="18" w:name="_Toc74648071"/>
      <w:bookmarkStart w:id="19" w:name="_Toc74648317"/>
      <w:bookmarkStart w:id="20" w:name="_Toc74648376"/>
      <w:bookmarkStart w:id="21" w:name="_Toc74745771"/>
      <w:r>
        <w:rPr>
          <w:rStyle w:val="CharPartNo"/>
        </w:rPr>
        <w:t>Part 2</w:t>
      </w:r>
      <w:r>
        <w:rPr>
          <w:rStyle w:val="CharDivNo"/>
        </w:rPr>
        <w:t> </w:t>
      </w:r>
      <w:r>
        <w:t>—</w:t>
      </w:r>
      <w:r>
        <w:rPr>
          <w:rStyle w:val="CharDivText"/>
        </w:rPr>
        <w:t> </w:t>
      </w:r>
      <w:r>
        <w:rPr>
          <w:rStyle w:val="CharPartText"/>
        </w:rPr>
        <w:t>Application of Act, modification of application</w:t>
      </w:r>
      <w:bookmarkEnd w:id="15"/>
      <w:bookmarkEnd w:id="16"/>
      <w:bookmarkEnd w:id="17"/>
      <w:bookmarkEnd w:id="18"/>
      <w:bookmarkEnd w:id="19"/>
      <w:bookmarkEnd w:id="20"/>
      <w:bookmarkEnd w:id="21"/>
    </w:p>
    <w:p>
      <w:pPr>
        <w:pStyle w:val="Footnoteheading"/>
      </w:pPr>
      <w:r>
        <w:tab/>
        <w:t>[Heading inserted: Gazette 21 Mar 2014 p. 731.]</w:t>
      </w:r>
    </w:p>
    <w:p>
      <w:pPr>
        <w:pStyle w:val="Heading5"/>
        <w:spacing w:before="200"/>
        <w:rPr>
          <w:snapToGrid w:val="0"/>
        </w:rPr>
      </w:pPr>
      <w:bookmarkStart w:id="22" w:name="_Toc75340748"/>
      <w:bookmarkStart w:id="23" w:name="_Toc74745772"/>
      <w:r>
        <w:rPr>
          <w:rStyle w:val="CharSectno"/>
        </w:rPr>
        <w:t>3</w:t>
      </w:r>
      <w:r>
        <w:rPr>
          <w:snapToGrid w:val="0"/>
        </w:rPr>
        <w:t>.</w:t>
      </w:r>
      <w:r>
        <w:rPr>
          <w:snapToGrid w:val="0"/>
        </w:rPr>
        <w:tab/>
        <w:t>Exemption for retirement villages</w:t>
      </w:r>
      <w:bookmarkEnd w:id="22"/>
      <w:bookmarkEnd w:id="23"/>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24" w:name="_Toc75340749"/>
      <w:bookmarkStart w:id="25" w:name="_Toc74745773"/>
      <w:r>
        <w:rPr>
          <w:rStyle w:val="CharSectno"/>
        </w:rPr>
        <w:t>4</w:t>
      </w:r>
      <w:r>
        <w:rPr>
          <w:snapToGrid w:val="0"/>
        </w:rPr>
        <w:t>.</w:t>
      </w:r>
      <w:r>
        <w:rPr>
          <w:snapToGrid w:val="0"/>
        </w:rPr>
        <w:tab/>
        <w:t>Exemption for certain agreements with squatters</w:t>
      </w:r>
      <w:bookmarkEnd w:id="24"/>
      <w:bookmarkEnd w:id="25"/>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26" w:name="_Toc75340750"/>
      <w:bookmarkStart w:id="27" w:name="_Toc74745774"/>
      <w:r>
        <w:rPr>
          <w:rStyle w:val="CharSectno"/>
        </w:rPr>
        <w:t>5</w:t>
      </w:r>
      <w:r>
        <w:rPr>
          <w:snapToGrid w:val="0"/>
        </w:rPr>
        <w:t>.</w:t>
      </w:r>
      <w:r>
        <w:rPr>
          <w:snapToGrid w:val="0"/>
        </w:rPr>
        <w:tab/>
        <w:t xml:space="preserve">Exemption for certain agreements under </w:t>
      </w:r>
      <w:r>
        <w:rPr>
          <w:i/>
          <w:snapToGrid w:val="0"/>
        </w:rPr>
        <w:t>Land Act 1933</w:t>
      </w:r>
      <w:bookmarkEnd w:id="26"/>
      <w:bookmarkEnd w:id="27"/>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1</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1</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1</w:t>
      </w:r>
      <w:r>
        <w:rPr>
          <w:snapToGrid w:val="0"/>
        </w:rPr>
        <w:t xml:space="preserve"> is a prescribed agreement for the purposes of section 5(2)(g) of the Act.</w:t>
      </w:r>
    </w:p>
    <w:p>
      <w:pPr>
        <w:pStyle w:val="Heading5"/>
      </w:pPr>
      <w:bookmarkStart w:id="28" w:name="_Toc75340751"/>
      <w:bookmarkStart w:id="29" w:name="_Toc74745775"/>
      <w:r>
        <w:rPr>
          <w:rStyle w:val="CharSectno"/>
        </w:rPr>
        <w:t>5AAA</w:t>
      </w:r>
      <w:r>
        <w:t>.</w:t>
      </w:r>
      <w:r>
        <w:tab/>
        <w:t>Application of Act to certain accommodation at St Thomas More College</w:t>
      </w:r>
      <w:bookmarkEnd w:id="28"/>
      <w:bookmarkEnd w:id="29"/>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30" w:name="_Toc75340752"/>
      <w:bookmarkStart w:id="31" w:name="_Toc74745776"/>
      <w:r>
        <w:rPr>
          <w:rStyle w:val="CharSectno"/>
        </w:rPr>
        <w:t>5AA</w:t>
      </w:r>
      <w:r>
        <w:t>.</w:t>
      </w:r>
      <w:r>
        <w:tab/>
        <w:t>Modified application of section 22(2) of Act</w:t>
      </w:r>
      <w:bookmarkEnd w:id="30"/>
      <w:bookmarkEnd w:id="31"/>
    </w:p>
    <w:p>
      <w:pPr>
        <w:pStyle w:val="Subsection"/>
      </w:pPr>
      <w:r>
        <w:tab/>
      </w:r>
      <w:r>
        <w:tab/>
        <w:t>Under section 6(a) of the Act it is provided that section 22(2) of the Act shall apply to a residential tenancy agreement the subject of proceedings as if it were modified by inserting after paragraph (a)(i):</w:t>
      </w:r>
    </w:p>
    <w:p>
      <w:pPr>
        <w:pStyle w:val="Indenti"/>
      </w:pPr>
      <w:r>
        <w:tab/>
        <w:t>(ia)</w:t>
      </w:r>
      <w:r>
        <w:tab/>
        <w:t xml:space="preserve">a person who is an employee of, or acting on behalf of, the property manager mentioned in subparagraph (i) and who is registered as a sales representative under the </w:t>
      </w:r>
      <w:r>
        <w:rPr>
          <w:i/>
        </w:rPr>
        <w:t>Real Estate and Business Agents Act 1978</w:t>
      </w:r>
      <w:r>
        <w:t>; or</w:t>
      </w:r>
    </w:p>
    <w:p>
      <w:pPr>
        <w:pStyle w:val="Footnotesection"/>
      </w:pPr>
      <w:r>
        <w:tab/>
        <w:t>[Regulation 5AA inserted: Gazette 3 May 2013 p. 1738-9; amended: Gazette 24 Dec 2019 p. 4419.]</w:t>
      </w:r>
    </w:p>
    <w:p>
      <w:pPr>
        <w:pStyle w:val="Heading5"/>
      </w:pPr>
      <w:bookmarkStart w:id="32" w:name="_Toc75340753"/>
      <w:bookmarkStart w:id="33" w:name="_Toc74745777"/>
      <w:r>
        <w:rPr>
          <w:rStyle w:val="CharSectno"/>
        </w:rPr>
        <w:t>5AB</w:t>
      </w:r>
      <w:r>
        <w:t>.</w:t>
      </w:r>
      <w:r>
        <w:tab/>
        <w:t>Exemptions from section 27A of Act — residential agreements not required to be in prescribed form</w:t>
      </w:r>
      <w:bookmarkEnd w:id="32"/>
      <w:bookmarkEnd w:id="33"/>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34" w:name="_Toc75340754"/>
      <w:bookmarkStart w:id="35" w:name="_Toc74745778"/>
      <w:r>
        <w:rPr>
          <w:rStyle w:val="CharSectno"/>
        </w:rPr>
        <w:t>5AC</w:t>
      </w:r>
      <w:r>
        <w:t>.</w:t>
      </w:r>
      <w:r>
        <w:tab/>
        <w:t>Exemption from section 27B of Act if residential tenancy agreement extended or renewed</w:t>
      </w:r>
      <w:bookmarkEnd w:id="34"/>
      <w:bookmarkEnd w:id="35"/>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36" w:name="_Toc75340755"/>
      <w:bookmarkStart w:id="37" w:name="_Toc74745779"/>
      <w:r>
        <w:rPr>
          <w:rStyle w:val="CharSectno"/>
        </w:rPr>
        <w:t>5AD</w:t>
      </w:r>
      <w:r>
        <w:t>.</w:t>
      </w:r>
      <w:r>
        <w:tab/>
        <w:t>Modified application of section 27C(4) of Act for Housing Authority</w:t>
      </w:r>
      <w:bookmarkEnd w:id="36"/>
      <w:bookmarkEnd w:id="37"/>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38" w:name="_Toc75340756"/>
      <w:bookmarkStart w:id="39" w:name="_Toc74745780"/>
      <w:r>
        <w:rPr>
          <w:rStyle w:val="CharSectno"/>
        </w:rPr>
        <w:t>5A</w:t>
      </w:r>
      <w:r>
        <w:rPr>
          <w:snapToGrid w:val="0"/>
        </w:rPr>
        <w:t>.</w:t>
      </w:r>
      <w:r>
        <w:rPr>
          <w:snapToGrid w:val="0"/>
        </w:rPr>
        <w:tab/>
        <w:t>Exemption of Housing Authority from sections 29(4)(b) and 33 of Act</w:t>
      </w:r>
      <w:bookmarkEnd w:id="38"/>
      <w:bookmarkEnd w:id="39"/>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40" w:name="_Toc75340757"/>
      <w:bookmarkStart w:id="41" w:name="_Toc74745781"/>
      <w:r>
        <w:rPr>
          <w:rStyle w:val="CharSectno"/>
        </w:rPr>
        <w:t>5BA</w:t>
      </w:r>
      <w:r>
        <w:t>.</w:t>
      </w:r>
      <w:r>
        <w:tab/>
        <w:t>Exemptions from section 29(8) of Act</w:t>
      </w:r>
      <w:bookmarkEnd w:id="40"/>
      <w:bookmarkEnd w:id="41"/>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42" w:name="_Toc75340758"/>
      <w:bookmarkStart w:id="43" w:name="_Toc74745782"/>
      <w:r>
        <w:rPr>
          <w:rStyle w:val="CharSectno"/>
        </w:rPr>
        <w:t>5B</w:t>
      </w:r>
      <w:r>
        <w:rPr>
          <w:snapToGrid w:val="0"/>
        </w:rPr>
        <w:t>.</w:t>
      </w:r>
      <w:r>
        <w:rPr>
          <w:snapToGrid w:val="0"/>
        </w:rPr>
        <w:tab/>
        <w:t>Exemptions from section 30(1) of Act</w:t>
      </w:r>
      <w:bookmarkEnd w:id="42"/>
      <w:bookmarkEnd w:id="43"/>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keepNext/>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“Butler’s Cottage”, Government House, 7</w:t>
            </w:r>
            <w:r>
              <w:rPr>
                <w:snapToGrid w:val="0"/>
              </w:rPr>
              <w:noBreakHyphen/>
              <w:t>21 St. George’s Terrace, Perth</w:t>
            </w:r>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2</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keepNext/>
              <w:keepLines/>
            </w:pPr>
            <w:r>
              <w:t>The Housing Authority</w:t>
            </w:r>
          </w:p>
        </w:tc>
      </w:tr>
      <w:tr>
        <w:trPr>
          <w:cantSplit/>
        </w:trPr>
        <w:tc>
          <w:tcPr>
            <w:tcW w:w="5953" w:type="dxa"/>
          </w:tcPr>
          <w:p>
            <w:pPr>
              <w:pStyle w:val="Table"/>
              <w:keepNext/>
              <w:keepLines/>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207"/>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spacing w:before="240"/>
      </w:pPr>
      <w:bookmarkStart w:id="44" w:name="_Toc75340759"/>
      <w:bookmarkStart w:id="45" w:name="_Toc74745783"/>
      <w:r>
        <w:rPr>
          <w:rStyle w:val="CharSectno"/>
        </w:rPr>
        <w:t>5CA</w:t>
      </w:r>
      <w:r>
        <w:t>.</w:t>
      </w:r>
      <w:r>
        <w:tab/>
        <w:t>Modified application of section 30(2)(a) of Act</w:t>
      </w:r>
      <w:bookmarkEnd w:id="44"/>
      <w:bookmarkEnd w:id="45"/>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46" w:name="_Toc75340760"/>
      <w:bookmarkStart w:id="47" w:name="_Toc74745784"/>
      <w:r>
        <w:rPr>
          <w:rStyle w:val="CharSectno"/>
        </w:rPr>
        <w:t>5C</w:t>
      </w:r>
      <w:r>
        <w:t>.</w:t>
      </w:r>
      <w:r>
        <w:tab/>
        <w:t>Exemption from section 33 of Act for employment</w:t>
      </w:r>
      <w:r>
        <w:noBreakHyphen/>
        <w:t>linked residential tenancy agreements</w:t>
      </w:r>
      <w:bookmarkEnd w:id="46"/>
      <w:bookmarkEnd w:id="47"/>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48" w:name="_Toc75340761"/>
      <w:bookmarkStart w:id="49" w:name="_Toc74745785"/>
      <w:r>
        <w:rPr>
          <w:rStyle w:val="CharSectno"/>
        </w:rPr>
        <w:t>5D</w:t>
      </w:r>
      <w:r>
        <w:t>.</w:t>
      </w:r>
      <w:r>
        <w:tab/>
        <w:t xml:space="preserve">Exemption for certain agreements under </w:t>
      </w:r>
      <w:r>
        <w:rPr>
          <w:i/>
        </w:rPr>
        <w:t>Land Administration Act 1997</w:t>
      </w:r>
      <w:bookmarkEnd w:id="48"/>
      <w:bookmarkEnd w:id="49"/>
    </w:p>
    <w:p>
      <w:pPr>
        <w:pStyle w:val="Subsection"/>
        <w:spacing w:before="150"/>
      </w:pPr>
      <w:r>
        <w:tab/>
        <w:t>(1)</w:t>
      </w:r>
      <w:r>
        <w:tab/>
        <w:t>The Minister for Lands in the exercise of a specified power is prescribed for the purposes of section 5(2)(f) of the Act.</w:t>
      </w:r>
    </w:p>
    <w:p>
      <w:pPr>
        <w:pStyle w:val="Subsection"/>
        <w:keepNext/>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50" w:name="_Toc75340762"/>
      <w:bookmarkStart w:id="51" w:name="_Toc74745786"/>
      <w:r>
        <w:rPr>
          <w:rStyle w:val="CharSectno"/>
        </w:rPr>
        <w:t>6</w:t>
      </w:r>
      <w:r>
        <w:t>.</w:t>
      </w:r>
      <w:r>
        <w:tab/>
        <w:t>Modified application of section 43(3) of Act when Housing Authority is lessor of premises outside metropolitan region</w:t>
      </w:r>
      <w:bookmarkEnd w:id="50"/>
      <w:bookmarkEnd w:id="51"/>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pPr>
      <w:bookmarkStart w:id="52" w:name="_Toc75340763"/>
      <w:bookmarkStart w:id="53" w:name="_Toc74745787"/>
      <w:r>
        <w:rPr>
          <w:rStyle w:val="CharSectno"/>
        </w:rPr>
        <w:t>6A</w:t>
      </w:r>
      <w:r>
        <w:t>.</w:t>
      </w:r>
      <w:r>
        <w:tab/>
        <w:t>Modified application of s. 71AD(2) of Act when Housing Authority is lessor of premises</w:t>
      </w:r>
      <w:bookmarkEnd w:id="52"/>
      <w:bookmarkEnd w:id="53"/>
    </w:p>
    <w:p>
      <w:pPr>
        <w:pStyle w:val="Subsection"/>
      </w:pPr>
      <w:r>
        <w:tab/>
        <w:t>(1)</w:t>
      </w:r>
      <w:r>
        <w:tab/>
        <w:t>This regulation applies to a residential tenancy agreement under which the Housing Authority is the lessor.</w:t>
      </w:r>
    </w:p>
    <w:p>
      <w:pPr>
        <w:pStyle w:val="Subsection"/>
        <w:keepNext/>
      </w:pPr>
      <w:r>
        <w:tab/>
        <w:t>(2)</w:t>
      </w:r>
      <w:r>
        <w:tab/>
        <w:t>Under section 6(a) of the Act it is provided that section 71AD(2) of the Act applies to a residential tenancy agreement as if it were modified by deleting “7 days” and inserting:</w:t>
      </w:r>
    </w:p>
    <w:p>
      <w:pPr>
        <w:pStyle w:val="BlankOpen"/>
      </w:pPr>
    </w:p>
    <w:p>
      <w:pPr>
        <w:pStyle w:val="Subsection"/>
      </w:pPr>
      <w:r>
        <w:tab/>
      </w:r>
      <w:r>
        <w:tab/>
        <w:t>14 days</w:t>
      </w:r>
    </w:p>
    <w:p>
      <w:pPr>
        <w:pStyle w:val="BlankClose"/>
      </w:pPr>
    </w:p>
    <w:p>
      <w:pPr>
        <w:pStyle w:val="Footnotesection"/>
        <w:keepLines w:val="0"/>
        <w:spacing w:before="0"/>
        <w:ind w:left="890" w:hanging="890"/>
      </w:pPr>
      <w:r>
        <w:tab/>
        <w:t>[Regulation 6A inserted: Gazette 9 Apr 2019 p. 1043.]</w:t>
      </w:r>
    </w:p>
    <w:p>
      <w:pPr>
        <w:pStyle w:val="Heading5"/>
        <w:spacing w:before="280"/>
      </w:pPr>
      <w:bookmarkStart w:id="54" w:name="_Toc75340764"/>
      <w:bookmarkStart w:id="55" w:name="_Toc74745788"/>
      <w:r>
        <w:rPr>
          <w:rStyle w:val="CharSectno"/>
        </w:rPr>
        <w:t>7A</w:t>
      </w:r>
      <w:r>
        <w:t>.</w:t>
      </w:r>
      <w:r>
        <w:tab/>
        <w:t>Modified application of s. 45(1) of Act</w:t>
      </w:r>
      <w:bookmarkEnd w:id="54"/>
      <w:bookmarkEnd w:id="55"/>
    </w:p>
    <w:p>
      <w:pPr>
        <w:pStyle w:val="Subsection"/>
        <w:keepNext/>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45(1)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45(1)(a)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 amended: Gazette 9 Apr 2019 p. 1043.]</w:t>
      </w:r>
    </w:p>
    <w:p>
      <w:pPr>
        <w:pStyle w:val="Heading5"/>
        <w:spacing w:before="180"/>
      </w:pPr>
      <w:bookmarkStart w:id="56" w:name="_Toc75340765"/>
      <w:bookmarkStart w:id="57" w:name="_Toc74745789"/>
      <w:r>
        <w:rPr>
          <w:rStyle w:val="CharSectno"/>
        </w:rPr>
        <w:t>7B</w:t>
      </w:r>
      <w:r>
        <w:t>.</w:t>
      </w:r>
      <w:r>
        <w:tab/>
        <w:t>Modified application of section 47(1)(b) of Act for Housing Authority</w:t>
      </w:r>
      <w:bookmarkEnd w:id="56"/>
      <w:bookmarkEnd w:id="57"/>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58" w:name="_Toc75340766"/>
      <w:bookmarkStart w:id="59" w:name="_Toc74745790"/>
      <w:r>
        <w:rPr>
          <w:rStyle w:val="CharSectno"/>
        </w:rPr>
        <w:t>7C</w:t>
      </w:r>
      <w:r>
        <w:t>.</w:t>
      </w:r>
      <w:r>
        <w:tab/>
        <w:t>Modified application of s. 60(1) of Act</w:t>
      </w:r>
      <w:bookmarkEnd w:id="58"/>
      <w:bookmarkEnd w:id="59"/>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60(1)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 amended: Gazette 9 Apr 2019 p. 1043.]</w:t>
      </w:r>
    </w:p>
    <w:p>
      <w:pPr>
        <w:pStyle w:val="Heading5"/>
      </w:pPr>
      <w:bookmarkStart w:id="60" w:name="_Toc75340767"/>
      <w:bookmarkStart w:id="61" w:name="_Toc74745791"/>
      <w:r>
        <w:rPr>
          <w:rStyle w:val="CharSectno"/>
        </w:rPr>
        <w:t>7D</w:t>
      </w:r>
      <w:r>
        <w:t>.</w:t>
      </w:r>
      <w:r>
        <w:tab/>
        <w:t>Modified application of section 70A of Act for Foyer Oxford</w:t>
      </w:r>
      <w:bookmarkEnd w:id="60"/>
      <w:bookmarkEnd w:id="61"/>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62" w:name="_Toc75340768"/>
      <w:bookmarkStart w:id="63" w:name="_Toc74745792"/>
      <w:r>
        <w:rPr>
          <w:rStyle w:val="CharSectno"/>
        </w:rPr>
        <w:t>7E</w:t>
      </w:r>
      <w:r>
        <w:t>.</w:t>
      </w:r>
      <w:r>
        <w:tab/>
        <w:t>Modified application of section 72 of Act</w:t>
      </w:r>
      <w:bookmarkEnd w:id="62"/>
      <w:bookmarkEnd w:id="63"/>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64" w:name="_Toc75340769"/>
      <w:bookmarkStart w:id="65" w:name="_Toc74745793"/>
      <w:r>
        <w:rPr>
          <w:rStyle w:val="CharSectno"/>
        </w:rPr>
        <w:t>7F</w:t>
      </w:r>
      <w:r>
        <w:t>.</w:t>
      </w:r>
      <w:r>
        <w:tab/>
        <w:t>Exemption from section 82 of Act</w:t>
      </w:r>
      <w:bookmarkEnd w:id="64"/>
      <w:bookmarkEnd w:id="65"/>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66" w:name="_Toc75340770"/>
      <w:bookmarkStart w:id="67" w:name="_Toc74745794"/>
      <w:r>
        <w:rPr>
          <w:rStyle w:val="CharSectno"/>
        </w:rPr>
        <w:t>7G</w:t>
      </w:r>
      <w:r>
        <w:t>.</w:t>
      </w:r>
      <w:r>
        <w:tab/>
        <w:t>Modified application of section 93 of Act for Housing Authority</w:t>
      </w:r>
      <w:bookmarkEnd w:id="66"/>
      <w:bookmarkEnd w:id="67"/>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68" w:name="_Toc75340771"/>
      <w:bookmarkStart w:id="69" w:name="_Toc74745795"/>
      <w:r>
        <w:rPr>
          <w:rStyle w:val="CharSectno"/>
        </w:rPr>
        <w:t>7H</w:t>
      </w:r>
      <w:r>
        <w:t>.</w:t>
      </w:r>
      <w:r>
        <w:tab/>
        <w:t>Modified application of Schedule 1 clauses 5A and 5 of Act</w:t>
      </w:r>
      <w:bookmarkEnd w:id="68"/>
      <w:bookmarkEnd w:id="69"/>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keepNext/>
      </w:pPr>
      <w:r>
        <w:tab/>
        <w:t>(a)</w:t>
      </w:r>
      <w:r>
        <w:tab/>
        <w:t>in subclause (1)(a) before “</w:t>
      </w:r>
      <w:r>
        <w:rPr>
          <w:sz w:val="22"/>
          <w:szCs w:val="22"/>
        </w:rPr>
        <w:t>an application</w:t>
      </w:r>
      <w:r>
        <w:t>” by inserting:</w:t>
      </w:r>
    </w:p>
    <w:p>
      <w:pPr>
        <w:pStyle w:val="BlankOpen"/>
      </w:pPr>
    </w:p>
    <w:p>
      <w:pPr>
        <w:pStyle w:val="Indenta"/>
        <w:keepNext/>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70" w:name="_Toc75183146"/>
      <w:bookmarkStart w:id="71" w:name="_Toc75253601"/>
      <w:bookmarkStart w:id="72" w:name="_Toc75340772"/>
      <w:bookmarkStart w:id="73" w:name="_Toc74648096"/>
      <w:bookmarkStart w:id="74" w:name="_Toc74648342"/>
      <w:bookmarkStart w:id="75" w:name="_Toc74648401"/>
      <w:bookmarkStart w:id="76" w:name="_Toc74745796"/>
      <w:r>
        <w:rPr>
          <w:rStyle w:val="CharPartNo"/>
        </w:rPr>
        <w:t>Part 3</w:t>
      </w:r>
      <w:r>
        <w:rPr>
          <w:rStyle w:val="CharDivNo"/>
        </w:rPr>
        <w:t> </w:t>
      </w:r>
      <w:r>
        <w:t>—</w:t>
      </w:r>
      <w:r>
        <w:rPr>
          <w:rStyle w:val="CharDivText"/>
        </w:rPr>
        <w:t> </w:t>
      </w:r>
      <w:r>
        <w:rPr>
          <w:rStyle w:val="CharPartText"/>
        </w:rPr>
        <w:t>Other matters</w:t>
      </w:r>
      <w:bookmarkEnd w:id="70"/>
      <w:bookmarkEnd w:id="71"/>
      <w:bookmarkEnd w:id="72"/>
      <w:bookmarkEnd w:id="73"/>
      <w:bookmarkEnd w:id="74"/>
      <w:bookmarkEnd w:id="75"/>
      <w:bookmarkEnd w:id="76"/>
    </w:p>
    <w:p>
      <w:pPr>
        <w:pStyle w:val="Footnoteheading"/>
      </w:pPr>
      <w:r>
        <w:tab/>
        <w:t>[Heading inserted: Gazette 3 May 2013 p. 1749.]</w:t>
      </w:r>
    </w:p>
    <w:p>
      <w:pPr>
        <w:pStyle w:val="Heading5"/>
        <w:rPr>
          <w:snapToGrid w:val="0"/>
        </w:rPr>
      </w:pPr>
      <w:bookmarkStart w:id="77" w:name="_Toc75340773"/>
      <w:bookmarkStart w:id="78" w:name="_Toc74745797"/>
      <w:r>
        <w:rPr>
          <w:rStyle w:val="CharSectno"/>
        </w:rPr>
        <w:t>7</w:t>
      </w:r>
      <w:r>
        <w:rPr>
          <w:snapToGrid w:val="0"/>
        </w:rPr>
        <w:t>.</w:t>
      </w:r>
      <w:r>
        <w:rPr>
          <w:snapToGrid w:val="0"/>
        </w:rPr>
        <w:tab/>
        <w:t>Applications prescribed for the purposes of section 13A(2)(a) of Act</w:t>
      </w:r>
      <w:bookmarkEnd w:id="77"/>
      <w:bookmarkEnd w:id="78"/>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the Magistrates Court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79" w:name="_Toc75340774"/>
      <w:bookmarkStart w:id="80" w:name="_Toc74745798"/>
      <w:r>
        <w:rPr>
          <w:rStyle w:val="CharSectno"/>
        </w:rPr>
        <w:t>9</w:t>
      </w:r>
      <w:r>
        <w:rPr>
          <w:snapToGrid w:val="0"/>
        </w:rPr>
        <w:t>.</w:t>
      </w:r>
      <w:r>
        <w:rPr>
          <w:snapToGrid w:val="0"/>
        </w:rPr>
        <w:tab/>
        <w:t>Determination of nearest Magistrates Court</w:t>
      </w:r>
      <w:bookmarkEnd w:id="79"/>
      <w:bookmarkEnd w:id="80"/>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81" w:name="_Toc75340775"/>
      <w:bookmarkStart w:id="82" w:name="_Toc74745799"/>
      <w:r>
        <w:rPr>
          <w:rStyle w:val="CharSectno"/>
        </w:rPr>
        <w:t>10</w:t>
      </w:r>
      <w:r>
        <w:rPr>
          <w:snapToGrid w:val="0"/>
        </w:rPr>
        <w:t>.</w:t>
      </w:r>
      <w:r>
        <w:rPr>
          <w:snapToGrid w:val="0"/>
        </w:rPr>
        <w:tab/>
        <w:t>Scale of costs for section 24 of Act</w:t>
      </w:r>
      <w:bookmarkEnd w:id="81"/>
      <w:bookmarkEnd w:id="82"/>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3</w:t>
      </w:r>
      <w:r>
        <w:rPr>
          <w:snapToGrid w:val="0"/>
        </w:rPr>
        <w:t>.</w:t>
      </w:r>
    </w:p>
    <w:p>
      <w:pPr>
        <w:pStyle w:val="Footnotesection"/>
      </w:pPr>
      <w:r>
        <w:tab/>
        <w:t>[Regulation 10 amended: Gazette 19 Apr 2005 p. 1298; 29 Apr 2005 p. 1773.]</w:t>
      </w:r>
    </w:p>
    <w:p>
      <w:pPr>
        <w:pStyle w:val="Heading5"/>
      </w:pPr>
      <w:bookmarkStart w:id="83" w:name="_Toc75340776"/>
      <w:bookmarkStart w:id="84" w:name="_Toc74745800"/>
      <w:r>
        <w:rPr>
          <w:rStyle w:val="CharSectno"/>
        </w:rPr>
        <w:t>10AA</w:t>
      </w:r>
      <w:r>
        <w:t>.</w:t>
      </w:r>
      <w:r>
        <w:tab/>
        <w:t>Form of written residential tenancy agreement for section 27A of Act</w:t>
      </w:r>
      <w:bookmarkEnd w:id="83"/>
      <w:bookmarkEnd w:id="84"/>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85" w:name="_Toc75340777"/>
      <w:bookmarkStart w:id="86" w:name="_Toc74745801"/>
      <w:r>
        <w:rPr>
          <w:rStyle w:val="CharSectno"/>
        </w:rPr>
        <w:t>10AB</w:t>
      </w:r>
      <w:r>
        <w:t>.</w:t>
      </w:r>
      <w:r>
        <w:tab/>
        <w:t>Information to be given to tenant for section 27B of Act</w:t>
      </w:r>
      <w:bookmarkEnd w:id="85"/>
      <w:bookmarkEnd w:id="86"/>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87" w:name="_Toc75340778"/>
      <w:bookmarkStart w:id="88" w:name="_Toc74745802"/>
      <w:r>
        <w:rPr>
          <w:rStyle w:val="CharSectno"/>
        </w:rPr>
        <w:t>10AC</w:t>
      </w:r>
      <w:r>
        <w:t>.</w:t>
      </w:r>
      <w:r>
        <w:tab/>
        <w:t>Information to be included in property condition report for section 27C(6) of Act</w:t>
      </w:r>
      <w:bookmarkEnd w:id="87"/>
      <w:bookmarkEnd w:id="88"/>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89" w:name="_Toc75340779"/>
      <w:bookmarkStart w:id="90" w:name="_Toc74745803"/>
      <w:r>
        <w:rPr>
          <w:rStyle w:val="CharSectno"/>
        </w:rPr>
        <w:t>10AD</w:t>
      </w:r>
      <w:r>
        <w:t>.</w:t>
      </w:r>
      <w:r>
        <w:tab/>
        <w:t>Amount prescribed for section 27(2)(a) of Act</w:t>
      </w:r>
      <w:bookmarkEnd w:id="89"/>
      <w:bookmarkEnd w:id="90"/>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91" w:name="_Toc75340780"/>
      <w:bookmarkStart w:id="92" w:name="_Toc74745804"/>
      <w:r>
        <w:rPr>
          <w:rStyle w:val="CharSectno"/>
        </w:rPr>
        <w:t>10A</w:t>
      </w:r>
      <w:r>
        <w:rPr>
          <w:snapToGrid w:val="0"/>
        </w:rPr>
        <w:t>.</w:t>
      </w:r>
      <w:r>
        <w:rPr>
          <w:snapToGrid w:val="0"/>
        </w:rPr>
        <w:tab/>
        <w:t>Amount prescribed for section 29(1)(b)(ii) of Act</w:t>
      </w:r>
      <w:bookmarkEnd w:id="91"/>
      <w:bookmarkEnd w:id="92"/>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93" w:name="_Toc75340781"/>
      <w:bookmarkStart w:id="94" w:name="_Toc74745805"/>
      <w:r>
        <w:rPr>
          <w:rStyle w:val="CharSectno"/>
        </w:rPr>
        <w:t>11</w:t>
      </w:r>
      <w:r>
        <w:rPr>
          <w:snapToGrid w:val="0"/>
        </w:rPr>
        <w:t>.</w:t>
      </w:r>
      <w:r>
        <w:rPr>
          <w:snapToGrid w:val="0"/>
        </w:rPr>
        <w:tab/>
        <w:t>Amount prescribed for section 29(2) of Act</w:t>
      </w:r>
      <w:bookmarkEnd w:id="93"/>
      <w:bookmarkEnd w:id="94"/>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95" w:name="_Toc75340782"/>
      <w:bookmarkStart w:id="96" w:name="_Toc74745806"/>
      <w:r>
        <w:rPr>
          <w:rStyle w:val="CharSectno"/>
        </w:rPr>
        <w:t>12A</w:t>
      </w:r>
      <w:r>
        <w:t>.</w:t>
      </w:r>
      <w:r>
        <w:tab/>
        <w:t>Essential services prescribed for section 43(1) of Act</w:t>
      </w:r>
      <w:bookmarkEnd w:id="95"/>
      <w:bookmarkEnd w:id="96"/>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97" w:name="_Toc75340783"/>
      <w:bookmarkStart w:id="98" w:name="_Toc74745807"/>
      <w:r>
        <w:rPr>
          <w:rStyle w:val="CharSectno"/>
        </w:rPr>
        <w:t>12B</w:t>
      </w:r>
      <w:r>
        <w:t>.</w:t>
      </w:r>
      <w:r>
        <w:tab/>
        <w:t>Means to secure residential premises prescribed for s. 45(1)(a) of Act</w:t>
      </w:r>
      <w:bookmarkEnd w:id="97"/>
      <w:bookmarkEnd w:id="98"/>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45(1)(a)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rPr>
          <w:ins w:id="99" w:author="Master Repository Process" w:date="2021-09-12T15:00:00Z"/>
        </w:rPr>
      </w:pPr>
      <w:bookmarkStart w:id="100" w:name="_Hlk75183224"/>
      <w:r>
        <w:tab/>
        <w:t>(7)</w:t>
      </w:r>
      <w:r>
        <w:tab/>
        <w:t xml:space="preserve">Subregulation (6) does not apply to </w:t>
      </w:r>
      <w:ins w:id="101" w:author="Master Repository Process" w:date="2021-09-12T15:00:00Z">
        <w:r>
          <w:t xml:space="preserve">the following </w:t>
        </w:r>
      </w:ins>
      <w:r>
        <w:t>residential premises</w:t>
      </w:r>
      <w:del w:id="102" w:author="Master Repository Process" w:date="2021-09-12T15:00:00Z">
        <w:r>
          <w:delText xml:space="preserve"> to which the provisions of the </w:delText>
        </w:r>
        <w:r>
          <w:rPr>
            <w:i/>
          </w:rPr>
          <w:delText>Strata Titles Act 1985</w:delText>
        </w:r>
        <w:r>
          <w:delText xml:space="preserve"> apply </w:delText>
        </w:r>
      </w:del>
      <w:ins w:id="103" w:author="Master Repository Process" w:date="2021-09-12T15:00:00Z">
        <w:r>
          <w:t xml:space="preserve"> — </w:t>
        </w:r>
      </w:ins>
    </w:p>
    <w:p>
      <w:pPr>
        <w:pStyle w:val="Indenta"/>
      </w:pPr>
      <w:ins w:id="104" w:author="Master Repository Process" w:date="2021-09-12T15:00:00Z">
        <w:r>
          <w:tab/>
          <w:t>(a)</w:t>
        </w:r>
        <w:r>
          <w:tab/>
        </w:r>
      </w:ins>
      <w:r>
        <w:t>if the strata company relating to the premises provides and maintains adequate lighting, outside of daylight hours, to the main entry to the premises</w:t>
      </w:r>
      <w:del w:id="105" w:author="Master Repository Process" w:date="2021-09-12T15:00:00Z">
        <w:r>
          <w:delText>.</w:delText>
        </w:r>
      </w:del>
      <w:ins w:id="106" w:author="Master Repository Process" w:date="2021-09-12T15:00:00Z">
        <w:r>
          <w:t xml:space="preserve"> — residential premises to which the provisions of the </w:t>
        </w:r>
        <w:r>
          <w:rPr>
            <w:i/>
          </w:rPr>
          <w:t>Strata Titles Act 1985</w:t>
        </w:r>
        <w:r>
          <w:t xml:space="preserve"> apply; </w:t>
        </w:r>
      </w:ins>
    </w:p>
    <w:p>
      <w:pPr>
        <w:pStyle w:val="Indenta"/>
        <w:rPr>
          <w:ins w:id="107" w:author="Master Repository Process" w:date="2021-09-12T15:00:00Z"/>
        </w:rPr>
      </w:pPr>
      <w:ins w:id="108" w:author="Master Repository Process" w:date="2021-09-12T15:00:00Z">
        <w:r>
          <w:tab/>
          <w:t>(b)</w:t>
        </w:r>
        <w:r>
          <w:tab/>
          <w:t xml:space="preserve">if the community corporation for the community titles scheme relevant to the premises provides and maintains adequate lighting, outside of daylight hours, to the main entry to the premises — residential premises to which the provisions of the </w:t>
        </w:r>
        <w:r>
          <w:rPr>
            <w:i/>
          </w:rPr>
          <w:t>Community Titles Act 2018</w:t>
        </w:r>
        <w:r>
          <w:t xml:space="preserve"> apply.</w:t>
        </w:r>
      </w:ins>
    </w:p>
    <w:bookmarkEnd w:id="100"/>
    <w:p>
      <w:pPr>
        <w:pStyle w:val="Footnotesection"/>
        <w:spacing w:before="100"/>
      </w:pPr>
      <w:r>
        <w:tab/>
        <w:t>[Regulation 12B inserted: Gazette 3 May 2013 p. 1752-4; amended: Gazette 9 Apr 2019 p. 1044</w:t>
      </w:r>
      <w:ins w:id="109" w:author="Master Repository Process" w:date="2021-09-12T15:00:00Z">
        <w:r>
          <w:t>; SL 2021/71 r. 14</w:t>
        </w:r>
      </w:ins>
      <w:r>
        <w:t xml:space="preserve">.] </w:t>
      </w:r>
    </w:p>
    <w:p>
      <w:pPr>
        <w:pStyle w:val="Heading5"/>
      </w:pPr>
      <w:bookmarkStart w:id="110" w:name="_Toc75340784"/>
      <w:bookmarkStart w:id="111" w:name="_Toc74745808"/>
      <w:r>
        <w:rPr>
          <w:rStyle w:val="CharSectno"/>
        </w:rPr>
        <w:t>12BA</w:t>
      </w:r>
      <w:r>
        <w:t>.</w:t>
      </w:r>
      <w:r>
        <w:tab/>
        <w:t>Prescribed alterations for s. 47(4) of Act</w:t>
      </w:r>
      <w:bookmarkEnd w:id="110"/>
      <w:bookmarkEnd w:id="111"/>
    </w:p>
    <w:p>
      <w:pPr>
        <w:pStyle w:val="Subsection"/>
      </w:pPr>
      <w:r>
        <w:tab/>
      </w:r>
      <w:r>
        <w:tab/>
        <w:t xml:space="preserve">For the purposes of section 47(4) of the Act, prescribed alterations are the following — </w:t>
      </w:r>
    </w:p>
    <w:p>
      <w:pPr>
        <w:pStyle w:val="Indenta"/>
      </w:pPr>
      <w:r>
        <w:tab/>
        <w:t>(a)</w:t>
      </w:r>
      <w:r>
        <w:tab/>
        <w:t xml:space="preserve">the renovation, alteration or addition of any of the following — </w:t>
      </w:r>
    </w:p>
    <w:p>
      <w:pPr>
        <w:pStyle w:val="Indenti"/>
      </w:pPr>
      <w:r>
        <w:tab/>
        <w:t>(i)</w:t>
      </w:r>
      <w:r>
        <w:tab/>
        <w:t xml:space="preserve">security alarms and cameras; </w:t>
      </w:r>
    </w:p>
    <w:p>
      <w:pPr>
        <w:pStyle w:val="Indenti"/>
      </w:pPr>
      <w:r>
        <w:tab/>
        <w:t>(ii)</w:t>
      </w:r>
      <w:r>
        <w:tab/>
        <w:t>locks, screens and shutters on windows;</w:t>
      </w:r>
    </w:p>
    <w:p>
      <w:pPr>
        <w:pStyle w:val="Indenti"/>
      </w:pPr>
      <w:r>
        <w:tab/>
        <w:t>(iii)</w:t>
      </w:r>
      <w:r>
        <w:tab/>
        <w:t>security screens on doors;</w:t>
      </w:r>
    </w:p>
    <w:p>
      <w:pPr>
        <w:pStyle w:val="Indenti"/>
      </w:pPr>
      <w:r>
        <w:tab/>
        <w:t>(iv)</w:t>
      </w:r>
      <w:r>
        <w:tab/>
        <w:t>exterior lights;</w:t>
      </w:r>
    </w:p>
    <w:p>
      <w:pPr>
        <w:pStyle w:val="Indenti"/>
      </w:pPr>
      <w:r>
        <w:tab/>
        <w:t>(v)</w:t>
      </w:r>
      <w:r>
        <w:tab/>
        <w:t>locks on gates;</w:t>
      </w:r>
    </w:p>
    <w:p>
      <w:pPr>
        <w:pStyle w:val="Indenta"/>
        <w:keepNext/>
      </w:pPr>
      <w:r>
        <w:tab/>
        <w:t>(b)</w:t>
      </w:r>
      <w:r>
        <w:tab/>
        <w:t>the pruning of shrubs and trees to improve visibility around the residential premises.</w:t>
      </w:r>
    </w:p>
    <w:p>
      <w:pPr>
        <w:pStyle w:val="Footnotesection"/>
        <w:spacing w:before="100"/>
      </w:pPr>
      <w:r>
        <w:tab/>
        <w:t xml:space="preserve">[Regulation 12BA inserted: Gazette 9 Apr 2019 p. 1044.] </w:t>
      </w:r>
    </w:p>
    <w:p>
      <w:pPr>
        <w:pStyle w:val="Heading5"/>
        <w:spacing w:before="180"/>
      </w:pPr>
      <w:bookmarkStart w:id="112" w:name="_Toc75340785"/>
      <w:bookmarkStart w:id="113" w:name="_Toc74745809"/>
      <w:r>
        <w:rPr>
          <w:rStyle w:val="CharSectno"/>
        </w:rPr>
        <w:t>12C</w:t>
      </w:r>
      <w:r>
        <w:t>.</w:t>
      </w:r>
      <w:r>
        <w:tab/>
        <w:t>Social housing tenancy agreement for the purposes of section 71A of Act</w:t>
      </w:r>
      <w:bookmarkEnd w:id="112"/>
      <w:bookmarkEnd w:id="113"/>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114" w:name="_Toc75340786"/>
      <w:bookmarkStart w:id="115" w:name="_Toc74745810"/>
      <w:r>
        <w:rPr>
          <w:rStyle w:val="CharSectno"/>
        </w:rPr>
        <w:t>12CA</w:t>
      </w:r>
      <w:r>
        <w:t>.</w:t>
      </w:r>
      <w:r>
        <w:tab/>
        <w:t>Prescribed person for s. 71AB(2)(d)(vi) of Act</w:t>
      </w:r>
      <w:bookmarkEnd w:id="114"/>
      <w:bookmarkEnd w:id="115"/>
    </w:p>
    <w:p>
      <w:pPr>
        <w:pStyle w:val="Subsection"/>
      </w:pPr>
      <w:r>
        <w:tab/>
      </w:r>
      <w:r>
        <w:tab/>
        <w:t xml:space="preserve">For the purposes of section 71AB(2)(d)(vi) of the Act, the following are prescribed — </w:t>
      </w:r>
    </w:p>
    <w:p>
      <w:pPr>
        <w:pStyle w:val="Indenta"/>
      </w:pPr>
      <w:r>
        <w:tab/>
        <w:t>(a)</w:t>
      </w:r>
      <w:r>
        <w:tab/>
        <w:t>a person in charge of an Aboriginal legal, health or welfare organisation;</w:t>
      </w:r>
    </w:p>
    <w:p>
      <w:pPr>
        <w:pStyle w:val="Indenta"/>
      </w:pPr>
      <w:r>
        <w:tab/>
        <w:t>(b)</w:t>
      </w:r>
      <w:r>
        <w:tab/>
        <w:t xml:space="preserve">an officer as defined in the </w:t>
      </w:r>
      <w:r>
        <w:rPr>
          <w:i/>
        </w:rPr>
        <w:t>Children and Community Services Act 2004</w:t>
      </w:r>
      <w:r>
        <w:t xml:space="preserve"> section 3 who is authorised for the purposes of this paragraph by the CEO as defined in that section;</w:t>
      </w:r>
    </w:p>
    <w:p>
      <w:pPr>
        <w:pStyle w:val="Indenta"/>
      </w:pPr>
      <w:r>
        <w:tab/>
        <w:t>(c)</w:t>
      </w:r>
      <w:r>
        <w:tab/>
        <w:t xml:space="preserve">a person employed as a family support worker by another person with whom the Minister administering the </w:t>
      </w:r>
      <w:r>
        <w:rPr>
          <w:i/>
        </w:rPr>
        <w:t>Children and Community Services Act 2004</w:t>
      </w:r>
      <w:r>
        <w:t xml:space="preserve"> has entered into an agreement under section 15 of that Act.</w:t>
      </w:r>
    </w:p>
    <w:p>
      <w:pPr>
        <w:pStyle w:val="Footnotesection"/>
        <w:spacing w:before="100"/>
      </w:pPr>
      <w:r>
        <w:tab/>
        <w:t xml:space="preserve">[Regulation 12CA inserted: Gazette 9 Apr 2019 p. 1044.] </w:t>
      </w:r>
    </w:p>
    <w:p>
      <w:pPr>
        <w:pStyle w:val="Heading5"/>
      </w:pPr>
      <w:bookmarkStart w:id="116" w:name="_Toc75340787"/>
      <w:bookmarkStart w:id="117" w:name="_Toc74745811"/>
      <w:r>
        <w:rPr>
          <w:rStyle w:val="CharSectno"/>
        </w:rPr>
        <w:t>12D</w:t>
      </w:r>
      <w:r>
        <w:t>.</w:t>
      </w:r>
      <w:r>
        <w:tab/>
        <w:t>Manner prescribed for purposes of section 79(3)(b) of Act</w:t>
      </w:r>
      <w:bookmarkEnd w:id="116"/>
      <w:bookmarkEnd w:id="117"/>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118" w:name="_Toc75340788"/>
      <w:bookmarkStart w:id="119" w:name="_Toc74745812"/>
      <w:r>
        <w:rPr>
          <w:rStyle w:val="CharSectno"/>
        </w:rPr>
        <w:t>12E</w:t>
      </w:r>
      <w:r>
        <w:t>.</w:t>
      </w:r>
      <w:r>
        <w:tab/>
        <w:t>Information prescribed for section 79(10) of Act</w:t>
      </w:r>
      <w:bookmarkEnd w:id="118"/>
      <w:bookmarkEnd w:id="119"/>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120" w:name="_Toc75340789"/>
      <w:bookmarkStart w:id="121" w:name="_Toc74745813"/>
      <w:r>
        <w:rPr>
          <w:rStyle w:val="CharSectno"/>
        </w:rPr>
        <w:t>12</w:t>
      </w:r>
      <w:r>
        <w:t>.</w:t>
      </w:r>
      <w:r>
        <w:tab/>
        <w:t>Manner prescribed for purposes of section 85(3)(c) of Act</w:t>
      </w:r>
      <w:bookmarkEnd w:id="120"/>
      <w:bookmarkEnd w:id="121"/>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122" w:name="_Toc75340790"/>
      <w:bookmarkStart w:id="123" w:name="_Toc74745814"/>
      <w:r>
        <w:rPr>
          <w:rStyle w:val="CharSectno"/>
        </w:rPr>
        <w:t>13</w:t>
      </w:r>
      <w:r>
        <w:t>.</w:t>
      </w:r>
      <w:r>
        <w:tab/>
        <w:t>Infringement notices</w:t>
      </w:r>
      <w:bookmarkEnd w:id="122"/>
      <w:bookmarkEnd w:id="123"/>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124" w:name="_Toc75340791"/>
      <w:bookmarkStart w:id="125" w:name="_Toc74745815"/>
      <w:r>
        <w:rPr>
          <w:rStyle w:val="CharSectno"/>
        </w:rPr>
        <w:t>14</w:t>
      </w:r>
      <w:r>
        <w:t>.</w:t>
      </w:r>
      <w:r>
        <w:tab/>
        <w:t>Matters prescribed for section 94 of Act</w:t>
      </w:r>
      <w:bookmarkEnd w:id="124"/>
      <w:bookmarkEnd w:id="125"/>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126" w:name="_Toc75340792"/>
      <w:bookmarkStart w:id="127" w:name="_Toc74745816"/>
      <w:r>
        <w:rPr>
          <w:rStyle w:val="CharSectno"/>
        </w:rPr>
        <w:t>15</w:t>
      </w:r>
      <w:r>
        <w:rPr>
          <w:snapToGrid w:val="0"/>
        </w:rPr>
        <w:t>.</w:t>
      </w:r>
      <w:r>
        <w:rPr>
          <w:snapToGrid w:val="0"/>
        </w:rPr>
        <w:tab/>
        <w:t>Disposal of unclaimed security bonds</w:t>
      </w:r>
      <w:bookmarkEnd w:id="126"/>
      <w:bookmarkEnd w:id="127"/>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4</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keepLines/>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5</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128" w:name="_Toc75340793"/>
      <w:bookmarkStart w:id="129" w:name="_Toc74745817"/>
      <w:r>
        <w:rPr>
          <w:rStyle w:val="CharSectno"/>
        </w:rPr>
        <w:t>17</w:t>
      </w:r>
      <w:r>
        <w:rPr>
          <w:snapToGrid w:val="0"/>
        </w:rPr>
        <w:t>.</w:t>
      </w:r>
      <w:r>
        <w:rPr>
          <w:snapToGrid w:val="0"/>
        </w:rPr>
        <w:tab/>
        <w:t>Fees prescribed</w:t>
      </w:r>
      <w:bookmarkEnd w:id="128"/>
      <w:bookmarkEnd w:id="129"/>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130" w:name="_Toc75340794"/>
      <w:bookmarkStart w:id="131" w:name="_Toc74745818"/>
      <w:r>
        <w:rPr>
          <w:rStyle w:val="CharSectno"/>
        </w:rPr>
        <w:t>18</w:t>
      </w:r>
      <w:r>
        <w:t>.</w:t>
      </w:r>
      <w:r>
        <w:tab/>
        <w:t>Forms</w:t>
      </w:r>
      <w:bookmarkEnd w:id="130"/>
      <w:bookmarkEnd w:id="131"/>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2" w:name="_Toc75183169"/>
      <w:bookmarkStart w:id="133" w:name="_Toc75253624"/>
      <w:bookmarkStart w:id="134" w:name="_Toc75340795"/>
      <w:bookmarkStart w:id="135" w:name="_Toc74648119"/>
      <w:bookmarkStart w:id="136" w:name="_Toc74648365"/>
      <w:bookmarkStart w:id="137" w:name="_Toc74648424"/>
      <w:bookmarkStart w:id="138" w:name="_Toc74745819"/>
      <w:r>
        <w:rPr>
          <w:rStyle w:val="CharSchNo"/>
        </w:rPr>
        <w:t>Schedule 3</w:t>
      </w:r>
      <w:bookmarkEnd w:id="132"/>
      <w:bookmarkEnd w:id="133"/>
      <w:bookmarkEnd w:id="134"/>
      <w:bookmarkEnd w:id="135"/>
      <w:bookmarkEnd w:id="136"/>
      <w:bookmarkEnd w:id="137"/>
      <w:bookmarkEnd w:id="138"/>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20.50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71.50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19.10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0.65</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4.20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3.20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0.75</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3.20</w:t>
            </w:r>
          </w:p>
        </w:tc>
      </w:tr>
    </w:tbl>
    <w:p>
      <w:pPr>
        <w:pStyle w:val="yFootnotesection"/>
      </w:pPr>
      <w:r>
        <w:tab/>
        <w:t>[Schedule 3 amended: Gazette 29 Apr 2005 p. 1774</w:t>
      </w:r>
      <w:r>
        <w:noBreakHyphen/>
        <w:t>5; 29 Dec 2015 p. 5171; 3 Jun 2016 p. 1771; 23 Jun 2017 p. 3251; 8 Dec 2017 p. 5843; 25 Jun 2018 p. 2352; 18 Jun 2019 p. 2112.]</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40" w:name="_Toc75183170"/>
      <w:bookmarkStart w:id="141" w:name="_Toc75253625"/>
      <w:bookmarkStart w:id="142" w:name="_Toc75340796"/>
      <w:bookmarkStart w:id="143" w:name="_Toc74648120"/>
      <w:bookmarkStart w:id="144" w:name="_Toc74648366"/>
      <w:bookmarkStart w:id="145" w:name="_Toc74648425"/>
      <w:bookmarkStart w:id="146" w:name="_Toc74745820"/>
      <w:r>
        <w:rPr>
          <w:rStyle w:val="CharSchNo"/>
        </w:rPr>
        <w:t>Schedule 4</w:t>
      </w:r>
      <w:r>
        <w:rPr>
          <w:rStyle w:val="CharSDivNo"/>
        </w:rPr>
        <w:t> </w:t>
      </w:r>
      <w:r>
        <w:t>—</w:t>
      </w:r>
      <w:r>
        <w:rPr>
          <w:rStyle w:val="CharSDivText"/>
        </w:rPr>
        <w:t> </w:t>
      </w:r>
      <w:r>
        <w:rPr>
          <w:rStyle w:val="CharSchText"/>
        </w:rPr>
        <w:t>Forms</w:t>
      </w:r>
      <w:bookmarkEnd w:id="140"/>
      <w:bookmarkEnd w:id="141"/>
      <w:bookmarkEnd w:id="142"/>
      <w:bookmarkEnd w:id="143"/>
      <w:bookmarkEnd w:id="144"/>
      <w:bookmarkEnd w:id="145"/>
      <w:bookmarkEnd w:id="146"/>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rPr>
        <w:t>STRATA TITLES SCHEME BY</w:t>
      </w:r>
      <w:r>
        <w:rPr>
          <w:b/>
        </w:rPr>
        <w:noBreakHyphen/>
        <w:t>LAWS</w:t>
      </w:r>
    </w:p>
    <w:p>
      <w:pPr>
        <w:pStyle w:val="yMiscellaneousBody"/>
      </w:pPr>
      <w:r>
        <w:rPr>
          <w:szCs w:val="22"/>
        </w:rPr>
        <w:t>Strata titles scheme by</w:t>
      </w:r>
      <w:r>
        <w:rPr>
          <w:szCs w:val="22"/>
        </w:rPr>
        <w:noBreakHyphen/>
        <w:t>laws</w:t>
      </w:r>
      <w:r>
        <w:t xml:space="preserve"> ARE/ARE NOT* (</w:t>
      </w:r>
      <w:r>
        <w:rPr>
          <w:i/>
        </w:rPr>
        <w:t>* delete as appropriate</w:t>
      </w:r>
      <w:r>
        <w:t>) applicable to the residential premises.  A copy of the by</w:t>
      </w:r>
      <w:r>
        <w:noBreakHyphen/>
        <w:t xml:space="preserve">laws </w:t>
      </w:r>
      <w:del w:id="147" w:author="Master Repository Process" w:date="2021-09-12T15:00:00Z">
        <w:r>
          <w:delText>are</w:delText>
        </w:r>
      </w:del>
      <w:ins w:id="148" w:author="Master Repository Process" w:date="2021-09-12T15:00:00Z">
        <w:r>
          <w:t>is</w:t>
        </w:r>
      </w:ins>
      <w:r>
        <w:t xml:space="preserve"> attached:</w:t>
      </w:r>
      <w:r>
        <w:br/>
        <w:t xml:space="preserve">Yes </w:t>
      </w:r>
      <w:r>
        <w:sym w:font="Wingdings" w:char="F06F"/>
      </w:r>
      <w:r>
        <w:t xml:space="preserve">/No </w:t>
      </w:r>
      <w:r>
        <w:sym w:font="Wingdings" w:char="F06F"/>
      </w:r>
    </w:p>
    <w:p>
      <w:pPr>
        <w:pStyle w:val="yMiscellaneousBody"/>
        <w:keepNext/>
        <w:rPr>
          <w:ins w:id="149" w:author="Master Repository Process" w:date="2021-09-12T15:00:00Z"/>
          <w:b/>
        </w:rPr>
      </w:pPr>
      <w:ins w:id="150" w:author="Master Repository Process" w:date="2021-09-12T15:00:00Z">
        <w:r>
          <w:rPr>
            <w:b/>
          </w:rPr>
          <w:t>SCHEME BY</w:t>
        </w:r>
        <w:r>
          <w:rPr>
            <w:b/>
          </w:rPr>
          <w:noBreakHyphen/>
          <w:t>LAWS FOR A COMMUNITY TITLES SCHEME</w:t>
        </w:r>
      </w:ins>
    </w:p>
    <w:p>
      <w:pPr>
        <w:pStyle w:val="yMiscellaneousBody"/>
        <w:rPr>
          <w:ins w:id="151" w:author="Master Repository Process" w:date="2021-09-12T15:00:00Z"/>
        </w:rPr>
      </w:pPr>
      <w:ins w:id="152" w:author="Master Repository Process" w:date="2021-09-12T15:00:00Z">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 xml:space="preserve">Community Titles Act 2018 </w:t>
        </w:r>
        <w:r>
          <w:t>section 3(1).</w:t>
        </w:r>
      </w:ins>
    </w:p>
    <w:p>
      <w:pPr>
        <w:pStyle w:val="yMiscellaneousBody"/>
        <w:rPr>
          <w:ins w:id="153" w:author="Master Repository Process" w:date="2021-09-12T15:00:00Z"/>
        </w:rPr>
      </w:pPr>
      <w:ins w:id="154" w:author="Master Repository Process" w:date="2021-09-12T15:00:00Z">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ins>
    </w:p>
    <w:p>
      <w:pPr>
        <w:pStyle w:val="yMiscellaneousBody"/>
        <w:rPr>
          <w:ins w:id="155" w:author="Master Repository Process" w:date="2021-09-12T15:00:00Z"/>
        </w:rPr>
      </w:pPr>
      <w:ins w:id="156" w:author="Master Repository Process" w:date="2021-09-12T15:00:00Z">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ins>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del w:id="157" w:author="Master Repository Process" w:date="2021-09-12T15:00:00Z">
        <w:r>
          <w:delText xml:space="preserve">  The lessor is responsible for any contribution levied under the </w:delText>
        </w:r>
        <w:r>
          <w:rPr>
            <w:i/>
          </w:rPr>
          <w:delText>Strata Titles Act 1985</w:delText>
        </w:r>
        <w:r>
          <w:delText xml:space="preserve"> and any contribution levied on </w:delText>
        </w:r>
        <w:r>
          <w:rPr>
            <w:szCs w:val="22"/>
          </w:rPr>
          <w:delText>an owner</w:delText>
        </w:r>
        <w:r>
          <w:delText xml:space="preserve"> under the </w:delText>
        </w:r>
        <w:r>
          <w:rPr>
            <w:i/>
          </w:rPr>
          <w:delText>Strata Titles Act 1985</w:delText>
        </w:r>
        <w:r>
          <w:delText>.</w:delText>
        </w:r>
      </w:del>
    </w:p>
    <w:p>
      <w:pPr>
        <w:pStyle w:val="yMiscellaneousBody"/>
        <w:keepNext/>
        <w:ind w:left="567" w:hanging="567"/>
        <w:rPr>
          <w:ins w:id="158" w:author="Master Repository Process" w:date="2021-09-12T15:00:00Z"/>
        </w:rPr>
      </w:pPr>
      <w:ins w:id="159" w:author="Master Repository Process" w:date="2021-09-12T15:00:00Z">
        <w:r>
          <w:t>9A.</w:t>
        </w:r>
        <w:r>
          <w:tab/>
          <w:t>The lessor is responsible for any of the following contributions in respect of the premises:</w:t>
        </w:r>
      </w:ins>
    </w:p>
    <w:p>
      <w:pPr>
        <w:pStyle w:val="yMiscellaneousBody"/>
        <w:tabs>
          <w:tab w:val="left" w:pos="567"/>
          <w:tab w:val="left" w:pos="1276"/>
        </w:tabs>
        <w:ind w:left="1276" w:hanging="1276"/>
        <w:rPr>
          <w:ins w:id="160" w:author="Master Repository Process" w:date="2021-09-12T15:00:00Z"/>
        </w:rPr>
      </w:pPr>
      <w:ins w:id="161" w:author="Master Repository Process" w:date="2021-09-12T15:00:00Z">
        <w:r>
          <w:tab/>
          <w:t>9A.1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ins>
    </w:p>
    <w:p>
      <w:pPr>
        <w:pStyle w:val="yMiscellaneousBody"/>
        <w:tabs>
          <w:tab w:val="left" w:pos="567"/>
          <w:tab w:val="left" w:pos="1276"/>
        </w:tabs>
        <w:ind w:left="1276" w:hanging="1276"/>
        <w:rPr>
          <w:ins w:id="162" w:author="Master Repository Process" w:date="2021-09-12T15:00:00Z"/>
        </w:rPr>
      </w:pPr>
      <w:ins w:id="163" w:author="Master Repository Process" w:date="2021-09-12T15:00:00Z">
        <w:r>
          <w:tab/>
          <w:t>9A.2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ins>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w:t>
      </w:r>
      <w:r>
        <w:rPr>
          <w:szCs w:val="22"/>
        </w:rPr>
        <w:t xml:space="preserve"> entry;</w:t>
      </w:r>
    </w:p>
    <w:p>
      <w:pPr>
        <w:pStyle w:val="yMiscellaneousBody"/>
        <w:tabs>
          <w:tab w:val="left" w:pos="567"/>
          <w:tab w:val="left" w:pos="1134"/>
        </w:tabs>
        <w:ind w:left="1134" w:hanging="1134"/>
      </w:pPr>
      <w:r>
        <w:rPr>
          <w:szCs w:val="22"/>
        </w:rPr>
        <w:tab/>
        <w:t>24.9</w:t>
      </w:r>
      <w:r>
        <w:rPr>
          <w:szCs w:val="22"/>
        </w:rPr>
        <w:tab/>
        <w:t xml:space="preserve">in accordance with the </w:t>
      </w:r>
      <w:r>
        <w:rPr>
          <w:i/>
          <w:szCs w:val="22"/>
        </w:rPr>
        <w:t>Residential Tenancies Act 1987</w:t>
      </w:r>
      <w:r>
        <w:rPr>
          <w:szCs w:val="22"/>
        </w:rPr>
        <w:t xml:space="preserve"> section 46(6A) and (6B).</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keepNext/>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spacing w:before="120"/>
        <w:ind w:left="567" w:hanging="567"/>
      </w:pPr>
      <w:r>
        <w:rPr>
          <w:szCs w:val="22"/>
        </w:rPr>
        <w:t>33A.</w:t>
      </w:r>
      <w:r>
        <w:rPr>
          <w:szCs w:val="22"/>
        </w:rPr>
        <w:tab/>
      </w:r>
      <w:r>
        <w:t>For</w:t>
      </w:r>
      <w:r>
        <w:rPr>
          <w:szCs w:val="22"/>
        </w:rPr>
        <w:t xml:space="preserve"> the purposes of the </w:t>
      </w:r>
      <w:r>
        <w:rPr>
          <w:i/>
          <w:szCs w:val="22"/>
        </w:rPr>
        <w:t xml:space="preserve">Residential Tenancies Act 1987 </w:t>
      </w:r>
      <w:r>
        <w:rPr>
          <w:szCs w:val="22"/>
        </w:rPr>
        <w:t>section 47(4), the tenant may make the following prescribed alterations:</w:t>
      </w:r>
    </w:p>
    <w:p>
      <w:pPr>
        <w:pStyle w:val="yMiscellaneousBody"/>
        <w:tabs>
          <w:tab w:val="left" w:pos="567"/>
          <w:tab w:val="left" w:pos="1276"/>
        </w:tabs>
        <w:spacing w:before="140"/>
        <w:ind w:left="1276" w:hanging="1276"/>
      </w:pPr>
      <w:r>
        <w:tab/>
        <w:t>33A.1</w:t>
      </w:r>
      <w:r>
        <w:tab/>
        <w:t xml:space="preserve">the renovation, alteration or addition of any of the following — </w:t>
      </w:r>
    </w:p>
    <w:p>
      <w:pPr>
        <w:pStyle w:val="yMiscellaneousBody"/>
        <w:tabs>
          <w:tab w:val="left" w:pos="1134"/>
          <w:tab w:val="left" w:pos="1701"/>
        </w:tabs>
        <w:spacing w:before="140"/>
        <w:ind w:left="1701" w:hanging="1701"/>
      </w:pPr>
      <w:r>
        <w:tab/>
        <w:t>●</w:t>
      </w:r>
      <w:r>
        <w:tab/>
        <w:t xml:space="preserve">security alarms and cameras; </w:t>
      </w:r>
    </w:p>
    <w:p>
      <w:pPr>
        <w:pStyle w:val="yMiscellaneousBody"/>
        <w:tabs>
          <w:tab w:val="left" w:pos="1134"/>
          <w:tab w:val="left" w:pos="1701"/>
        </w:tabs>
        <w:spacing w:before="140"/>
        <w:ind w:left="1701" w:hanging="1701"/>
      </w:pPr>
      <w:r>
        <w:tab/>
        <w:t>●</w:t>
      </w:r>
      <w:r>
        <w:tab/>
        <w:t>locks, screens and shutters on windows;</w:t>
      </w:r>
    </w:p>
    <w:p>
      <w:pPr>
        <w:pStyle w:val="yMiscellaneousBody"/>
        <w:tabs>
          <w:tab w:val="left" w:pos="1134"/>
          <w:tab w:val="left" w:pos="1701"/>
        </w:tabs>
        <w:spacing w:before="140"/>
        <w:ind w:left="1701" w:hanging="1701"/>
      </w:pPr>
      <w:r>
        <w:tab/>
        <w:t>●</w:t>
      </w:r>
      <w:r>
        <w:tab/>
        <w:t>security screens on doors;</w:t>
      </w:r>
    </w:p>
    <w:p>
      <w:pPr>
        <w:pStyle w:val="yMiscellaneousBody"/>
        <w:tabs>
          <w:tab w:val="left" w:pos="1134"/>
          <w:tab w:val="left" w:pos="1701"/>
        </w:tabs>
        <w:spacing w:before="140"/>
        <w:ind w:left="1701" w:hanging="1701"/>
      </w:pPr>
      <w:r>
        <w:tab/>
        <w:t>●</w:t>
      </w:r>
      <w:r>
        <w:tab/>
        <w:t>exterior lights;</w:t>
      </w:r>
    </w:p>
    <w:p>
      <w:pPr>
        <w:pStyle w:val="yMiscellaneousBody"/>
        <w:tabs>
          <w:tab w:val="left" w:pos="1134"/>
          <w:tab w:val="left" w:pos="1701"/>
        </w:tabs>
        <w:spacing w:before="140"/>
        <w:ind w:left="1701" w:hanging="1701"/>
      </w:pPr>
      <w:r>
        <w:tab/>
        <w:t>●</w:t>
      </w:r>
      <w:r>
        <w:tab/>
        <w:t>locks on gates;</w:t>
      </w:r>
    </w:p>
    <w:p>
      <w:pPr>
        <w:pStyle w:val="yMiscellaneousBody"/>
        <w:tabs>
          <w:tab w:val="left" w:pos="567"/>
          <w:tab w:val="left" w:pos="1276"/>
        </w:tabs>
        <w:spacing w:before="140"/>
        <w:ind w:left="1276" w:hanging="1276"/>
      </w:pPr>
      <w:r>
        <w:tab/>
        <w:t>33A.2</w:t>
      </w:r>
      <w:r>
        <w:tab/>
        <w:t>the pruning of shrubs and trees to improve visibility around the residential premises.</w:t>
      </w:r>
    </w:p>
    <w:p>
      <w:pPr>
        <w:pStyle w:val="yMiscellaneousBody"/>
        <w:spacing w:before="120"/>
        <w:ind w:left="567" w:hanging="567"/>
      </w:pPr>
      <w:r>
        <w:t>33B.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33B.1</w:t>
      </w:r>
      <w:r>
        <w:tab/>
        <w:t>the cost of making the prescribed alterations must be borne by the tenant; and</w:t>
      </w:r>
    </w:p>
    <w:p>
      <w:pPr>
        <w:pStyle w:val="yMiscellaneousBody"/>
        <w:tabs>
          <w:tab w:val="left" w:pos="567"/>
          <w:tab w:val="left" w:pos="1276"/>
        </w:tabs>
        <w:spacing w:before="140"/>
        <w:ind w:left="1276" w:hanging="1276"/>
      </w:pPr>
      <w:r>
        <w:tab/>
        <w:t>33B.2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33B.3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33B.4</w:t>
      </w:r>
      <w:r>
        <w:tab/>
        <w:t xml:space="preserve">the prescribed alterations must be effected having regard to the age and character of the property and any applicable </w:t>
      </w:r>
      <w:r>
        <w:rPr>
          <w:szCs w:val="22"/>
        </w:rPr>
        <w:t xml:space="preserve">strata titles scheme </w:t>
      </w:r>
      <w:r>
        <w:t>by</w:t>
      </w:r>
      <w:r>
        <w:noBreakHyphen/>
        <w:t>laws</w:t>
      </w:r>
      <w:del w:id="164" w:author="Master Repository Process" w:date="2021-09-12T15:00:00Z">
        <w:r>
          <w:rPr>
            <w:szCs w:val="22"/>
          </w:rPr>
          <w:delText>; and</w:delText>
        </w:r>
        <w:r>
          <w:delText xml:space="preserve"> </w:delText>
        </w:r>
      </w:del>
      <w:ins w:id="165" w:author="Master Repository Process" w:date="2021-09-12T15:00:00Z">
        <w:r>
          <w:t xml:space="preserve"> or scheme by</w:t>
        </w:r>
        <w:r>
          <w:noBreakHyphen/>
          <w:t>laws for a community titles scheme; and</w:t>
        </w:r>
      </w:ins>
    </w:p>
    <w:p>
      <w:pPr>
        <w:pStyle w:val="yMiscellaneousBody"/>
        <w:tabs>
          <w:tab w:val="left" w:pos="567"/>
          <w:tab w:val="left" w:pos="1276"/>
        </w:tabs>
        <w:spacing w:before="140"/>
        <w:ind w:left="1276" w:hanging="1276"/>
      </w:pPr>
      <w:r>
        <w:tab/>
        <w:t>33B.5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w:t>
      </w:r>
      <w:r>
        <w:rPr>
          <w:szCs w:val="22"/>
        </w:rPr>
        <w:t xml:space="preserve"> other or except in accordance with clause 34.4; and</w:t>
      </w:r>
    </w:p>
    <w:p>
      <w:pPr>
        <w:pStyle w:val="yMiscellaneousBody"/>
        <w:tabs>
          <w:tab w:val="left" w:pos="567"/>
          <w:tab w:val="left" w:pos="1134"/>
        </w:tabs>
        <w:ind w:left="1134" w:hanging="1134"/>
      </w:pPr>
      <w:r>
        <w:tab/>
        <w:t>34.3</w:t>
      </w:r>
      <w:r>
        <w:tab/>
        <w:t>the lessor or the tenant must not unreasonably withhold</w:t>
      </w:r>
      <w:r>
        <w:rPr>
          <w:szCs w:val="22"/>
        </w:rPr>
        <w:t xml:space="preserve"> the consent referred to in clause 34.2; and</w:t>
      </w:r>
    </w:p>
    <w:p>
      <w:pPr>
        <w:pStyle w:val="yMiscellaneousBody"/>
        <w:tabs>
          <w:tab w:val="left" w:pos="567"/>
          <w:tab w:val="left" w:pos="1134"/>
        </w:tabs>
        <w:ind w:left="1134" w:hanging="1134"/>
      </w:pPr>
      <w:r>
        <w:tab/>
        <w:t>34.4</w:t>
      </w:r>
      <w:r>
        <w:tab/>
        <w:t xml:space="preserve">a tenant may alter or add any lock or other means of securing the residential premises in accordance with the </w:t>
      </w:r>
      <w:r>
        <w:rPr>
          <w:i/>
        </w:rPr>
        <w:t>Residential Tenancies Act 1987</w:t>
      </w:r>
      <w:r>
        <w:t xml:space="preserve"> 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caps/>
        </w:rPr>
        <w:t>ENDING</w:t>
      </w:r>
      <w:r>
        <w:rPr>
          <w:b/>
        </w:rPr>
        <w:t xml:space="preserve"> A TENANT’S INTEREST IN A RESIDENTIAL TENANCY AGREEMENT BECAUSE OF FAMILY VIOLENCE</w:t>
      </w:r>
    </w:p>
    <w:p>
      <w:pPr>
        <w:pStyle w:val="yMiscellaneousBody"/>
        <w:spacing w:before="120"/>
        <w:ind w:left="567" w:hanging="567"/>
      </w:pPr>
      <w:r>
        <w:t>41A.</w:t>
      </w:r>
      <w:r>
        <w:tab/>
        <w:t>A tenant’s interest in a residential tenancy agreement may be ended:</w:t>
      </w:r>
    </w:p>
    <w:p>
      <w:pPr>
        <w:pStyle w:val="yMiscellaneousBody"/>
        <w:tabs>
          <w:tab w:val="left" w:pos="567"/>
          <w:tab w:val="left" w:pos="1276"/>
        </w:tabs>
        <w:spacing w:before="120"/>
        <w:ind w:left="1276" w:hanging="1276"/>
      </w:pPr>
      <w:r>
        <w:tab/>
        <w:t>41A.1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20"/>
        <w:ind w:left="1276" w:hanging="1276"/>
      </w:pPr>
      <w:r>
        <w:tab/>
        <w:t>41A.2</w:t>
      </w:r>
      <w:r>
        <w:tab/>
        <w:t xml:space="preserve">by the tenant under the </w:t>
      </w:r>
      <w:r>
        <w:rPr>
          <w:i/>
        </w:rPr>
        <w:t xml:space="preserve">Residential Tenancies Act 1987 </w:t>
      </w:r>
      <w:r>
        <w:t>section 60(1)(bb) if the tenant receives a copy of a notice of a termination referred to in item 41A.1 from another tenant; or</w:t>
      </w:r>
    </w:p>
    <w:p>
      <w:pPr>
        <w:pStyle w:val="yMiscellaneousBody"/>
        <w:tabs>
          <w:tab w:val="left" w:pos="567"/>
          <w:tab w:val="left" w:pos="1276"/>
        </w:tabs>
        <w:spacing w:before="120"/>
        <w:ind w:left="1276" w:hanging="1276"/>
      </w:pPr>
      <w:r>
        <w:tab/>
        <w:t>41A.3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keepNext/>
      </w:pPr>
      <w:r>
        <w:rPr>
          <w:b/>
          <w:bCs/>
        </w:rPr>
        <w:t>NOTICES</w:t>
      </w:r>
    </w:p>
    <w:p>
      <w:pPr>
        <w:pStyle w:val="yMiscellaneousBody"/>
        <w:keepNext/>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 9 Apr 2019 p. 1045</w:t>
      </w:r>
      <w:r>
        <w:noBreakHyphen/>
        <w:t>6; 31 Dec 2019 p. 4642</w:t>
      </w:r>
      <w:ins w:id="166" w:author="Master Repository Process" w:date="2021-09-12T15:00:00Z">
        <w:r>
          <w:t>; SL 2021/71 r. 15</w:t>
        </w:r>
      </w:ins>
      <w:r>
        <w:t>.]</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rPr>
        <w:t>STRATA TITLES SCHEME BY</w:t>
      </w:r>
      <w:r>
        <w:rPr>
          <w:b/>
        </w:rPr>
        <w:noBreakHyphen/>
        <w:t>LAWS</w:t>
      </w:r>
    </w:p>
    <w:p>
      <w:pPr>
        <w:pStyle w:val="yMiscellaneousBody"/>
        <w:keepNext/>
        <w:widowControl w:val="0"/>
      </w:pPr>
      <w:r>
        <w:rPr>
          <w:szCs w:val="22"/>
        </w:rPr>
        <w:t>Strata titles scheme by</w:t>
      </w:r>
      <w:r>
        <w:rPr>
          <w:szCs w:val="22"/>
        </w:rPr>
        <w:noBreakHyphen/>
        <w:t>laws</w:t>
      </w:r>
      <w:r>
        <w:t xml:space="preserve"> ARE/ARE NOT* (* </w:t>
      </w:r>
      <w:r>
        <w:rPr>
          <w:i/>
        </w:rPr>
        <w:t>delete as appropriate</w:t>
      </w:r>
      <w:r>
        <w:t>) applicable to the residential premises.  A copy of the by</w:t>
      </w:r>
      <w:r>
        <w:noBreakHyphen/>
        <w:t xml:space="preserve">laws </w:t>
      </w:r>
      <w:del w:id="167" w:author="Master Repository Process" w:date="2021-09-12T15:00:00Z">
        <w:r>
          <w:delText>are</w:delText>
        </w:r>
      </w:del>
      <w:ins w:id="168" w:author="Master Repository Process" w:date="2021-09-12T15:00:00Z">
        <w:r>
          <w:t>is</w:t>
        </w:r>
      </w:ins>
      <w:r>
        <w:t xml:space="preserve"> attached.  </w:t>
      </w:r>
      <w:r>
        <w:br/>
        <w:t xml:space="preserve">Yes </w:t>
      </w:r>
      <w:r>
        <w:sym w:font="Wingdings" w:char="F06F"/>
      </w:r>
      <w:r>
        <w:t xml:space="preserve">/No </w:t>
      </w:r>
      <w:r>
        <w:sym w:font="Wingdings" w:char="F06F"/>
      </w:r>
    </w:p>
    <w:p>
      <w:pPr>
        <w:pStyle w:val="yMiscellaneousBody"/>
        <w:rPr>
          <w:ins w:id="169" w:author="Master Repository Process" w:date="2021-09-12T15:00:00Z"/>
          <w:b/>
        </w:rPr>
      </w:pPr>
      <w:ins w:id="170" w:author="Master Repository Process" w:date="2021-09-12T15:00:00Z">
        <w:r>
          <w:rPr>
            <w:b/>
          </w:rPr>
          <w:t>SCHEME BY</w:t>
        </w:r>
        <w:r>
          <w:rPr>
            <w:b/>
          </w:rPr>
          <w:noBreakHyphen/>
          <w:t>LAWS FOR A COMMUNITY TITLES SCHEME</w:t>
        </w:r>
      </w:ins>
    </w:p>
    <w:p>
      <w:pPr>
        <w:pStyle w:val="yMiscellaneousBody"/>
        <w:rPr>
          <w:ins w:id="171" w:author="Master Repository Process" w:date="2021-09-12T15:00:00Z"/>
        </w:rPr>
      </w:pPr>
      <w:ins w:id="172" w:author="Master Repository Process" w:date="2021-09-12T15:00:00Z">
        <w:r>
          <w:rPr>
            <w:rStyle w:val="CharDefText"/>
          </w:rPr>
          <w:t>belongs</w:t>
        </w:r>
        <w:r>
          <w:t xml:space="preserve">, </w:t>
        </w:r>
        <w:r>
          <w:rPr>
            <w:rStyle w:val="CharDefText"/>
          </w:rPr>
          <w:t>community titles scheme</w:t>
        </w:r>
        <w:r>
          <w:t xml:space="preserve">, </w:t>
        </w:r>
        <w:r>
          <w:rPr>
            <w:rStyle w:val="CharDefText"/>
          </w:rPr>
          <w:t>scheme by</w:t>
        </w:r>
        <w:r>
          <w:rPr>
            <w:rStyle w:val="CharDefText"/>
          </w:rPr>
          <w:noBreakHyphen/>
          <w:t>laws</w:t>
        </w:r>
        <w:r>
          <w:t xml:space="preserve">, </w:t>
        </w:r>
        <w:r>
          <w:rPr>
            <w:rStyle w:val="CharDefText"/>
          </w:rPr>
          <w:t>tier 2 scheme</w:t>
        </w:r>
        <w:r>
          <w:t xml:space="preserve"> and </w:t>
        </w:r>
        <w:r>
          <w:rPr>
            <w:rStyle w:val="CharDefText"/>
          </w:rPr>
          <w:t>tier 3 scheme</w:t>
        </w:r>
        <w:r>
          <w:t xml:space="preserve"> have the meanings given in the </w:t>
        </w:r>
        <w:r>
          <w:rPr>
            <w:i/>
          </w:rPr>
          <w:t>Community Titles Act 2018</w:t>
        </w:r>
        <w:r>
          <w:t xml:space="preserve"> section 3(1).</w:t>
        </w:r>
      </w:ins>
    </w:p>
    <w:p>
      <w:pPr>
        <w:pStyle w:val="yMiscellaneousBody"/>
        <w:rPr>
          <w:ins w:id="173" w:author="Master Repository Process" w:date="2021-09-12T15:00:00Z"/>
        </w:rPr>
      </w:pPr>
      <w:ins w:id="174" w:author="Master Repository Process" w:date="2021-09-12T15:00:00Z">
        <w:r>
          <w:t>Scheme by</w:t>
        </w:r>
        <w:r>
          <w:noBreakHyphen/>
          <w:t>laws for a community titles scheme ARE/ARE NOT* (* </w:t>
        </w:r>
        <w:r>
          <w:rPr>
            <w:i/>
          </w:rPr>
          <w:t>delete as appropriate</w:t>
        </w:r>
        <w:r>
          <w:t>) applicable to the residential premises. A copy of the scheme by</w:t>
        </w:r>
        <w:r>
          <w:noBreakHyphen/>
          <w:t xml:space="preserve">laws is attached. </w:t>
        </w:r>
        <w:r>
          <w:br/>
          <w:t xml:space="preserve">Yes </w:t>
        </w:r>
        <w:r>
          <w:sym w:font="Wingdings" w:char="F06F"/>
        </w:r>
        <w:r>
          <w:t xml:space="preserve">/No </w:t>
        </w:r>
        <w:r>
          <w:sym w:font="Wingdings" w:char="F06F"/>
        </w:r>
      </w:ins>
    </w:p>
    <w:p>
      <w:pPr>
        <w:pStyle w:val="yMiscellaneousBody"/>
        <w:rPr>
          <w:ins w:id="175" w:author="Master Repository Process" w:date="2021-09-12T15:00:00Z"/>
        </w:rPr>
      </w:pPr>
      <w:ins w:id="176" w:author="Master Repository Process" w:date="2021-09-12T15:00:00Z">
        <w:r>
          <w:t>If scheme by</w:t>
        </w:r>
        <w:r>
          <w:noBreakHyphen/>
          <w:t>laws for a community titles scheme are applicable to the residential premises, and the premises is in a tier 2 scheme or a tier 3 scheme, the scheme by</w:t>
        </w:r>
        <w:r>
          <w:noBreakHyphen/>
          <w:t>laws to be attached must include the scheme by</w:t>
        </w:r>
        <w:r>
          <w:noBreakHyphen/>
          <w:t>laws for a community titles scheme to which that tier 2 scheme or tier 3 scheme belongs.</w:t>
        </w:r>
      </w:ins>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w:t>
      </w:r>
      <w:del w:id="177" w:author="Master Repository Process" w:date="2021-09-12T15:00:00Z">
        <w:r>
          <w:delText xml:space="preserve">The lessor is responsible for any contribution levied under the </w:delText>
        </w:r>
        <w:r>
          <w:rPr>
            <w:i/>
          </w:rPr>
          <w:delText>Strata Titles Act 1985</w:delText>
        </w:r>
        <w:r>
          <w:delText xml:space="preserve"> and any contribution levied on </w:delText>
        </w:r>
        <w:r>
          <w:rPr>
            <w:szCs w:val="22"/>
          </w:rPr>
          <w:delText>an owner</w:delText>
        </w:r>
        <w:r>
          <w:delText xml:space="preserve"> under the </w:delText>
        </w:r>
        <w:r>
          <w:rPr>
            <w:i/>
          </w:rPr>
          <w:delText>Strata Titles Act 1985</w:delText>
        </w:r>
        <w:r>
          <w:delText>.</w:delText>
        </w:r>
      </w:del>
    </w:p>
    <w:p>
      <w:pPr>
        <w:pStyle w:val="yMiscellaneousBody"/>
        <w:ind w:left="567" w:hanging="567"/>
        <w:rPr>
          <w:ins w:id="178" w:author="Master Repository Process" w:date="2021-09-12T15:00:00Z"/>
        </w:rPr>
      </w:pPr>
      <w:ins w:id="179" w:author="Master Repository Process" w:date="2021-09-12T15:00:00Z">
        <w:r>
          <w:t>11A.</w:t>
        </w:r>
        <w:r>
          <w:tab/>
          <w:t>The lessor is responsible for any of the following contributions in respect of the premises:</w:t>
        </w:r>
      </w:ins>
    </w:p>
    <w:p>
      <w:pPr>
        <w:pStyle w:val="yMiscellaneousBody"/>
        <w:tabs>
          <w:tab w:val="left" w:pos="567"/>
          <w:tab w:val="left" w:pos="1276"/>
        </w:tabs>
        <w:ind w:left="1276" w:hanging="1276"/>
        <w:rPr>
          <w:ins w:id="180" w:author="Master Repository Process" w:date="2021-09-12T15:00:00Z"/>
        </w:rPr>
      </w:pPr>
      <w:ins w:id="181" w:author="Master Repository Process" w:date="2021-09-12T15:00:00Z">
        <w:r>
          <w:tab/>
          <w:t>11A.1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ins>
    </w:p>
    <w:p>
      <w:pPr>
        <w:pStyle w:val="yMiscellaneousBody"/>
        <w:tabs>
          <w:tab w:val="left" w:pos="567"/>
          <w:tab w:val="left" w:pos="1276"/>
        </w:tabs>
        <w:ind w:left="1276" w:hanging="1276"/>
        <w:rPr>
          <w:ins w:id="182" w:author="Master Repository Process" w:date="2021-09-12T15:00:00Z"/>
        </w:rPr>
      </w:pPr>
      <w:ins w:id="183" w:author="Master Repository Process" w:date="2021-09-12T15:00:00Z">
        <w:r>
          <w:tab/>
          <w:t>11A.2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ins>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keepNext/>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keepNext/>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w:t>
      </w:r>
      <w:r>
        <w:rPr>
          <w:szCs w:val="22"/>
        </w:rPr>
        <w:t xml:space="preserve"> entry;</w:t>
      </w:r>
    </w:p>
    <w:p>
      <w:pPr>
        <w:pStyle w:val="yMiscellaneousBody"/>
        <w:tabs>
          <w:tab w:val="left" w:pos="567"/>
          <w:tab w:val="left" w:pos="1134"/>
        </w:tabs>
        <w:spacing w:before="140"/>
        <w:ind w:left="1134" w:hanging="1134"/>
      </w:pPr>
      <w:r>
        <w:rPr>
          <w:szCs w:val="22"/>
        </w:rPr>
        <w:tab/>
        <w:t>26.9</w:t>
      </w:r>
      <w:r>
        <w:rPr>
          <w:szCs w:val="22"/>
        </w:rPr>
        <w:tab/>
        <w:t xml:space="preserve">in </w:t>
      </w:r>
      <w:r>
        <w:t>accordance</w:t>
      </w:r>
      <w:r>
        <w:rPr>
          <w:szCs w:val="22"/>
        </w:rPr>
        <w:t xml:space="preserve"> with the </w:t>
      </w:r>
      <w:r>
        <w:rPr>
          <w:i/>
          <w:szCs w:val="22"/>
        </w:rPr>
        <w:t>Residential Tenancies Act 1987</w:t>
      </w:r>
      <w:r>
        <w:rPr>
          <w:szCs w:val="22"/>
        </w:rPr>
        <w:t xml:space="preserve"> section 46(6A) and (6B).</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tabs>
          <w:tab w:val="left" w:pos="567"/>
        </w:tabs>
        <w:ind w:left="567" w:hanging="567"/>
      </w:pPr>
      <w:r>
        <w:t>35A.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40"/>
        <w:ind w:left="1276" w:hanging="1276"/>
      </w:pPr>
      <w:r>
        <w:tab/>
        <w:t>35A.1</w:t>
      </w:r>
      <w:r>
        <w:tab/>
        <w:t xml:space="preserve">the renovation, alteration or addition of any of the following — </w:t>
      </w:r>
    </w:p>
    <w:p>
      <w:pPr>
        <w:pStyle w:val="yMiscellaneousBody"/>
        <w:tabs>
          <w:tab w:val="left" w:pos="1418"/>
          <w:tab w:val="left" w:pos="1985"/>
        </w:tabs>
        <w:ind w:left="1985" w:hanging="1985"/>
      </w:pPr>
      <w:r>
        <w:tab/>
        <w:t>●</w:t>
      </w:r>
      <w:r>
        <w:tab/>
        <w:t xml:space="preserve">security alarms and cameras; </w:t>
      </w:r>
    </w:p>
    <w:p>
      <w:pPr>
        <w:pStyle w:val="yMiscellaneousBody"/>
        <w:tabs>
          <w:tab w:val="left" w:pos="1418"/>
          <w:tab w:val="left" w:pos="1985"/>
        </w:tabs>
        <w:ind w:left="1985" w:hanging="1985"/>
      </w:pPr>
      <w:r>
        <w:tab/>
        <w:t>●</w:t>
      </w:r>
      <w:r>
        <w:tab/>
        <w:t>locks, screens and shutters on windows;</w:t>
      </w:r>
    </w:p>
    <w:p>
      <w:pPr>
        <w:pStyle w:val="yMiscellaneousBody"/>
        <w:tabs>
          <w:tab w:val="left" w:pos="1418"/>
          <w:tab w:val="left" w:pos="1985"/>
        </w:tabs>
        <w:ind w:left="1985" w:hanging="1985"/>
      </w:pPr>
      <w:r>
        <w:tab/>
        <w:t>●</w:t>
      </w:r>
      <w:r>
        <w:tab/>
        <w:t>security screens on doors;</w:t>
      </w:r>
    </w:p>
    <w:p>
      <w:pPr>
        <w:pStyle w:val="yMiscellaneousBody"/>
        <w:tabs>
          <w:tab w:val="left" w:pos="1418"/>
          <w:tab w:val="left" w:pos="1985"/>
        </w:tabs>
        <w:ind w:left="1985" w:hanging="1985"/>
      </w:pPr>
      <w:r>
        <w:tab/>
        <w:t>●</w:t>
      </w:r>
      <w:r>
        <w:tab/>
        <w:t>exterior lights;</w:t>
      </w:r>
    </w:p>
    <w:p>
      <w:pPr>
        <w:pStyle w:val="yMiscellaneousBody"/>
        <w:tabs>
          <w:tab w:val="left" w:pos="1418"/>
          <w:tab w:val="left" w:pos="1985"/>
        </w:tabs>
        <w:ind w:left="1985" w:hanging="1985"/>
      </w:pPr>
      <w:r>
        <w:tab/>
        <w:t>●</w:t>
      </w:r>
      <w:r>
        <w:tab/>
        <w:t>locks on gates;</w:t>
      </w:r>
    </w:p>
    <w:p>
      <w:pPr>
        <w:pStyle w:val="yMiscellaneousBody"/>
        <w:tabs>
          <w:tab w:val="left" w:pos="567"/>
          <w:tab w:val="left" w:pos="1276"/>
        </w:tabs>
        <w:spacing w:before="140"/>
        <w:ind w:left="1276" w:hanging="1276"/>
      </w:pPr>
      <w:r>
        <w:tab/>
        <w:t>35A.2</w:t>
      </w:r>
      <w:r>
        <w:tab/>
        <w:t>the pruning of shrubs and trees to improve visibility around the residential premises.</w:t>
      </w:r>
    </w:p>
    <w:p>
      <w:pPr>
        <w:pStyle w:val="yMiscellaneousBody"/>
        <w:tabs>
          <w:tab w:val="left" w:pos="567"/>
        </w:tabs>
        <w:ind w:left="567" w:hanging="567"/>
      </w:pPr>
      <w:r>
        <w:t>35B.</w:t>
      </w:r>
      <w:r>
        <w:tab/>
        <w:t xml:space="preserve">Under the </w:t>
      </w:r>
      <w:r>
        <w:rPr>
          <w:i/>
        </w:rPr>
        <w:t xml:space="preserve">Residential Tenancies Act 1987 </w:t>
      </w:r>
      <w:r>
        <w:t>section 47(5):</w:t>
      </w:r>
    </w:p>
    <w:p>
      <w:pPr>
        <w:pStyle w:val="yMiscellaneousBody"/>
        <w:tabs>
          <w:tab w:val="left" w:pos="567"/>
          <w:tab w:val="left" w:pos="1276"/>
        </w:tabs>
        <w:spacing w:before="140"/>
        <w:ind w:left="1276" w:hanging="1276"/>
      </w:pPr>
      <w:r>
        <w:tab/>
        <w:t>35B.1</w:t>
      </w:r>
      <w:r>
        <w:tab/>
        <w:t>the cost of making the prescribed alterations must be borne by the tenant; and</w:t>
      </w:r>
    </w:p>
    <w:p>
      <w:pPr>
        <w:pStyle w:val="yMiscellaneousBody"/>
        <w:tabs>
          <w:tab w:val="left" w:pos="567"/>
          <w:tab w:val="left" w:pos="1276"/>
        </w:tabs>
        <w:spacing w:before="140"/>
        <w:ind w:left="1276" w:hanging="1276"/>
      </w:pPr>
      <w:r>
        <w:tab/>
        <w:t>35B.2</w:t>
      </w:r>
      <w:r>
        <w:tab/>
        <w:t>the tenant must give written notice to the lessor of the tenant’s intention to make the prescribed alterations; and</w:t>
      </w:r>
    </w:p>
    <w:p>
      <w:pPr>
        <w:pStyle w:val="yMiscellaneousBody"/>
        <w:tabs>
          <w:tab w:val="left" w:pos="567"/>
          <w:tab w:val="left" w:pos="1276"/>
        </w:tabs>
        <w:spacing w:before="140"/>
        <w:ind w:left="1276" w:hanging="1276"/>
      </w:pPr>
      <w:r>
        <w:tab/>
        <w:t>35B.3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40"/>
        <w:ind w:left="1276" w:hanging="1276"/>
      </w:pPr>
      <w:r>
        <w:tab/>
        <w:t>35B.4</w:t>
      </w:r>
      <w:r>
        <w:tab/>
        <w:t xml:space="preserve">the prescribed alterations must be effected having regard to the age and character of the property and any applicable </w:t>
      </w:r>
      <w:r>
        <w:rPr>
          <w:szCs w:val="22"/>
        </w:rPr>
        <w:t xml:space="preserve">strata titles scheme </w:t>
      </w:r>
      <w:r>
        <w:t>by</w:t>
      </w:r>
      <w:r>
        <w:noBreakHyphen/>
        <w:t>laws</w:t>
      </w:r>
      <w:ins w:id="184" w:author="Master Repository Process" w:date="2021-09-12T15:00:00Z">
        <w:r>
          <w:t xml:space="preserve"> or scheme by</w:t>
        </w:r>
        <w:r>
          <w:noBreakHyphen/>
          <w:t>laws for a community titles scheme</w:t>
        </w:r>
      </w:ins>
      <w:r>
        <w:t>; and</w:t>
      </w:r>
    </w:p>
    <w:p>
      <w:pPr>
        <w:pStyle w:val="yMiscellaneousBody"/>
        <w:tabs>
          <w:tab w:val="left" w:pos="567"/>
          <w:tab w:val="left" w:pos="1276"/>
        </w:tabs>
        <w:spacing w:before="140"/>
        <w:ind w:left="1276" w:hanging="1276"/>
      </w:pPr>
      <w:r>
        <w:tab/>
        <w:t>35B.5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w:t>
      </w:r>
      <w:r>
        <w:rPr>
          <w:szCs w:val="22"/>
        </w:rPr>
        <w:t xml:space="preserve"> other or except in accordance with clause 36.4; and</w:t>
      </w:r>
    </w:p>
    <w:p>
      <w:pPr>
        <w:pStyle w:val="yMiscellaneousBody"/>
        <w:tabs>
          <w:tab w:val="left" w:pos="567"/>
          <w:tab w:val="left" w:pos="1134"/>
        </w:tabs>
        <w:spacing w:before="130"/>
        <w:ind w:left="1134" w:hanging="1134"/>
      </w:pPr>
      <w:r>
        <w:tab/>
        <w:t>36.3</w:t>
      </w:r>
      <w:r>
        <w:tab/>
        <w:t>the lessor or the tenant must not unreasonably withhold</w:t>
      </w:r>
      <w:r>
        <w:rPr>
          <w:szCs w:val="22"/>
        </w:rPr>
        <w:t xml:space="preserve"> the consent referred to in clause 36.2; and</w:t>
      </w:r>
    </w:p>
    <w:p>
      <w:pPr>
        <w:pStyle w:val="yMiscellaneousBody"/>
        <w:tabs>
          <w:tab w:val="left" w:pos="567"/>
          <w:tab w:val="left" w:pos="1134"/>
        </w:tabs>
        <w:spacing w:before="130"/>
        <w:ind w:left="1134" w:hanging="1134"/>
      </w:pPr>
      <w:r>
        <w:tab/>
        <w:t>36.4</w:t>
      </w:r>
      <w:r>
        <w:tab/>
        <w:t xml:space="preserve">a tenant may alter or add any lock or other means of securing the residential premises in accordance with the </w:t>
      </w:r>
      <w:r>
        <w:rPr>
          <w:i/>
        </w:rPr>
        <w:t xml:space="preserve">Residential Tenancies Act 1987 </w:t>
      </w:r>
      <w:r>
        <w:t>section 45(2)(a).</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tabs>
          <w:tab w:val="left" w:pos="567"/>
        </w:tabs>
        <w:ind w:left="567" w:hanging="567"/>
      </w:pPr>
      <w:r>
        <w:t>43A.</w:t>
      </w:r>
      <w:r>
        <w:tab/>
        <w:t>A tenant’s interest in a residential tenancy agreement may be ended:</w:t>
      </w:r>
    </w:p>
    <w:p>
      <w:pPr>
        <w:pStyle w:val="yMiscellaneousBody"/>
        <w:tabs>
          <w:tab w:val="left" w:pos="567"/>
          <w:tab w:val="left" w:pos="1276"/>
        </w:tabs>
        <w:spacing w:before="140"/>
        <w:ind w:left="1276" w:hanging="1276"/>
      </w:pPr>
      <w:r>
        <w:tab/>
        <w:t>43A.1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spacing w:before="140"/>
        <w:ind w:left="1276" w:hanging="1276"/>
      </w:pPr>
      <w:r>
        <w:tab/>
        <w:t>43A.2</w:t>
      </w:r>
      <w:r>
        <w:tab/>
        <w:t xml:space="preserve">by the tenant under the </w:t>
      </w:r>
      <w:r>
        <w:rPr>
          <w:i/>
        </w:rPr>
        <w:t xml:space="preserve">Residential Tenancies Act 1987 </w:t>
      </w:r>
      <w:r>
        <w:t>section 60(1)(bb) if the tenant receives a copy of a notice of a termination referred to in item 43A.1 from another tenant; or</w:t>
      </w:r>
    </w:p>
    <w:p>
      <w:pPr>
        <w:pStyle w:val="yMiscellaneousBody"/>
        <w:tabs>
          <w:tab w:val="left" w:pos="567"/>
          <w:tab w:val="left" w:pos="1276"/>
        </w:tabs>
        <w:spacing w:before="140"/>
        <w:ind w:left="1276" w:hanging="1276"/>
      </w:pPr>
      <w:r>
        <w:tab/>
        <w:t>43A.3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&lt;www.commerce.wa.gov.au/ConsumerProtection&gt;.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 9 Apr 2019 p. 1046</w:t>
      </w:r>
      <w:r>
        <w:noBreakHyphen/>
        <w:t>8; 31 Dec 2019 p. 4642</w:t>
      </w:r>
      <w:r>
        <w:noBreakHyphen/>
        <w:t>3</w:t>
      </w:r>
      <w:ins w:id="185" w:author="Master Repository Process" w:date="2021-09-12T15:00:00Z">
        <w:r>
          <w:t>; SL 2021/71 r. 16</w:t>
        </w:r>
      </w:ins>
      <w:r>
        <w:t>.]</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w:t>
      </w:r>
      <w:del w:id="186" w:author="Master Repository Process" w:date="2021-09-12T15:00:00Z">
        <w:r>
          <w:delText xml:space="preserve">  The lessor is responsible for any contribution levied under the </w:delText>
        </w:r>
        <w:r>
          <w:rPr>
            <w:i/>
          </w:rPr>
          <w:delText>Strata Titles Act 1985</w:delText>
        </w:r>
        <w:r>
          <w:delText xml:space="preserve"> and any contribution levied on </w:delText>
        </w:r>
        <w:r>
          <w:rPr>
            <w:szCs w:val="22"/>
          </w:rPr>
          <w:delText>an owner</w:delText>
        </w:r>
        <w:r>
          <w:delText xml:space="preserve"> under the </w:delText>
        </w:r>
        <w:r>
          <w:rPr>
            <w:i/>
          </w:rPr>
          <w:delText>Strata Titles Act 1985</w:delText>
        </w:r>
        <w:r>
          <w:delText>.</w:delText>
        </w:r>
      </w:del>
    </w:p>
    <w:p>
      <w:pPr>
        <w:pStyle w:val="yMiscellaneousBody"/>
        <w:keepNext/>
        <w:ind w:left="567" w:hanging="567"/>
        <w:rPr>
          <w:ins w:id="187" w:author="Master Repository Process" w:date="2021-09-12T15:00:00Z"/>
        </w:rPr>
      </w:pPr>
      <w:ins w:id="188" w:author="Master Repository Process" w:date="2021-09-12T15:00:00Z">
        <w:r>
          <w:t>8A.</w:t>
        </w:r>
        <w:r>
          <w:tab/>
          <w:t>The lessor is responsible for any of the following contributions in respect of the premises:</w:t>
        </w:r>
      </w:ins>
    </w:p>
    <w:p>
      <w:pPr>
        <w:pStyle w:val="yMiscellaneousBody"/>
        <w:tabs>
          <w:tab w:val="left" w:pos="567"/>
          <w:tab w:val="left" w:pos="1276"/>
        </w:tabs>
        <w:ind w:left="1276" w:hanging="1276"/>
        <w:rPr>
          <w:ins w:id="189" w:author="Master Repository Process" w:date="2021-09-12T15:00:00Z"/>
        </w:rPr>
      </w:pPr>
      <w:ins w:id="190" w:author="Master Repository Process" w:date="2021-09-12T15:00:00Z">
        <w:r>
          <w:tab/>
          <w:t>8A.1</w:t>
        </w:r>
        <w:r>
          <w:tab/>
          <w:t xml:space="preserve">contributions (as defined in the </w:t>
        </w:r>
        <w:r>
          <w:rPr>
            <w:i/>
          </w:rPr>
          <w:t>Strata Titles Act 1985</w:t>
        </w:r>
        <w:r>
          <w:t xml:space="preserve"> section 3(1)) imposed on the owner of the premises under the </w:t>
        </w:r>
        <w:r>
          <w:rPr>
            <w:i/>
          </w:rPr>
          <w:t xml:space="preserve">Strata Titles Act 1985 </w:t>
        </w:r>
        <w:r>
          <w:t xml:space="preserve">section 100; </w:t>
        </w:r>
      </w:ins>
    </w:p>
    <w:p>
      <w:pPr>
        <w:pStyle w:val="yMiscellaneousBody"/>
        <w:tabs>
          <w:tab w:val="left" w:pos="567"/>
          <w:tab w:val="left" w:pos="1276"/>
        </w:tabs>
        <w:ind w:left="1276" w:hanging="1276"/>
        <w:rPr>
          <w:ins w:id="191" w:author="Master Repository Process" w:date="2021-09-12T15:00:00Z"/>
        </w:rPr>
      </w:pPr>
      <w:ins w:id="192" w:author="Master Repository Process" w:date="2021-09-12T15:00:00Z">
        <w:r>
          <w:tab/>
          <w:t>8A.2</w:t>
        </w:r>
        <w:r>
          <w:tab/>
          <w:t xml:space="preserve">contributions (as defined in the </w:t>
        </w:r>
        <w:r>
          <w:rPr>
            <w:i/>
          </w:rPr>
          <w:t>Community Titles Act 2018</w:t>
        </w:r>
        <w:r>
          <w:t xml:space="preserve"> section 3(1)) determined by a community corporation as the amount it requires from the owner of the premises (as a member of the community corporation) under the </w:t>
        </w:r>
        <w:r>
          <w:rPr>
            <w:i/>
          </w:rPr>
          <w:t xml:space="preserve">Community Titles Act 2018 </w:t>
        </w:r>
        <w:r>
          <w:t>section 88.</w:t>
        </w:r>
      </w:ins>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keepNext/>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w:t>
      </w:r>
      <w:r>
        <w:rPr>
          <w:szCs w:val="22"/>
        </w:rPr>
        <w:t xml:space="preserve"> entry;</w:t>
      </w:r>
    </w:p>
    <w:p>
      <w:pPr>
        <w:pStyle w:val="yMiscellaneousBody"/>
        <w:tabs>
          <w:tab w:val="left" w:pos="567"/>
          <w:tab w:val="left" w:pos="1134"/>
        </w:tabs>
        <w:ind w:left="1134" w:hanging="1134"/>
      </w:pPr>
      <w:r>
        <w:tab/>
        <w:t>23.9</w:t>
      </w:r>
      <w:r>
        <w:tab/>
        <w:t xml:space="preserve">in accordance with the </w:t>
      </w:r>
      <w:r>
        <w:rPr>
          <w:i/>
        </w:rPr>
        <w:t xml:space="preserve">Residential Tenancies Act 1987 </w:t>
      </w:r>
      <w:r>
        <w:t>section 46(6A) and (6B).</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keepNext/>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ind w:left="567" w:hanging="567"/>
      </w:pPr>
      <w:r>
        <w:t>32A.</w:t>
      </w:r>
      <w:r>
        <w:tab/>
        <w:t xml:space="preserve">For the purposes of the </w:t>
      </w:r>
      <w:r>
        <w:rPr>
          <w:i/>
        </w:rPr>
        <w:t xml:space="preserve">Residential Tenancies Act 1987 </w:t>
      </w:r>
      <w:r>
        <w:t>section 47(4), the tenant may make the following prescribed alterations:</w:t>
      </w:r>
    </w:p>
    <w:p>
      <w:pPr>
        <w:pStyle w:val="yMiscellaneousBody"/>
        <w:tabs>
          <w:tab w:val="left" w:pos="567"/>
          <w:tab w:val="left" w:pos="1276"/>
        </w:tabs>
        <w:spacing w:before="150"/>
        <w:ind w:left="1276" w:hanging="1276"/>
      </w:pPr>
      <w:r>
        <w:tab/>
        <w:t>32A.1</w:t>
      </w:r>
      <w:r>
        <w:tab/>
        <w:t xml:space="preserve">the renovation, alteration or addition of any of the following — </w:t>
      </w:r>
    </w:p>
    <w:p>
      <w:pPr>
        <w:pStyle w:val="yMiscellaneousBody"/>
        <w:tabs>
          <w:tab w:val="left" w:pos="1276"/>
          <w:tab w:val="left" w:pos="1701"/>
        </w:tabs>
      </w:pPr>
      <w:r>
        <w:tab/>
        <w:t>●</w:t>
      </w:r>
      <w:r>
        <w:tab/>
        <w:t xml:space="preserve">security alarms and cameras; </w:t>
      </w:r>
    </w:p>
    <w:p>
      <w:pPr>
        <w:pStyle w:val="yMiscellaneousBody"/>
        <w:tabs>
          <w:tab w:val="left" w:pos="1276"/>
          <w:tab w:val="left" w:pos="1701"/>
        </w:tabs>
      </w:pPr>
      <w:r>
        <w:tab/>
        <w:t>●</w:t>
      </w:r>
      <w:r>
        <w:tab/>
        <w:t>locks, screens and shutters on windows;</w:t>
      </w:r>
    </w:p>
    <w:p>
      <w:pPr>
        <w:pStyle w:val="yMiscellaneousBody"/>
        <w:tabs>
          <w:tab w:val="left" w:pos="1276"/>
          <w:tab w:val="left" w:pos="1701"/>
        </w:tabs>
      </w:pPr>
      <w:r>
        <w:tab/>
        <w:t>●</w:t>
      </w:r>
      <w:r>
        <w:tab/>
        <w:t>security screens on doors;</w:t>
      </w:r>
    </w:p>
    <w:p>
      <w:pPr>
        <w:pStyle w:val="yMiscellaneousBody"/>
        <w:tabs>
          <w:tab w:val="left" w:pos="1276"/>
          <w:tab w:val="left" w:pos="1701"/>
        </w:tabs>
      </w:pPr>
      <w:r>
        <w:tab/>
        <w:t>●</w:t>
      </w:r>
      <w:r>
        <w:tab/>
        <w:t>exterior lights;</w:t>
      </w:r>
    </w:p>
    <w:p>
      <w:pPr>
        <w:pStyle w:val="yMiscellaneousBody"/>
        <w:tabs>
          <w:tab w:val="left" w:pos="1276"/>
          <w:tab w:val="left" w:pos="1701"/>
        </w:tabs>
      </w:pPr>
      <w:r>
        <w:tab/>
        <w:t>●</w:t>
      </w:r>
      <w:r>
        <w:tab/>
        <w:t>locks on gates;</w:t>
      </w:r>
    </w:p>
    <w:p>
      <w:pPr>
        <w:pStyle w:val="yMiscellaneousBody"/>
        <w:tabs>
          <w:tab w:val="left" w:pos="567"/>
          <w:tab w:val="left" w:pos="1276"/>
        </w:tabs>
        <w:spacing w:before="150"/>
        <w:ind w:left="1276" w:hanging="1276"/>
      </w:pPr>
      <w:r>
        <w:tab/>
        <w:t>32A.2</w:t>
      </w:r>
      <w:r>
        <w:tab/>
        <w:t>the pruning of shrubs and trees to improve visibility around the residential premises.</w:t>
      </w:r>
    </w:p>
    <w:p>
      <w:pPr>
        <w:pStyle w:val="yMiscellaneousBody"/>
        <w:ind w:left="567" w:hanging="567"/>
      </w:pPr>
      <w:r>
        <w:t>32B.</w:t>
      </w:r>
      <w:r>
        <w:tab/>
        <w:t xml:space="preserve">Under the </w:t>
      </w:r>
      <w:r>
        <w:rPr>
          <w:i/>
        </w:rPr>
        <w:t xml:space="preserve">Residential Tenancies Act 1987 </w:t>
      </w:r>
      <w:r>
        <w:t>section 47(5):</w:t>
      </w:r>
    </w:p>
    <w:p>
      <w:pPr>
        <w:pStyle w:val="yMiscellaneousBody"/>
        <w:tabs>
          <w:tab w:val="left" w:pos="567"/>
          <w:tab w:val="left" w:pos="1276"/>
        </w:tabs>
        <w:spacing w:before="150"/>
        <w:ind w:left="1276" w:hanging="1276"/>
      </w:pPr>
      <w:r>
        <w:tab/>
        <w:t>32B.1</w:t>
      </w:r>
      <w:r>
        <w:tab/>
        <w:t>the cost of making the prescribed alterations must be borne by the tenant; and</w:t>
      </w:r>
    </w:p>
    <w:p>
      <w:pPr>
        <w:pStyle w:val="yMiscellaneousBody"/>
        <w:tabs>
          <w:tab w:val="left" w:pos="567"/>
          <w:tab w:val="left" w:pos="1276"/>
        </w:tabs>
        <w:spacing w:before="150"/>
        <w:ind w:left="1276" w:hanging="1276"/>
      </w:pPr>
      <w:r>
        <w:tab/>
        <w:t>32B.2</w:t>
      </w:r>
      <w:r>
        <w:tab/>
        <w:t>the tenant must give written notice to the lessor of the tenant’s intention to make the prescribed alterations; and</w:t>
      </w:r>
    </w:p>
    <w:p>
      <w:pPr>
        <w:pStyle w:val="yMiscellaneousBody"/>
        <w:tabs>
          <w:tab w:val="left" w:pos="567"/>
          <w:tab w:val="left" w:pos="1276"/>
        </w:tabs>
        <w:spacing w:before="150"/>
        <w:ind w:left="1276" w:hanging="1276"/>
      </w:pPr>
      <w:r>
        <w:tab/>
        <w:t>32B.3</w:t>
      </w:r>
      <w:r>
        <w:tab/>
        <w:t>work on the prescribed alterations must be undertaken by a qualified tradesperson, a copy of whose invoice the tenant must provide to the lessor within 14 days of the alterations being completed; and</w:t>
      </w:r>
    </w:p>
    <w:p>
      <w:pPr>
        <w:pStyle w:val="yMiscellaneousBody"/>
        <w:tabs>
          <w:tab w:val="left" w:pos="567"/>
          <w:tab w:val="left" w:pos="1276"/>
        </w:tabs>
        <w:spacing w:before="150"/>
        <w:ind w:left="1276" w:hanging="1276"/>
      </w:pPr>
      <w:r>
        <w:tab/>
        <w:t>32B.4</w:t>
      </w:r>
      <w:r>
        <w:tab/>
        <w:t xml:space="preserve">the prescribed alterations must be effected having regard to the age and character of the property and any applicable </w:t>
      </w:r>
      <w:r>
        <w:rPr>
          <w:szCs w:val="22"/>
        </w:rPr>
        <w:t xml:space="preserve">strata titles scheme </w:t>
      </w:r>
      <w:r>
        <w:t>by</w:t>
      </w:r>
      <w:r>
        <w:noBreakHyphen/>
        <w:t>laws</w:t>
      </w:r>
      <w:ins w:id="193" w:author="Master Repository Process" w:date="2021-09-12T15:00:00Z">
        <w:r>
          <w:t xml:space="preserve"> or scheme by</w:t>
        </w:r>
        <w:r>
          <w:noBreakHyphen/>
          <w:t>laws for a community titles scheme</w:t>
        </w:r>
      </w:ins>
      <w:r>
        <w:t>; and</w:t>
      </w:r>
    </w:p>
    <w:p>
      <w:pPr>
        <w:pStyle w:val="yMiscellaneousBody"/>
        <w:tabs>
          <w:tab w:val="left" w:pos="567"/>
          <w:tab w:val="left" w:pos="1276"/>
        </w:tabs>
        <w:spacing w:before="150"/>
        <w:ind w:left="1276" w:hanging="1276"/>
      </w:pPr>
      <w:r>
        <w:tab/>
        <w:t>32B.5</w:t>
      </w:r>
      <w:r>
        <w:tab/>
        <w:t>the tenant must restore the premises to their original condition at the end of the residential tenancy agreement if the lessor requires the tenant to do so and, where restoration work has been undertaken by a tradesperson, must provide to the lessor a copy of that tradesperson’s invoice within 14 days of that work having been performed.</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w:t>
      </w:r>
      <w:r>
        <w:rPr>
          <w:szCs w:val="22"/>
        </w:rPr>
        <w:t xml:space="preserve"> other or except in accordance with clause 33.4; and</w:t>
      </w:r>
    </w:p>
    <w:p>
      <w:pPr>
        <w:pStyle w:val="yMiscellaneousBody"/>
        <w:tabs>
          <w:tab w:val="left" w:pos="567"/>
          <w:tab w:val="left" w:pos="1134"/>
        </w:tabs>
        <w:spacing w:before="150"/>
        <w:ind w:left="1134" w:hanging="1134"/>
      </w:pPr>
      <w:r>
        <w:tab/>
        <w:t>33.3</w:t>
      </w:r>
      <w:r>
        <w:tab/>
        <w:t>the lessor or the tenant must not unreasonably withhold</w:t>
      </w:r>
      <w:r>
        <w:rPr>
          <w:szCs w:val="22"/>
        </w:rPr>
        <w:t xml:space="preserve"> the consent referred to in clause 33.2; and</w:t>
      </w:r>
    </w:p>
    <w:p>
      <w:pPr>
        <w:pStyle w:val="yMiscellaneousBody"/>
        <w:tabs>
          <w:tab w:val="left" w:pos="567"/>
          <w:tab w:val="left" w:pos="1134"/>
        </w:tabs>
        <w:spacing w:before="150"/>
        <w:ind w:left="1134" w:hanging="1134"/>
      </w:pPr>
      <w:r>
        <w:tab/>
        <w:t>33.4</w:t>
      </w:r>
      <w:r>
        <w:tab/>
        <w:t xml:space="preserve">a tenant may alter or add any lock or other means of securing the residential premises in accordance with the </w:t>
      </w:r>
      <w:r>
        <w:rPr>
          <w:i/>
        </w:rPr>
        <w:t xml:space="preserve">Residential Tenancies Act 1987 </w:t>
      </w:r>
      <w:r>
        <w:t>section 45(2)(a), and the tenant and lessor must comply with section 45(2)(b) and (c) in relation to copies of keys to altered or added locks or other means of securing the residential premises.</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keepNext/>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pPr>
      <w:r>
        <w:rPr>
          <w:b/>
        </w:rPr>
        <w:t xml:space="preserve">ENDING A TENANT’S INTEREST IN A RESIDENTIAL TENANCY AGREEMENT </w:t>
      </w:r>
      <w:r>
        <w:rPr>
          <w:b/>
          <w:caps/>
        </w:rPr>
        <w:t>BECAUSE</w:t>
      </w:r>
      <w:r>
        <w:rPr>
          <w:b/>
        </w:rPr>
        <w:t xml:space="preserve"> OF FAMILY VIOLENCE</w:t>
      </w:r>
    </w:p>
    <w:p>
      <w:pPr>
        <w:pStyle w:val="yMiscellaneousBody"/>
      </w:pPr>
      <w:r>
        <w:t>40A.</w:t>
      </w:r>
      <w:r>
        <w:tab/>
        <w:t>A tenant’s interest in a residential tenancy agreement may be ended:</w:t>
      </w:r>
    </w:p>
    <w:p>
      <w:pPr>
        <w:pStyle w:val="yMiscellaneousBody"/>
        <w:tabs>
          <w:tab w:val="left" w:pos="567"/>
          <w:tab w:val="left" w:pos="1276"/>
        </w:tabs>
        <w:ind w:left="1276" w:hanging="1276"/>
      </w:pPr>
      <w:r>
        <w:tab/>
        <w:t>40A.1</w:t>
      </w:r>
      <w:r>
        <w:tab/>
        <w:t xml:space="preserve">by the tenant under the </w:t>
      </w:r>
      <w:r>
        <w:rPr>
          <w:i/>
        </w:rPr>
        <w:t xml:space="preserve">Residential Tenancies Act 1987 </w:t>
      </w:r>
      <w:r>
        <w:t>section 60(1)(ba) if the tenant or a dependant of the tenant is, during the tenancy period, likely to be subjected or exposed to family violence; or</w:t>
      </w:r>
    </w:p>
    <w:p>
      <w:pPr>
        <w:pStyle w:val="yMiscellaneousBody"/>
        <w:tabs>
          <w:tab w:val="left" w:pos="567"/>
          <w:tab w:val="left" w:pos="1276"/>
        </w:tabs>
        <w:ind w:left="1276" w:hanging="1276"/>
      </w:pPr>
      <w:r>
        <w:tab/>
        <w:t>40A.2</w:t>
      </w:r>
      <w:r>
        <w:tab/>
        <w:t xml:space="preserve">by the tenant under the </w:t>
      </w:r>
      <w:r>
        <w:rPr>
          <w:i/>
        </w:rPr>
        <w:t xml:space="preserve">Residential Tenancies Act 1987 </w:t>
      </w:r>
      <w:r>
        <w:t>section 60(1)(bb) if the tenant receives a copy of a notice of a termination referred to in item 40A.1 from another tenant; or</w:t>
      </w:r>
    </w:p>
    <w:p>
      <w:pPr>
        <w:pStyle w:val="yMiscellaneousBody"/>
        <w:tabs>
          <w:tab w:val="left" w:pos="567"/>
          <w:tab w:val="left" w:pos="1276"/>
        </w:tabs>
        <w:ind w:left="1276" w:hanging="1276"/>
      </w:pPr>
      <w:r>
        <w:tab/>
        <w:t>40A.3</w:t>
      </w:r>
      <w:r>
        <w:tab/>
        <w:t xml:space="preserve">by a court under the </w:t>
      </w:r>
      <w:r>
        <w:rPr>
          <w:i/>
        </w:rPr>
        <w:t xml:space="preserve">Residential Tenancies Act 1987 </w:t>
      </w:r>
      <w:r>
        <w:t>section 60(1)(bc) if a family violence order is in force against a tenant to protect another tenant or if the court is satisfied that the tenant has committed family violence against another tenant or their dependant during the tenancy period.</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 9 Apr 2019 p. 1048</w:t>
      </w:r>
      <w:r>
        <w:noBreakHyphen/>
        <w:t>50; 31 Dec 2019 p. 4643</w:t>
      </w:r>
      <w:ins w:id="194" w:author="Master Repository Process" w:date="2021-09-12T15:00:00Z">
        <w:r>
          <w:t>; SL 2021/71 r. 17</w:t>
        </w:r>
      </w:ins>
      <w:r>
        <w:t>.]</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yMiscellaneousHeading"/>
        <w:pageBreakBefore/>
        <w:rPr>
          <w:b/>
        </w:rPr>
      </w:pPr>
      <w:r>
        <w:rPr>
          <w:b/>
        </w:rPr>
        <w:t xml:space="preserve">FORM </w:t>
      </w:r>
      <w:r>
        <w:rPr>
          <w:rStyle w:val="CharSClsNo"/>
          <w:b/>
        </w:rPr>
        <w:t>2</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3827"/>
        <w:gridCol w:w="851"/>
        <w:gridCol w:w="142"/>
        <w:gridCol w:w="972"/>
      </w:tblGrid>
      <w:tr>
        <w:trPr>
          <w:cantSplit/>
          <w:trHeight w:val="674"/>
        </w:trPr>
        <w:tc>
          <w:tcPr>
            <w:tcW w:w="5954" w:type="dxa"/>
            <w:gridSpan w:val="3"/>
            <w:tcBorders>
              <w:top w:val="single" w:sz="12" w:space="0" w:color="000000"/>
              <w:left w:val="single" w:sz="12" w:space="0" w:color="auto"/>
              <w:bottom w:val="single" w:sz="12" w:space="0" w:color="auto"/>
              <w:right w:val="single" w:sz="12" w:space="0" w:color="auto"/>
            </w:tcBorders>
            <w:shd w:val="clear" w:color="auto" w:fill="D9D9D9" w:themeFill="background1" w:themeFillShade="D9"/>
          </w:tcPr>
          <w:p>
            <w:pPr>
              <w:pStyle w:val="yTableNAm"/>
              <w:widowControl w:val="0"/>
              <w:spacing w:before="0"/>
              <w:rPr>
                <w:b/>
              </w:rPr>
            </w:pPr>
            <w:r>
              <w:rPr>
                <w:b/>
              </w:rPr>
              <w:t>Notice of termination of tenant’s interest in residential tenancy agreement on grounds of family violence</w:t>
            </w:r>
          </w:p>
          <w:p>
            <w:pPr>
              <w:pStyle w:val="yTableNAm"/>
              <w:widowControl w:val="0"/>
              <w:spacing w:before="0"/>
              <w:rPr>
                <w:sz w:val="18"/>
                <w:szCs w:val="18"/>
              </w:rPr>
            </w:pPr>
            <w:r>
              <w:rPr>
                <w:i/>
                <w:sz w:val="18"/>
                <w:szCs w:val="18"/>
              </w:rPr>
              <w:t xml:space="preserve">Residential Tenancies Act 1987 </w:t>
            </w:r>
            <w:r>
              <w:rPr>
                <w:sz w:val="18"/>
                <w:szCs w:val="18"/>
              </w:rPr>
              <w:t>s.  67(2), 71AB(1)</w:t>
            </w:r>
          </w:p>
          <w:p>
            <w:pPr>
              <w:pStyle w:val="yTableNAm"/>
              <w:widowControl w:val="0"/>
              <w:spacing w:before="0"/>
              <w:rPr>
                <w:sz w:val="18"/>
                <w:szCs w:val="18"/>
              </w:rPr>
            </w:pPr>
            <w:r>
              <w:rPr>
                <w:i/>
                <w:sz w:val="18"/>
                <w:szCs w:val="18"/>
              </w:rPr>
              <w:t>Residential Tenancies Regulations 1989</w:t>
            </w:r>
            <w:r>
              <w:rPr>
                <w:sz w:val="18"/>
                <w:szCs w:val="18"/>
              </w:rPr>
              <w:t xml:space="preserve"> r. 18</w:t>
            </w:r>
          </w:p>
        </w:tc>
        <w:tc>
          <w:tcPr>
            <w:tcW w:w="142" w:type="dxa"/>
            <w:tcBorders>
              <w:top w:val="nil"/>
              <w:left w:val="nil"/>
              <w:bottom w:val="nil"/>
            </w:tcBorders>
            <w:shd w:val="clear" w:color="auto" w:fill="auto"/>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b/>
                <w:sz w:val="20"/>
              </w:rPr>
            </w:pPr>
            <w:r>
              <w:rPr>
                <w:b/>
                <w:sz w:val="18"/>
                <w:szCs w:val="18"/>
              </w:rPr>
              <w:t>Part A</w:t>
            </w:r>
          </w:p>
        </w:tc>
      </w:tr>
      <w:tr>
        <w:tblPrEx>
          <w:tblCellMar>
            <w:left w:w="108" w:type="dxa"/>
            <w:right w:w="108" w:type="dxa"/>
          </w:tblCellMar>
        </w:tblPrEx>
        <w:trPr>
          <w:trHeight w:hRule="exact" w:val="80"/>
        </w:trPr>
        <w:tc>
          <w:tcPr>
            <w:tcW w:w="7068" w:type="dxa"/>
            <w:gridSpan w:val="5"/>
            <w:tcBorders>
              <w:top w:val="nil"/>
              <w:left w:val="nil"/>
              <w:bottom w:val="single" w:sz="4" w:space="0" w:color="auto"/>
              <w:right w:val="nil"/>
            </w:tcBorders>
          </w:tcPr>
          <w:p>
            <w:pPr>
              <w:pStyle w:val="yTableNAm"/>
              <w:widowControl w:val="0"/>
              <w:spacing w:before="0"/>
              <w:rPr>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Lessor</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63"/>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80"/>
        </w:trPr>
        <w:tc>
          <w:tcPr>
            <w:tcW w:w="1276" w:type="dxa"/>
            <w:vMerge w:val="restart"/>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Tenant</w:t>
            </w:r>
          </w:p>
        </w:tc>
        <w:tc>
          <w:tcPr>
            <w:tcW w:w="5792" w:type="dxa"/>
            <w:gridSpan w:val="4"/>
            <w:tcBorders>
              <w:top w:val="single" w:sz="4" w:space="0" w:color="000000"/>
              <w:bottom w:val="single" w:sz="4" w:space="0" w:color="000000"/>
              <w:right w:val="single" w:sz="4" w:space="0" w:color="000000"/>
            </w:tcBorders>
          </w:tcPr>
          <w:p>
            <w:pPr>
              <w:pStyle w:val="yTableNAm"/>
              <w:widowControl w:val="0"/>
              <w:spacing w:before="0"/>
              <w:rPr>
                <w:sz w:val="18"/>
                <w:szCs w:val="18"/>
              </w:rPr>
            </w:pPr>
            <w:r>
              <w:rPr>
                <w:sz w:val="18"/>
                <w:szCs w:val="18"/>
              </w:rPr>
              <w:t>Family name:</w:t>
            </w:r>
          </w:p>
        </w:tc>
      </w:tr>
      <w:tr>
        <w:trPr>
          <w:cantSplit/>
          <w:trHeight w:val="271"/>
        </w:trPr>
        <w:tc>
          <w:tcPr>
            <w:tcW w:w="1276" w:type="dxa"/>
            <w:vMerge/>
            <w:tcBorders>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Other names:</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366"/>
        </w:trPr>
        <w:tc>
          <w:tcPr>
            <w:tcW w:w="1276" w:type="dxa"/>
            <w:tcBorders>
              <w:top w:val="single" w:sz="4" w:space="0" w:color="000000"/>
              <w:left w:val="single" w:sz="4" w:space="0" w:color="000000"/>
              <w:bottom w:val="single" w:sz="4" w:space="0" w:color="auto"/>
            </w:tcBorders>
            <w:shd w:val="clear" w:color="auto" w:fill="D9D9D9" w:themeFill="background1" w:themeFillShade="D9"/>
          </w:tcPr>
          <w:p>
            <w:pPr>
              <w:pStyle w:val="yTableNAm"/>
              <w:widowControl w:val="0"/>
              <w:spacing w:before="0"/>
              <w:rPr>
                <w:b/>
                <w:sz w:val="18"/>
                <w:szCs w:val="18"/>
              </w:rPr>
            </w:pPr>
            <w:r>
              <w:rPr>
                <w:b/>
                <w:sz w:val="18"/>
                <w:szCs w:val="18"/>
              </w:rPr>
              <w:t xml:space="preserve">Residential premises </w:t>
            </w:r>
          </w:p>
        </w:tc>
        <w:tc>
          <w:tcPr>
            <w:tcW w:w="5792" w:type="dxa"/>
            <w:gridSpan w:val="4"/>
            <w:tcBorders>
              <w:top w:val="single" w:sz="4" w:space="0" w:color="000000"/>
              <w:right w:val="single" w:sz="4" w:space="0" w:color="000000"/>
            </w:tcBorders>
          </w:tcPr>
          <w:p>
            <w:pPr>
              <w:pStyle w:val="yTableNAm"/>
              <w:widowControl w:val="0"/>
              <w:tabs>
                <w:tab w:val="clear" w:pos="567"/>
                <w:tab w:val="left" w:pos="5796"/>
              </w:tabs>
              <w:spacing w:before="0"/>
              <w:rPr>
                <w:sz w:val="18"/>
                <w:szCs w:val="18"/>
              </w:rPr>
            </w:pPr>
            <w:r>
              <w:rPr>
                <w:sz w:val="18"/>
                <w:szCs w:val="18"/>
              </w:rPr>
              <w:t>Address:</w:t>
            </w:r>
            <w:r>
              <w:rPr>
                <w:sz w:val="18"/>
                <w:szCs w:val="18"/>
              </w:rPr>
              <w:tab/>
            </w:r>
          </w:p>
          <w:p>
            <w:pPr>
              <w:pStyle w:val="yTableNAm"/>
              <w:widowControl w:val="0"/>
              <w:tabs>
                <w:tab w:val="clear" w:pos="567"/>
                <w:tab w:val="left" w:pos="3670"/>
                <w:tab w:val="left" w:pos="5796"/>
              </w:tabs>
              <w:spacing w:before="0"/>
              <w:rPr>
                <w:sz w:val="18"/>
                <w:szCs w:val="18"/>
              </w:rPr>
            </w:pPr>
            <w:r>
              <w:rPr>
                <w:sz w:val="18"/>
                <w:szCs w:val="18"/>
              </w:rPr>
              <w:tab/>
              <w:t>Postcode:</w:t>
            </w:r>
            <w:r>
              <w:rPr>
                <w:sz w:val="18"/>
                <w:szCs w:val="18"/>
              </w:rPr>
              <w:tab/>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b/>
                <w:sz w:val="14"/>
              </w:rPr>
            </w:pPr>
          </w:p>
        </w:tc>
      </w:tr>
      <w:tr>
        <w:trPr>
          <w:cantSplit/>
          <w:trHeight w:val="571"/>
        </w:trPr>
        <w:tc>
          <w:tcPr>
            <w:tcW w:w="1276" w:type="dxa"/>
            <w:shd w:val="clear" w:color="auto" w:fill="D9D9D9" w:themeFill="background1" w:themeFillShade="D9"/>
          </w:tcPr>
          <w:p>
            <w:pPr>
              <w:pStyle w:val="yTableNAm"/>
              <w:widowControl w:val="0"/>
              <w:spacing w:before="0"/>
              <w:rPr>
                <w:b/>
                <w:i/>
                <w:sz w:val="18"/>
                <w:szCs w:val="18"/>
              </w:rPr>
            </w:pPr>
            <w:r>
              <w:rPr>
                <w:b/>
                <w:sz w:val="18"/>
                <w:szCs w:val="18"/>
              </w:rPr>
              <w:t>Notice</w:t>
            </w:r>
          </w:p>
        </w:tc>
        <w:tc>
          <w:tcPr>
            <w:tcW w:w="5792" w:type="dxa"/>
            <w:gridSpan w:val="4"/>
          </w:tcPr>
          <w:p>
            <w:pPr>
              <w:pStyle w:val="yTableNAm"/>
              <w:widowControl w:val="0"/>
              <w:spacing w:before="0"/>
              <w:rPr>
                <w:sz w:val="18"/>
                <w:szCs w:val="18"/>
              </w:rPr>
            </w:pPr>
            <w:r>
              <w:rPr>
                <w:sz w:val="18"/>
                <w:szCs w:val="18"/>
              </w:rPr>
              <w:t>I, the tenant, give notice of the termination of my interest in the residential tenancy agreement on the grounds that I am, or my dependant is, likely to be subjected or exposed to family violence.</w:t>
            </w:r>
          </w:p>
          <w:p>
            <w:pPr>
              <w:pStyle w:val="yTableNAm"/>
              <w:widowControl w:val="0"/>
              <w:tabs>
                <w:tab w:val="clear" w:pos="567"/>
                <w:tab w:val="left" w:pos="5796"/>
              </w:tabs>
              <w:spacing w:before="0"/>
              <w:rPr>
                <w:sz w:val="18"/>
                <w:szCs w:val="18"/>
              </w:rPr>
            </w:pPr>
            <w:r>
              <w:rPr>
                <w:sz w:val="18"/>
                <w:szCs w:val="18"/>
              </w:rPr>
              <w:t>The last day of my tenancy will be __________________________________</w:t>
            </w:r>
          </w:p>
          <w:p>
            <w:pPr>
              <w:pStyle w:val="yTableNAm"/>
              <w:widowControl w:val="0"/>
              <w:tabs>
                <w:tab w:val="clear" w:pos="567"/>
                <w:tab w:val="left" w:pos="5796"/>
              </w:tabs>
              <w:spacing w:before="0"/>
              <w:rPr>
                <w:sz w:val="18"/>
                <w:szCs w:val="18"/>
              </w:rPr>
            </w:pPr>
            <w:r>
              <w:rPr>
                <w:sz w:val="18"/>
                <w:szCs w:val="18"/>
              </w:rPr>
              <w:t>(a day that is not less than 7 days after the giving of this notice).</w:t>
            </w:r>
          </w:p>
          <w:p>
            <w:pPr>
              <w:pStyle w:val="yTableNAm"/>
              <w:widowControl w:val="0"/>
              <w:tabs>
                <w:tab w:val="clear" w:pos="567"/>
                <w:tab w:val="left" w:pos="5796"/>
              </w:tabs>
              <w:spacing w:before="0"/>
              <w:rPr>
                <w:sz w:val="18"/>
                <w:szCs w:val="18"/>
              </w:rPr>
            </w:pPr>
            <w:r>
              <w:rPr>
                <w:sz w:val="18"/>
                <w:szCs w:val="18"/>
              </w:rPr>
              <w:t>I will move out of the residential premises on or before this day.</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424"/>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Accompanying document(s)</w:t>
            </w:r>
          </w:p>
        </w:tc>
        <w:tc>
          <w:tcPr>
            <w:tcW w:w="5792" w:type="dxa"/>
            <w:gridSpan w:val="4"/>
            <w:tcBorders>
              <w:top w:val="single" w:sz="4" w:space="0" w:color="000000"/>
              <w:right w:val="single" w:sz="4" w:space="0" w:color="000000"/>
            </w:tcBorders>
          </w:tcPr>
          <w:p>
            <w:pPr>
              <w:pStyle w:val="yTableNAm"/>
              <w:widowControl w:val="0"/>
              <w:spacing w:before="0"/>
              <w:rPr>
                <w:sz w:val="18"/>
                <w:szCs w:val="18"/>
              </w:rPr>
            </w:pPr>
            <w:r>
              <w:rPr>
                <w:sz w:val="18"/>
                <w:szCs w:val="18"/>
              </w:rPr>
              <w:t>I attach 1 or more of the following:</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DVO;</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Family Court injunction or an application for a Family Court injunction;</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a copy of a prosecution notice or indictment containing a charge relating to violence against the tenant or a court record of a conviction of the charge;</w:t>
            </w:r>
          </w:p>
          <w:p>
            <w:pPr>
              <w:pStyle w:val="yTableNAm"/>
              <w:widowControl w:val="0"/>
              <w:tabs>
                <w:tab w:val="clear" w:pos="567"/>
                <w:tab w:val="left" w:pos="539"/>
              </w:tabs>
              <w:spacing w:before="0"/>
              <w:ind w:left="539" w:hanging="539"/>
              <w:rPr>
                <w:sz w:val="18"/>
                <w:szCs w:val="18"/>
              </w:rPr>
            </w:pPr>
            <w:r>
              <w:rPr>
                <w:sz w:val="18"/>
                <w:szCs w:val="18"/>
              </w:rPr>
              <w:sym w:font="Wingdings" w:char="F072"/>
            </w:r>
            <w:r>
              <w:rPr>
                <w:sz w:val="18"/>
                <w:szCs w:val="18"/>
              </w:rPr>
              <w:tab/>
              <w:t xml:space="preserve">a report of family violence under the </w:t>
            </w:r>
            <w:r>
              <w:rPr>
                <w:i/>
                <w:sz w:val="18"/>
                <w:szCs w:val="18"/>
              </w:rPr>
              <w:t>Residential Tenancies Act 1987</w:t>
            </w:r>
            <w:r>
              <w:rPr>
                <w:sz w:val="18"/>
                <w:szCs w:val="18"/>
              </w:rPr>
              <w:t xml:space="preserve"> s. 71AB(2)(d).</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8"/>
                <w:szCs w:val="18"/>
              </w:rPr>
            </w:pPr>
          </w:p>
        </w:tc>
      </w:tr>
      <w:tr>
        <w:trPr>
          <w:cantSplit/>
          <w:trHeight w:val="193"/>
        </w:trPr>
        <w:tc>
          <w:tcPr>
            <w:tcW w:w="1276" w:type="dxa"/>
            <w:tcBorders>
              <w:top w:val="single" w:sz="4" w:space="0" w:color="000000"/>
              <w:left w:val="single" w:sz="4" w:space="0" w:color="000000"/>
              <w:bottom w:val="single" w:sz="4" w:space="0" w:color="auto"/>
              <w:right w:val="nil"/>
            </w:tcBorders>
            <w:shd w:val="clear" w:color="auto" w:fill="D9D9D9" w:themeFill="background1" w:themeFillShade="D9"/>
          </w:tcPr>
          <w:p>
            <w:pPr>
              <w:pStyle w:val="yTableNAm"/>
              <w:widowControl w:val="0"/>
              <w:spacing w:before="0"/>
              <w:rPr>
                <w:b/>
                <w:sz w:val="18"/>
                <w:szCs w:val="18"/>
              </w:rPr>
            </w:pPr>
            <w:r>
              <w:rPr>
                <w:b/>
                <w:sz w:val="18"/>
                <w:szCs w:val="18"/>
              </w:rPr>
              <w:t>Signature</w:t>
            </w:r>
          </w:p>
        </w:tc>
        <w:tc>
          <w:tcPr>
            <w:tcW w:w="3827" w:type="dxa"/>
            <w:tcBorders>
              <w:top w:val="single" w:sz="4" w:space="0" w:color="000000"/>
              <w:left w:val="single" w:sz="4" w:space="0" w:color="000000"/>
              <w:bottom w:val="single" w:sz="4" w:space="0" w:color="auto"/>
              <w:right w:val="nil"/>
            </w:tcBorders>
          </w:tcPr>
          <w:p>
            <w:pPr>
              <w:pStyle w:val="yTableNAm"/>
              <w:widowControl w:val="0"/>
              <w:spacing w:before="0"/>
              <w:rPr>
                <w:sz w:val="18"/>
                <w:szCs w:val="18"/>
              </w:rPr>
            </w:pPr>
            <w:r>
              <w:rPr>
                <w:sz w:val="18"/>
                <w:szCs w:val="18"/>
              </w:rPr>
              <w:t>Tenant:</w:t>
            </w:r>
          </w:p>
        </w:tc>
        <w:tc>
          <w:tcPr>
            <w:tcW w:w="1965" w:type="dxa"/>
            <w:gridSpan w:val="3"/>
            <w:tcBorders>
              <w:top w:val="single" w:sz="4" w:space="0" w:color="000000"/>
              <w:left w:val="single" w:sz="4" w:space="0" w:color="000000"/>
              <w:bottom w:val="single" w:sz="4" w:space="0" w:color="auto"/>
              <w:right w:val="single" w:sz="4" w:space="0" w:color="auto"/>
            </w:tcBorders>
          </w:tcPr>
          <w:p>
            <w:pPr>
              <w:pStyle w:val="yTableNAm"/>
              <w:widowControl w:val="0"/>
              <w:spacing w:before="0"/>
              <w:rPr>
                <w:sz w:val="18"/>
                <w:szCs w:val="18"/>
              </w:rPr>
            </w:pPr>
            <w:r>
              <w:rPr>
                <w:sz w:val="18"/>
                <w:szCs w:val="18"/>
              </w:rPr>
              <w:t>Date:</w:t>
            </w:r>
          </w:p>
        </w:tc>
      </w:tr>
      <w:tr>
        <w:tblPrEx>
          <w:tblCellMar>
            <w:left w:w="108" w:type="dxa"/>
            <w:right w:w="108" w:type="dxa"/>
          </w:tblCellMar>
        </w:tblPrEx>
        <w:trPr>
          <w:trHeight w:hRule="exact" w:val="80"/>
        </w:trPr>
        <w:tc>
          <w:tcPr>
            <w:tcW w:w="7068" w:type="dxa"/>
            <w:gridSpan w:val="5"/>
            <w:tcBorders>
              <w:top w:val="single" w:sz="4" w:space="0" w:color="auto"/>
              <w:left w:val="nil"/>
              <w:bottom w:val="single" w:sz="4" w:space="0" w:color="auto"/>
              <w:right w:val="nil"/>
            </w:tcBorders>
            <w:shd w:val="clear" w:color="auto" w:fill="auto"/>
          </w:tcPr>
          <w:p>
            <w:pPr>
              <w:pStyle w:val="yTableNAm"/>
              <w:widowControl w:val="0"/>
              <w:spacing w:before="0"/>
              <w:rPr>
                <w:sz w:val="14"/>
              </w:rPr>
            </w:pPr>
          </w:p>
        </w:tc>
      </w:tr>
      <w:tr>
        <w:trPr>
          <w:cantSplit/>
          <w:trHeight w:val="553"/>
        </w:trPr>
        <w:tc>
          <w:tcPr>
            <w:tcW w:w="1276" w:type="dxa"/>
            <w:tcBorders>
              <w:top w:val="single" w:sz="4" w:space="0" w:color="000000"/>
              <w:left w:val="single" w:sz="4" w:space="0" w:color="000000"/>
              <w:bottom w:val="single" w:sz="4" w:space="0" w:color="000000"/>
            </w:tcBorders>
            <w:shd w:val="clear" w:color="auto" w:fill="D9D9D9" w:themeFill="background1" w:themeFillShade="D9"/>
          </w:tcPr>
          <w:p>
            <w:pPr>
              <w:pStyle w:val="yTableNAm"/>
              <w:widowControl w:val="0"/>
              <w:spacing w:before="0"/>
              <w:rPr>
                <w:b/>
                <w:sz w:val="18"/>
                <w:szCs w:val="18"/>
              </w:rPr>
            </w:pPr>
            <w:r>
              <w:rPr>
                <w:b/>
                <w:sz w:val="18"/>
                <w:szCs w:val="18"/>
              </w:rPr>
              <w:t xml:space="preserve">Further information </w:t>
            </w:r>
          </w:p>
        </w:tc>
        <w:tc>
          <w:tcPr>
            <w:tcW w:w="5792" w:type="dxa"/>
            <w:gridSpan w:val="4"/>
            <w:tcBorders>
              <w:top w:val="single" w:sz="4" w:space="0" w:color="000000"/>
              <w:right w:val="single" w:sz="4" w:space="0" w:color="000000"/>
            </w:tcBorders>
            <w:shd w:val="clear" w:color="auto" w:fill="D9D9D9" w:themeFill="background1" w:themeFillShade="D9"/>
          </w:tcPr>
          <w:p>
            <w:pPr>
              <w:pStyle w:val="yTableNAm"/>
              <w:widowControl w:val="0"/>
              <w:spacing w:before="0"/>
              <w:rPr>
                <w:sz w:val="18"/>
                <w:szCs w:val="18"/>
              </w:rPr>
            </w:pPr>
            <w:r>
              <w:rPr>
                <w:sz w:val="18"/>
                <w:szCs w:val="18"/>
              </w:rPr>
              <w:t xml:space="preserve">See Part B of this form and also refer to the </w:t>
            </w:r>
            <w:r>
              <w:rPr>
                <w:i/>
                <w:sz w:val="18"/>
                <w:szCs w:val="18"/>
              </w:rPr>
              <w:t>Residential Tenancies Act 1987</w:t>
            </w:r>
            <w:r>
              <w:rPr>
                <w:sz w:val="18"/>
                <w:szCs w:val="18"/>
              </w:rPr>
              <w:t xml:space="preserve"> or contact the Department of Mines, Industry Regulation and Safety — Consumer Protection Division on 1300 304 054 or at www.commerce.wa.gov.au/consumer-protection.</w:t>
            </w:r>
          </w:p>
          <w:p>
            <w:pPr>
              <w:pStyle w:val="yTableNAm"/>
              <w:widowControl w:val="0"/>
              <w:spacing w:before="0"/>
              <w:rPr>
                <w:sz w:val="18"/>
                <w:szCs w:val="18"/>
              </w:rPr>
            </w:pPr>
          </w:p>
          <w:p>
            <w:pPr>
              <w:pStyle w:val="yTableNAm"/>
              <w:widowControl w:val="0"/>
              <w:spacing w:before="0"/>
              <w:rPr>
                <w:sz w:val="18"/>
                <w:szCs w:val="18"/>
              </w:rPr>
            </w:pPr>
            <w:r>
              <w:rPr>
                <w:sz w:val="18"/>
                <w:szCs w:val="18"/>
              </w:rPr>
              <w:t>For Translating and Interpreting Services please telephone TIS on 131 450 and ask to speak to the Department of Mines, Industry Regulation and Safety (1300 304 054) for assistance.</w:t>
            </w:r>
          </w:p>
        </w:tc>
      </w:tr>
    </w:tbl>
    <w:p>
      <w:pPr>
        <w:pStyle w:val="yMiscellaneousBody"/>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142"/>
        <w:gridCol w:w="972"/>
      </w:tblGrid>
      <w:tr>
        <w:trPr>
          <w:cantSplit/>
          <w:trHeight w:val="252"/>
        </w:trPr>
        <w:tc>
          <w:tcPr>
            <w:tcW w:w="5954" w:type="dxa"/>
            <w:tcBorders>
              <w:top w:val="single" w:sz="12" w:space="0" w:color="000000"/>
              <w:left w:val="single" w:sz="12" w:space="0" w:color="auto"/>
              <w:bottom w:val="single" w:sz="12" w:space="0" w:color="auto"/>
              <w:right w:val="single" w:sz="12" w:space="0" w:color="auto"/>
            </w:tcBorders>
            <w:shd w:val="pct10" w:color="auto" w:fill="FFFFFF"/>
          </w:tcPr>
          <w:p>
            <w:pPr>
              <w:pStyle w:val="yTableNAm"/>
              <w:widowControl w:val="0"/>
              <w:spacing w:before="0"/>
              <w:rPr>
                <w:b/>
              </w:rPr>
            </w:pPr>
            <w:r>
              <w:rPr>
                <w:b/>
              </w:rPr>
              <w:t>Important information about this notice</w:t>
            </w:r>
          </w:p>
          <w:p>
            <w:pPr>
              <w:pStyle w:val="yTableNAm"/>
              <w:widowControl w:val="0"/>
              <w:spacing w:before="0"/>
              <w:rPr>
                <w:sz w:val="18"/>
                <w:szCs w:val="18"/>
              </w:rPr>
            </w:pPr>
          </w:p>
        </w:tc>
        <w:tc>
          <w:tcPr>
            <w:tcW w:w="142" w:type="dxa"/>
            <w:tcBorders>
              <w:top w:val="nil"/>
              <w:left w:val="nil"/>
              <w:bottom w:val="nil"/>
            </w:tcBorders>
          </w:tcPr>
          <w:p>
            <w:pPr>
              <w:pStyle w:val="yTableNAm"/>
              <w:widowControl w:val="0"/>
              <w:spacing w:before="0"/>
              <w:rPr>
                <w:sz w:val="14"/>
              </w:rPr>
            </w:pPr>
          </w:p>
        </w:tc>
        <w:tc>
          <w:tcPr>
            <w:tcW w:w="972" w:type="dxa"/>
            <w:tcBorders>
              <w:bottom w:val="single" w:sz="4" w:space="0" w:color="auto"/>
            </w:tcBorders>
            <w:shd w:val="clear" w:color="auto" w:fill="D9D9D9" w:themeFill="background1" w:themeFillShade="D9"/>
          </w:tcPr>
          <w:p>
            <w:pPr>
              <w:pStyle w:val="yTableNAm"/>
              <w:widowControl w:val="0"/>
              <w:spacing w:before="0"/>
              <w:jc w:val="center"/>
              <w:rPr>
                <w:sz w:val="18"/>
                <w:szCs w:val="18"/>
              </w:rPr>
            </w:pPr>
            <w:r>
              <w:rPr>
                <w:b/>
                <w:sz w:val="18"/>
                <w:szCs w:val="18"/>
              </w:rPr>
              <w:t>Part B</w:t>
            </w:r>
          </w:p>
        </w:tc>
      </w:tr>
      <w:tr>
        <w:tblPrEx>
          <w:tblCellMar>
            <w:left w:w="108" w:type="dxa"/>
            <w:right w:w="108" w:type="dxa"/>
          </w:tblCellMar>
        </w:tblPrEx>
        <w:trPr>
          <w:trHeight w:hRule="exact" w:val="80"/>
        </w:trPr>
        <w:tc>
          <w:tcPr>
            <w:tcW w:w="7068" w:type="dxa"/>
            <w:gridSpan w:val="3"/>
            <w:tcBorders>
              <w:top w:val="nil"/>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The types of tenancy agreements to which this notice applies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This notice applies to all tenancy agreements under the </w:t>
            </w:r>
            <w:r>
              <w:rPr>
                <w:i/>
                <w:sz w:val="18"/>
                <w:szCs w:val="18"/>
              </w:rPr>
              <w:t>Residential Tenancies Act 1987</w:t>
            </w:r>
            <w:r>
              <w:rPr>
                <w:sz w:val="18"/>
                <w:szCs w:val="18"/>
              </w:rPr>
              <w:t>.</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Period of notice by tenant</w:t>
            </w:r>
          </w:p>
          <w:p>
            <w:pPr>
              <w:pStyle w:val="yTableNAm"/>
              <w:widowControl w:val="0"/>
              <w:spacing w:before="0"/>
              <w:rPr>
                <w:sz w:val="18"/>
                <w:szCs w:val="18"/>
              </w:rPr>
            </w:pPr>
          </w:p>
          <w:p>
            <w:pPr>
              <w:pStyle w:val="yTableNAm"/>
              <w:widowControl w:val="0"/>
              <w:spacing w:before="0"/>
              <w:rPr>
                <w:sz w:val="18"/>
                <w:szCs w:val="18"/>
              </w:rPr>
            </w:pPr>
            <w:r>
              <w:rPr>
                <w:sz w:val="18"/>
                <w:szCs w:val="18"/>
              </w:rPr>
              <w:t>A tenant can give the lessor this notice if the tenant, or a dependant of the tenant, is likely to be exposed or subjected to family violence during the term of the residential tenancy agreement. The period of the notice must not be less than 7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Co-tenants</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give a copy of this notice (but </w:t>
            </w:r>
            <w:r>
              <w:rPr>
                <w:b/>
                <w:sz w:val="18"/>
                <w:szCs w:val="18"/>
              </w:rPr>
              <w:t>not</w:t>
            </w:r>
            <w:r>
              <w:rPr>
                <w:sz w:val="18"/>
                <w:szCs w:val="18"/>
              </w:rPr>
              <w:t xml:space="preserve"> an accompanying document) to any co</w:t>
            </w:r>
            <w:r>
              <w:rPr>
                <w:sz w:val="18"/>
                <w:szCs w:val="18"/>
              </w:rPr>
              <w:noBreakHyphen/>
              <w:t>tenants named on the residential tenancy agreement within 7 days after receiving this notice.</w:t>
            </w:r>
          </w:p>
          <w:p>
            <w:pPr>
              <w:pStyle w:val="yTableNAm"/>
              <w:widowControl w:val="0"/>
              <w:spacing w:before="0"/>
              <w:rPr>
                <w:sz w:val="18"/>
                <w:szCs w:val="18"/>
              </w:rPr>
            </w:pPr>
          </w:p>
          <w:p>
            <w:pPr>
              <w:pStyle w:val="yTableNAm"/>
              <w:widowControl w:val="0"/>
              <w:spacing w:before="0"/>
              <w:rPr>
                <w:sz w:val="18"/>
                <w:szCs w:val="18"/>
              </w:rPr>
            </w:pPr>
            <w:r>
              <w:rPr>
                <w:sz w:val="18"/>
                <w:szCs w:val="18"/>
              </w:rPr>
              <w:t>A co-tenant may, within 7 days after receiving a copy of this notice, give the lessor notice of termination of the co-tenant’s interest in the residential tenancy agreement. This period of notice must not be less than 21 days before the termination day.</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Notice by co-tenant to terminate their interest in the residential tenancy agreement</w:t>
            </w:r>
          </w:p>
          <w:p>
            <w:pPr>
              <w:pStyle w:val="yTableNAm"/>
              <w:widowControl w:val="0"/>
              <w:spacing w:before="0"/>
              <w:rPr>
                <w:sz w:val="18"/>
                <w:szCs w:val="18"/>
              </w:rPr>
            </w:pPr>
          </w:p>
          <w:p>
            <w:pPr>
              <w:pStyle w:val="yTableNAm"/>
              <w:widowControl w:val="0"/>
              <w:spacing w:before="0"/>
              <w:rPr>
                <w:sz w:val="18"/>
                <w:szCs w:val="18"/>
              </w:rPr>
            </w:pPr>
            <w:r>
              <w:rPr>
                <w:sz w:val="18"/>
                <w:szCs w:val="18"/>
              </w:rPr>
              <w:t>A co-tenant does not need to use a specific form to notify the lessor that they wish to terminate their interest in the residential tenancy agreement. They simply need to notify the lessor in writing.</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Co-tenant remaining in residential premises</w:t>
            </w:r>
          </w:p>
          <w:p>
            <w:pPr>
              <w:pStyle w:val="yTableNAm"/>
              <w:widowControl w:val="0"/>
              <w:spacing w:before="0"/>
              <w:rPr>
                <w:sz w:val="18"/>
                <w:szCs w:val="18"/>
              </w:rPr>
            </w:pPr>
          </w:p>
          <w:p>
            <w:pPr>
              <w:pStyle w:val="yTableNAm"/>
              <w:widowControl w:val="0"/>
              <w:spacing w:before="0"/>
              <w:rPr>
                <w:sz w:val="18"/>
                <w:szCs w:val="18"/>
              </w:rPr>
            </w:pPr>
            <w:r>
              <w:rPr>
                <w:sz w:val="18"/>
                <w:szCs w:val="18"/>
              </w:rPr>
              <w:t>Any co-tenants who wish to remain in the residential premises are entitled to do so and the existing tenancy agreement will continue to apply to them.</w:t>
            </w:r>
          </w:p>
        </w:tc>
      </w:tr>
      <w:tr>
        <w:tblPrEx>
          <w:tblCellMar>
            <w:left w:w="108" w:type="dxa"/>
            <w:right w:w="108" w:type="dxa"/>
          </w:tblCellMar>
        </w:tblPrEx>
        <w:trPr>
          <w:trHeight w:hRule="exact" w:val="80"/>
        </w:trPr>
        <w:tc>
          <w:tcPr>
            <w:tcW w:w="7068" w:type="dxa"/>
            <w:gridSpan w:val="3"/>
            <w:tcBorders>
              <w:top w:val="single" w:sz="4" w:space="0" w:color="auto"/>
              <w:left w:val="nil"/>
              <w:bottom w:val="single" w:sz="4" w:space="0" w:color="auto"/>
              <w:right w:val="nil"/>
            </w:tcBorders>
          </w:tcPr>
          <w:p>
            <w:pPr>
              <w:pStyle w:val="yTableNAm"/>
              <w:widowControl w:val="0"/>
              <w:spacing w:before="0"/>
              <w:rPr>
                <w:sz w:val="14"/>
              </w:rPr>
            </w:pPr>
          </w:p>
        </w:tc>
      </w:tr>
      <w:tr>
        <w:trPr>
          <w:cantSplit/>
          <w:trHeight w:val="480"/>
        </w:trPr>
        <w:tc>
          <w:tcPr>
            <w:tcW w:w="7068" w:type="dxa"/>
            <w:gridSpan w:val="3"/>
            <w:tcBorders>
              <w:top w:val="single" w:sz="4" w:space="0" w:color="000000"/>
              <w:left w:val="single" w:sz="4" w:space="0" w:color="000000"/>
              <w:bottom w:val="single" w:sz="4" w:space="0" w:color="auto"/>
              <w:right w:val="single" w:sz="4" w:space="0" w:color="000000"/>
            </w:tcBorders>
            <w:shd w:val="pct10" w:color="auto" w:fill="FFFFFF"/>
          </w:tcPr>
          <w:p>
            <w:pPr>
              <w:pStyle w:val="yTableNAm"/>
              <w:widowControl w:val="0"/>
              <w:spacing w:before="0"/>
              <w:rPr>
                <w:b/>
                <w:sz w:val="18"/>
                <w:szCs w:val="18"/>
              </w:rPr>
            </w:pPr>
            <w:r>
              <w:rPr>
                <w:b/>
                <w:sz w:val="18"/>
                <w:szCs w:val="18"/>
              </w:rPr>
              <w:t>Documents must be kept confidential</w:t>
            </w:r>
          </w:p>
          <w:p>
            <w:pPr>
              <w:pStyle w:val="yTableNAm"/>
              <w:widowControl w:val="0"/>
              <w:spacing w:before="0"/>
              <w:rPr>
                <w:sz w:val="18"/>
                <w:szCs w:val="18"/>
              </w:rPr>
            </w:pPr>
          </w:p>
          <w:p>
            <w:pPr>
              <w:pStyle w:val="yTableNAm"/>
              <w:widowControl w:val="0"/>
              <w:spacing w:before="0"/>
              <w:rPr>
                <w:sz w:val="18"/>
                <w:szCs w:val="18"/>
              </w:rPr>
            </w:pPr>
            <w:r>
              <w:rPr>
                <w:sz w:val="18"/>
                <w:szCs w:val="18"/>
              </w:rPr>
              <w:t xml:space="preserve">A lessor must not disclose information contained in this notice or an accompanying document to another person except as allowed by the </w:t>
            </w:r>
            <w:r>
              <w:rPr>
                <w:i/>
                <w:sz w:val="18"/>
                <w:szCs w:val="18"/>
              </w:rPr>
              <w:t>Residential Tenancies Act 1987</w:t>
            </w:r>
            <w:r>
              <w:rPr>
                <w:sz w:val="18"/>
                <w:szCs w:val="18"/>
              </w:rPr>
              <w:t xml:space="preserve"> or another written law. A penalty of a fine of up to $5 000 applies for failure to comply with this requirement.</w:t>
            </w:r>
          </w:p>
          <w:p>
            <w:pPr>
              <w:pStyle w:val="yTableNAm"/>
              <w:widowControl w:val="0"/>
              <w:spacing w:before="0"/>
              <w:rPr>
                <w:sz w:val="18"/>
                <w:szCs w:val="18"/>
              </w:rPr>
            </w:pPr>
          </w:p>
          <w:p>
            <w:pPr>
              <w:pStyle w:val="yTableNAm"/>
              <w:widowControl w:val="0"/>
              <w:spacing w:before="0"/>
              <w:rPr>
                <w:sz w:val="18"/>
                <w:szCs w:val="18"/>
              </w:rPr>
            </w:pPr>
            <w:r>
              <w:rPr>
                <w:sz w:val="18"/>
                <w:szCs w:val="18"/>
              </w:rPr>
              <w:t>A lessor must ensure that information given to them in this notice and an accompanying document is kept in a secure manner so far as it is reasonably practicable to do so. A penalty of a fine of up to $5 000 applies for failure to comply with this requirement.</w:t>
            </w:r>
          </w:p>
        </w:tc>
      </w:tr>
    </w:tbl>
    <w:p>
      <w:pPr>
        <w:pStyle w:val="yFootnotesection"/>
      </w:pPr>
      <w:r>
        <w:tab/>
        <w:t>[Form 2 inserted: Gazette 9 Apr 2019 p. 1050</w:t>
      </w:r>
      <w:r>
        <w:noBreakHyphen/>
        <w:t>1.]</w:t>
      </w:r>
    </w:p>
    <w:p>
      <w:pPr>
        <w:pStyle w:val="yEdnotesection"/>
      </w:pPr>
      <w:r>
        <w:t>[Form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cantSplit/>
        </w:trPr>
        <w:tc>
          <w:tcPr>
            <w:tcW w:w="1276" w:type="dxa"/>
            <w:tcBorders>
              <w:bottom w:val="nil"/>
            </w:tcBorders>
          </w:tcPr>
          <w:p>
            <w:pPr>
              <w:pStyle w:val="yTable"/>
              <w:spacing w:before="0"/>
              <w:ind w:right="-108"/>
              <w:rPr>
                <w:b/>
                <w:sz w:val="20"/>
              </w:rPr>
            </w:pPr>
            <w:r>
              <w:rPr>
                <w:b/>
                <w:sz w:val="20"/>
              </w:rPr>
              <w:t xml:space="preserve">Notice to alleged offender </w:t>
            </w:r>
          </w:p>
        </w:tc>
        <w:tc>
          <w:tcPr>
            <w:tcW w:w="567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219 St George’s Terrace,  Perth  WA</w:t>
            </w:r>
          </w:p>
          <w:p>
            <w:pPr>
              <w:pStyle w:val="yTable"/>
              <w:tabs>
                <w:tab w:val="left" w:pos="974"/>
                <w:tab w:val="left" w:pos="4145"/>
              </w:tabs>
              <w:spacing w:before="40"/>
              <w:rPr>
                <w:sz w:val="20"/>
              </w:rPr>
            </w:pPr>
          </w:p>
        </w:tc>
      </w:tr>
      <w:tr>
        <w:trPr>
          <w:cantSplit/>
        </w:trPr>
        <w:tc>
          <w:tcPr>
            <w:tcW w:w="1276" w:type="dxa"/>
            <w:tcBorders>
              <w:top w:val="nil"/>
              <w:bottom w:val="nil"/>
            </w:tcBorders>
          </w:tcPr>
          <w:p>
            <w:pPr>
              <w:pStyle w:val="yTable"/>
              <w:spacing w:before="0"/>
              <w:ind w:right="-108"/>
              <w:rPr>
                <w:b/>
                <w:sz w:val="20"/>
              </w:rPr>
            </w:pPr>
          </w:p>
        </w:tc>
        <w:tc>
          <w:tcPr>
            <w:tcW w:w="5670" w:type="dxa"/>
            <w:gridSpan w:val="2"/>
            <w:tcBorders>
              <w:top w:val="nil"/>
              <w:bottom w:val="nil"/>
            </w:tcBorders>
          </w:tcPr>
          <w:p>
            <w:pPr>
              <w:pStyle w:val="yTable"/>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276" w:type="dxa"/>
            <w:tcBorders>
              <w:top w:val="nil"/>
              <w:bottom w:val="nil"/>
            </w:tcBorders>
          </w:tcPr>
          <w:p>
            <w:pPr>
              <w:pStyle w:val="yTable"/>
              <w:keepNext/>
              <w:spacing w:before="0"/>
              <w:ind w:right="-108"/>
              <w:rPr>
                <w:b/>
                <w:sz w:val="20"/>
              </w:rPr>
            </w:pPr>
          </w:p>
        </w:tc>
        <w:tc>
          <w:tcPr>
            <w:tcW w:w="5670" w:type="dxa"/>
            <w:gridSpan w:val="2"/>
            <w:tcBorders>
              <w:top w:val="nil"/>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 SL 2020/163 r. 48.]</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195" w:name="_Toc75183171"/>
      <w:bookmarkStart w:id="196" w:name="_Toc75253626"/>
      <w:bookmarkStart w:id="197" w:name="_Toc75340797"/>
      <w:bookmarkStart w:id="198" w:name="_Toc74648121"/>
      <w:bookmarkStart w:id="199" w:name="_Toc74648367"/>
      <w:bookmarkStart w:id="200" w:name="_Toc74648426"/>
      <w:bookmarkStart w:id="201" w:name="_Toc74745821"/>
      <w:r>
        <w:rPr>
          <w:rStyle w:val="CharSchNo"/>
        </w:rPr>
        <w:t>Schedule 5</w:t>
      </w:r>
      <w:r>
        <w:rPr>
          <w:rStyle w:val="CharSDivNo"/>
        </w:rPr>
        <w:t> </w:t>
      </w:r>
      <w:r>
        <w:t>—</w:t>
      </w:r>
      <w:r>
        <w:rPr>
          <w:rStyle w:val="CharSDivText"/>
        </w:rPr>
        <w:t> </w:t>
      </w:r>
      <w:r>
        <w:rPr>
          <w:rStyle w:val="CharSchText"/>
        </w:rPr>
        <w:t>Prescribed offences and modified penalties</w:t>
      </w:r>
      <w:bookmarkEnd w:id="195"/>
      <w:bookmarkEnd w:id="196"/>
      <w:bookmarkEnd w:id="197"/>
      <w:bookmarkEnd w:id="198"/>
      <w:bookmarkEnd w:id="199"/>
      <w:bookmarkEnd w:id="200"/>
      <w:bookmarkEnd w:id="201"/>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45(3)</w:t>
            </w:r>
          </w:p>
        </w:tc>
        <w:tc>
          <w:tcPr>
            <w:tcW w:w="4820" w:type="dxa"/>
          </w:tcPr>
          <w:p>
            <w:pPr>
              <w:pStyle w:val="yTableNAm"/>
              <w:spacing w:before="60"/>
            </w:pPr>
            <w:r>
              <w:t>Failing to give lessor copy of key within 7 days</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Lines/>
              <w:spacing w:before="60"/>
            </w:pPr>
            <w:r>
              <w:t>s. 59F(2)</w:t>
            </w:r>
          </w:p>
        </w:tc>
        <w:tc>
          <w:tcPr>
            <w:tcW w:w="4820" w:type="dxa"/>
          </w:tcPr>
          <w:p>
            <w:pPr>
              <w:pStyle w:val="yTableNAm"/>
              <w:keepLines/>
              <w:spacing w:before="60"/>
            </w:pPr>
            <w:r>
              <w:t>Property manager altering, removing or adding lock without consent</w:t>
            </w:r>
          </w:p>
        </w:tc>
        <w:tc>
          <w:tcPr>
            <w:tcW w:w="992" w:type="dxa"/>
          </w:tcPr>
          <w:p>
            <w:pPr>
              <w:pStyle w:val="yTableNAm"/>
              <w:keepLines/>
              <w:spacing w:before="60"/>
            </w:pPr>
            <w:r>
              <w:br/>
              <w:t>$2 000</w:t>
            </w:r>
          </w:p>
        </w:tc>
      </w:tr>
      <w:tr>
        <w:trPr>
          <w:cantSplit/>
          <w:trHeight w:val="21"/>
        </w:trPr>
        <w:tc>
          <w:tcPr>
            <w:tcW w:w="1276" w:type="dxa"/>
          </w:tcPr>
          <w:p>
            <w:pPr>
              <w:pStyle w:val="yTableNAm"/>
              <w:keepLines/>
              <w:spacing w:before="60"/>
            </w:pPr>
            <w:r>
              <w:t>s. 59F(2A)</w:t>
            </w:r>
          </w:p>
        </w:tc>
        <w:tc>
          <w:tcPr>
            <w:tcW w:w="4820" w:type="dxa"/>
          </w:tcPr>
          <w:p>
            <w:pPr>
              <w:pStyle w:val="yTableNAm"/>
              <w:keepLines/>
              <w:spacing w:before="60"/>
            </w:pPr>
            <w:r>
              <w:t>Lessor breaching term referred to in s. 45(2)(c)</w:t>
            </w:r>
          </w:p>
        </w:tc>
        <w:tc>
          <w:tcPr>
            <w:tcW w:w="992" w:type="dxa"/>
          </w:tcPr>
          <w:p>
            <w:pPr>
              <w:pStyle w:val="yTableNAm"/>
              <w:keepLines/>
              <w:spacing w:before="60"/>
            </w:pPr>
            <w:r>
              <w:t>$2 000</w:t>
            </w:r>
          </w:p>
        </w:tc>
      </w:tr>
      <w:tr>
        <w:trPr>
          <w:cantSplit/>
          <w:trHeight w:val="21"/>
        </w:trPr>
        <w:tc>
          <w:tcPr>
            <w:tcW w:w="1276" w:type="dxa"/>
          </w:tcPr>
          <w:p>
            <w:pPr>
              <w:pStyle w:val="yTableNAm"/>
              <w:keepNext/>
              <w:keepLines/>
              <w:spacing w:before="60"/>
            </w:pPr>
            <w:r>
              <w:t>s. 63(3)</w:t>
            </w:r>
          </w:p>
        </w:tc>
        <w:tc>
          <w:tcPr>
            <w:tcW w:w="4820" w:type="dxa"/>
          </w:tcPr>
          <w:p>
            <w:pPr>
              <w:pStyle w:val="yTableNAm"/>
              <w:keepLines/>
              <w:spacing w:before="60"/>
            </w:pPr>
            <w:r>
              <w:t>Giving false or misleading notice of termination</w:t>
            </w:r>
          </w:p>
        </w:tc>
        <w:tc>
          <w:tcPr>
            <w:tcW w:w="992" w:type="dxa"/>
          </w:tcPr>
          <w:p>
            <w:pPr>
              <w:pStyle w:val="yTableNAm"/>
              <w:keepLines/>
              <w:spacing w:before="60"/>
            </w:pPr>
            <w:r>
              <w:t>$1 000</w:t>
            </w:r>
          </w:p>
        </w:tc>
      </w:tr>
      <w:tr>
        <w:trPr>
          <w:cantSplit/>
          <w:trHeight w:val="21"/>
        </w:trPr>
        <w:tc>
          <w:tcPr>
            <w:tcW w:w="1276" w:type="dxa"/>
          </w:tcPr>
          <w:p>
            <w:pPr>
              <w:pStyle w:val="yTableNAm"/>
            </w:pPr>
            <w:r>
              <w:t>s. 71AB(3)</w:t>
            </w:r>
          </w:p>
        </w:tc>
        <w:tc>
          <w:tcPr>
            <w:tcW w:w="4820" w:type="dxa"/>
          </w:tcPr>
          <w:p>
            <w:pPr>
              <w:pStyle w:val="yTableNAm"/>
            </w:pPr>
            <w:r>
              <w:t>Lessor disclosing information referred to in s. 71AB(2)</w:t>
            </w:r>
          </w:p>
        </w:tc>
        <w:tc>
          <w:tcPr>
            <w:tcW w:w="992" w:type="dxa"/>
          </w:tcPr>
          <w:p>
            <w:pPr>
              <w:pStyle w:val="yTableNAm"/>
            </w:pPr>
            <w:r>
              <w:br/>
              <w:t>$1 000</w:t>
            </w:r>
          </w:p>
        </w:tc>
      </w:tr>
      <w:tr>
        <w:trPr>
          <w:cantSplit/>
          <w:trHeight w:val="21"/>
        </w:trPr>
        <w:tc>
          <w:tcPr>
            <w:tcW w:w="1276" w:type="dxa"/>
          </w:tcPr>
          <w:p>
            <w:pPr>
              <w:pStyle w:val="yTableNAm"/>
              <w:keepNext/>
              <w:keepLines/>
              <w:spacing w:before="60"/>
            </w:pPr>
            <w:r>
              <w:t>s. 71AB(4)</w:t>
            </w:r>
          </w:p>
        </w:tc>
        <w:tc>
          <w:tcPr>
            <w:tcW w:w="4820" w:type="dxa"/>
          </w:tcPr>
          <w:p>
            <w:pPr>
              <w:pStyle w:val="yTableNAm"/>
              <w:keepNext/>
              <w:keepLines/>
              <w:spacing w:before="60"/>
            </w:pPr>
            <w:r>
              <w:t>Lessor failing to ensure information referred to in s. 71AB(2) is kept in secure manner</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 amended: Gazette 9 Apr 2019 p. 1052.]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02" w:name="_Toc75183172"/>
      <w:bookmarkStart w:id="203" w:name="_Toc75253627"/>
      <w:bookmarkStart w:id="204" w:name="_Toc75340798"/>
      <w:bookmarkStart w:id="205" w:name="_Toc74648122"/>
      <w:bookmarkStart w:id="206" w:name="_Toc74648368"/>
      <w:bookmarkStart w:id="207" w:name="_Toc74648427"/>
      <w:bookmarkStart w:id="208" w:name="_Toc74745822"/>
      <w:r>
        <w:t>Notes</w:t>
      </w:r>
      <w:bookmarkEnd w:id="202"/>
      <w:bookmarkEnd w:id="203"/>
      <w:bookmarkEnd w:id="204"/>
      <w:bookmarkEnd w:id="205"/>
      <w:bookmarkEnd w:id="206"/>
      <w:bookmarkEnd w:id="207"/>
      <w:bookmarkEnd w:id="208"/>
    </w:p>
    <w:p>
      <w:pPr>
        <w:pStyle w:val="nStatement"/>
      </w:pPr>
      <w:r>
        <w:t xml:space="preserve">This is a compilation of the </w:t>
      </w:r>
      <w:r>
        <w:rPr>
          <w:i/>
          <w:noProof/>
        </w:rPr>
        <w:t>Residential Tenancies Regulations</w:t>
      </w:r>
      <w:del w:id="209" w:author="Master Repository Process" w:date="2021-09-12T15:00:00Z">
        <w:r>
          <w:rPr>
            <w:i/>
            <w:noProof/>
          </w:rPr>
          <w:delText> </w:delText>
        </w:r>
      </w:del>
      <w:ins w:id="210" w:author="Master Repository Process" w:date="2021-09-12T15:00:00Z">
        <w:r>
          <w:rPr>
            <w:i/>
            <w:noProof/>
          </w:rPr>
          <w:t xml:space="preserve"> </w:t>
        </w:r>
      </w:ins>
      <w:r>
        <w:rPr>
          <w:i/>
          <w:noProof/>
        </w:rPr>
        <w:t>1989</w:t>
      </w:r>
      <w:r>
        <w:t xml:space="preserve"> and includes amendments made by other written laws. For provisions that have come into operation, and for information about any reprints, see the compilation table.</w:t>
      </w:r>
      <w:del w:id="211" w:author="Master Repository Process" w:date="2021-09-12T15:00:00Z">
        <w:r>
          <w:delText xml:space="preserve"> For provisions that have not yet come into operation see the uncommenced provisions table.</w:delText>
        </w:r>
      </w:del>
    </w:p>
    <w:p>
      <w:pPr>
        <w:pStyle w:val="nHeading3"/>
      </w:pPr>
      <w:bookmarkStart w:id="212" w:name="_Toc75340799"/>
      <w:bookmarkStart w:id="213" w:name="_Toc74745823"/>
      <w:r>
        <w:t>Compilation table</w:t>
      </w:r>
      <w:bookmarkEnd w:id="212"/>
      <w:bookmarkEnd w:id="21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pPr>
            <w:r>
              <w:rPr>
                <w:i/>
              </w:rPr>
              <w:t>Commerce Regulations Amendment (Family Violence) Regulations 2019</w:t>
            </w:r>
            <w:r>
              <w:t xml:space="preserve"> Pt. 2</w:t>
            </w:r>
          </w:p>
        </w:tc>
        <w:tc>
          <w:tcPr>
            <w:tcW w:w="1276" w:type="dxa"/>
            <w:tcBorders>
              <w:top w:val="nil"/>
              <w:bottom w:val="nil"/>
            </w:tcBorders>
          </w:tcPr>
          <w:p>
            <w:pPr>
              <w:pStyle w:val="nTable"/>
              <w:spacing w:after="40"/>
            </w:pPr>
            <w:r>
              <w:t>9 Apr 2019 p. 1042</w:t>
            </w:r>
            <w:r>
              <w:noBreakHyphen/>
              <w:t>55</w:t>
            </w:r>
          </w:p>
        </w:tc>
        <w:tc>
          <w:tcPr>
            <w:tcW w:w="2693" w:type="dxa"/>
            <w:tcBorders>
              <w:top w:val="nil"/>
              <w:bottom w:val="nil"/>
            </w:tcBorders>
          </w:tcPr>
          <w:p>
            <w:pPr>
              <w:pStyle w:val="nTable"/>
              <w:spacing w:after="40"/>
            </w:pPr>
            <w:r>
              <w:rPr>
                <w:bCs/>
                <w:snapToGrid w:val="0"/>
                <w:spacing w:val="-2"/>
              </w:rPr>
              <w:t xml:space="preserve">15 Apr 2019 (see r. 2(b) and </w:t>
            </w:r>
            <w:r>
              <w:rPr>
                <w:bCs/>
                <w:i/>
                <w:snapToGrid w:val="0"/>
                <w:spacing w:val="-2"/>
              </w:rPr>
              <w:t>Gazette</w:t>
            </w:r>
            <w:r>
              <w:rPr>
                <w:bCs/>
                <w:snapToGrid w:val="0"/>
                <w:spacing w:val="-2"/>
              </w:rPr>
              <w:t xml:space="preserve"> 9 Apr</w:t>
            </w:r>
            <w:r>
              <w:t> 2019 p. 1041</w:t>
            </w:r>
            <w:r>
              <w:noBreakHyphen/>
              <w:t>2)</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17</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spacing w:after="40"/>
            </w:pPr>
            <w:r>
              <w:rPr>
                <w:i/>
              </w:rPr>
              <w:t xml:space="preserve">Consumer Protection Regulations Amendment Regulations 2019 </w:t>
            </w:r>
            <w:r>
              <w:t>Pt. 5</w:t>
            </w:r>
          </w:p>
        </w:tc>
        <w:tc>
          <w:tcPr>
            <w:tcW w:w="1276" w:type="dxa"/>
            <w:tcBorders>
              <w:top w:val="nil"/>
              <w:bottom w:val="nil"/>
            </w:tcBorders>
          </w:tcPr>
          <w:p>
            <w:pPr>
              <w:pStyle w:val="nTable"/>
              <w:spacing w:after="40"/>
            </w:pPr>
            <w:r>
              <w:t>24 Dec 2019 p. 4416</w:t>
            </w:r>
            <w:r>
              <w:noBreakHyphen/>
              <w:t>20</w:t>
            </w:r>
          </w:p>
        </w:tc>
        <w:tc>
          <w:tcPr>
            <w:tcW w:w="2693" w:type="dxa"/>
            <w:tcBorders>
              <w:top w:val="nil"/>
              <w:bottom w:val="nil"/>
            </w:tcBorders>
          </w:tcPr>
          <w:p>
            <w:pPr>
              <w:pStyle w:val="nTable"/>
              <w:spacing w:after="40"/>
            </w:pPr>
            <w:r>
              <w:t xml:space="preserve">1 Jan 2020 (see r. 2(b) and </w:t>
            </w:r>
            <w:r>
              <w:rPr>
                <w:i/>
              </w:rPr>
              <w:t>Gazette</w:t>
            </w:r>
            <w:r>
              <w:t xml:space="preserve"> 24 Dec 2019 p. 4415)</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4</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Commerce Regulations Amendment (Infringement Notices) Regulations 2020</w:t>
            </w:r>
            <w:r>
              <w:t xml:space="preserve"> Pt. 24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bl>
    <w:p>
      <w:pPr>
        <w:pStyle w:val="nHeading3"/>
        <w:rPr>
          <w:del w:id="214" w:author="Master Repository Process" w:date="2021-09-12T15:00:00Z"/>
        </w:rPr>
      </w:pPr>
      <w:bookmarkStart w:id="215" w:name="_Toc74745824"/>
      <w:del w:id="216" w:author="Master Repository Process" w:date="2021-09-12T15:00:00Z">
        <w:r>
          <w:delText>Uncommenced provisions table</w:delText>
        </w:r>
        <w:bookmarkEnd w:id="215"/>
      </w:del>
    </w:p>
    <w:p>
      <w:pPr>
        <w:pStyle w:val="nStatement"/>
        <w:keepNext/>
        <w:spacing w:after="240"/>
        <w:rPr>
          <w:del w:id="217" w:author="Master Repository Process" w:date="2021-09-12T15:00:00Z"/>
        </w:rPr>
      </w:pPr>
      <w:del w:id="218" w:author="Master Repository Process" w:date="2021-09-12T15:00: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19" w:author="Master Repository Process" w:date="2021-09-12T15:00:00Z"/>
        </w:trPr>
        <w:tc>
          <w:tcPr>
            <w:tcW w:w="3118" w:type="dxa"/>
          </w:tcPr>
          <w:p>
            <w:pPr>
              <w:pStyle w:val="nTable"/>
              <w:spacing w:after="40"/>
              <w:rPr>
                <w:del w:id="220" w:author="Master Repository Process" w:date="2021-09-12T15:00:00Z"/>
                <w:b/>
              </w:rPr>
            </w:pPr>
            <w:del w:id="221" w:author="Master Repository Process" w:date="2021-09-12T15:00:00Z">
              <w:r>
                <w:rPr>
                  <w:b/>
                </w:rPr>
                <w:delText>Citation</w:delText>
              </w:r>
            </w:del>
          </w:p>
        </w:tc>
        <w:tc>
          <w:tcPr>
            <w:tcW w:w="1276" w:type="dxa"/>
          </w:tcPr>
          <w:p>
            <w:pPr>
              <w:pStyle w:val="nTable"/>
              <w:spacing w:after="40"/>
              <w:rPr>
                <w:del w:id="222" w:author="Master Repository Process" w:date="2021-09-12T15:00:00Z"/>
                <w:b/>
              </w:rPr>
            </w:pPr>
            <w:del w:id="223" w:author="Master Repository Process" w:date="2021-09-12T15:00:00Z">
              <w:r>
                <w:rPr>
                  <w:b/>
                </w:rPr>
                <w:delText>Published</w:delText>
              </w:r>
            </w:del>
          </w:p>
        </w:tc>
        <w:tc>
          <w:tcPr>
            <w:tcW w:w="2693" w:type="dxa"/>
          </w:tcPr>
          <w:p>
            <w:pPr>
              <w:pStyle w:val="nTable"/>
              <w:spacing w:after="40"/>
              <w:rPr>
                <w:del w:id="224" w:author="Master Repository Process" w:date="2021-09-12T15:00:00Z"/>
                <w:b/>
              </w:rPr>
            </w:pPr>
            <w:del w:id="225" w:author="Master Repository Process" w:date="2021-09-12T15:00:00Z">
              <w:r>
                <w:rPr>
                  <w:b/>
                </w:rPr>
                <w:delText>Commencement</w:delText>
              </w:r>
            </w:del>
          </w:p>
        </w:tc>
      </w:tr>
      <w:tr>
        <w:trPr>
          <w:cantSplit/>
        </w:trPr>
        <w:tc>
          <w:tcPr>
            <w:tcW w:w="3118" w:type="dxa"/>
            <w:tcBorders>
              <w:top w:val="nil"/>
              <w:bottom w:val="single" w:sz="4" w:space="0" w:color="auto"/>
            </w:tcBorders>
          </w:tcPr>
          <w:p>
            <w:pPr>
              <w:pStyle w:val="nTable"/>
              <w:spacing w:after="40"/>
              <w:rPr>
                <w:i/>
              </w:rPr>
            </w:pPr>
            <w:r>
              <w:rPr>
                <w:i/>
              </w:rPr>
              <w:t xml:space="preserve">Commerce Regulations Amendment (Community Titles) Regulations 2021 </w:t>
            </w:r>
            <w:r>
              <w:t>Pt. 6</w:t>
            </w:r>
          </w:p>
        </w:tc>
        <w:tc>
          <w:tcPr>
            <w:tcW w:w="1276" w:type="dxa"/>
            <w:tcBorders>
              <w:top w:val="nil"/>
              <w:bottom w:val="single" w:sz="4" w:space="0" w:color="auto"/>
            </w:tcBorders>
          </w:tcPr>
          <w:p>
            <w:pPr>
              <w:pStyle w:val="nTable"/>
              <w:spacing w:after="40"/>
            </w:pPr>
            <w:r>
              <w:t>SL 2021/71 18 Jun 2021</w:t>
            </w:r>
          </w:p>
        </w:tc>
        <w:tc>
          <w:tcPr>
            <w:tcW w:w="2693" w:type="dxa"/>
            <w:tcBorders>
              <w:top w:val="nil"/>
              <w:bottom w:val="single" w:sz="4" w:space="0" w:color="auto"/>
            </w:tcBorders>
          </w:tcPr>
          <w:p>
            <w:pPr>
              <w:pStyle w:val="nTable"/>
              <w:spacing w:after="40"/>
            </w:pPr>
            <w:r>
              <w:t>30 Jun 2021 (see r. 2(b) and SL 2021/69 cl. 2)</w:t>
            </w:r>
          </w:p>
        </w:tc>
      </w:tr>
    </w:tbl>
    <w:p>
      <w:pPr>
        <w:pStyle w:val="nHeading3"/>
      </w:pPr>
      <w:bookmarkStart w:id="226" w:name="_Toc75340800"/>
      <w:bookmarkStart w:id="227" w:name="_Toc74652015"/>
      <w:bookmarkStart w:id="228" w:name="_Toc74745825"/>
      <w:r>
        <w:t>Other notes</w:t>
      </w:r>
      <w:bookmarkEnd w:id="226"/>
      <w:bookmarkEnd w:id="227"/>
      <w:bookmarkEnd w:id="228"/>
    </w:p>
    <w:p>
      <w:pPr>
        <w:pStyle w:val="nNote"/>
        <w:keepNext/>
        <w:spacing w:before="160"/>
      </w:pPr>
      <w:r>
        <w:rPr>
          <w:vertAlign w:val="superscript"/>
        </w:rPr>
        <w:t>1</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Note"/>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Note"/>
        <w:spacing w:before="160"/>
      </w:pPr>
      <w:r>
        <w:rPr>
          <w:vertAlign w:val="superscript"/>
        </w:rPr>
        <w:t>3</w:t>
      </w:r>
      <w:r>
        <w:tab/>
        <w:t xml:space="preserve">Repealed by the </w:t>
      </w:r>
      <w:r>
        <w:rPr>
          <w:i/>
          <w:snapToGrid w:val="0"/>
        </w:rPr>
        <w:t>Legal Profession Act 2008</w:t>
      </w:r>
      <w:r>
        <w:t>.</w:t>
      </w:r>
    </w:p>
    <w:p>
      <w:pPr>
        <w:pStyle w:val="nNote"/>
        <w:spacing w:before="160"/>
      </w:pPr>
      <w:r>
        <w:rPr>
          <w:vertAlign w:val="superscript"/>
        </w:rPr>
        <w:t>4</w:t>
      </w:r>
      <w:r>
        <w:tab/>
        <w:t xml:space="preserve">The </w:t>
      </w:r>
      <w:r>
        <w:rPr>
          <w:i/>
        </w:rPr>
        <w:t>Residential Tenancies Act 1987</w:t>
      </w:r>
      <w:r>
        <w:t xml:space="preserve"> Sch. 1 cl. 7 was deleted by the </w:t>
      </w:r>
      <w:r>
        <w:rPr>
          <w:i/>
        </w:rPr>
        <w:t>Residential Tenancies Amendment Act 2011</w:t>
      </w:r>
      <w:r>
        <w:t xml:space="preserve"> s. 87(16).</w:t>
      </w:r>
    </w:p>
    <w:p>
      <w:pPr>
        <w:pStyle w:val="nNote"/>
        <w:spacing w:before="160"/>
      </w:pPr>
      <w:r>
        <w:rPr>
          <w:vertAlign w:val="superscript"/>
        </w:rPr>
        <w:t>5</w:t>
      </w:r>
      <w:r>
        <w:tab/>
        <w:t>Now called the Consolidated Account.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 w:name="Coversheet"/>
    <w:bookmarkEnd w:id="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39" w:name="Schedule"/>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55030"/>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 w:name="WAFER_20190408102646" w:val="RemoveTocBookmarks,RemoveUnusedBookmarks,RemoveLanguageTags,ResetPageSize,RunningHeaders,UpdateStyles,UsedStyles"/>
    <w:docVar w:name="WAFER_20190408102646_GUID" w:val="61061007-55f1-4d96-9b98-59bdce424573"/>
    <w:docVar w:name="WAFER_20190618102741" w:val="RemoveTocBookmarks,RemoveUnusedBookmarks,RemoveLanguageTags,ResetPageSize,RunningHeaders,UpdateStyles,UsedStyles"/>
    <w:docVar w:name="WAFER_20190618102741_GUID" w:val="64a6e16d-e8c8-4611-952f-92c05e71ff73"/>
    <w:docVar w:name="WAFER_20190619145715" w:val="RemoveTocBookmarks,RemoveUnusedBookmarks,RemoveLanguageTags,ResetPageSize,RunningHeaders,UpdateStyles,UsedStyles"/>
    <w:docVar w:name="WAFER_20190619145715_GUID" w:val="c286b259-9efd-4a6c-9c90-ca08d88ab649"/>
    <w:docVar w:name="WAFER_20191223125241" w:val="RemoveTocBookmarks,RemoveUnusedBookmarks,RemoveLanguageTags,ResetPageSize,RunningHeaders,UpdateStyles,UsedStyles"/>
    <w:docVar w:name="WAFER_20191223125241_GUID" w:val="b9834416-308a-4f36-b45d-a5a5694ef3ff"/>
    <w:docVar w:name="WAFER_202002111018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1836_GUID" w:val="8144b305-c8c6-4034-b349-392e1ac50951"/>
    <w:docVar w:name="WAFER_20200417140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0043_GUID" w:val="33246072-22a5-437a-a482-808dc3c013dc"/>
    <w:docVar w:name="WAFER_202004200935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511_GUID" w:val="9d1e80c4-38a2-4beb-b86f-47007e53cdf1"/>
    <w:docVar w:name="WAFER_202009221414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1422_GUID" w:val="d6c20f9c-e393-4a62-a8c3-794bcba991f9"/>
    <w:docVar w:name="WAFER_202106151112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1225_GUID" w:val="8adce3c3-ae3a-49f4-8b1e-21229b885735"/>
    <w:docVar w:name="WAFER_20210621155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55030_GUID" w:val="ebf97013-df36-446b-92af-604d28fa6e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35678C-144A-4D8C-A8FD-8846189D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360"/>
        <w:tab w:val="num" w:pos="1800"/>
      </w:tabs>
      <w:ind w:left="1800" w:firstLine="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2B7F-6995-4A23-85F1-D0B1B7AD7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30756</Words>
  <Characters>154092</Characters>
  <Application>Microsoft Office Word</Application>
  <DocSecurity>0</DocSecurity>
  <Lines>4669</Lines>
  <Paragraphs>2432</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182416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05-m0-00 - 05-n0-00</dc:title>
  <dc:subject/>
  <dc:creator/>
  <cp:keywords/>
  <dc:description/>
  <cp:lastModifiedBy>Master Repository Process</cp:lastModifiedBy>
  <cp:revision>2</cp:revision>
  <cp:lastPrinted>2016-12-22T08:06:00Z</cp:lastPrinted>
  <dcterms:created xsi:type="dcterms:W3CDTF">2021-09-12T07:00:00Z</dcterms:created>
  <dcterms:modified xsi:type="dcterms:W3CDTF">2021-09-12T07:00:00Z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20210630</vt:lpwstr>
  </property>
  <property fmtid="{D5CDD505-2E9C-101B-9397-08002B2CF9AE}" pid="8" name="FromSuffix">
    <vt:lpwstr>05-m0-00</vt:lpwstr>
  </property>
  <property fmtid="{D5CDD505-2E9C-101B-9397-08002B2CF9AE}" pid="9" name="FromAsAtDate">
    <vt:lpwstr>18 Jun 2021</vt:lpwstr>
  </property>
  <property fmtid="{D5CDD505-2E9C-101B-9397-08002B2CF9AE}" pid="10" name="ToSuffix">
    <vt:lpwstr>05-n0-00</vt:lpwstr>
  </property>
  <property fmtid="{D5CDD505-2E9C-101B-9397-08002B2CF9AE}" pid="11" name="ToAsAtDate">
    <vt:lpwstr>30 Jun 2021</vt:lpwstr>
  </property>
</Properties>
</file>