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2021</w:t>
      </w:r>
      <w:r>
        <w:fldChar w:fldCharType="end"/>
      </w:r>
      <w:r>
        <w:t xml:space="preserve">, </w:t>
      </w:r>
      <w:r>
        <w:fldChar w:fldCharType="begin"/>
      </w:r>
      <w:r>
        <w:instrText xml:space="preserve"> DocProperty FromSuffix </w:instrText>
      </w:r>
      <w:r>
        <w:fldChar w:fldCharType="separate"/>
      </w:r>
      <w:r>
        <w:t>03-k0-00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03-l0-00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600"/>
        <w:rPr>
          <w:snapToGrid w:val="0"/>
        </w:rPr>
      </w:pPr>
      <w:r>
        <w:lastRenderedPageBreak/>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1" w:name="_Toc75862301"/>
      <w:bookmarkStart w:id="2" w:name="_Toc75164645"/>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w:t>
      </w:r>
      <w:r>
        <w:rPr>
          <w:snapToGrid w:val="0"/>
        </w:rPr>
        <w:t>.</w:t>
      </w:r>
    </w:p>
    <w:p>
      <w:pPr>
        <w:pStyle w:val="Footnotesection"/>
        <w:rPr>
          <w:i w:val="0"/>
        </w:rPr>
      </w:pPr>
      <w:r>
        <w:tab/>
        <w:t>[Regulation 1 amended: Gazette 23 Jun 2009 p. 2471.]</w:t>
      </w:r>
    </w:p>
    <w:p>
      <w:pPr>
        <w:pStyle w:val="Heading5"/>
      </w:pPr>
      <w:bookmarkStart w:id="4" w:name="_Toc75862302"/>
      <w:bookmarkStart w:id="5" w:name="_Toc75164646"/>
      <w:r>
        <w:rPr>
          <w:rStyle w:val="CharSectno"/>
        </w:rPr>
        <w:t>1A</w:t>
      </w:r>
      <w:r>
        <w:t>.</w:t>
      </w:r>
      <w:r>
        <w:tab/>
        <w:t>Terms used</w:t>
      </w:r>
      <w:bookmarkEnd w:id="4"/>
      <w:bookmarkEnd w:id="5"/>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Gazette 15 Dec 2000 p. 7213.]</w:t>
      </w:r>
    </w:p>
    <w:p>
      <w:pPr>
        <w:pStyle w:val="Heading5"/>
        <w:rPr>
          <w:snapToGrid w:val="0"/>
        </w:rPr>
      </w:pPr>
      <w:bookmarkStart w:id="6" w:name="_Toc75862303"/>
      <w:bookmarkStart w:id="7" w:name="_Toc75164647"/>
      <w:r>
        <w:rPr>
          <w:rStyle w:val="CharSectno"/>
        </w:rPr>
        <w:t>2</w:t>
      </w:r>
      <w:r>
        <w:rPr>
          <w:snapToGrid w:val="0"/>
        </w:rPr>
        <w:t>.</w:t>
      </w:r>
      <w:r>
        <w:rPr>
          <w:snapToGrid w:val="0"/>
        </w:rPr>
        <w:tab/>
        <w:t>Time prescribed (Act s. 17(4))</w:t>
      </w:r>
      <w:bookmarkEnd w:id="6"/>
      <w:bookmarkEnd w:id="7"/>
    </w:p>
    <w:p>
      <w:pPr>
        <w:pStyle w:val="Subsection"/>
        <w:keepNext/>
        <w:rPr>
          <w:snapToGrid w:val="0"/>
        </w:rPr>
      </w:pPr>
      <w:r>
        <w:rPr>
          <w:snapToGrid w:val="0"/>
        </w:rPr>
        <w:tab/>
      </w:r>
      <w:r>
        <w:rPr>
          <w:snapToGrid w:val="0"/>
        </w:rPr>
        <w:tab/>
        <w:t>The prescribed time for the purposes of section 17(4) of the Act is — </w:t>
      </w:r>
    </w:p>
    <w:p>
      <w:pPr>
        <w:pStyle w:val="Indenta"/>
        <w:keepNext/>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Gazette 28 Sep 1990 p. 5100; 23 Jun 2009 p. 2471</w:t>
      </w:r>
      <w:r>
        <w:noBreakHyphen/>
        <w:t xml:space="preserve">2.] </w:t>
      </w:r>
    </w:p>
    <w:p>
      <w:pPr>
        <w:pStyle w:val="Heading5"/>
        <w:rPr>
          <w:snapToGrid w:val="0"/>
        </w:rPr>
      </w:pPr>
      <w:bookmarkStart w:id="8" w:name="_Toc75862304"/>
      <w:bookmarkStart w:id="9" w:name="_Toc75164648"/>
      <w:r>
        <w:rPr>
          <w:rStyle w:val="CharSectno"/>
        </w:rPr>
        <w:t>3</w:t>
      </w:r>
      <w:r>
        <w:rPr>
          <w:snapToGrid w:val="0"/>
        </w:rPr>
        <w:t>.</w:t>
      </w:r>
      <w:r>
        <w:rPr>
          <w:snapToGrid w:val="0"/>
        </w:rPr>
        <w:tab/>
        <w:t>Fees and rates prescribed</w:t>
      </w:r>
      <w:bookmarkEnd w:id="8"/>
      <w:bookmarkEnd w:id="9"/>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w:t>
      </w:r>
      <w:del w:id="10" w:author="Master Repository Process" w:date="2021-09-11T19:24:00Z">
        <w:r>
          <w:delText>142</w:delText>
        </w:r>
      </w:del>
      <w:ins w:id="11" w:author="Master Repository Process" w:date="2021-09-11T19:24:00Z">
        <w:r>
          <w:t>149</w:t>
        </w:r>
      </w:ins>
      <w:r>
        <w:t xml:space="preserve">.00 </w:t>
      </w:r>
      <w:r>
        <w:rPr>
          <w:snapToGrid w:val="0"/>
        </w:rPr>
        <w:t>per page.</w:t>
      </w:r>
    </w:p>
    <w:p>
      <w:pPr>
        <w:pStyle w:val="Ednotesubsection"/>
      </w:pPr>
      <w:r>
        <w:tab/>
        <w:t>[(3)</w:t>
      </w:r>
      <w:r>
        <w:noBreakHyphen/>
        <w:t>(5)</w:t>
      </w:r>
      <w:r>
        <w:tab/>
        <w:t>deleted]</w:t>
      </w:r>
    </w:p>
    <w:p>
      <w:pPr>
        <w:pStyle w:val="Subsection"/>
        <w:rPr>
          <w:snapToGrid w:val="0"/>
        </w:rPr>
      </w:pPr>
      <w:r>
        <w:rPr>
          <w:snapToGrid w:val="0"/>
        </w:rPr>
        <w:tab/>
        <w:t>(6)</w:t>
      </w:r>
      <w:r>
        <w:rPr>
          <w:snapToGrid w:val="0"/>
        </w:rPr>
        <w:tab/>
        <w:t xml:space="preserve">For the purposes of section 137(b) of the Act, the prescribed rate is a rate of </w:t>
      </w:r>
      <w:r>
        <w:t>$919.00.</w:t>
      </w:r>
    </w:p>
    <w:p>
      <w:pPr>
        <w:pStyle w:val="Subsection"/>
        <w:rPr>
          <w:snapToGrid w:val="0"/>
        </w:rPr>
      </w:pPr>
      <w:r>
        <w:rPr>
          <w:snapToGrid w:val="0"/>
        </w:rPr>
        <w:tab/>
        <w:t>(7)</w:t>
      </w:r>
      <w:r>
        <w:rPr>
          <w:snapToGrid w:val="0"/>
        </w:rPr>
        <w:tab/>
        <w:t>For the purposes of section 137A of the Act, the prescribed rate is a rate of</w:t>
      </w:r>
      <w:r>
        <w:t xml:space="preserve"> $20 000.00.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$17 400.00.</w:t>
      </w:r>
    </w:p>
    <w:p>
      <w:pPr>
        <w:pStyle w:val="Footnotesection"/>
      </w:pPr>
      <w:r>
        <w:tab/>
        <w:t>[Regulation 3 inserted: Gazette 28 Sep 1990 p. 5100</w:t>
      </w:r>
      <w:r>
        <w:noBreakHyphen/>
        <w:t>1; amended: Gazette 22 Jul 1994 p. 3780; 27 Jun 2000 p. 3252; 28 Jun 2002 p.  3090-1; 28 Feb 2003 p. 669-70; 23 Jun 2009 p. 2472; 9 Feb 2010 p. 271; 11 May 2010 p. 1817; 16 Jul 2010 p. 3358; 1 Jul 2011 p. 2734</w:t>
      </w:r>
      <w:r>
        <w:noBreakHyphen/>
        <w:t xml:space="preserve">5; 12 Jun 2012 p. 2463; 25 Feb 2014 p. 499; </w:t>
      </w:r>
      <w:r>
        <w:rPr>
          <w:spacing w:val="-4"/>
        </w:rPr>
        <w:t>17 Jun 2014 p. 1</w:t>
      </w:r>
      <w:r>
        <w:t>982; 30 Jun 2015 p. 2344 and 2347; 24 Jun 2016 p. 2332; 23 Jun 2017 p. 3305; 25 Jun 2018 p. 2320; 18 Jun 2019 p. 2053; SL 2020/93 r. </w:t>
      </w:r>
      <w:del w:id="12" w:author="Master Repository Process" w:date="2021-09-11T19:24:00Z">
        <w:r>
          <w:delText>14</w:delText>
        </w:r>
      </w:del>
      <w:ins w:id="13" w:author="Master Repository Process" w:date="2021-09-11T19:24:00Z">
        <w:r>
          <w:t>14; SL 2021/85 r. 27</w:t>
        </w:r>
      </w:ins>
      <w:r>
        <w:t xml:space="preserve">.] </w:t>
      </w:r>
    </w:p>
    <w:p>
      <w:pPr>
        <w:pStyle w:val="Ednotesection"/>
      </w:pPr>
      <w:r>
        <w:t>[</w:t>
      </w:r>
      <w:r>
        <w:rPr>
          <w:b/>
          <w:bCs/>
        </w:rPr>
        <w:t>3A.</w:t>
      </w:r>
      <w:r>
        <w:tab/>
        <w:t>Deleted: Gazette 23 Jun 2009 p. 2472.]</w:t>
      </w:r>
    </w:p>
    <w:p>
      <w:pPr>
        <w:pStyle w:val="Heading5"/>
        <w:rPr>
          <w:snapToGrid w:val="0"/>
        </w:rPr>
      </w:pPr>
      <w:bookmarkStart w:id="14" w:name="_Toc75862305"/>
      <w:bookmarkStart w:id="15" w:name="_Toc75164649"/>
      <w:r>
        <w:rPr>
          <w:rStyle w:val="CharSectno"/>
        </w:rPr>
        <w:t>4</w:t>
      </w:r>
      <w:r>
        <w:rPr>
          <w:snapToGrid w:val="0"/>
        </w:rPr>
        <w:t>.</w:t>
      </w:r>
      <w:r>
        <w:rPr>
          <w:snapToGrid w:val="0"/>
        </w:rPr>
        <w:tab/>
        <w:t>Form of instrument of transfer prescribed (Act s. 72(3)(a))</w:t>
      </w:r>
      <w:bookmarkEnd w:id="14"/>
      <w:bookmarkEnd w:id="15"/>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Gazette 28 Sep 1990 p. 5101.] </w:t>
      </w:r>
    </w:p>
    <w:p>
      <w:pPr>
        <w:pStyle w:val="Heading5"/>
        <w:rPr>
          <w:snapToGrid w:val="0"/>
        </w:rPr>
      </w:pPr>
      <w:bookmarkStart w:id="16" w:name="_Toc75862306"/>
      <w:bookmarkStart w:id="17" w:name="_Toc75164650"/>
      <w:r>
        <w:rPr>
          <w:rStyle w:val="CharSectno"/>
        </w:rPr>
        <w:t>5</w:t>
      </w:r>
      <w:r>
        <w:rPr>
          <w:snapToGrid w:val="0"/>
        </w:rPr>
        <w:t>.</w:t>
      </w:r>
      <w:r>
        <w:rPr>
          <w:snapToGrid w:val="0"/>
        </w:rPr>
        <w:tab/>
        <w:t>Particulars prescribed (Act s. 75(4)(b))</w:t>
      </w:r>
      <w:bookmarkEnd w:id="16"/>
      <w:bookmarkEnd w:id="17"/>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keepNext/>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1</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keepNex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1</w:t>
      </w:r>
      <w:r>
        <w:t>.</w:t>
      </w:r>
    </w:p>
    <w:p>
      <w:pPr>
        <w:pStyle w:val="Footnotesection"/>
      </w:pPr>
      <w:r>
        <w:tab/>
        <w:t>[Regulation 5 inserted: Gazette 28 Sep 1990 p. 5101</w:t>
      </w:r>
      <w:r>
        <w:noBreakHyphen/>
        <w:t xml:space="preserve">2; amended: Gazette 23 Jun 2009 p. 2472.] </w:t>
      </w:r>
    </w:p>
    <w:p>
      <w:pPr>
        <w:pStyle w:val="Ednotesection"/>
      </w:pPr>
      <w:r>
        <w:t>[</w:t>
      </w:r>
      <w:r>
        <w:rPr>
          <w:b/>
          <w:bCs/>
        </w:rPr>
        <w:t>6, 7.</w:t>
      </w:r>
      <w:r>
        <w:tab/>
        <w:t>Deleted: Gazette 23 Jun 2009 p. 2472.]</w:t>
      </w:r>
    </w:p>
    <w:p>
      <w:pPr>
        <w:pStyle w:val="Heading5"/>
        <w:rPr>
          <w:snapToGrid w:val="0"/>
        </w:rPr>
      </w:pPr>
      <w:bookmarkStart w:id="18" w:name="_Toc75862307"/>
      <w:bookmarkStart w:id="19" w:name="_Toc75164651"/>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18"/>
      <w:bookmarkEnd w:id="19"/>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Gazette 20 May 1994 p. 2124</w:t>
      </w:r>
      <w:r>
        <w:noBreakHyphen/>
        <w:t xml:space="preserve">5.] </w:t>
      </w:r>
    </w:p>
    <w:p>
      <w:pPr>
        <w:pStyle w:val="Heading5"/>
        <w:spacing w:before="180"/>
      </w:pPr>
      <w:bookmarkStart w:id="20" w:name="_Toc75862308"/>
      <w:bookmarkStart w:id="21" w:name="_Toc75164652"/>
      <w:r>
        <w:rPr>
          <w:rStyle w:val="CharSectno"/>
        </w:rPr>
        <w:t>9</w:t>
      </w:r>
      <w:r>
        <w:t>.</w:t>
      </w:r>
      <w:r>
        <w:tab/>
        <w:t>Australian datum prescribed etc. (Act s. 8(1))</w:t>
      </w:r>
      <w:bookmarkEnd w:id="20"/>
      <w:bookmarkEnd w:id="21"/>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r>
              <w:rPr>
                <w:sz w:val="20"/>
              </w:rPr>
              <w:t>Alice Springs</w:t>
            </w:r>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r>
              <w:rPr>
                <w:sz w:val="20"/>
              </w:rPr>
              <w:t>Darwin</w:t>
            </w:r>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r>
              <w:rPr>
                <w:sz w:val="20"/>
              </w:rPr>
              <w:t>Hobart</w:t>
            </w:r>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Gazette 15 Dec 2000 p. 7213</w:t>
      </w:r>
      <w:r>
        <w:noBreakHyphen/>
        <w:t>14.]</w:t>
      </w:r>
    </w:p>
    <w:p>
      <w:pPr>
        <w:pStyle w:val="Heading5"/>
      </w:pPr>
      <w:bookmarkStart w:id="22" w:name="_Toc75862309"/>
      <w:bookmarkStart w:id="23" w:name="_Toc75164653"/>
      <w:r>
        <w:rPr>
          <w:rStyle w:val="CharSectno"/>
        </w:rPr>
        <w:t>10</w:t>
      </w:r>
      <w:r>
        <w:t>.</w:t>
      </w:r>
      <w:r>
        <w:tab/>
        <w:t>Position on Earth, reference to in instruments operating on or after 16 Dec 2000</w:t>
      </w:r>
      <w:bookmarkEnd w:id="22"/>
      <w:bookmarkEnd w:id="23"/>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w:t>
      </w:r>
      <w:r>
        <w:rPr>
          <w:vertAlign w:val="superscript"/>
        </w:rPr>
        <w:t> 2</w:t>
      </w:r>
      <w:r>
        <w:t>.</w:t>
      </w:r>
    </w:p>
    <w:p>
      <w:pPr>
        <w:pStyle w:val="Footnotesection"/>
      </w:pPr>
      <w:r>
        <w:tab/>
        <w:t>[Regulation 10 inserted: Gazette 15 Dec 2000 p. 7214.]</w:t>
      </w:r>
    </w:p>
    <w:p>
      <w:pPr>
        <w:pStyle w:val="Heading5"/>
      </w:pPr>
      <w:bookmarkStart w:id="24" w:name="_Toc75862310"/>
      <w:bookmarkStart w:id="25" w:name="_Toc75164654"/>
      <w:r>
        <w:rPr>
          <w:rStyle w:val="CharSectno"/>
        </w:rPr>
        <w:t>11</w:t>
      </w:r>
      <w:r>
        <w:t>.</w:t>
      </w:r>
      <w:r>
        <w:tab/>
        <w:t>Datum prescribed (Act s. 27(4))</w:t>
      </w:r>
      <w:bookmarkEnd w:id="24"/>
      <w:bookmarkEnd w:id="25"/>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keepNext/>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Gazette 15 Dec 2000 p. 7215.]</w:t>
      </w:r>
    </w:p>
    <w:p>
      <w:pPr>
        <w:pStyle w:val="Heading5"/>
      </w:pPr>
      <w:bookmarkStart w:id="26" w:name="_Toc75862311"/>
      <w:bookmarkStart w:id="27" w:name="_Toc75164655"/>
      <w:r>
        <w:rPr>
          <w:rStyle w:val="CharSectno"/>
        </w:rPr>
        <w:t>12</w:t>
      </w:r>
      <w:r>
        <w:t>.</w:t>
      </w:r>
      <w:r>
        <w:tab/>
        <w:t>Transitional provision: operation of r. 3</w:t>
      </w:r>
      <w:bookmarkEnd w:id="26"/>
      <w:bookmarkEnd w:id="27"/>
    </w:p>
    <w:p>
      <w:pPr>
        <w:pStyle w:val="Subsection"/>
        <w:keepNext/>
      </w:pPr>
      <w:r>
        <w:tab/>
        <w:t>(1)</w:t>
      </w:r>
      <w:r>
        <w:tab/>
        <w:t xml:space="preserve">In this regulation — </w:t>
      </w:r>
    </w:p>
    <w:p>
      <w:pPr>
        <w:pStyle w:val="Defstart"/>
      </w:pPr>
      <w:r>
        <w:tab/>
      </w:r>
      <w:r>
        <w:rPr>
          <w:rStyle w:val="CharDefText"/>
        </w:rPr>
        <w:t>regulation 3</w:t>
      </w:r>
      <w:r>
        <w:t xml:space="preserve"> has the meaning given in Schedule 2 clause 1 of the Act.</w:t>
      </w:r>
    </w:p>
    <w:p>
      <w:pPr>
        <w:pStyle w:val="Subsection"/>
      </w:pPr>
      <w:r>
        <w:tab/>
        <w:t>(2)</w:t>
      </w:r>
      <w:r>
        <w:tab/>
        <w:t>This regulation is made for the purposes of Schedule 2 clause 3(4) of the Act.</w:t>
      </w:r>
    </w:p>
    <w:p>
      <w:pPr>
        <w:pStyle w:val="Subsection"/>
      </w:pPr>
      <w:r>
        <w:tab/>
        <w:t>(3)</w:t>
      </w:r>
      <w:r>
        <w:tab/>
        <w:t>Regulation 3 as continued in force under Schedule 2 clause 3(3)(b) of the Act is, for the purposes of its application under that paragraph, deleted.</w:t>
      </w:r>
    </w:p>
    <w:p>
      <w:pPr>
        <w:pStyle w:val="Footnotesection"/>
      </w:pPr>
      <w:r>
        <w:tab/>
        <w:t>[Regulation 12 inserted: Gazette 30 Jun 2015 p. 2344.]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8" w:name="_Toc75435386"/>
      <w:bookmarkStart w:id="29" w:name="_Toc75862312"/>
      <w:bookmarkStart w:id="30" w:name="_Toc74921470"/>
      <w:bookmarkStart w:id="31" w:name="_Toc74921590"/>
      <w:bookmarkStart w:id="32" w:name="_Toc75164656"/>
      <w:bookmarkStart w:id="33" w:name="_Toc75435195"/>
      <w:r>
        <w:rPr>
          <w:rStyle w:val="CharSchNo"/>
        </w:rPr>
        <w:t>Schedule 1</w:t>
      </w:r>
      <w:r>
        <w:t> — </w:t>
      </w:r>
      <w:r>
        <w:rPr>
          <w:rStyle w:val="CharSchText"/>
        </w:rPr>
        <w:t>Prescribed fees</w:t>
      </w:r>
      <w:bookmarkEnd w:id="28"/>
      <w:bookmarkEnd w:id="29"/>
      <w:bookmarkEnd w:id="30"/>
      <w:bookmarkEnd w:id="31"/>
      <w:bookmarkEnd w:id="32"/>
    </w:p>
    <w:p>
      <w:pPr>
        <w:pStyle w:val="yShoulderClause"/>
      </w:pPr>
      <w:r>
        <w:t>[r.</w:t>
      </w:r>
      <w:del w:id="34" w:author="Master Repository Process" w:date="2021-09-11T19:24:00Z">
        <w:r>
          <w:delText xml:space="preserve"> </w:delText>
        </w:r>
      </w:del>
      <w:ins w:id="35" w:author="Master Repository Process" w:date="2021-09-11T19:24:00Z">
        <w:r>
          <w:t> </w:t>
        </w:r>
      </w:ins>
      <w:r>
        <w:t>3(1)]</w:t>
      </w:r>
    </w:p>
    <w:p>
      <w:pPr>
        <w:pStyle w:val="yFootnoteheading"/>
        <w:spacing w:after="120"/>
      </w:pPr>
      <w:r>
        <w:tab/>
        <w:t>[Heading inserted: SL </w:t>
      </w:r>
      <w:del w:id="36" w:author="Master Repository Process" w:date="2021-09-11T19:24:00Z">
        <w:r>
          <w:delText>2020/93</w:delText>
        </w:r>
      </w:del>
      <w:ins w:id="37" w:author="Master Repository Process" w:date="2021-09-11T19:24:00Z">
        <w:r>
          <w:t>2021/85</w:t>
        </w:r>
      </w:ins>
      <w:r>
        <w:t xml:space="preserve"> r. </w:t>
      </w:r>
      <w:del w:id="38" w:author="Master Repository Process" w:date="2021-09-11T19:24:00Z">
        <w:r>
          <w:delText>15</w:delText>
        </w:r>
      </w:del>
      <w:ins w:id="39" w:author="Master Repository Process" w:date="2021-09-11T19:24:00Z">
        <w:r>
          <w:t>28</w:t>
        </w:r>
      </w:ins>
      <w: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2126"/>
        <w:gridCol w:w="2978"/>
      </w:tblGrid>
      <w:tr>
        <w:trPr>
          <w:cantSplit/>
          <w:tblHeader/>
          <w:jc w:val="center"/>
        </w:trPr>
        <w:tc>
          <w:tcPr>
            <w:tcW w:w="1559" w:type="dxa"/>
            <w:noWrap/>
          </w:tcPr>
          <w:p>
            <w:pPr>
              <w:pStyle w:val="yTableNAm"/>
              <w:keepNext/>
              <w:jc w:val="center"/>
              <w:rPr>
                <w:b/>
              </w:rPr>
            </w:pPr>
            <w:r>
              <w:rPr>
                <w:b/>
              </w:rPr>
              <w:t>Column 1</w:t>
            </w:r>
            <w:r>
              <w:rPr>
                <w:b/>
              </w:rPr>
              <w:br/>
              <w:t>Item</w:t>
            </w:r>
          </w:p>
        </w:tc>
        <w:tc>
          <w:tcPr>
            <w:tcW w:w="2126" w:type="dxa"/>
            <w:noWrap/>
          </w:tcPr>
          <w:p>
            <w:pPr>
              <w:pStyle w:val="yTableNAm"/>
              <w:keepNext/>
              <w:jc w:val="center"/>
              <w:rPr>
                <w:b/>
              </w:rPr>
            </w:pPr>
            <w:r>
              <w:rPr>
                <w:b/>
              </w:rPr>
              <w:t>Column 2</w:t>
            </w:r>
            <w:r>
              <w:rPr>
                <w:b/>
              </w:rPr>
              <w:br/>
              <w:t>Provision of Act</w:t>
            </w:r>
          </w:p>
        </w:tc>
        <w:tc>
          <w:tcPr>
            <w:tcW w:w="2978" w:type="dxa"/>
            <w:noWrap/>
          </w:tcPr>
          <w:p>
            <w:pPr>
              <w:pStyle w:val="yTableNAm"/>
              <w:keepNext/>
              <w:jc w:val="center"/>
              <w:rPr>
                <w:b/>
              </w:rPr>
            </w:pPr>
            <w:r>
              <w:rPr>
                <w:b/>
              </w:rPr>
              <w:t>Column 3</w:t>
            </w:r>
            <w:r>
              <w:rPr>
                <w:b/>
              </w:rPr>
              <w:br/>
              <w:t>Amount of prescribed fee</w:t>
            </w:r>
            <w:r>
              <w:rPr>
                <w:b/>
              </w:rPr>
              <w:br/>
              <w:t>($)</w:t>
            </w:r>
          </w:p>
        </w:tc>
      </w:tr>
      <w:tr>
        <w:trPr>
          <w:cantSplit/>
          <w:jc w:val="center"/>
        </w:trPr>
        <w:tc>
          <w:tcPr>
            <w:tcW w:w="1559" w:type="dxa"/>
            <w:noWrap/>
            <w:vAlign w:val="center"/>
          </w:tcPr>
          <w:p>
            <w:pPr>
              <w:pStyle w:val="yTableNAm"/>
            </w:pPr>
            <w:r>
              <w:t>1.</w:t>
            </w:r>
          </w:p>
        </w:tc>
        <w:tc>
          <w:tcPr>
            <w:tcW w:w="2126" w:type="dxa"/>
            <w:noWrap/>
            <w:vAlign w:val="center"/>
          </w:tcPr>
          <w:p>
            <w:pPr>
              <w:pStyle w:val="yTableNAm"/>
            </w:pPr>
            <w:r>
              <w:t>s. 31(1)(f)</w:t>
            </w:r>
          </w:p>
        </w:tc>
        <w:tc>
          <w:tcPr>
            <w:tcW w:w="2978" w:type="dxa"/>
            <w:noWrap/>
            <w:vAlign w:val="bottom"/>
          </w:tcPr>
          <w:p>
            <w:pPr>
              <w:pStyle w:val="yTableNAm"/>
              <w:tabs>
                <w:tab w:val="clear" w:pos="567"/>
              </w:tabs>
              <w:ind w:right="1097"/>
              <w:jc w:val="right"/>
            </w:pPr>
            <w:r>
              <w:t>7 </w:t>
            </w:r>
            <w:del w:id="40" w:author="Master Repository Process" w:date="2021-09-11T19:24:00Z">
              <w:r>
                <w:delText>190</w:delText>
              </w:r>
            </w:del>
            <w:ins w:id="41" w:author="Master Repository Process" w:date="2021-09-11T19:24:00Z">
              <w:r>
                <w:t>550</w:t>
              </w:r>
            </w:ins>
            <w:r>
              <w:t>.00</w:t>
            </w:r>
          </w:p>
        </w:tc>
      </w:tr>
      <w:tr>
        <w:trPr>
          <w:cantSplit/>
          <w:jc w:val="center"/>
        </w:trPr>
        <w:tc>
          <w:tcPr>
            <w:tcW w:w="1559" w:type="dxa"/>
            <w:noWrap/>
            <w:vAlign w:val="center"/>
          </w:tcPr>
          <w:p>
            <w:pPr>
              <w:pStyle w:val="yTableNAm"/>
            </w:pPr>
            <w:r>
              <w:t>2.</w:t>
            </w:r>
          </w:p>
        </w:tc>
        <w:tc>
          <w:tcPr>
            <w:tcW w:w="2126" w:type="dxa"/>
            <w:noWrap/>
            <w:vAlign w:val="center"/>
          </w:tcPr>
          <w:p>
            <w:pPr>
              <w:pStyle w:val="yTableNAm"/>
            </w:pPr>
            <w:r>
              <w:t>s. 34(1)(a)</w:t>
            </w:r>
          </w:p>
        </w:tc>
        <w:tc>
          <w:tcPr>
            <w:tcW w:w="2978" w:type="dxa"/>
            <w:noWrap/>
            <w:vAlign w:val="bottom"/>
          </w:tcPr>
          <w:p>
            <w:pPr>
              <w:pStyle w:val="yTableNAm"/>
              <w:tabs>
                <w:tab w:val="clear" w:pos="567"/>
              </w:tabs>
              <w:ind w:right="1097"/>
              <w:jc w:val="right"/>
              <w:rPr>
                <w:rStyle w:val="DraftersNotes"/>
              </w:rPr>
            </w:pPr>
            <w:r>
              <w:t>7 190.00</w:t>
            </w:r>
          </w:p>
        </w:tc>
      </w:tr>
      <w:tr>
        <w:trPr>
          <w:cantSplit/>
          <w:jc w:val="center"/>
        </w:trPr>
        <w:tc>
          <w:tcPr>
            <w:tcW w:w="1559" w:type="dxa"/>
            <w:noWrap/>
            <w:vAlign w:val="center"/>
          </w:tcPr>
          <w:p>
            <w:pPr>
              <w:pStyle w:val="yTableNAm"/>
            </w:pPr>
            <w:r>
              <w:t>3.</w:t>
            </w:r>
          </w:p>
        </w:tc>
        <w:tc>
          <w:tcPr>
            <w:tcW w:w="2126" w:type="dxa"/>
            <w:noWrap/>
            <w:vAlign w:val="center"/>
          </w:tcPr>
          <w:p>
            <w:pPr>
              <w:pStyle w:val="yTableNAm"/>
            </w:pPr>
            <w:r>
              <w:t>s. 37A(2)(e)</w:t>
            </w:r>
          </w:p>
        </w:tc>
        <w:tc>
          <w:tcPr>
            <w:tcW w:w="2978" w:type="dxa"/>
            <w:noWrap/>
            <w:vAlign w:val="bottom"/>
          </w:tcPr>
          <w:p>
            <w:pPr>
              <w:pStyle w:val="yTableNAm"/>
              <w:tabs>
                <w:tab w:val="clear" w:pos="567"/>
              </w:tabs>
              <w:ind w:right="1097"/>
              <w:jc w:val="right"/>
            </w:pPr>
            <w:r>
              <w:t>7 190.00</w:t>
            </w:r>
          </w:p>
        </w:tc>
      </w:tr>
      <w:tr>
        <w:trPr>
          <w:cantSplit/>
          <w:jc w:val="center"/>
        </w:trPr>
        <w:tc>
          <w:tcPr>
            <w:tcW w:w="1559" w:type="dxa"/>
            <w:noWrap/>
            <w:vAlign w:val="center"/>
          </w:tcPr>
          <w:p>
            <w:pPr>
              <w:pStyle w:val="yTableNAm"/>
            </w:pPr>
            <w:r>
              <w:t>4.</w:t>
            </w:r>
          </w:p>
        </w:tc>
        <w:tc>
          <w:tcPr>
            <w:tcW w:w="2126" w:type="dxa"/>
            <w:noWrap/>
            <w:vAlign w:val="center"/>
          </w:tcPr>
          <w:p>
            <w:pPr>
              <w:pStyle w:val="yTableNAm"/>
            </w:pPr>
            <w:r>
              <w:t>s. 40(2)(c)</w:t>
            </w:r>
          </w:p>
        </w:tc>
        <w:tc>
          <w:tcPr>
            <w:tcW w:w="2978" w:type="dxa"/>
            <w:noWrap/>
            <w:vAlign w:val="bottom"/>
          </w:tcPr>
          <w:p>
            <w:pPr>
              <w:pStyle w:val="yTableNAm"/>
              <w:tabs>
                <w:tab w:val="clear" w:pos="567"/>
              </w:tabs>
              <w:ind w:right="1097"/>
              <w:jc w:val="right"/>
            </w:pPr>
            <w:r>
              <w:t>7 </w:t>
            </w:r>
            <w:del w:id="42" w:author="Master Repository Process" w:date="2021-09-11T19:24:00Z">
              <w:r>
                <w:delText>190</w:delText>
              </w:r>
            </w:del>
            <w:ins w:id="43" w:author="Master Repository Process" w:date="2021-09-11T19:24:00Z">
              <w:r>
                <w:t>550</w:t>
              </w:r>
            </w:ins>
            <w:r>
              <w:t>.00</w:t>
            </w:r>
          </w:p>
        </w:tc>
      </w:tr>
      <w:tr>
        <w:trPr>
          <w:cantSplit/>
          <w:jc w:val="center"/>
        </w:trPr>
        <w:tc>
          <w:tcPr>
            <w:tcW w:w="1559" w:type="dxa"/>
            <w:noWrap/>
            <w:vAlign w:val="center"/>
          </w:tcPr>
          <w:p>
            <w:pPr>
              <w:pStyle w:val="yTableNAm"/>
            </w:pPr>
            <w:r>
              <w:t>5.</w:t>
            </w:r>
          </w:p>
        </w:tc>
        <w:tc>
          <w:tcPr>
            <w:tcW w:w="2126" w:type="dxa"/>
            <w:noWrap/>
            <w:vAlign w:val="center"/>
          </w:tcPr>
          <w:p>
            <w:pPr>
              <w:pStyle w:val="yTableNAm"/>
            </w:pPr>
            <w:r>
              <w:t>s. 43B(1)(f)</w:t>
            </w:r>
          </w:p>
        </w:tc>
        <w:tc>
          <w:tcPr>
            <w:tcW w:w="2978" w:type="dxa"/>
            <w:noWrap/>
            <w:vAlign w:val="bottom"/>
          </w:tcPr>
          <w:p>
            <w:pPr>
              <w:pStyle w:val="yTableNAm"/>
              <w:tabs>
                <w:tab w:val="clear" w:pos="567"/>
              </w:tabs>
              <w:ind w:right="1097"/>
              <w:jc w:val="right"/>
            </w:pPr>
            <w:r>
              <w:t>7 190.00</w:t>
            </w:r>
          </w:p>
        </w:tc>
      </w:tr>
      <w:tr>
        <w:trPr>
          <w:cantSplit/>
          <w:jc w:val="center"/>
        </w:trPr>
        <w:tc>
          <w:tcPr>
            <w:tcW w:w="1559" w:type="dxa"/>
            <w:noWrap/>
            <w:vAlign w:val="center"/>
          </w:tcPr>
          <w:p>
            <w:pPr>
              <w:pStyle w:val="yTableNAm"/>
            </w:pPr>
            <w:r>
              <w:t>6.</w:t>
            </w:r>
          </w:p>
        </w:tc>
        <w:tc>
          <w:tcPr>
            <w:tcW w:w="2126" w:type="dxa"/>
            <w:noWrap/>
            <w:vAlign w:val="center"/>
          </w:tcPr>
          <w:p>
            <w:pPr>
              <w:pStyle w:val="yTableNAm"/>
            </w:pPr>
            <w:r>
              <w:t>s. 43F(3)(d)</w:t>
            </w:r>
          </w:p>
        </w:tc>
        <w:tc>
          <w:tcPr>
            <w:tcW w:w="2978" w:type="dxa"/>
            <w:noWrap/>
            <w:vAlign w:val="bottom"/>
          </w:tcPr>
          <w:p>
            <w:pPr>
              <w:pStyle w:val="yTableNAm"/>
              <w:tabs>
                <w:tab w:val="clear" w:pos="567"/>
              </w:tabs>
              <w:ind w:right="1097"/>
              <w:jc w:val="right"/>
            </w:pPr>
            <w:r>
              <w:t>7 190.00</w:t>
            </w:r>
          </w:p>
        </w:tc>
      </w:tr>
      <w:tr>
        <w:trPr>
          <w:cantSplit/>
          <w:jc w:val="center"/>
        </w:trPr>
        <w:tc>
          <w:tcPr>
            <w:tcW w:w="1559" w:type="dxa"/>
            <w:noWrap/>
            <w:vAlign w:val="center"/>
          </w:tcPr>
          <w:p>
            <w:pPr>
              <w:pStyle w:val="yTableNAm"/>
            </w:pPr>
            <w:r>
              <w:t>7.</w:t>
            </w:r>
          </w:p>
        </w:tc>
        <w:tc>
          <w:tcPr>
            <w:tcW w:w="2126" w:type="dxa"/>
            <w:noWrap/>
            <w:vAlign w:val="center"/>
          </w:tcPr>
          <w:p>
            <w:pPr>
              <w:pStyle w:val="yTableNAm"/>
            </w:pPr>
            <w:r>
              <w:t>s. 48A(2)(e)</w:t>
            </w:r>
          </w:p>
        </w:tc>
        <w:tc>
          <w:tcPr>
            <w:tcW w:w="2978" w:type="dxa"/>
            <w:noWrap/>
            <w:vAlign w:val="bottom"/>
          </w:tcPr>
          <w:p>
            <w:pPr>
              <w:pStyle w:val="yTableNAm"/>
              <w:tabs>
                <w:tab w:val="clear" w:pos="567"/>
              </w:tabs>
              <w:ind w:right="1097"/>
              <w:jc w:val="right"/>
            </w:pPr>
            <w:r>
              <w:t>7 190.00</w:t>
            </w:r>
          </w:p>
        </w:tc>
      </w:tr>
      <w:tr>
        <w:trPr>
          <w:cantSplit/>
          <w:jc w:val="center"/>
        </w:trPr>
        <w:tc>
          <w:tcPr>
            <w:tcW w:w="1559" w:type="dxa"/>
            <w:noWrap/>
            <w:vAlign w:val="center"/>
          </w:tcPr>
          <w:p>
            <w:pPr>
              <w:pStyle w:val="yTableNAm"/>
            </w:pPr>
            <w:r>
              <w:t>8.</w:t>
            </w:r>
          </w:p>
        </w:tc>
        <w:tc>
          <w:tcPr>
            <w:tcW w:w="2126" w:type="dxa"/>
            <w:noWrap/>
            <w:vAlign w:val="center"/>
          </w:tcPr>
          <w:p>
            <w:pPr>
              <w:pStyle w:val="yTableNAm"/>
            </w:pPr>
            <w:r>
              <w:t>s. 48CA(3)(d)</w:t>
            </w:r>
          </w:p>
        </w:tc>
        <w:tc>
          <w:tcPr>
            <w:tcW w:w="2978" w:type="dxa"/>
            <w:noWrap/>
            <w:vAlign w:val="bottom"/>
          </w:tcPr>
          <w:p>
            <w:pPr>
              <w:pStyle w:val="yTableNAm"/>
              <w:tabs>
                <w:tab w:val="clear" w:pos="567"/>
              </w:tabs>
              <w:ind w:right="1097"/>
              <w:jc w:val="right"/>
            </w:pPr>
            <w:r>
              <w:t>7 190.00</w:t>
            </w:r>
          </w:p>
        </w:tc>
      </w:tr>
      <w:tr>
        <w:trPr>
          <w:cantSplit/>
          <w:jc w:val="center"/>
        </w:trPr>
        <w:tc>
          <w:tcPr>
            <w:tcW w:w="1559" w:type="dxa"/>
            <w:noWrap/>
            <w:vAlign w:val="center"/>
          </w:tcPr>
          <w:p>
            <w:pPr>
              <w:pStyle w:val="yTableNAm"/>
            </w:pPr>
            <w:r>
              <w:t>9.</w:t>
            </w:r>
          </w:p>
        </w:tc>
        <w:tc>
          <w:tcPr>
            <w:tcW w:w="2126" w:type="dxa"/>
            <w:noWrap/>
            <w:vAlign w:val="center"/>
          </w:tcPr>
          <w:p>
            <w:pPr>
              <w:pStyle w:val="yTableNAm"/>
            </w:pPr>
            <w:r>
              <w:t>s. 48F(2)(d)</w:t>
            </w:r>
          </w:p>
        </w:tc>
        <w:tc>
          <w:tcPr>
            <w:tcW w:w="2978" w:type="dxa"/>
            <w:noWrap/>
            <w:vAlign w:val="bottom"/>
          </w:tcPr>
          <w:p>
            <w:pPr>
              <w:pStyle w:val="yTableNAm"/>
              <w:tabs>
                <w:tab w:val="clear" w:pos="567"/>
              </w:tabs>
              <w:ind w:right="1097"/>
              <w:jc w:val="right"/>
            </w:pPr>
            <w:r>
              <w:t>7 190.00</w:t>
            </w:r>
          </w:p>
        </w:tc>
      </w:tr>
      <w:tr>
        <w:trPr>
          <w:cantSplit/>
          <w:jc w:val="center"/>
        </w:trPr>
        <w:tc>
          <w:tcPr>
            <w:tcW w:w="1559" w:type="dxa"/>
            <w:noWrap/>
            <w:vAlign w:val="center"/>
          </w:tcPr>
          <w:p>
            <w:pPr>
              <w:pStyle w:val="yTableNAm"/>
            </w:pPr>
            <w:r>
              <w:t>10.</w:t>
            </w:r>
          </w:p>
        </w:tc>
        <w:tc>
          <w:tcPr>
            <w:tcW w:w="2126" w:type="dxa"/>
            <w:noWrap/>
            <w:vAlign w:val="center"/>
          </w:tcPr>
          <w:p>
            <w:pPr>
              <w:pStyle w:val="yTableNAm"/>
            </w:pPr>
            <w:r>
              <w:t>s. 51(1)(e)</w:t>
            </w:r>
          </w:p>
        </w:tc>
        <w:tc>
          <w:tcPr>
            <w:tcW w:w="2978" w:type="dxa"/>
            <w:noWrap/>
            <w:vAlign w:val="bottom"/>
          </w:tcPr>
          <w:p>
            <w:pPr>
              <w:pStyle w:val="yTableNAm"/>
              <w:tabs>
                <w:tab w:val="clear" w:pos="567"/>
              </w:tabs>
              <w:ind w:right="1097"/>
              <w:jc w:val="right"/>
            </w:pPr>
            <w:r>
              <w:t>7 </w:t>
            </w:r>
            <w:del w:id="44" w:author="Master Repository Process" w:date="2021-09-11T19:24:00Z">
              <w:r>
                <w:delText>190</w:delText>
              </w:r>
            </w:del>
            <w:ins w:id="45" w:author="Master Repository Process" w:date="2021-09-11T19:24:00Z">
              <w:r>
                <w:t>550</w:t>
              </w:r>
            </w:ins>
            <w:r>
              <w:t>.00</w:t>
            </w:r>
          </w:p>
        </w:tc>
      </w:tr>
      <w:tr>
        <w:trPr>
          <w:cantSplit/>
          <w:jc w:val="center"/>
        </w:trPr>
        <w:tc>
          <w:tcPr>
            <w:tcW w:w="1559" w:type="dxa"/>
            <w:noWrap/>
            <w:vAlign w:val="center"/>
          </w:tcPr>
          <w:p>
            <w:pPr>
              <w:pStyle w:val="yTableNAm"/>
            </w:pPr>
            <w:r>
              <w:t>11.</w:t>
            </w:r>
          </w:p>
        </w:tc>
        <w:tc>
          <w:tcPr>
            <w:tcW w:w="2126" w:type="dxa"/>
            <w:noWrap/>
            <w:vAlign w:val="center"/>
          </w:tcPr>
          <w:p>
            <w:pPr>
              <w:pStyle w:val="yTableNAm"/>
            </w:pPr>
            <w:r>
              <w:t>s. 58(1)(a)</w:t>
            </w:r>
          </w:p>
        </w:tc>
        <w:tc>
          <w:tcPr>
            <w:tcW w:w="2978" w:type="dxa"/>
            <w:noWrap/>
            <w:vAlign w:val="bottom"/>
          </w:tcPr>
          <w:p>
            <w:pPr>
              <w:pStyle w:val="yTableNAm"/>
              <w:tabs>
                <w:tab w:val="clear" w:pos="567"/>
              </w:tabs>
              <w:ind w:right="1097"/>
              <w:jc w:val="right"/>
            </w:pPr>
            <w:r>
              <w:t>7 </w:t>
            </w:r>
            <w:del w:id="46" w:author="Master Repository Process" w:date="2021-09-11T19:24:00Z">
              <w:r>
                <w:delText>190</w:delText>
              </w:r>
            </w:del>
            <w:ins w:id="47" w:author="Master Repository Process" w:date="2021-09-11T19:24:00Z">
              <w:r>
                <w:t>550</w:t>
              </w:r>
            </w:ins>
            <w:r>
              <w:t>.00</w:t>
            </w:r>
          </w:p>
        </w:tc>
      </w:tr>
      <w:tr>
        <w:trPr>
          <w:cantSplit/>
          <w:jc w:val="center"/>
        </w:trPr>
        <w:tc>
          <w:tcPr>
            <w:tcW w:w="1559" w:type="dxa"/>
            <w:noWrap/>
            <w:vAlign w:val="center"/>
          </w:tcPr>
          <w:p>
            <w:pPr>
              <w:pStyle w:val="yTableNAm"/>
            </w:pPr>
            <w:r>
              <w:t>12.</w:t>
            </w:r>
          </w:p>
        </w:tc>
        <w:tc>
          <w:tcPr>
            <w:tcW w:w="2126" w:type="dxa"/>
            <w:noWrap/>
            <w:vAlign w:val="center"/>
          </w:tcPr>
          <w:p>
            <w:pPr>
              <w:pStyle w:val="yTableNAm"/>
            </w:pPr>
            <w:r>
              <w:t>s. 61(2)(e)</w:t>
            </w:r>
          </w:p>
        </w:tc>
        <w:tc>
          <w:tcPr>
            <w:tcW w:w="2978" w:type="dxa"/>
            <w:noWrap/>
            <w:vAlign w:val="bottom"/>
          </w:tcPr>
          <w:p>
            <w:pPr>
              <w:pStyle w:val="yTableNAm"/>
              <w:tabs>
                <w:tab w:val="clear" w:pos="567"/>
              </w:tabs>
              <w:ind w:right="1097"/>
              <w:jc w:val="right"/>
            </w:pPr>
            <w:r>
              <w:t>7 </w:t>
            </w:r>
            <w:del w:id="48" w:author="Master Repository Process" w:date="2021-09-11T19:24:00Z">
              <w:r>
                <w:delText>190</w:delText>
              </w:r>
            </w:del>
            <w:ins w:id="49" w:author="Master Repository Process" w:date="2021-09-11T19:24:00Z">
              <w:r>
                <w:t>550</w:t>
              </w:r>
            </w:ins>
            <w:r>
              <w:t>.00</w:t>
            </w:r>
          </w:p>
        </w:tc>
      </w:tr>
      <w:tr>
        <w:trPr>
          <w:cantSplit/>
          <w:jc w:val="center"/>
        </w:trPr>
        <w:tc>
          <w:tcPr>
            <w:tcW w:w="1559" w:type="dxa"/>
            <w:noWrap/>
            <w:vAlign w:val="center"/>
          </w:tcPr>
          <w:p>
            <w:pPr>
              <w:pStyle w:val="yTableNAm"/>
            </w:pPr>
            <w:r>
              <w:t>13.</w:t>
            </w:r>
          </w:p>
        </w:tc>
        <w:tc>
          <w:tcPr>
            <w:tcW w:w="2126" w:type="dxa"/>
            <w:noWrap/>
            <w:vAlign w:val="center"/>
          </w:tcPr>
          <w:p>
            <w:pPr>
              <w:pStyle w:val="yTableNAm"/>
            </w:pPr>
            <w:r>
              <w:t>s. 64(2)(d)</w:t>
            </w:r>
          </w:p>
        </w:tc>
        <w:tc>
          <w:tcPr>
            <w:tcW w:w="2978" w:type="dxa"/>
            <w:noWrap/>
            <w:vAlign w:val="bottom"/>
          </w:tcPr>
          <w:p>
            <w:pPr>
              <w:pStyle w:val="yTableNAm"/>
              <w:tabs>
                <w:tab w:val="clear" w:pos="567"/>
              </w:tabs>
              <w:ind w:right="1097"/>
              <w:jc w:val="right"/>
            </w:pPr>
            <w:r>
              <w:t>7 190.00</w:t>
            </w:r>
          </w:p>
        </w:tc>
      </w:tr>
      <w:tr>
        <w:trPr>
          <w:cantSplit/>
          <w:jc w:val="center"/>
        </w:trPr>
        <w:tc>
          <w:tcPr>
            <w:tcW w:w="1559" w:type="dxa"/>
            <w:noWrap/>
            <w:vAlign w:val="center"/>
          </w:tcPr>
          <w:p>
            <w:pPr>
              <w:pStyle w:val="yTableNAm"/>
            </w:pPr>
            <w:r>
              <w:t>14.</w:t>
            </w:r>
          </w:p>
        </w:tc>
        <w:tc>
          <w:tcPr>
            <w:tcW w:w="2126" w:type="dxa"/>
            <w:noWrap/>
            <w:vAlign w:val="center"/>
          </w:tcPr>
          <w:p>
            <w:pPr>
              <w:pStyle w:val="yTableNAm"/>
            </w:pPr>
            <w:r>
              <w:t>s. 73(2)</w:t>
            </w:r>
          </w:p>
        </w:tc>
        <w:tc>
          <w:tcPr>
            <w:tcW w:w="2978" w:type="dxa"/>
            <w:noWrap/>
            <w:vAlign w:val="bottom"/>
          </w:tcPr>
          <w:p>
            <w:pPr>
              <w:pStyle w:val="yTableNAm"/>
              <w:tabs>
                <w:tab w:val="clear" w:pos="567"/>
              </w:tabs>
              <w:ind w:right="1097"/>
              <w:jc w:val="right"/>
            </w:pPr>
            <w:r>
              <w:t>142.00</w:t>
            </w:r>
          </w:p>
        </w:tc>
      </w:tr>
      <w:tr>
        <w:trPr>
          <w:cantSplit/>
          <w:jc w:val="center"/>
        </w:trPr>
        <w:tc>
          <w:tcPr>
            <w:tcW w:w="1559" w:type="dxa"/>
            <w:noWrap/>
            <w:vAlign w:val="center"/>
          </w:tcPr>
          <w:p>
            <w:pPr>
              <w:pStyle w:val="yTableNAm"/>
            </w:pPr>
            <w:r>
              <w:t>15.</w:t>
            </w:r>
          </w:p>
        </w:tc>
        <w:tc>
          <w:tcPr>
            <w:tcW w:w="2126" w:type="dxa"/>
            <w:noWrap/>
            <w:vAlign w:val="center"/>
          </w:tcPr>
          <w:p>
            <w:pPr>
              <w:pStyle w:val="yTableNAm"/>
            </w:pPr>
            <w:r>
              <w:t>s. 73(3)(b)</w:t>
            </w:r>
          </w:p>
        </w:tc>
        <w:tc>
          <w:tcPr>
            <w:tcW w:w="2978" w:type="dxa"/>
            <w:noWrap/>
            <w:vAlign w:val="bottom"/>
          </w:tcPr>
          <w:p>
            <w:pPr>
              <w:pStyle w:val="yTableNAm"/>
              <w:tabs>
                <w:tab w:val="clear" w:pos="567"/>
              </w:tabs>
              <w:ind w:right="1097"/>
              <w:jc w:val="right"/>
            </w:pPr>
            <w:r>
              <w:t>142.00</w:t>
            </w:r>
          </w:p>
        </w:tc>
      </w:tr>
      <w:tr>
        <w:trPr>
          <w:cantSplit/>
          <w:jc w:val="center"/>
        </w:trPr>
        <w:tc>
          <w:tcPr>
            <w:tcW w:w="1559" w:type="dxa"/>
            <w:noWrap/>
            <w:vAlign w:val="center"/>
          </w:tcPr>
          <w:p>
            <w:pPr>
              <w:pStyle w:val="yTableNAm"/>
            </w:pPr>
            <w:r>
              <w:t>16.</w:t>
            </w:r>
          </w:p>
        </w:tc>
        <w:tc>
          <w:tcPr>
            <w:tcW w:w="2126" w:type="dxa"/>
            <w:noWrap/>
            <w:vAlign w:val="center"/>
          </w:tcPr>
          <w:p>
            <w:pPr>
              <w:pStyle w:val="yTableNAm"/>
            </w:pPr>
            <w:r>
              <w:t>s. 80(1)</w:t>
            </w:r>
          </w:p>
        </w:tc>
        <w:tc>
          <w:tcPr>
            <w:tcW w:w="2978" w:type="dxa"/>
            <w:noWrap/>
            <w:vAlign w:val="bottom"/>
          </w:tcPr>
          <w:p>
            <w:pPr>
              <w:pStyle w:val="yTableNAm"/>
              <w:tabs>
                <w:tab w:val="clear" w:pos="567"/>
              </w:tabs>
              <w:ind w:right="1097"/>
              <w:jc w:val="right"/>
            </w:pPr>
            <w:r>
              <w:t>142.00</w:t>
            </w:r>
          </w:p>
        </w:tc>
      </w:tr>
      <w:tr>
        <w:trPr>
          <w:cantSplit/>
          <w:jc w:val="center"/>
        </w:trPr>
        <w:tc>
          <w:tcPr>
            <w:tcW w:w="1559" w:type="dxa"/>
            <w:noWrap/>
            <w:vAlign w:val="center"/>
          </w:tcPr>
          <w:p>
            <w:pPr>
              <w:pStyle w:val="yTableNAm"/>
            </w:pPr>
            <w:r>
              <w:t>17.</w:t>
            </w:r>
          </w:p>
        </w:tc>
        <w:tc>
          <w:tcPr>
            <w:tcW w:w="2126" w:type="dxa"/>
            <w:noWrap/>
            <w:vAlign w:val="center"/>
          </w:tcPr>
          <w:p>
            <w:pPr>
              <w:pStyle w:val="yTableNAm"/>
            </w:pPr>
            <w:r>
              <w:t>s. 81(3)</w:t>
            </w:r>
          </w:p>
        </w:tc>
        <w:tc>
          <w:tcPr>
            <w:tcW w:w="2978" w:type="dxa"/>
            <w:noWrap/>
            <w:vAlign w:val="bottom"/>
          </w:tcPr>
          <w:p>
            <w:pPr>
              <w:pStyle w:val="yTableNAm"/>
              <w:tabs>
                <w:tab w:val="clear" w:pos="567"/>
              </w:tabs>
              <w:ind w:right="1097"/>
              <w:jc w:val="right"/>
            </w:pPr>
            <w:r>
              <w:t>142.00</w:t>
            </w:r>
          </w:p>
        </w:tc>
      </w:tr>
      <w:tr>
        <w:trPr>
          <w:cantSplit/>
          <w:jc w:val="center"/>
        </w:trPr>
        <w:tc>
          <w:tcPr>
            <w:tcW w:w="1559" w:type="dxa"/>
            <w:noWrap/>
            <w:vAlign w:val="center"/>
          </w:tcPr>
          <w:p>
            <w:pPr>
              <w:pStyle w:val="yTableNAm"/>
              <w:keepNext/>
            </w:pPr>
            <w:r>
              <w:t>18.</w:t>
            </w:r>
          </w:p>
        </w:tc>
        <w:tc>
          <w:tcPr>
            <w:tcW w:w="2126" w:type="dxa"/>
            <w:noWrap/>
            <w:vAlign w:val="center"/>
          </w:tcPr>
          <w:p>
            <w:pPr>
              <w:pStyle w:val="yTableNAm"/>
              <w:keepNext/>
            </w:pPr>
            <w:r>
              <w:t>s. 105(2)(d)</w:t>
            </w:r>
          </w:p>
        </w:tc>
        <w:tc>
          <w:tcPr>
            <w:tcW w:w="2978" w:type="dxa"/>
            <w:noWrap/>
            <w:vAlign w:val="center"/>
          </w:tcPr>
          <w:p>
            <w:pPr>
              <w:pStyle w:val="yTableNAm"/>
              <w:tabs>
                <w:tab w:val="clear" w:pos="567"/>
              </w:tabs>
              <w:ind w:right="1097"/>
              <w:jc w:val="right"/>
            </w:pPr>
            <w:r>
              <w:t>7 </w:t>
            </w:r>
            <w:del w:id="50" w:author="Master Repository Process" w:date="2021-09-11T19:24:00Z">
              <w:r>
                <w:delText>190</w:delText>
              </w:r>
            </w:del>
            <w:ins w:id="51" w:author="Master Repository Process" w:date="2021-09-11T19:24:00Z">
              <w:r>
                <w:t>550</w:t>
              </w:r>
            </w:ins>
            <w:r>
              <w:t>.00</w:t>
            </w:r>
          </w:p>
        </w:tc>
      </w:tr>
      <w:tr>
        <w:trPr>
          <w:cantSplit/>
          <w:jc w:val="center"/>
        </w:trPr>
        <w:tc>
          <w:tcPr>
            <w:tcW w:w="1559" w:type="dxa"/>
            <w:noWrap/>
            <w:vAlign w:val="center"/>
          </w:tcPr>
          <w:p>
            <w:pPr>
              <w:pStyle w:val="yTableNAm"/>
            </w:pPr>
            <w:r>
              <w:t>19.</w:t>
            </w:r>
          </w:p>
        </w:tc>
        <w:tc>
          <w:tcPr>
            <w:tcW w:w="2126" w:type="dxa"/>
            <w:noWrap/>
            <w:vAlign w:val="center"/>
          </w:tcPr>
          <w:p>
            <w:pPr>
              <w:pStyle w:val="yTableNAm"/>
            </w:pPr>
            <w:r>
              <w:t>s. 137(a)</w:t>
            </w:r>
          </w:p>
        </w:tc>
        <w:tc>
          <w:tcPr>
            <w:tcW w:w="2978" w:type="dxa"/>
            <w:noWrap/>
            <w:vAlign w:val="center"/>
          </w:tcPr>
          <w:p>
            <w:pPr>
              <w:pStyle w:val="yTableNAm"/>
              <w:tabs>
                <w:tab w:val="clear" w:pos="567"/>
              </w:tabs>
              <w:ind w:right="1097"/>
              <w:jc w:val="right"/>
            </w:pPr>
            <w:r>
              <w:t>2 400.00</w:t>
            </w:r>
          </w:p>
        </w:tc>
      </w:tr>
    </w:tbl>
    <w:p>
      <w:pPr>
        <w:pStyle w:val="yFootnotesection"/>
      </w:pPr>
      <w:r>
        <w:tab/>
        <w:t>[Schedule 1 inserted: SL </w:t>
      </w:r>
      <w:del w:id="52" w:author="Master Repository Process" w:date="2021-09-11T19:24:00Z">
        <w:r>
          <w:delText>2020/93</w:delText>
        </w:r>
      </w:del>
      <w:ins w:id="53" w:author="Master Repository Process" w:date="2021-09-11T19:24:00Z">
        <w:r>
          <w:t>2021/85</w:t>
        </w:r>
      </w:ins>
      <w:r>
        <w:t xml:space="preserve"> r. </w:t>
      </w:r>
      <w:del w:id="54" w:author="Master Repository Process" w:date="2021-09-11T19:24:00Z">
        <w:r>
          <w:delText>15</w:delText>
        </w:r>
      </w:del>
      <w:ins w:id="55" w:author="Master Repository Process" w:date="2021-09-11T19:24:00Z">
        <w:r>
          <w:t>28</w:t>
        </w:r>
      </w:ins>
      <w:r>
        <w:t>.]</w:t>
      </w:r>
    </w:p>
    <w:p>
      <w:pPr>
        <w:pStyle w:val="yScheduleHeading"/>
      </w:pPr>
      <w:bookmarkStart w:id="56" w:name="_Toc75435196"/>
      <w:bookmarkStart w:id="57" w:name="_Toc75435387"/>
      <w:bookmarkStart w:id="58" w:name="_Toc75862313"/>
      <w:bookmarkStart w:id="59" w:name="_Toc74921471"/>
      <w:bookmarkStart w:id="60" w:name="_Toc74921591"/>
      <w:bookmarkStart w:id="61" w:name="_Toc75164657"/>
      <w:bookmarkEnd w:id="33"/>
      <w:r>
        <w:rPr>
          <w:rStyle w:val="CharSchNo"/>
        </w:rPr>
        <w:t>Schedule 2</w:t>
      </w:r>
      <w:bookmarkEnd w:id="56"/>
      <w:bookmarkEnd w:id="57"/>
      <w:bookmarkEnd w:id="58"/>
      <w:bookmarkEnd w:id="59"/>
      <w:bookmarkEnd w:id="60"/>
      <w:bookmarkEnd w:id="61"/>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r>
        <w:rPr>
          <w:b/>
          <w:snapToGrid w:val="0"/>
          <w:vertAlign w:val="superscript"/>
        </w:rPr>
        <w:t> 3</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Gazette 28 Sep 1990 p. 5102; amended: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63" w:name="_Toc75435197"/>
      <w:bookmarkStart w:id="64" w:name="_Toc75435388"/>
      <w:bookmarkStart w:id="65" w:name="_Toc75862314"/>
      <w:bookmarkStart w:id="66" w:name="_Toc74921472"/>
      <w:bookmarkStart w:id="67" w:name="_Toc74921592"/>
      <w:bookmarkStart w:id="68" w:name="_Toc75164658"/>
      <w:r>
        <w:t>Notes</w:t>
      </w:r>
      <w:bookmarkEnd w:id="63"/>
      <w:bookmarkEnd w:id="64"/>
      <w:bookmarkEnd w:id="65"/>
      <w:bookmarkEnd w:id="66"/>
      <w:bookmarkEnd w:id="67"/>
      <w:bookmarkEnd w:id="68"/>
    </w:p>
    <w:p>
      <w:pPr>
        <w:pStyle w:val="nStatement"/>
      </w:pPr>
      <w:r>
        <w:t xml:space="preserve">This is a compilation of the </w:t>
      </w:r>
      <w:r>
        <w:rPr>
          <w:i/>
          <w:noProof/>
        </w:rPr>
        <w:t>Petroleum and Geothermal Energy Resources Regulations</w:t>
      </w:r>
      <w:del w:id="69" w:author="Master Repository Process" w:date="2021-09-11T19:24:00Z">
        <w:r>
          <w:rPr>
            <w:i/>
            <w:noProof/>
          </w:rPr>
          <w:delText xml:space="preserve"> </w:delText>
        </w:r>
      </w:del>
      <w:ins w:id="70" w:author="Master Repository Process" w:date="2021-09-11T19:24:00Z">
        <w:r>
          <w:rPr>
            <w:i/>
            <w:noProof/>
          </w:rPr>
          <w:t> </w:t>
        </w:r>
      </w:ins>
      <w:r>
        <w:rPr>
          <w:i/>
          <w:noProof/>
        </w:rPr>
        <w:t>1987</w:t>
      </w:r>
      <w:r>
        <w:t xml:space="preserve"> and includes amendments made by other written laws. For provisions that have come into operation, and for information about any reprints, see the compilation table. </w:t>
      </w:r>
      <w:del w:id="71" w:author="Master Repository Process" w:date="2021-09-11T19:24:00Z">
        <w:r>
          <w:delText>For provisions that have not yet come into operation see the uncommenced provisions table.</w:delText>
        </w:r>
      </w:del>
    </w:p>
    <w:p>
      <w:pPr>
        <w:pStyle w:val="nHeading3"/>
      </w:pPr>
      <w:bookmarkStart w:id="72" w:name="_Toc75862315"/>
      <w:bookmarkStart w:id="73" w:name="_Toc75164659"/>
      <w:r>
        <w:t>Compilation table</w:t>
      </w:r>
      <w:bookmarkEnd w:id="72"/>
      <w:bookmarkEnd w:id="73"/>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Petroleum Regulations 1987</w:t>
            </w:r>
            <w:r>
              <w:rPr>
                <w:iCs/>
                <w:vertAlign w:val="superscript"/>
              </w:rPr>
              <w:t> 4</w:t>
            </w:r>
          </w:p>
        </w:tc>
        <w:tc>
          <w:tcPr>
            <w:tcW w:w="1276" w:type="dxa"/>
          </w:tcPr>
          <w:p>
            <w:pPr>
              <w:pStyle w:val="nTable"/>
              <w:spacing w:after="40"/>
              <w:ind w:left="57"/>
            </w:pPr>
            <w:r>
              <w:t>23 Oct 1987 p. 3971</w:t>
            </w:r>
            <w:r>
              <w:noBreakHyphen/>
              <w:t>2</w:t>
            </w:r>
          </w:p>
        </w:tc>
        <w:tc>
          <w:tcPr>
            <w:tcW w:w="2693" w:type="dxa"/>
          </w:tcPr>
          <w:p>
            <w:pPr>
              <w:pStyle w:val="nTable"/>
              <w:spacing w:after="40"/>
            </w:pPr>
            <w:r>
              <w:t>23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1990</w:t>
            </w:r>
          </w:p>
        </w:tc>
        <w:tc>
          <w:tcPr>
            <w:tcW w:w="1276" w:type="dxa"/>
          </w:tcPr>
          <w:p>
            <w:pPr>
              <w:pStyle w:val="nTable"/>
              <w:spacing w:after="40"/>
              <w:ind w:left="57"/>
            </w:pPr>
            <w:r>
              <w:t>28 Sep 1990 p. 5100</w:t>
            </w:r>
            <w:r>
              <w:noBreakHyphen/>
              <w:t>2</w:t>
            </w:r>
          </w:p>
        </w:tc>
        <w:tc>
          <w:tcPr>
            <w:tcW w:w="2693" w:type="dxa"/>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1991</w:t>
            </w:r>
          </w:p>
        </w:tc>
        <w:tc>
          <w:tcPr>
            <w:tcW w:w="1276" w:type="dxa"/>
          </w:tcPr>
          <w:p>
            <w:pPr>
              <w:pStyle w:val="nTable"/>
              <w:spacing w:after="40"/>
              <w:ind w:left="57"/>
            </w:pPr>
            <w:r>
              <w:t xml:space="preserve">28 Jun 1991 </w:t>
            </w:r>
            <w:r>
              <w:br/>
              <w:t>p. 3228</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1993</w:t>
            </w:r>
          </w:p>
        </w:tc>
        <w:tc>
          <w:tcPr>
            <w:tcW w:w="1276" w:type="dxa"/>
          </w:tcPr>
          <w:p>
            <w:pPr>
              <w:pStyle w:val="nTable"/>
              <w:spacing w:after="40"/>
              <w:ind w:left="57"/>
            </w:pPr>
            <w:r>
              <w:t>24 Dec 1993 p. 6831</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1994</w:t>
            </w:r>
          </w:p>
        </w:tc>
        <w:tc>
          <w:tcPr>
            <w:tcW w:w="1276" w:type="dxa"/>
          </w:tcPr>
          <w:p>
            <w:pPr>
              <w:pStyle w:val="nTable"/>
              <w:spacing w:after="40"/>
              <w:ind w:left="57"/>
            </w:pPr>
            <w:r>
              <w:t>20 May 1994 p. 2124</w:t>
            </w:r>
            <w:r>
              <w:noBreakHyphen/>
              <w:t>5</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(No. 2) 1994</w:t>
            </w:r>
          </w:p>
        </w:tc>
        <w:tc>
          <w:tcPr>
            <w:tcW w:w="1276" w:type="dxa"/>
          </w:tcPr>
          <w:p>
            <w:pPr>
              <w:pStyle w:val="nTable"/>
              <w:spacing w:after="40"/>
              <w:ind w:left="57"/>
            </w:pPr>
            <w:r>
              <w:t>22 Jul 1994 p. 3779</w:t>
            </w:r>
            <w:r>
              <w:noBreakHyphen/>
              <w:t>80</w:t>
            </w:r>
          </w:p>
        </w:tc>
        <w:tc>
          <w:tcPr>
            <w:tcW w:w="2693" w:type="dxa"/>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2000</w:t>
            </w:r>
          </w:p>
        </w:tc>
        <w:tc>
          <w:tcPr>
            <w:tcW w:w="1276" w:type="dxa"/>
          </w:tcPr>
          <w:p>
            <w:pPr>
              <w:pStyle w:val="nTable"/>
              <w:spacing w:after="40"/>
              <w:ind w:left="57"/>
            </w:pPr>
            <w:r>
              <w:t>8 Feb 2000 p. 454-5</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(No. 2) 2000</w:t>
            </w:r>
          </w:p>
        </w:tc>
        <w:tc>
          <w:tcPr>
            <w:tcW w:w="1276" w:type="dxa"/>
          </w:tcPr>
          <w:p>
            <w:pPr>
              <w:pStyle w:val="nTable"/>
              <w:spacing w:after="40"/>
              <w:ind w:left="57"/>
            </w:pPr>
            <w:r>
              <w:t xml:space="preserve">27 Jun 2000 </w:t>
            </w:r>
            <w:r>
              <w:br/>
              <w:t>p. 3252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(No. 3) 2000</w:t>
            </w:r>
          </w:p>
        </w:tc>
        <w:tc>
          <w:tcPr>
            <w:tcW w:w="1276" w:type="dxa"/>
          </w:tcPr>
          <w:p>
            <w:pPr>
              <w:pStyle w:val="nTable"/>
              <w:spacing w:after="40"/>
              <w:ind w:left="57"/>
            </w:pPr>
            <w:r>
              <w:t>15 Dec 2000 p. 7212-15</w:t>
            </w:r>
          </w:p>
        </w:tc>
        <w:tc>
          <w:tcPr>
            <w:tcW w:w="2693" w:type="dxa"/>
          </w:tcPr>
          <w:p>
            <w:pPr>
              <w:pStyle w:val="nTable"/>
              <w:spacing w:after="40"/>
            </w:pPr>
            <w:r>
              <w:t xml:space="preserve">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2002</w:t>
            </w:r>
          </w:p>
        </w:tc>
        <w:tc>
          <w:tcPr>
            <w:tcW w:w="1276" w:type="dxa"/>
          </w:tcPr>
          <w:p>
            <w:pPr>
              <w:pStyle w:val="nTable"/>
              <w:spacing w:after="40"/>
              <w:ind w:left="57"/>
            </w:pPr>
            <w:r>
              <w:t>28 Jun 2002 p. 3090-1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2003</w:t>
            </w:r>
          </w:p>
        </w:tc>
        <w:tc>
          <w:tcPr>
            <w:tcW w:w="1276" w:type="dxa"/>
          </w:tcPr>
          <w:p>
            <w:pPr>
              <w:pStyle w:val="nTable"/>
              <w:spacing w:after="40"/>
              <w:ind w:left="57"/>
            </w:pPr>
            <w:r>
              <w:t>28 Feb 2003 p. 669-70</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2009</w:t>
            </w:r>
          </w:p>
        </w:tc>
        <w:tc>
          <w:tcPr>
            <w:tcW w:w="1276" w:type="dxa"/>
          </w:tcPr>
          <w:p>
            <w:pPr>
              <w:pStyle w:val="nTable"/>
              <w:spacing w:after="40"/>
              <w:ind w:left="57"/>
            </w:pPr>
            <w:r>
              <w:t>23 Jun 2009 p. 2471</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2010</w:t>
            </w:r>
          </w:p>
        </w:tc>
        <w:tc>
          <w:tcPr>
            <w:tcW w:w="1276" w:type="dxa"/>
          </w:tcPr>
          <w:p>
            <w:pPr>
              <w:pStyle w:val="nTable"/>
              <w:spacing w:after="40"/>
              <w:ind w:left="57"/>
            </w:pPr>
            <w:r>
              <w:t>9 Feb 2010 p. 271</w:t>
            </w:r>
          </w:p>
        </w:tc>
        <w:tc>
          <w:tcPr>
            <w:tcW w:w="2693" w:type="dxa"/>
          </w:tcPr>
          <w:p>
            <w:pPr>
              <w:pStyle w:val="nTable"/>
              <w:spacing w:after="40"/>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2) 2010</w:t>
            </w:r>
          </w:p>
        </w:tc>
        <w:tc>
          <w:tcPr>
            <w:tcW w:w="1276" w:type="dxa"/>
          </w:tcPr>
          <w:p>
            <w:pPr>
              <w:pStyle w:val="nTable"/>
              <w:spacing w:after="40"/>
              <w:ind w:left="57"/>
            </w:pPr>
            <w:r>
              <w:t>11 May 2010 p. 1816-18</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3) 2010</w:t>
            </w:r>
          </w:p>
        </w:tc>
        <w:tc>
          <w:tcPr>
            <w:tcW w:w="1276" w:type="dxa"/>
          </w:tcPr>
          <w:p>
            <w:pPr>
              <w:pStyle w:val="nTable"/>
              <w:spacing w:after="40"/>
              <w:ind w:left="57"/>
            </w:pPr>
            <w:r>
              <w:t>16 Jul 2010 p. 3357-9</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2011</w:t>
            </w:r>
          </w:p>
        </w:tc>
        <w:tc>
          <w:tcPr>
            <w:tcW w:w="1276" w:type="dxa"/>
          </w:tcPr>
          <w:p>
            <w:pPr>
              <w:pStyle w:val="nTable"/>
              <w:spacing w:after="40"/>
              <w:ind w:left="57"/>
            </w:pPr>
            <w:r>
              <w:t>24 May 2011 p. 1898-9</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2) 2011</w:t>
            </w:r>
          </w:p>
        </w:tc>
        <w:tc>
          <w:tcPr>
            <w:tcW w:w="1276" w:type="dxa"/>
          </w:tcPr>
          <w:p>
            <w:pPr>
              <w:pStyle w:val="nTable"/>
              <w:spacing w:after="40"/>
              <w:ind w:left="57"/>
            </w:pPr>
            <w:r>
              <w:t>1 Jul 2011 p. 2734</w:t>
            </w:r>
            <w:r>
              <w:noBreakHyphen/>
              <w:t>6</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Petroleum and Geothermal Energy Resources Amendment Regulations 2012</w:t>
            </w:r>
          </w:p>
        </w:tc>
        <w:tc>
          <w:tcPr>
            <w:tcW w:w="1276" w:type="dxa"/>
            <w:shd w:val="clear" w:color="auto" w:fill="auto"/>
          </w:tcPr>
          <w:p>
            <w:pPr>
              <w:pStyle w:val="nTable"/>
              <w:spacing w:after="40"/>
              <w:ind w:left="57"/>
            </w:pPr>
            <w:r>
              <w:t>12 Jun 2012 p. 2463</w:t>
            </w:r>
            <w:r>
              <w:noBreakHyphen/>
              <w:t>4</w:t>
            </w:r>
          </w:p>
        </w:tc>
        <w:tc>
          <w:tcPr>
            <w:tcW w:w="2693" w:type="dxa"/>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Petroleum and Geothermal Energy Resources Amendment Regulations 2014</w:t>
            </w:r>
          </w:p>
        </w:tc>
        <w:tc>
          <w:tcPr>
            <w:tcW w:w="1276" w:type="dxa"/>
            <w:shd w:val="clear" w:color="auto" w:fill="auto"/>
          </w:tcPr>
          <w:p>
            <w:pPr>
              <w:pStyle w:val="nTable"/>
              <w:spacing w:after="40"/>
              <w:ind w:left="57"/>
              <w:rPr>
                <w:i/>
              </w:rPr>
            </w:pPr>
            <w:r>
              <w:t>25 Feb 2014 p. 498</w:t>
            </w:r>
            <w:r>
              <w:noBreakHyphen/>
              <w:t>500</w:t>
            </w:r>
          </w:p>
        </w:tc>
        <w:tc>
          <w:tcPr>
            <w:tcW w:w="2693"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(No. 2) 2014</w:t>
            </w:r>
          </w:p>
        </w:tc>
        <w:tc>
          <w:tcPr>
            <w:tcW w:w="1276" w:type="dxa"/>
            <w:shd w:val="clear" w:color="auto" w:fill="auto"/>
          </w:tcPr>
          <w:p>
            <w:pPr>
              <w:pStyle w:val="nTable"/>
              <w:spacing w:after="40"/>
              <w:ind w:left="57"/>
            </w:pPr>
            <w:r>
              <w:rPr>
                <w:spacing w:val="-4"/>
              </w:rPr>
              <w:t>17 Jun 2014 p. 1</w:t>
            </w:r>
            <w:r>
              <w:t>982</w:t>
            </w:r>
            <w:r>
              <w:noBreakHyphen/>
              <w:t>3</w:t>
            </w:r>
          </w:p>
        </w:tc>
        <w:tc>
          <w:tcPr>
            <w:tcW w:w="2693" w:type="dxa"/>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2015</w:t>
            </w:r>
          </w:p>
        </w:tc>
        <w:tc>
          <w:tcPr>
            <w:tcW w:w="1276" w:type="dxa"/>
            <w:shd w:val="clear" w:color="auto" w:fill="auto"/>
          </w:tcPr>
          <w:p>
            <w:pPr>
              <w:pStyle w:val="nTable"/>
              <w:spacing w:after="40"/>
              <w:ind w:left="57"/>
              <w:rPr>
                <w:spacing w:val="-4"/>
              </w:rPr>
            </w:pPr>
            <w:r>
              <w:rPr>
                <w:spacing w:val="-4"/>
              </w:rPr>
              <w:t>30 Jun 2015 p. 2344</w:t>
            </w:r>
          </w:p>
        </w:tc>
        <w:tc>
          <w:tcPr>
            <w:tcW w:w="2693" w:type="dxa"/>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 xml:space="preserve">Regulations other than r. 1 and 2: 1 Jul 2015 (see r. 2(b) and </w:t>
            </w:r>
            <w:r>
              <w:rPr>
                <w:bCs/>
                <w:i/>
                <w:snapToGrid w:val="0"/>
                <w:spacing w:val="-2"/>
              </w:rPr>
              <w:t>Gazette</w:t>
            </w:r>
            <w:r>
              <w:rPr>
                <w:bCs/>
                <w:snapToGrid w:val="0"/>
                <w:spacing w:val="-2"/>
              </w:rPr>
              <w:t xml:space="preserve"> 30 Jun 2015 p. 2321)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(No. 2) 2015</w:t>
            </w:r>
          </w:p>
        </w:tc>
        <w:tc>
          <w:tcPr>
            <w:tcW w:w="1276" w:type="dxa"/>
            <w:shd w:val="clear" w:color="auto" w:fill="auto"/>
          </w:tcPr>
          <w:p>
            <w:pPr>
              <w:pStyle w:val="nTable"/>
              <w:spacing w:after="40"/>
              <w:ind w:left="57"/>
              <w:rPr>
                <w:spacing w:val="-4"/>
              </w:rPr>
            </w:pPr>
            <w:r>
              <w:rPr>
                <w:spacing w:val="-4"/>
              </w:rPr>
              <w:t>30 Jun 2015 p. 2346-7</w:t>
            </w:r>
          </w:p>
        </w:tc>
        <w:tc>
          <w:tcPr>
            <w:tcW w:w="2693" w:type="dxa"/>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Mines and Petroleum Regulations Amendment (Fees and Levies) Regulations 2016</w:t>
            </w:r>
            <w:r>
              <w:t xml:space="preserve"> Pt. 11</w:t>
            </w:r>
          </w:p>
        </w:tc>
        <w:tc>
          <w:tcPr>
            <w:tcW w:w="1276" w:type="dxa"/>
            <w:shd w:val="clear" w:color="auto" w:fill="auto"/>
          </w:tcPr>
          <w:p>
            <w:pPr>
              <w:pStyle w:val="nTable"/>
              <w:spacing w:after="40"/>
              <w:ind w:left="57"/>
              <w:rPr>
                <w:spacing w:val="-4"/>
              </w:rPr>
            </w:pPr>
            <w:r>
              <w:rPr>
                <w:spacing w:val="-4"/>
              </w:rPr>
              <w:t>24 Jun 2016 p. 2325</w:t>
            </w:r>
            <w:r>
              <w:rPr>
                <w:spacing w:val="-4"/>
              </w:rPr>
              <w:noBreakHyphen/>
              <w:t>34</w:t>
            </w:r>
          </w:p>
        </w:tc>
        <w:tc>
          <w:tcPr>
            <w:tcW w:w="2693" w:type="dxa"/>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14</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7</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bl>
    <w:p>
      <w:pPr>
        <w:pStyle w:val="nHeading3"/>
        <w:rPr>
          <w:del w:id="74" w:author="Master Repository Process" w:date="2021-09-11T19:24:00Z"/>
        </w:rPr>
      </w:pPr>
      <w:bookmarkStart w:id="75" w:name="_Toc75164660"/>
      <w:del w:id="76" w:author="Master Repository Process" w:date="2021-09-11T19:24:00Z">
        <w:r>
          <w:delText>Uncommenced provisions table</w:delText>
        </w:r>
        <w:bookmarkEnd w:id="75"/>
      </w:del>
    </w:p>
    <w:p>
      <w:pPr>
        <w:pStyle w:val="nStatement"/>
        <w:keepNext/>
        <w:spacing w:after="240"/>
        <w:rPr>
          <w:del w:id="77" w:author="Master Repository Process" w:date="2021-09-11T19:24:00Z"/>
        </w:rPr>
      </w:pPr>
      <w:del w:id="78" w:author="Master Repository Process" w:date="2021-09-11T19:24: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79" w:author="Master Repository Process" w:date="2021-09-11T19:24:00Z"/>
        </w:trPr>
        <w:tc>
          <w:tcPr>
            <w:tcW w:w="3118" w:type="dxa"/>
          </w:tcPr>
          <w:p>
            <w:pPr>
              <w:pStyle w:val="nTable"/>
              <w:spacing w:after="40"/>
              <w:rPr>
                <w:del w:id="80" w:author="Master Repository Process" w:date="2021-09-11T19:24:00Z"/>
                <w:b/>
              </w:rPr>
            </w:pPr>
            <w:del w:id="81" w:author="Master Repository Process" w:date="2021-09-11T19:24:00Z">
              <w:r>
                <w:rPr>
                  <w:b/>
                </w:rPr>
                <w:delText>Citation</w:delText>
              </w:r>
            </w:del>
          </w:p>
        </w:tc>
        <w:tc>
          <w:tcPr>
            <w:tcW w:w="1276" w:type="dxa"/>
          </w:tcPr>
          <w:p>
            <w:pPr>
              <w:pStyle w:val="nTable"/>
              <w:spacing w:after="40"/>
              <w:rPr>
                <w:del w:id="82" w:author="Master Repository Process" w:date="2021-09-11T19:24:00Z"/>
                <w:b/>
              </w:rPr>
            </w:pPr>
            <w:del w:id="83" w:author="Master Repository Process" w:date="2021-09-11T19:24:00Z">
              <w:r>
                <w:rPr>
                  <w:b/>
                </w:rPr>
                <w:delText>Published</w:delText>
              </w:r>
            </w:del>
          </w:p>
        </w:tc>
        <w:tc>
          <w:tcPr>
            <w:tcW w:w="2693" w:type="dxa"/>
          </w:tcPr>
          <w:p>
            <w:pPr>
              <w:pStyle w:val="nTable"/>
              <w:spacing w:after="40"/>
              <w:rPr>
                <w:del w:id="84" w:author="Master Repository Process" w:date="2021-09-11T19:24:00Z"/>
                <w:b/>
              </w:rPr>
            </w:pPr>
            <w:del w:id="85" w:author="Master Repository Process" w:date="2021-09-11T19:24:00Z">
              <w:r>
                <w:rPr>
                  <w:b/>
                </w:rPr>
                <w:delText>Commencement</w:delText>
              </w:r>
            </w:del>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w:t>
            </w:r>
            <w:del w:id="86" w:author="Master Repository Process" w:date="2021-09-11T19:24:00Z">
              <w:r>
                <w:rPr>
                  <w:i/>
                </w:rPr>
                <w:delText xml:space="preserve"> </w:delText>
              </w:r>
            </w:del>
            <w:ins w:id="87" w:author="Master Repository Process" w:date="2021-09-11T19:24:00Z">
              <w:r>
                <w:rPr>
                  <w:i/>
                </w:rPr>
                <w:t> </w:t>
              </w:r>
            </w:ins>
            <w:r>
              <w:rPr>
                <w:i/>
              </w:rPr>
              <w:t>2021</w:t>
            </w:r>
            <w:r>
              <w:t xml:space="preserve"> Pt. 11</w:t>
            </w:r>
          </w:p>
        </w:tc>
        <w:tc>
          <w:tcPr>
            <w:tcW w:w="1276" w:type="dxa"/>
            <w:tcBorders>
              <w:top w:val="nil"/>
              <w:bottom w:val="single" w:sz="4" w:space="0" w:color="auto"/>
            </w:tcBorders>
          </w:tcPr>
          <w:p>
            <w:pPr>
              <w:pStyle w:val="nTable"/>
              <w:spacing w:after="40"/>
            </w:pPr>
            <w:r>
              <w:t>SL 2021/85 21 Jun 2021</w:t>
            </w:r>
          </w:p>
        </w:tc>
        <w:tc>
          <w:tcPr>
            <w:tcW w:w="2693" w:type="dxa"/>
            <w:tcBorders>
              <w:top w:val="nil"/>
              <w:bottom w:val="single" w:sz="4" w:space="0" w:color="auto"/>
            </w:tcBorders>
          </w:tcPr>
          <w:p>
            <w:pPr>
              <w:pStyle w:val="nTable"/>
              <w:spacing w:after="40"/>
            </w:pPr>
            <w:r>
              <w:t>1 Jul 2021 (see r. 2(b))</w:t>
            </w:r>
          </w:p>
        </w:tc>
      </w:tr>
    </w:tbl>
    <w:p>
      <w:pPr>
        <w:pStyle w:val="nHeading3"/>
      </w:pPr>
      <w:bookmarkStart w:id="88" w:name="_Toc75862316"/>
      <w:bookmarkStart w:id="89" w:name="_Toc75164661"/>
      <w:r>
        <w:t>Other notes</w:t>
      </w:r>
      <w:bookmarkEnd w:id="88"/>
      <w:bookmarkEnd w:id="89"/>
    </w:p>
    <w:p>
      <w:pPr>
        <w:pStyle w:val="nNote"/>
      </w:pPr>
      <w:r>
        <w:rPr>
          <w:snapToGrid w:val="0"/>
          <w:vertAlign w:val="superscript"/>
        </w:rPr>
        <w:t>1</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Note"/>
      </w:pPr>
      <w:r>
        <w:rPr>
          <w:vertAlign w:val="superscript"/>
        </w:rPr>
        <w:t>2</w:t>
      </w:r>
      <w:r>
        <w:tab/>
        <w:t xml:space="preserve">Commencement day was 16 Dec 2000 (see </w:t>
      </w:r>
      <w:r>
        <w:rPr>
          <w:i/>
        </w:rPr>
        <w:t>Gazette</w:t>
      </w:r>
      <w:r>
        <w:t xml:space="preserve"> 15 Dec 2000 p. 7201).</w:t>
      </w:r>
    </w:p>
    <w:p>
      <w:pPr>
        <w:pStyle w:val="nNote"/>
      </w:pPr>
      <w:r>
        <w:rPr>
          <w:snapToGrid w:val="0"/>
          <w:vertAlign w:val="superscript"/>
        </w:rPr>
        <w:t>3</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Note"/>
      </w:pPr>
      <w:r>
        <w:rPr>
          <w:vertAlign w:val="superscript"/>
        </w:rPr>
        <w:t>4</w:t>
      </w:r>
      <w:r>
        <w:tab/>
        <w:t xml:space="preserve">Now known as the </w:t>
      </w:r>
      <w:r>
        <w:rPr>
          <w:i/>
          <w:iCs/>
        </w:rPr>
        <w:t>Petroleum and Geothermal Energy Resources Regulations 1987</w:t>
      </w:r>
      <w:r>
        <w:t>; citation changed (see note under r. 1).</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 w:name="Schedule"/>
    <w:bookmarkEnd w:id="6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F3673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33925"/>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 w:name="WAFER_20151109113910" w:val="UpdateStyles,UsedStyles"/>
    <w:docVar w:name="WAFER_20151109113910_GUID" w:val="2ab6f106-363d-47b6-bf36-648e3288ed9f"/>
    <w:docVar w:name="WAFER_20200626091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01_GUID" w:val="f50ff727-405d-4fee-bde4-6353bfe68065"/>
    <w:docVar w:name="WAFER_20210618150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0758_GUID" w:val="2557c342-949f-4121-9432-8a86b22c9a4e"/>
    <w:docVar w:name="WAFER_20210618151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1009_GUID" w:val="60cfaa65-862a-4757-b8c0-a4deba7f3588"/>
    <w:docVar w:name="WAFER_202106241339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25_GUID" w:val="c4b96230-4a01-4a03-8d74-88f65ffc99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9AADD-3F0B-4AB4-85A3-C88C51CD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3473</Words>
  <Characters>16882</Characters>
  <Application>Microsoft Office Word</Application>
  <DocSecurity>0</DocSecurity>
  <Lines>649</Lines>
  <Paragraphs>399</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03-k0-00 - 03-l0-00</dc:title>
  <dc:subject/>
  <dc:creator/>
  <cp:keywords/>
  <dc:description/>
  <cp:lastModifiedBy>Master Repository Process</cp:lastModifiedBy>
  <cp:revision>2</cp:revision>
  <cp:lastPrinted>2013-01-31T01:18:00Z</cp:lastPrinted>
  <dcterms:created xsi:type="dcterms:W3CDTF">2021-09-11T11:24:00Z</dcterms:created>
  <dcterms:modified xsi:type="dcterms:W3CDTF">2021-09-11T11:24:00Z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DocumentType">
    <vt:lpwstr>Reg</vt:lpwstr>
  </property>
  <property fmtid="{D5CDD505-2E9C-101B-9397-08002B2CF9AE}" pid="4" name="OwlsUID">
    <vt:i4>4690</vt:i4>
  </property>
  <property fmtid="{D5CDD505-2E9C-101B-9397-08002B2CF9AE}" pid="5" name="ReprintNo">
    <vt:lpwstr>3</vt:lpwstr>
  </property>
  <property fmtid="{D5CDD505-2E9C-101B-9397-08002B2CF9AE}" pid="6" name="ReprintedAsAt">
    <vt:filetime>2013-01-31T16:00:00Z</vt:filetime>
  </property>
  <property fmtid="{D5CDD505-2E9C-101B-9397-08002B2CF9AE}" pid="7" name="CommencementDate">
    <vt:lpwstr>20210701</vt:lpwstr>
  </property>
  <property fmtid="{D5CDD505-2E9C-101B-9397-08002B2CF9AE}" pid="8" name="FromSuffix">
    <vt:lpwstr>03-k0-00</vt:lpwstr>
  </property>
  <property fmtid="{D5CDD505-2E9C-101B-9397-08002B2CF9AE}" pid="9" name="FromAsAtDate">
    <vt:lpwstr>21 Jun 2021</vt:lpwstr>
  </property>
  <property fmtid="{D5CDD505-2E9C-101B-9397-08002B2CF9AE}" pid="10" name="ToSuffix">
    <vt:lpwstr>03-l0-00</vt:lpwstr>
  </property>
  <property fmtid="{D5CDD505-2E9C-101B-9397-08002B2CF9AE}" pid="11" name="ToAsAtDate">
    <vt:lpwstr>01 Jul 2021</vt:lpwstr>
  </property>
</Properties>
</file>